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1E9CC">
      <w:pPr>
        <w:pStyle w:val="21"/>
        <w:spacing w:after="0"/>
        <w:jc w:val="both"/>
        <w:rPr>
          <w:rFonts w:ascii="Arial" w:hAnsi="Arial" w:cs="Arial"/>
          <w:lang w:val="en"/>
        </w:rPr>
      </w:pPr>
      <w:r>
        <w:rPr>
          <w:rFonts w:ascii="Arial" w:hAnsi="Arial" w:cs="Arial"/>
          <w:lang w:val="en"/>
        </w:rPr>
        <w:t>Review Article</w:t>
      </w:r>
    </w:p>
    <w:p w14:paraId="1C61053F">
      <w:pPr>
        <w:pStyle w:val="21"/>
        <w:spacing w:after="0"/>
        <w:jc w:val="both"/>
        <w:rPr>
          <w:rFonts w:ascii="Arial" w:hAnsi="Arial" w:cs="Arial"/>
          <w:lang w:val="en"/>
        </w:rPr>
      </w:pPr>
    </w:p>
    <w:p w14:paraId="6232F5D3">
      <w:pPr>
        <w:pStyle w:val="22"/>
        <w:spacing w:line="240" w:lineRule="auto"/>
        <w:rPr>
          <w:rFonts w:ascii="Arial" w:hAnsi="Arial" w:cs="Arial"/>
          <w:bCs/>
          <w:iCs/>
          <w:kern w:val="28"/>
          <w:sz w:val="36"/>
        </w:rPr>
      </w:pPr>
      <w:r>
        <w:rPr>
          <w:rFonts w:ascii="Arial" w:hAnsi="Arial" w:cs="Arial"/>
          <w:bCs/>
          <w:iCs/>
          <w:kern w:val="28"/>
          <w:sz w:val="36"/>
        </w:rPr>
        <w:t>Potential of Endophytic Fungi for the Production of Secondary Metabolites with Antimicrobial Activity and the Role of Biotechnology in Their Applicability</w:t>
      </w:r>
    </w:p>
    <w:p w14:paraId="580D7AC4">
      <w:pPr>
        <w:pStyle w:val="22"/>
        <w:spacing w:line="240" w:lineRule="auto"/>
        <w:jc w:val="both"/>
        <w:rPr>
          <w:rFonts w:ascii="Arial" w:hAnsi="Arial" w:cs="Arial"/>
          <w:sz w:val="36"/>
        </w:rPr>
      </w:pPr>
    </w:p>
    <w:p w14:paraId="24938270">
      <w:pPr>
        <w:pStyle w:val="23"/>
        <w:spacing w:after="0" w:line="240" w:lineRule="auto"/>
        <w:jc w:val="both"/>
        <w:rPr>
          <w:rFonts w:ascii="Arial" w:hAnsi="Arial" w:cs="Arial"/>
          <w:lang w:val="es-CL"/>
        </w:rPr>
      </w:pPr>
    </w:p>
    <w:p w14:paraId="49FFBF3B">
      <w:pPr>
        <w:pStyle w:val="34"/>
        <w:spacing w:after="0" w:line="240" w:lineRule="auto"/>
        <w:jc w:val="both"/>
        <w:rPr>
          <w:rFonts w:ascii="Arial" w:hAnsi="Arial" w:cs="Arial"/>
        </w:rPr>
        <w:sectPr>
          <w:headerReference r:id="rId7" w:type="first"/>
          <w:footerReference r:id="rId10" w:type="first"/>
          <w:headerReference r:id="rId5" w:type="default"/>
          <w:footerReference r:id="rId8" w:type="default"/>
          <w:headerReference r:id="rId6" w:type="even"/>
          <w:footerReference r:id="rId9"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0" distR="0">
                <wp:extent cx="5303520" cy="635"/>
                <wp:effectExtent l="0" t="12700" r="5080" b="12065"/>
                <wp:docPr id="1951165740" name="AutoShape 2"/>
                <wp:cNvGraphicFramePr/>
                <a:graphic xmlns:a="http://schemas.openxmlformats.org/drawingml/2006/main">
                  <a:graphicData uri="http://schemas.microsoft.com/office/word/2010/wordprocessingShape">
                    <wps:wsp>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dJLyoNAAAAACAQAADwAAAAAAAAABACAAAAAiAAAAZHJzL2Rvd25yZXYueG1sUEsBAhQA&#10;FAAAAAgAh07iQGjjdcbBAQAAigMAAA4AAAAAAAAAAQAgAAAAHwEAAGRycy9lMm9Eb2MueG1sUEsF&#10;BgAAAAAGAAYAWQEAAFIFAAAAAA==&#10;">
                <v:fill on="f" focussize="0,0"/>
                <v:stroke weight="1.5pt" color="#000000" joinstyle="round"/>
                <v:imagedata o:title=""/>
                <o:lock v:ext="edit" aspectratio="f"/>
                <w10:wrap type="none"/>
                <w10:anchorlock/>
              </v:shape>
            </w:pict>
          </mc:Fallback>
        </mc:AlternateContent>
      </w:r>
      <w:r>
        <w:rPr>
          <w:rFonts w:ascii="Arial" w:hAnsi="Arial" w:cs="Arial"/>
        </w:rPr>
        <w:t>.</w:t>
      </w:r>
    </w:p>
    <w:p w14:paraId="73580B47">
      <w:pPr>
        <w:pStyle w:val="25"/>
        <w:spacing w:after="0"/>
        <w:jc w:val="both"/>
        <w:rPr>
          <w:rFonts w:ascii="Arial" w:hAnsi="Arial" w:cs="Arial"/>
        </w:rPr>
      </w:pPr>
      <w:r>
        <w:rPr>
          <w:rFonts w:ascii="Arial" w:hAnsi="Arial" w:cs="Arial"/>
        </w:rPr>
        <w:t>ABSTRACT</w:t>
      </w:r>
      <w:r>
        <w:commentReference w:id="0"/>
      </w:r>
    </w:p>
    <w:p w14:paraId="13B5A2A0">
      <w:pPr>
        <w:pStyle w:val="25"/>
        <w:spacing w:after="0"/>
        <w:jc w:val="both"/>
        <w:rPr>
          <w:rFonts w:ascii="Arial" w:hAnsi="Arial" w:cs="Aria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198"/>
      </w:tblGrid>
      <w:tr w14:paraId="4954D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8198" w:type="dxa"/>
            <w:shd w:val="clear" w:color="auto" w:fill="F2F2F2"/>
          </w:tcPr>
          <w:p w14:paraId="0CED2738">
            <w:pPr>
              <w:pStyle w:val="66"/>
              <w:rPr>
                <w:rFonts w:ascii="Arial" w:hAnsi="Arial" w:eastAsia="Calibri" w:cs="Arial"/>
                <w:color w:val="auto"/>
                <w:sz w:val="20"/>
                <w:lang w:val="en-US" w:eastAsia="en-US"/>
              </w:rPr>
            </w:pPr>
            <w:r>
              <w:rPr>
                <w:rFonts w:ascii="Arial" w:hAnsi="Arial" w:eastAsia="Calibri" w:cs="Arial"/>
                <w:color w:val="auto"/>
                <w:sz w:val="20"/>
                <w:lang w:val="en-US" w:eastAsia="en-US"/>
              </w:rPr>
              <w:t>Antibiotic consumption has increased globally without proper guidelines, accelerating the development of bacterial resistance to them, which is the ability of microorganisms to survive and proliferate despite the action of these substances. Given this situation, it is crucial to seek more accessible alternatives, such as endophytic fungi. These are eukaryotes that inhabit the internal tissues of plants, where they establish mutually beneficial symbiotic relationships without harming them. Research to date has demonstrated that the genetic diversity and variety of secondary metabolites found in these fungi reinforce the importance of continuing to explore them, as certain molecules have shown antibiotic activity against various pathogenic bacteria. Nonetheless, their effective utilization is limited by their low natural productivity and the lack of knowledge about their symbiotic relationships and the regulation of their metabolic pathways. Therefore, biotechnological strategies have been developed and implemented to overcome these limitations. Techniques such as media optimization, the one strain many compounds (OSMAC) approach, co-culture, epigenetic modification, and genetic engineering have been used to activate latent biosynthetic pathways and increase metabolite production. However, research has not included animal models, let alone clinical trials. Therefore, the path to commercialization still requires significant research by the pharmaceutical industry.</w:t>
            </w:r>
          </w:p>
          <w:p w14:paraId="49BBEBE0">
            <w:pPr>
              <w:pStyle w:val="66"/>
              <w:rPr>
                <w:rFonts w:ascii="Arial" w:hAnsi="Arial" w:eastAsia="Calibri" w:cs="Arial"/>
                <w:color w:val="auto"/>
                <w:sz w:val="20"/>
                <w:lang w:val="en-US" w:eastAsia="en-US"/>
              </w:rPr>
            </w:pPr>
          </w:p>
        </w:tc>
      </w:tr>
    </w:tbl>
    <w:p w14:paraId="575F74D0">
      <w:pPr>
        <w:pStyle w:val="24"/>
        <w:spacing w:after="0"/>
        <w:rPr>
          <w:rFonts w:ascii="Arial" w:hAnsi="Arial" w:cs="Arial"/>
          <w:i/>
        </w:rPr>
      </w:pPr>
    </w:p>
    <w:p w14:paraId="53B82329">
      <w:pPr>
        <w:pStyle w:val="24"/>
        <w:spacing w:after="0"/>
        <w:rPr>
          <w:rFonts w:ascii="Arial" w:hAnsi="Arial" w:cs="Arial"/>
          <w:i/>
        </w:rPr>
      </w:pPr>
      <w:r>
        <w:rPr>
          <w:rFonts w:ascii="Arial" w:hAnsi="Arial" w:cs="Arial"/>
          <w:i/>
        </w:rPr>
        <w:t>Keywords: antibiotic, antimicrobial resistance, endophytic fungus, secondary metabolite, biotechnology, genetic engineering, epigenetics.</w:t>
      </w:r>
    </w:p>
    <w:p w14:paraId="3450CFB1">
      <w:pPr>
        <w:pStyle w:val="24"/>
        <w:spacing w:after="0"/>
        <w:rPr>
          <w:rFonts w:ascii="Arial" w:hAnsi="Arial" w:cs="Arial"/>
          <w:i/>
        </w:rPr>
      </w:pPr>
    </w:p>
    <w:p w14:paraId="1B3C91A5">
      <w:pPr>
        <w:pStyle w:val="25"/>
        <w:spacing w:after="0"/>
        <w:jc w:val="both"/>
        <w:rPr>
          <w:rFonts w:ascii="Arial" w:hAnsi="Arial" w:cs="Arial"/>
        </w:rPr>
      </w:pPr>
      <w:r>
        <w:rPr>
          <w:rFonts w:ascii="Arial" w:hAnsi="Arial" w:cs="Arial"/>
        </w:rPr>
        <w:t>1. INTRODUCTION</w:t>
      </w:r>
    </w:p>
    <w:p w14:paraId="5B6F8287">
      <w:pPr>
        <w:pStyle w:val="25"/>
        <w:spacing w:after="0"/>
        <w:jc w:val="both"/>
        <w:rPr>
          <w:rFonts w:ascii="Arial" w:hAnsi="Arial" w:cs="Arial"/>
        </w:rPr>
      </w:pPr>
    </w:p>
    <w:p w14:paraId="2D17152F">
      <w:pPr>
        <w:pStyle w:val="24"/>
        <w:rPr>
          <w:rFonts w:ascii="Arial" w:hAnsi="Arial" w:cs="Arial"/>
        </w:rPr>
      </w:pPr>
      <w:r>
        <w:rPr>
          <w:rFonts w:ascii="Arial" w:hAnsi="Arial" w:cs="Arial"/>
        </w:rPr>
        <w:t xml:space="preserve">In recent decades, the consumption of antimicrobial agents has expanded considerably beyond the realm of human health. Currently, these compounds are used in industry and animal husbandry, contributing to their indirect dispersal in the environment and accelerating the antimicrobial resistance. This resistance, understood as the ability of microorganisms to survive and proliferate despite the action of these substances, represents a threat to global public health. As this problem grows, treating infections becomes more difficult, the costs of therapies rise, and access to them becomes more challenging (Christaki </w:t>
      </w:r>
      <w:commentRangeStart w:id="1"/>
      <w:r>
        <w:rPr>
          <w:rFonts w:ascii="Arial" w:hAnsi="Arial" w:cs="Arial"/>
        </w:rPr>
        <w:t>et al.</w:t>
      </w:r>
      <w:commentRangeEnd w:id="1"/>
      <w:r>
        <w:commentReference w:id="1"/>
      </w:r>
      <w:r>
        <w:rPr>
          <w:rFonts w:ascii="Arial" w:hAnsi="Arial" w:cs="Arial"/>
        </w:rPr>
        <w:t>, 2020).</w:t>
      </w:r>
    </w:p>
    <w:p w14:paraId="69946C83">
      <w:pPr>
        <w:pStyle w:val="24"/>
        <w:rPr>
          <w:rFonts w:ascii="Arial" w:hAnsi="Arial" w:cs="Arial"/>
        </w:rPr>
      </w:pPr>
      <w:r>
        <w:rPr>
          <w:rFonts w:ascii="Arial" w:hAnsi="Arial" w:cs="Arial"/>
        </w:rPr>
        <w:t>Given that traditional antimicrobials are losing effectiveness and that discovering new synthetic drugs is a complex, costly, and lengthy process, it is essential to seek more accessible alternatives. One promising avenue is natural resources, as historically occurred with penicillin (Tang et al., 2023). From this perspective, endophytic fungi offer a potential source.</w:t>
      </w:r>
    </w:p>
    <w:p w14:paraId="7E13BF85">
      <w:pPr>
        <w:pStyle w:val="24"/>
        <w:rPr>
          <w:rFonts w:ascii="Arial" w:hAnsi="Arial" w:cs="Arial"/>
        </w:rPr>
      </w:pPr>
      <w:r>
        <w:rPr>
          <w:rFonts w:ascii="Arial" w:hAnsi="Arial" w:cs="Arial"/>
        </w:rPr>
        <w:t xml:space="preserve">The term refers to microorganisms that inhabit the plant's internal tissues, where they establish mutually beneficial symbiotic relationships without harming the plant (Azar et al., 2023). Plants provide shelter and nutrients, and fungi modulate host physiological functions, such as stress tolerance and the production of bioactive metabolites (Wen et al., 2022). Examples include certain fungi of the genus Penicillium, which can be extracted from plants such as </w:t>
      </w:r>
      <w:r>
        <w:rPr>
          <w:rFonts w:ascii="Arial" w:hAnsi="Arial" w:cs="Arial"/>
          <w:i/>
          <w:iCs/>
        </w:rPr>
        <w:t>Urginea maritima</w:t>
      </w:r>
      <w:r>
        <w:rPr>
          <w:rFonts w:ascii="Arial" w:hAnsi="Arial" w:cs="Arial"/>
        </w:rPr>
        <w:t xml:space="preserve"> and produce mycophenolic acid. This compound has been evaluated against several agriculturally significant phytopathogenic fungi, such as </w:t>
      </w:r>
      <w:r>
        <w:rPr>
          <w:rFonts w:ascii="Arial" w:hAnsi="Arial" w:cs="Arial"/>
          <w:i/>
          <w:iCs/>
        </w:rPr>
        <w:t>Alternaria alternata</w:t>
      </w:r>
      <w:r>
        <w:rPr>
          <w:rFonts w:ascii="Arial" w:hAnsi="Arial" w:cs="Arial"/>
        </w:rPr>
        <w:t xml:space="preserve">, </w:t>
      </w:r>
      <w:r>
        <w:rPr>
          <w:rFonts w:ascii="Arial" w:hAnsi="Arial" w:cs="Arial"/>
          <w:i/>
          <w:iCs/>
        </w:rPr>
        <w:t>Rhizoctonia solani</w:t>
      </w:r>
      <w:r>
        <w:rPr>
          <w:rFonts w:ascii="Arial" w:hAnsi="Arial" w:cs="Arial"/>
        </w:rPr>
        <w:t xml:space="preserve">, and </w:t>
      </w:r>
      <w:r>
        <w:rPr>
          <w:rFonts w:ascii="Arial" w:hAnsi="Arial" w:cs="Arial"/>
          <w:i/>
          <w:iCs/>
        </w:rPr>
        <w:t>Sclerotinia sclerotiorum</w:t>
      </w:r>
      <w:r>
        <w:rPr>
          <w:rFonts w:ascii="Arial" w:hAnsi="Arial" w:cs="Arial"/>
        </w:rPr>
        <w:t xml:space="preserve"> (Azar et al., 2023). </w:t>
      </w:r>
      <w:r>
        <w:rPr>
          <w:rFonts w:ascii="Arial" w:hAnsi="Arial" w:cs="Arial"/>
          <w:i/>
          <w:iCs/>
        </w:rPr>
        <w:t>Phialocephala fortini</w:t>
      </w:r>
      <w:r>
        <w:rPr>
          <w:rFonts w:ascii="Arial" w:hAnsi="Arial" w:cs="Arial"/>
        </w:rPr>
        <w:t xml:space="preserve">, from the plant </w:t>
      </w:r>
      <w:r>
        <w:rPr>
          <w:rFonts w:ascii="Arial" w:hAnsi="Arial" w:cs="Arial"/>
          <w:i/>
          <w:iCs/>
        </w:rPr>
        <w:t>Podophyllum peltatum</w:t>
      </w:r>
      <w:r>
        <w:rPr>
          <w:rFonts w:ascii="Arial" w:hAnsi="Arial" w:cs="Arial"/>
        </w:rPr>
        <w:t xml:space="preserve">, yields podophyllotoxin, and camptothecin is obtained from an endophytic fungus, derived from </w:t>
      </w:r>
      <w:r>
        <w:rPr>
          <w:rFonts w:ascii="Arial" w:hAnsi="Arial" w:cs="Arial"/>
          <w:i/>
          <w:iCs/>
        </w:rPr>
        <w:t>Camptotheca acuminata</w:t>
      </w:r>
      <w:r>
        <w:rPr>
          <w:rFonts w:ascii="Arial" w:hAnsi="Arial" w:cs="Arial"/>
        </w:rPr>
        <w:t xml:space="preserve"> (Amirzakariya and Shakeri, 2022).</w:t>
      </w:r>
    </w:p>
    <w:p w14:paraId="56A73AAA">
      <w:pPr>
        <w:pStyle w:val="24"/>
        <w:rPr>
          <w:rFonts w:ascii="Arial" w:hAnsi="Arial" w:cs="Arial"/>
        </w:rPr>
      </w:pPr>
      <w:r>
        <w:rPr>
          <w:rFonts w:ascii="Arial" w:hAnsi="Arial" w:cs="Arial"/>
        </w:rPr>
        <w:t xml:space="preserve">In recent years, they have attracted augmenting scientific interest due to their capacity to produce a wide range of secondary metabolites, which are bioactive compounds not directly involved in essential processes such as growth, development, and reproduction, but which fulfill other functions such as defense, competition, and communication (Keller, 2019). These structures comprise alkaloids, terpenoids, flavonoids, and polyketides. They have demonstrated antimicrobial activity against a broad spectrum of pathogenic microorganisms. Some examples include </w:t>
      </w:r>
      <w:r>
        <w:rPr>
          <w:rFonts w:ascii="Arial" w:hAnsi="Arial" w:cs="Arial"/>
          <w:i/>
          <w:iCs/>
        </w:rPr>
        <w:t>Staphylococcus aureus</w:t>
      </w:r>
      <w:r>
        <w:rPr>
          <w:rFonts w:ascii="Arial" w:hAnsi="Arial" w:cs="Arial"/>
        </w:rPr>
        <w:t xml:space="preserve">, </w:t>
      </w:r>
      <w:r>
        <w:rPr>
          <w:rFonts w:ascii="Arial" w:hAnsi="Arial" w:cs="Arial"/>
          <w:i/>
          <w:iCs/>
        </w:rPr>
        <w:t>Pseudomonas aeruginosa</w:t>
      </w:r>
      <w:r>
        <w:rPr>
          <w:rFonts w:ascii="Arial" w:hAnsi="Arial" w:cs="Arial"/>
        </w:rPr>
        <w:t xml:space="preserve">, </w:t>
      </w:r>
      <w:r>
        <w:rPr>
          <w:rFonts w:ascii="Arial" w:hAnsi="Arial" w:cs="Arial"/>
          <w:i/>
          <w:iCs/>
        </w:rPr>
        <w:t>Escherichia coli</w:t>
      </w:r>
      <w:r>
        <w:rPr>
          <w:rFonts w:ascii="Arial" w:hAnsi="Arial" w:cs="Arial"/>
        </w:rPr>
        <w:t xml:space="preserve">, </w:t>
      </w:r>
      <w:r>
        <w:rPr>
          <w:rFonts w:ascii="Arial" w:hAnsi="Arial" w:cs="Arial"/>
          <w:i/>
          <w:iCs/>
        </w:rPr>
        <w:t>Salmonella typhi</w:t>
      </w:r>
      <w:r>
        <w:rPr>
          <w:rFonts w:ascii="Arial" w:hAnsi="Arial" w:cs="Arial"/>
        </w:rPr>
        <w:t xml:space="preserve">, </w:t>
      </w:r>
      <w:r>
        <w:rPr>
          <w:rFonts w:ascii="Arial" w:hAnsi="Arial" w:cs="Arial"/>
          <w:i/>
          <w:iCs/>
        </w:rPr>
        <w:t>Candida albicans</w:t>
      </w:r>
      <w:r>
        <w:rPr>
          <w:rFonts w:ascii="Arial" w:hAnsi="Arial" w:cs="Arial"/>
        </w:rPr>
        <w:t xml:space="preserve">, </w:t>
      </w:r>
      <w:r>
        <w:rPr>
          <w:rFonts w:ascii="Arial" w:hAnsi="Arial" w:cs="Arial"/>
          <w:i/>
          <w:iCs/>
        </w:rPr>
        <w:t>Fusarium oxysporum</w:t>
      </w:r>
      <w:r>
        <w:rPr>
          <w:rFonts w:ascii="Arial" w:hAnsi="Arial" w:cs="Arial"/>
        </w:rPr>
        <w:t>, and viruses (human immunodeficiency virus or HIV, herpes simplex virus, and H1N1 influenza virus) (Gupta et al., 2023).</w:t>
      </w:r>
    </w:p>
    <w:p w14:paraId="6882746E">
      <w:pPr>
        <w:pStyle w:val="24"/>
        <w:rPr>
          <w:rFonts w:ascii="Arial" w:hAnsi="Arial" w:cs="Arial"/>
        </w:rPr>
      </w:pPr>
      <w:r>
        <w:rPr>
          <w:rFonts w:ascii="Arial" w:hAnsi="Arial" w:cs="Arial"/>
        </w:rPr>
        <w:t>Furthermore, their extraction can lead to biological medicines. These are therapeutic products derived from living organisms (human, animal, or microorganisms), such as recombinant proteins, monoclonal antibodies, vaccines, somatic cells, and gene therapy (United States Food &amp; Drug Administration, 2018).</w:t>
      </w:r>
    </w:p>
    <w:p w14:paraId="6FB996A5">
      <w:pPr>
        <w:pStyle w:val="24"/>
        <w:rPr>
          <w:rFonts w:ascii="Arial" w:hAnsi="Arial" w:cs="Arial"/>
        </w:rPr>
      </w:pPr>
      <w:r>
        <w:rPr>
          <w:rFonts w:ascii="Arial" w:hAnsi="Arial" w:cs="Arial"/>
        </w:rPr>
        <w:t>However, the therapeutic promise of these secondary metabolites faces significant obstacles, especially when large-scale production is sought. Many biosynthetic genes remain silent or weakly active under laboratory conditions, hindering their expression and the production of specific compounds. In addition, there is a progressive loss of biosynthetic capacity in successive cultures, attributed to the lack of environmental stimuli present in the natural ecosystem. Faced with these difficulties, biotechnology emerges as a key strategy to enhance their yield, enabling the activation of genes and the amplification of antimicrobial compound synthesis (Tiwari and Bae, 2022), with the consequent development of drugs (Jozala et al., 2016).</w:t>
      </w:r>
    </w:p>
    <w:p w14:paraId="0D043222">
      <w:pPr>
        <w:pStyle w:val="24"/>
        <w:rPr>
          <w:rFonts w:ascii="Arial" w:hAnsi="Arial" w:cs="Arial"/>
        </w:rPr>
      </w:pPr>
      <w:r>
        <w:rPr>
          <w:rFonts w:ascii="Arial" w:hAnsi="Arial" w:cs="Arial"/>
        </w:rPr>
        <w:t>In this context, the objective of this article is to identify the role of endophytic fungi in the production of secondary metabolites with antimicrobial activity, and to examine the impact of biotechnology on improving their efficacy and yield.</w:t>
      </w:r>
    </w:p>
    <w:p w14:paraId="43362C26">
      <w:pPr>
        <w:pStyle w:val="36"/>
        <w:spacing w:after="0"/>
        <w:jc w:val="both"/>
        <w:rPr>
          <w:rFonts w:ascii="Arial" w:hAnsi="Arial" w:cs="Arial"/>
        </w:rPr>
      </w:pPr>
      <w:r>
        <w:rPr>
          <w:rFonts w:ascii="Arial" w:hAnsi="Arial" w:cs="Arial"/>
        </w:rPr>
        <w:t>2. INFECTIONS CAUSED BY PATHOGENS AND THE DIFFICULTY IN COMBATING THEM</w:t>
      </w:r>
    </w:p>
    <w:p w14:paraId="2323A985">
      <w:pPr>
        <w:pStyle w:val="36"/>
        <w:spacing w:after="0"/>
        <w:jc w:val="both"/>
        <w:rPr>
          <w:rFonts w:ascii="Arial" w:hAnsi="Arial" w:cs="Arial"/>
        </w:rPr>
      </w:pPr>
    </w:p>
    <w:p w14:paraId="34AC83EB">
      <w:pPr>
        <w:pStyle w:val="24"/>
        <w:rPr>
          <w:rFonts w:ascii="Arial" w:hAnsi="Arial" w:cs="Arial"/>
        </w:rPr>
      </w:pPr>
      <w:r>
        <w:rPr>
          <w:rFonts w:ascii="Arial" w:hAnsi="Arial" w:cs="Arial"/>
        </w:rPr>
        <w:t>The presence of human pathogens throughout history has been a problem affecting the world's population. Some have been eradicated, while others still circulate more prevalently in specific areas. This situation has led to continued research in this field (García Palomo et al., 2010).</w:t>
      </w:r>
    </w:p>
    <w:p w14:paraId="594D8C1C">
      <w:pPr>
        <w:pStyle w:val="24"/>
        <w:rPr>
          <w:rFonts w:ascii="Arial" w:hAnsi="Arial" w:cs="Arial"/>
        </w:rPr>
      </w:pPr>
      <w:r>
        <w:rPr>
          <w:rFonts w:ascii="Arial" w:hAnsi="Arial" w:cs="Arial"/>
        </w:rPr>
        <w:t>Infection is associated with the presence and multiplication of a microorganism in the host's tissues. Therefore, an interaction must occur between the pathogen and its virulence factors. These factors confer the ability to provoke pathologies in people (García Palomo et al., 2010).</w:t>
      </w:r>
    </w:p>
    <w:p w14:paraId="0F0501CA">
      <w:pPr>
        <w:pStyle w:val="24"/>
        <w:rPr>
          <w:rFonts w:ascii="Arial" w:hAnsi="Arial" w:cs="Arial"/>
        </w:rPr>
      </w:pPr>
      <w:r>
        <w:rPr>
          <w:rFonts w:ascii="Arial" w:hAnsi="Arial" w:cs="Arial"/>
        </w:rPr>
        <w:t>It is important to note that the main agents responsible for human infections are prions, viruses, bacteria, fungi, and parasites. The resulting symptoms depend on the characteristics of the specific group and its mode of dissemination, which can occur through the bloodstream, the lymphatic system, or direct contact (García Palomo et al., 2010).</w:t>
      </w:r>
    </w:p>
    <w:p w14:paraId="4E226046">
      <w:pPr>
        <w:pStyle w:val="24"/>
        <w:rPr>
          <w:rFonts w:ascii="Arial" w:hAnsi="Arial" w:cs="Arial"/>
        </w:rPr>
      </w:pPr>
      <w:r>
        <w:rPr>
          <w:rFonts w:ascii="Arial" w:hAnsi="Arial" w:cs="Arial"/>
        </w:rPr>
        <w:t>When a microorganism enters the body, the likelihood of triggering an infection depends on the individual's vulnerability. If a person is immunocompetent, they will be able to resolve more easily. Conversely, if there is immunocompromise, the conditions are optimal for the pathogen to develop (García Palomo et al., 2010).</w:t>
      </w:r>
    </w:p>
    <w:p w14:paraId="17D4389F">
      <w:pPr>
        <w:pStyle w:val="24"/>
        <w:rPr>
          <w:rFonts w:ascii="Arial" w:hAnsi="Arial" w:cs="Arial"/>
        </w:rPr>
      </w:pPr>
      <w:r>
        <w:rPr>
          <w:rFonts w:ascii="Arial" w:hAnsi="Arial" w:cs="Arial"/>
        </w:rPr>
        <w:t>The immune response is divided into innate immunity and adaptive immunity (Sasaki et al., 2024). Despite these complex and comprehensive defense mechanisms, the immune system can be insufficient at times, hindering its ability to fight illnesses.</w:t>
      </w:r>
    </w:p>
    <w:p w14:paraId="1EE5F79E">
      <w:pPr>
        <w:pStyle w:val="24"/>
        <w:rPr>
          <w:rFonts w:ascii="Arial" w:hAnsi="Arial" w:cs="Arial"/>
        </w:rPr>
      </w:pPr>
      <w:r>
        <w:rPr>
          <w:rFonts w:ascii="Arial" w:hAnsi="Arial" w:cs="Arial"/>
        </w:rPr>
        <w:t>In these cases, complications arise and, if not addressed promptly and effectively, can lead to multiple organ dysfunction and even death. Unfortunately, the widespread and constant utilization of antimicrobial agents has led to the proliferation of resistant strains (Liang and Yan, 2023). Therefore, the existence of more suitable and potent alternative therapies to combat microorganisms becomes essential.</w:t>
      </w:r>
    </w:p>
    <w:p w14:paraId="0886AAE7">
      <w:pPr>
        <w:pStyle w:val="36"/>
        <w:spacing w:after="0"/>
        <w:jc w:val="both"/>
        <w:rPr>
          <w:rFonts w:ascii="Arial" w:hAnsi="Arial" w:cs="Arial"/>
        </w:rPr>
      </w:pPr>
      <w:r>
        <w:rPr>
          <w:rFonts w:ascii="Arial" w:hAnsi="Arial" w:cs="Arial"/>
        </w:rPr>
        <w:t>3. IMPORTANCE OF ANTIMICROBIAL AGENTS IN PUBLIC HEALTH</w:t>
      </w:r>
    </w:p>
    <w:p w14:paraId="31572767">
      <w:pPr>
        <w:pStyle w:val="36"/>
        <w:spacing w:after="0"/>
        <w:jc w:val="both"/>
        <w:rPr>
          <w:rFonts w:ascii="Arial" w:hAnsi="Arial" w:cs="Arial"/>
        </w:rPr>
      </w:pPr>
    </w:p>
    <w:p w14:paraId="38BBEA44">
      <w:pPr>
        <w:pStyle w:val="24"/>
        <w:rPr>
          <w:rFonts w:ascii="Arial" w:hAnsi="Arial" w:cs="Arial"/>
        </w:rPr>
      </w:pPr>
      <w:r>
        <w:rPr>
          <w:rFonts w:ascii="Arial" w:hAnsi="Arial" w:cs="Arial"/>
        </w:rPr>
        <w:t xml:space="preserve">Antimicrobial agents are substances that prevent and treat infections in humans, animals, or plants (World Health Organization, 2025). They include antibiotics, employed against bacteria (Xuan et al., 2023). Similarly, there are antivirals, administered for infections caused by viruses (National Foundation for Infectious Diseases, 2024), antifungals to combat fungi and yeasts, and antiparasitics, indicated against parasites. These drugs have undergone significant evolution over time, since at the beginning of their discovery, only substances derived from fungi, plants, and bacteria were available, such as penicillin, from the fungus </w:t>
      </w:r>
      <w:r>
        <w:rPr>
          <w:rFonts w:ascii="Arial" w:hAnsi="Arial" w:cs="Arial"/>
          <w:i/>
          <w:iCs/>
        </w:rPr>
        <w:t>Penicillium notatum</w:t>
      </w:r>
      <w:r>
        <w:rPr>
          <w:rFonts w:ascii="Arial" w:hAnsi="Arial" w:cs="Arial"/>
        </w:rPr>
        <w:t xml:space="preserve">, and vancomycin, from </w:t>
      </w:r>
      <w:r>
        <w:rPr>
          <w:rFonts w:ascii="Arial" w:hAnsi="Arial" w:cs="Arial"/>
          <w:i/>
          <w:iCs/>
        </w:rPr>
        <w:t>Amycolatopsis orientalis</w:t>
      </w:r>
      <w:r>
        <w:rPr>
          <w:rFonts w:ascii="Arial" w:hAnsi="Arial" w:cs="Arial"/>
        </w:rPr>
        <w:t>. Advances have facilitated the manufacture of synthetic compounds such as ciprofloxacin and linezolid (Purssell, 2019).</w:t>
      </w:r>
    </w:p>
    <w:p w14:paraId="1C16F684">
      <w:pPr>
        <w:pStyle w:val="24"/>
        <w:rPr>
          <w:rFonts w:ascii="Arial" w:hAnsi="Arial" w:cs="Arial"/>
        </w:rPr>
      </w:pPr>
      <w:r>
        <w:rPr>
          <w:rFonts w:ascii="Arial" w:hAnsi="Arial" w:cs="Arial"/>
        </w:rPr>
        <w:t>Their impact on public health has been enormous. They are among the most effective pharmacological treatments in the history of medicine. Since the introduction of penicillin in 1910, life expectancy has increased by 23 years, reflecting its impact on controlling and reducing mortality from infectious diseases (Tang et al., 2023).</w:t>
      </w:r>
    </w:p>
    <w:p w14:paraId="37FBE831">
      <w:pPr>
        <w:pStyle w:val="24"/>
        <w:rPr>
          <w:rFonts w:ascii="Arial" w:hAnsi="Arial" w:cs="Arial"/>
        </w:rPr>
      </w:pPr>
      <w:r>
        <w:rPr>
          <w:rFonts w:ascii="Arial" w:hAnsi="Arial" w:cs="Arial"/>
        </w:rPr>
        <w:t>Nevertheless, its application has not been limited to infections. Likewise, it has been found in other circumstances as prophylactic therapy. In surgeries, antibiotics are commonly administered before the procedure to prevent surgical site infections. This strategy ensures a good patient recovery and is advantageous for healthcare institutions, as these illnesses can represent a significant economic burden (increased hospitalization costs, prolonged antimicrobial therapy, and potential legal liabilities). Organizations such as the American College of Surgeons (ACS), the Centers for Disease Control and Prevention (CDC), and the World Health Organization (WHO) play a fundamental role in creating guidelines for antibiotic prophylaxis in surgical settings (Dhole et al., 2023).</w:t>
      </w:r>
    </w:p>
    <w:p w14:paraId="56076928">
      <w:pPr>
        <w:pStyle w:val="24"/>
        <w:rPr>
          <w:rFonts w:ascii="Arial" w:hAnsi="Arial" w:cs="Arial"/>
        </w:rPr>
      </w:pPr>
      <w:r>
        <w:rPr>
          <w:rFonts w:ascii="Arial" w:hAnsi="Arial" w:cs="Arial"/>
        </w:rPr>
        <w:t>Besides, there are traumatic injuries where prophylactic administration is recommended. These cases include open or contaminated facial fractures, facial and scalp lacerations, mammalian bites (human, dog, and cat), and brain and spinal cord injuries (Appelbaum et al., 2024).</w:t>
      </w:r>
    </w:p>
    <w:p w14:paraId="7559F6B3">
      <w:pPr>
        <w:pStyle w:val="24"/>
        <w:rPr>
          <w:rFonts w:ascii="Arial" w:hAnsi="Arial" w:cs="Arial"/>
        </w:rPr>
      </w:pPr>
      <w:r>
        <w:rPr>
          <w:rFonts w:ascii="Arial" w:hAnsi="Arial" w:cs="Arial"/>
        </w:rPr>
        <w:t xml:space="preserve">Another benefit is the prevention of community outbreaks. Evidence of this scenario is tuberculosis (Aslam et al., 2021), originated by the bacterium </w:t>
      </w:r>
      <w:r>
        <w:rPr>
          <w:rFonts w:ascii="Arial" w:hAnsi="Arial" w:cs="Arial"/>
          <w:i/>
          <w:iCs/>
        </w:rPr>
        <w:t>Mycobacterium tuberculosis</w:t>
      </w:r>
      <w:r>
        <w:rPr>
          <w:rFonts w:ascii="Arial" w:hAnsi="Arial" w:cs="Arial"/>
        </w:rPr>
        <w:t>, which almost always affects the lungs (Pan American Health Organization, 2025). Isoniazid administration is established for the therapeutic management of tuberculosis, preventing, controlling, and treating it (Aslam et al., 2021).</w:t>
      </w:r>
    </w:p>
    <w:p w14:paraId="175A22B2">
      <w:pPr>
        <w:pStyle w:val="24"/>
        <w:rPr>
          <w:rFonts w:ascii="Arial" w:hAnsi="Arial" w:cs="Arial"/>
        </w:rPr>
      </w:pPr>
      <w:r>
        <w:rPr>
          <w:rFonts w:ascii="Arial" w:hAnsi="Arial" w:cs="Arial"/>
        </w:rPr>
        <w:t xml:space="preserve">Besides, there may be events involving individuals with a highly contagious infectious agent. In these cases, antibiotics are recommended for people who have close, prolonged contact with the infected person, like in meningococcal infection (Aslam et al., 2021), caused by the bacterium </w:t>
      </w:r>
      <w:r>
        <w:rPr>
          <w:rFonts w:ascii="Arial" w:hAnsi="Arial" w:cs="Arial"/>
          <w:i/>
          <w:iCs/>
        </w:rPr>
        <w:t>Neisseria meningitidis</w:t>
      </w:r>
      <w:r>
        <w:rPr>
          <w:rFonts w:ascii="Arial" w:hAnsi="Arial" w:cs="Arial"/>
        </w:rPr>
        <w:t>. Symptoms are sudden fever, stiff neck, confusion, nausea, vomiting, and a petechial or purpuric rash. Rifampicin, ciprofloxacin, and ceftriaxone are given prophylactically. Their efficacy is 90 % to 95 % (Centers for Disease Control and Prevention, 2024b).</w:t>
      </w:r>
    </w:p>
    <w:p w14:paraId="77F1CF44">
      <w:pPr>
        <w:pStyle w:val="24"/>
        <w:rPr>
          <w:rFonts w:ascii="Arial" w:hAnsi="Arial" w:cs="Arial"/>
        </w:rPr>
      </w:pPr>
      <w:r>
        <w:rPr>
          <w:rFonts w:ascii="Arial" w:hAnsi="Arial" w:cs="Arial"/>
        </w:rPr>
        <w:t>Nonetheless, due to their inappropriate employment over the years, antimicrobial resistance has progressed (Ahmed et al., 2024; Mo et al., 2023). Many people take them for colds, flu, or bronchitis, which are often viral and do not respond to this therapy, or they discontinue it prematurely, allowing bacteria to survive and increasing the risk of relapse and resistant colonization. A large proportion of prescribed antibiotics are unnecessary or inappropriate, or involve incorrect doses or durations (Centers for Disease Control and Prevention, 2024a).</w:t>
      </w:r>
    </w:p>
    <w:p w14:paraId="12A96448">
      <w:pPr>
        <w:pStyle w:val="24"/>
        <w:rPr>
          <w:rFonts w:ascii="Arial" w:hAnsi="Arial" w:cs="Arial"/>
        </w:rPr>
      </w:pPr>
      <w:r>
        <w:rPr>
          <w:rFonts w:ascii="Arial" w:hAnsi="Arial" w:cs="Arial"/>
        </w:rPr>
        <w:t>Microorganisms, especially bacteria, acquire the ability to evade the mechanisms utilized against them. Infections by resistant pathogens are often more difficult to treat, leading to significant morbidity and mortality (Christaki et al., 2020). S. aureus has become resistant to methicillin (MRSA) and may generate resistance to vancomycin. Similarly, multidrug-resistant tuberculosis (MDR-TB) to isoniazid and rifampicin has developed (de Oliveira Santos et al., 2022).</w:t>
      </w:r>
    </w:p>
    <w:p w14:paraId="0778EC4F">
      <w:pPr>
        <w:pStyle w:val="24"/>
        <w:rPr>
          <w:rFonts w:ascii="Arial" w:hAnsi="Arial" w:cs="Arial"/>
        </w:rPr>
      </w:pPr>
      <w:r>
        <w:rPr>
          <w:rFonts w:ascii="Arial" w:hAnsi="Arial" w:cs="Arial"/>
        </w:rPr>
        <w:t>In general, three types of antimicrobial resistance have been described. Bacteria exhibit intrinsic resistance because of their inherent properties. This is the case with glycopeptide resistance in Gram-negative bacteria, which results from the outer membrane impermeability in their cell envelope (Christaki et al., 2020).</w:t>
      </w:r>
    </w:p>
    <w:p w14:paraId="450E577C">
      <w:pPr>
        <w:pStyle w:val="24"/>
        <w:rPr>
          <w:rFonts w:ascii="Arial" w:hAnsi="Arial" w:cs="Arial"/>
        </w:rPr>
      </w:pPr>
      <w:r>
        <w:rPr>
          <w:rFonts w:ascii="Arial" w:hAnsi="Arial" w:cs="Arial"/>
        </w:rPr>
        <w:t>On the other hand, acquired resistance occurs when a susceptible microorganism acquires a resistance mechanism through a mutation or the acquisition of new genetic material from an exogenous source. Horizontal gene transfer can occur through conjugation. The transfer occurs through physical contact, as a sex pilus forms between two cells, connecting them and allowing the plasmid to be transferred from the donor to the recipient. Several resistance genes can be on the same plasmid, allowing the acquisition of multiple resistances in a single conjugation event (Christaki et al., 2020). This assembly of multiple resistance genes is mediated by mutational factors such as transposons, a heterogeneous set of small genomic elements that, in the presence of transposases, move from one point on a chromosome to another on the same or a different one (Galgano et al., 2025), or integrons, which are genetic elements capable of acquiring and rearranging open reading frames embedded in gene cassette units and converting them into functional genes, ensuring their correct expression (Cambray et al., 2010).</w:t>
      </w:r>
    </w:p>
    <w:p w14:paraId="523F0025">
      <w:pPr>
        <w:pStyle w:val="24"/>
        <w:rPr>
          <w:rFonts w:ascii="Arial" w:hAnsi="Arial" w:cs="Arial"/>
        </w:rPr>
      </w:pPr>
      <w:r>
        <w:rPr>
          <w:rFonts w:ascii="Arial" w:hAnsi="Arial" w:cs="Arial"/>
        </w:rPr>
        <w:t>Finally, adaptive resistance is induced by environmental signals (variations in pH, growth status, differences in ion concentrations, and cellular stress). Importantly, it is transient, as it is only stimulated to respond more rapidly. When the stimulus ends, it returns to its normal state. Unlike other forms, antimicrobial resistance arises through modulations in gene expression, such as epigenetic changes (Christaki et al., 2020), including modifications to deoxyribonucleic acid (DNA), ribonucleic acid (RNA), and histones. The modifications do not alter the genetic sequence but do regulate its expression (Wang et al., 2023).</w:t>
      </w:r>
    </w:p>
    <w:p w14:paraId="55F56BF3">
      <w:pPr>
        <w:pStyle w:val="24"/>
        <w:rPr>
          <w:rFonts w:ascii="Arial" w:hAnsi="Arial" w:cs="Arial"/>
        </w:rPr>
      </w:pPr>
      <w:r>
        <w:rPr>
          <w:rFonts w:ascii="Arial" w:hAnsi="Arial" w:cs="Arial"/>
        </w:rPr>
        <w:t>Antimicrobial resistance is primarily associated with its inappropriate employment, in humans and in areas such as agriculture, livestock, and industry (Christaki et al., 2020). Two-thirds of antibiotic consumption is for food-producing animals such as cows, goats, and pigs (Aslam et al., 2021). Consequently, a One Health approach has been described, as human health is directly linked to animal health and the viability of ecosystems (Christaki et al., 2020).</w:t>
      </w:r>
    </w:p>
    <w:p w14:paraId="433B2151">
      <w:pPr>
        <w:pStyle w:val="24"/>
        <w:rPr>
          <w:rFonts w:ascii="Arial" w:hAnsi="Arial" w:cs="Arial"/>
        </w:rPr>
      </w:pPr>
      <w:r>
        <w:rPr>
          <w:rFonts w:ascii="Arial" w:hAnsi="Arial" w:cs="Arial"/>
        </w:rPr>
        <w:t>Although distinct barriers prevent this process, microorganisms often acquire new resistance factors from other species. As new strategies emerge, the ability to prevent and treat infections decreases (Larsson et al., 2022).</w:t>
      </w:r>
    </w:p>
    <w:p w14:paraId="4E7A0AAC">
      <w:pPr>
        <w:pStyle w:val="24"/>
        <w:rPr>
          <w:rFonts w:ascii="Arial" w:hAnsi="Arial" w:cs="Arial"/>
        </w:rPr>
      </w:pPr>
      <w:r>
        <w:rPr>
          <w:rFonts w:ascii="Arial" w:hAnsi="Arial" w:cs="Arial"/>
        </w:rPr>
        <w:t>In livestock farming, antimicrobials serve for therapeutic, prophylactic, and metaphylactic purposes (Ardakani et al., 2024). Prophylaxis is considered in high-risk scenarios for infectious diseases, but only when there is no current illness (World Health Organization, 2017). At the same time, metaphylaxis involves administering medication to an entire animal population to reduce the incidence of pathology in a population that already has evidence of infection (Bava et al., 2024).</w:t>
      </w:r>
    </w:p>
    <w:p w14:paraId="3AF8580E">
      <w:pPr>
        <w:pStyle w:val="24"/>
        <w:rPr>
          <w:rFonts w:ascii="Arial" w:hAnsi="Arial" w:cs="Arial"/>
        </w:rPr>
      </w:pPr>
      <w:r>
        <w:rPr>
          <w:rFonts w:ascii="Arial" w:hAnsi="Arial" w:cs="Arial"/>
        </w:rPr>
        <w:t>As a complement, they are administered to increase animal weight gain and achieve greater profits or a higher meat yield (Ardakani et al., 2024). These practices have promoted the emergence of antibiotic-resistant bacteria, threatening human and animal health (World Health Organization, 2017).</w:t>
      </w:r>
    </w:p>
    <w:p w14:paraId="6456D651">
      <w:pPr>
        <w:pStyle w:val="24"/>
        <w:rPr>
          <w:rFonts w:ascii="Arial" w:hAnsi="Arial" w:cs="Arial"/>
        </w:rPr>
      </w:pPr>
      <w:r>
        <w:rPr>
          <w:rFonts w:ascii="Arial" w:hAnsi="Arial" w:cs="Arial"/>
        </w:rPr>
        <w:t>Plus, ecosystems are critical points. Most antibiotics used in veterinary medicine are excreted through urine and feces (Bava et al., 2024).</w:t>
      </w:r>
    </w:p>
    <w:p w14:paraId="7268DB55">
      <w:pPr>
        <w:pStyle w:val="24"/>
        <w:rPr>
          <w:rFonts w:ascii="Arial" w:hAnsi="Arial" w:cs="Arial"/>
        </w:rPr>
      </w:pPr>
      <w:r>
        <w:rPr>
          <w:rFonts w:ascii="Arial" w:hAnsi="Arial" w:cs="Arial"/>
        </w:rPr>
        <w:t>Moreover, manure contaminated with antibiotics has been shown to contribute to the spread of antibiotic-resistant bacteria. Plants can absorb these genes through their roots, and they accumulate in diverse parts of the plant. Additionally, in some agricultural fields, wastewater is not properly disposed of, raising the prevalence of resistance genes (Karwowska, 2024).</w:t>
      </w:r>
    </w:p>
    <w:p w14:paraId="3BB33A06">
      <w:pPr>
        <w:pStyle w:val="24"/>
        <w:rPr>
          <w:rFonts w:ascii="Arial" w:hAnsi="Arial" w:cs="Arial"/>
        </w:rPr>
      </w:pPr>
      <w:r>
        <w:rPr>
          <w:rFonts w:ascii="Arial" w:hAnsi="Arial" w:cs="Arial"/>
        </w:rPr>
        <w:t>Furthermore, the pharmaceutical industry has reduced antibiotic production for various reasons. Their development can take 10 to 15 years, with a failure rate of 96.5 % to 98.5 % during regulatory approval and regulatory requirements, and complex trials (especially for resistant pathogens) escalate costs and risks (Otaigbe, 2025; Anderson et al., 2023).</w:t>
      </w:r>
    </w:p>
    <w:p w14:paraId="65C5D277">
      <w:pPr>
        <w:pStyle w:val="24"/>
        <w:rPr>
          <w:rFonts w:ascii="Arial" w:hAnsi="Arial" w:cs="Arial"/>
        </w:rPr>
      </w:pPr>
      <w:r>
        <w:rPr>
          <w:rFonts w:ascii="Arial" w:hAnsi="Arial" w:cs="Arial"/>
        </w:rPr>
        <w:t>In addition, physicians reserve new agents for extreme situations (last-line treatments), further limiting their sales. If administered traditionally, resistance establishes shortly after launch, reducing the drug's shelf life and impacting the return on investment (Ventola, 2015). Therefore, the necessity arises for new molecules to address this problem. One approach is to investigate secondary metabolites from endophytic fungi.</w:t>
      </w:r>
    </w:p>
    <w:p w14:paraId="4487FE77">
      <w:pPr>
        <w:pStyle w:val="24"/>
        <w:rPr>
          <w:rFonts w:ascii="Arial" w:hAnsi="Arial" w:cs="Arial"/>
          <w:b/>
          <w:bCs/>
          <w:sz w:val="22"/>
          <w:szCs w:val="22"/>
        </w:rPr>
      </w:pPr>
      <w:r>
        <w:rPr>
          <w:rFonts w:ascii="Arial" w:hAnsi="Arial" w:cs="Arial"/>
          <w:b/>
          <w:bCs/>
          <w:sz w:val="22"/>
          <w:szCs w:val="22"/>
        </w:rPr>
        <w:t>4. CHARACTERISTICS OF SECONDARY METABOLITES</w:t>
      </w:r>
    </w:p>
    <w:p w14:paraId="250348A5">
      <w:pPr>
        <w:pStyle w:val="24"/>
        <w:rPr>
          <w:rFonts w:ascii="Arial" w:hAnsi="Arial" w:cs="Arial"/>
        </w:rPr>
      </w:pPr>
      <w:r>
        <w:rPr>
          <w:rFonts w:ascii="Arial" w:hAnsi="Arial" w:cs="Arial"/>
        </w:rPr>
        <w:t xml:space="preserve">Secondary metabolites are small organic compounds produced by plants, fungi, and bacteria. They do not participate in the growth and development of organisms, unlike primary metabolites, which play roles in photosynthesis, respiration, and other physiological processes (Twaij and Hasan, 2022). Consequently, they allow adaptation to the environment and fulfill functions of defense or interaction with other organisms (Twaij and Hasan, 2022). One example is the endophytic fungus </w:t>
      </w:r>
      <w:r>
        <w:rPr>
          <w:rFonts w:ascii="Arial" w:hAnsi="Arial" w:cs="Arial"/>
          <w:i/>
          <w:iCs/>
        </w:rPr>
        <w:t xml:space="preserve">Acremonium </w:t>
      </w:r>
      <w:r>
        <w:rPr>
          <w:rFonts w:ascii="Arial" w:hAnsi="Arial" w:cs="Arial"/>
        </w:rPr>
        <w:t>sp., which produces lolitrem B, a toxic compound to herbivores and insects, thereby protecting the host plant (Joshi et al., 2024). Regarding interactions with the environment, secondary metabolites act as agents of microbial competition. They inhibit the growth of competing organisms and promote their survival (Alam et al., 2021).</w:t>
      </w:r>
    </w:p>
    <w:p w14:paraId="0A06A7C7">
      <w:pPr>
        <w:pStyle w:val="24"/>
        <w:rPr>
          <w:rFonts w:ascii="Arial" w:hAnsi="Arial" w:cs="Arial"/>
        </w:rPr>
      </w:pPr>
      <w:r>
        <w:rPr>
          <w:rFonts w:ascii="Arial" w:hAnsi="Arial" w:cs="Arial"/>
        </w:rPr>
        <w:t>Likewise, they are key in defense mechanisms (Singh et al., 2023). Their production and accumulation depend on light intensity and photoperiod length. Excessive irradiation can lead to photodamage and negatively affect plant survival, growth, and development (Reshi et al., 2023).</w:t>
      </w:r>
    </w:p>
    <w:p w14:paraId="3C5F3BDC">
      <w:pPr>
        <w:pStyle w:val="24"/>
        <w:rPr>
          <w:rFonts w:ascii="Arial" w:hAnsi="Arial" w:cs="Arial"/>
        </w:rPr>
      </w:pPr>
      <w:r>
        <w:rPr>
          <w:rFonts w:ascii="Arial" w:hAnsi="Arial" w:cs="Arial"/>
        </w:rPr>
        <w:t>At the chemical level, they exhibit great diversity and structural complexity. Their synthesis pathways begin with precursors of primary metabolism, such as acetyl-CoA and amino acids. The biosynthesis of their carbon skeletons is directed by large modular enzymes such as polyketide synthases (PKSs), non-ribosomal peptide synthetases (NRPSs), and terpene synthases (TSs) and terpene cyclases (TCs), which define the main structural families: polyketides, non-ribosomal peptides, and terpenoids, respectively (Keller, 2019; Avalos and Limón, 2022). As a result, structurally complex molecules with different properties, often featuring both cyclic and acyclic architectures, confer biological potential (González-Medina et al., 2017).</w:t>
      </w:r>
    </w:p>
    <w:p w14:paraId="2C883419">
      <w:pPr>
        <w:pStyle w:val="24"/>
        <w:rPr>
          <w:rFonts w:ascii="Arial" w:hAnsi="Arial" w:cs="Arial"/>
        </w:rPr>
      </w:pPr>
      <w:r>
        <w:rPr>
          <w:rFonts w:ascii="Arial" w:hAnsi="Arial" w:cs="Arial"/>
        </w:rPr>
        <w:t>Endophytic fungi can produce numerous secondary metabolites, some of which have antimicrobial potential (Mosquera et al., 2020). This structurally diverse class possesses antibacterial, antiviral, immunosuppressive, and anticancer effects, among others (Zakariyah et al., 2024).</w:t>
      </w:r>
    </w:p>
    <w:p w14:paraId="0043805F">
      <w:pPr>
        <w:pStyle w:val="24"/>
        <w:rPr>
          <w:rFonts w:ascii="Arial" w:hAnsi="Arial" w:cs="Arial"/>
        </w:rPr>
      </w:pPr>
      <w:r>
        <w:rPr>
          <w:rFonts w:ascii="Arial" w:hAnsi="Arial" w:cs="Arial"/>
        </w:rPr>
        <w:t>Among the chemical variety of secondary metabolites that exhibit biological activity are alkaloids, coumarins, flavonoids, lignans, saponins, terpenes, quinones, and xanthones (Singh and Kumar, 2023). All these classifications have distinct organic structures that specifically confer their biological functionality.</w:t>
      </w:r>
    </w:p>
    <w:p w14:paraId="38A07575">
      <w:pPr>
        <w:pStyle w:val="24"/>
        <w:rPr>
          <w:rFonts w:ascii="Arial" w:hAnsi="Arial" w:cs="Arial"/>
        </w:rPr>
      </w:pPr>
      <w:r>
        <w:rPr>
          <w:rFonts w:ascii="Arial" w:hAnsi="Arial" w:cs="Arial"/>
        </w:rPr>
        <w:t xml:space="preserve">In recent years, it has been discovered that less-studied fungal genera, such as </w:t>
      </w:r>
      <w:r>
        <w:rPr>
          <w:rFonts w:ascii="Arial" w:hAnsi="Arial" w:cs="Arial"/>
          <w:i/>
          <w:iCs/>
        </w:rPr>
        <w:t>Robillarda</w:t>
      </w:r>
      <w:r>
        <w:rPr>
          <w:rFonts w:ascii="Arial" w:hAnsi="Arial" w:cs="Arial"/>
        </w:rPr>
        <w:t xml:space="preserve"> sp., synthesize metabolites, including robilafuran and robilapirone, which promote preadipocyte differentiation, as demonstrated by </w:t>
      </w:r>
      <w:r>
        <w:rPr>
          <w:rFonts w:ascii="Arial" w:hAnsi="Arial" w:cs="Arial"/>
          <w:i/>
          <w:iCs/>
        </w:rPr>
        <w:t>in vitro</w:t>
      </w:r>
      <w:r>
        <w:rPr>
          <w:rFonts w:ascii="Arial" w:hAnsi="Arial" w:cs="Arial"/>
        </w:rPr>
        <w:t xml:space="preserve"> assays, thereby exerting an indirect effect on insulin resistance. Consequently, they could serve as therapeutic agents because of their effects on adiponectin (Shimoyama et al., 2018).</w:t>
      </w:r>
    </w:p>
    <w:p w14:paraId="7EC6E524">
      <w:pPr>
        <w:pStyle w:val="24"/>
        <w:rPr>
          <w:rFonts w:ascii="Arial" w:hAnsi="Arial" w:cs="Arial"/>
        </w:rPr>
      </w:pPr>
      <w:r>
        <w:rPr>
          <w:rFonts w:ascii="Arial" w:hAnsi="Arial" w:cs="Arial"/>
        </w:rPr>
        <w:t xml:space="preserve">On the other hand, the fungal genus </w:t>
      </w:r>
      <w:r>
        <w:rPr>
          <w:rFonts w:ascii="Arial" w:hAnsi="Arial" w:cs="Arial"/>
          <w:i/>
          <w:iCs/>
        </w:rPr>
        <w:t xml:space="preserve">Tricholoma </w:t>
      </w:r>
      <w:r>
        <w:rPr>
          <w:rFonts w:ascii="Arial" w:hAnsi="Arial" w:cs="Arial"/>
        </w:rPr>
        <w:t>produces terpenoids, steroids, and alkaloids. These substances provide antitumor, anti-inflammatory, antimicrobial, and antioxidant activity (M. Zhao et al., 2024).</w:t>
      </w:r>
    </w:p>
    <w:p w14:paraId="2F5183ED">
      <w:pPr>
        <w:pStyle w:val="24"/>
        <w:rPr>
          <w:rFonts w:ascii="Arial" w:hAnsi="Arial" w:cs="Arial"/>
        </w:rPr>
      </w:pPr>
      <w:r>
        <w:rPr>
          <w:rFonts w:ascii="Arial" w:hAnsi="Arial" w:cs="Arial"/>
        </w:rPr>
        <w:t xml:space="preserve">The characteristics of secondary metabolites depend on the context in which the endophytic fungus is found and on the metabolic pathway followed to produce them. This characteristic allows for the optimization of production under controlled conditions. </w:t>
      </w:r>
      <w:r>
        <w:rPr>
          <w:rFonts w:ascii="Arial" w:hAnsi="Arial" w:cs="Arial"/>
          <w:i/>
          <w:iCs/>
        </w:rPr>
        <w:t>Penicillium verrucosum</w:t>
      </w:r>
      <w:r>
        <w:rPr>
          <w:rFonts w:ascii="Arial" w:hAnsi="Arial" w:cs="Arial"/>
        </w:rPr>
        <w:t xml:space="preserve"> responds to light stimuli and escalates the amount of the mycotoxin citrinin, a compound that is not synthesized to the same extent under low-light conditions (Yu et al., 2023). Its presence inhibits the growth of bacteria and fungi (Gurikar et al., 2023).</w:t>
      </w:r>
    </w:p>
    <w:p w14:paraId="653ED983">
      <w:pPr>
        <w:pStyle w:val="24"/>
        <w:rPr>
          <w:rFonts w:ascii="Arial" w:hAnsi="Arial" w:cs="Arial"/>
        </w:rPr>
      </w:pPr>
      <w:r>
        <w:rPr>
          <w:rFonts w:ascii="Arial" w:hAnsi="Arial" w:cs="Arial"/>
        </w:rPr>
        <w:t>Biosynthetic gene clusters determine the multiple biosynthetic pathways involved. These clusters contain backbone genes or core enzymes that provide the metabolite's basic structure, and enzymes that tailor the core to obtain varying products (Zakariyah et al., 2024). The secondary metabolites produced during a symbiotic interaction are regulated by complex gene expression mechanisms, including gene clustering, transcription factors, and possible alterations in the host genome in the presence of the endophytic fungus (Singh et al., 2023).</w:t>
      </w:r>
    </w:p>
    <w:p w14:paraId="157CA955">
      <w:pPr>
        <w:pStyle w:val="24"/>
        <w:rPr>
          <w:rFonts w:ascii="Arial" w:hAnsi="Arial" w:cs="Arial"/>
        </w:rPr>
      </w:pPr>
      <w:r>
        <w:rPr>
          <w:rFonts w:ascii="Arial" w:hAnsi="Arial" w:cs="Arial"/>
        </w:rPr>
        <w:t>At the physiological level, it can interfere with bacterial processes and survival by damaging the cell membrane, affecting cell wall synthesis, DNA replication, protein synthesis, and other mechanisms. The mechanisms of action of the antibiotic substances are detailed in Table 1.</w:t>
      </w:r>
    </w:p>
    <w:p w14:paraId="6A78DA13">
      <w:pPr>
        <w:pStyle w:val="24"/>
        <w:rPr>
          <w:rFonts w:ascii="Arial" w:hAnsi="Arial" w:cs="Arial"/>
        </w:rPr>
      </w:pPr>
      <w:r>
        <w:rPr>
          <w:rFonts w:ascii="Arial" w:hAnsi="Arial" w:cs="Arial"/>
        </w:rPr>
        <w:t>Table 1. Mechanisms of action of antibiotics derived from bacterial and fungal metabolites, and examples of marketed drugs.</w:t>
      </w:r>
    </w:p>
    <w:tbl>
      <w:tblPr>
        <w:tblStyle w:val="6"/>
        <w:tblW w:w="821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825"/>
        <w:gridCol w:w="3686"/>
        <w:gridCol w:w="1701"/>
      </w:tblGrid>
      <w:tr w14:paraId="2D471B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825" w:type="dxa"/>
            <w:tcMar>
              <w:top w:w="100" w:type="dxa"/>
              <w:left w:w="100" w:type="dxa"/>
              <w:bottom w:w="100" w:type="dxa"/>
              <w:right w:w="100" w:type="dxa"/>
            </w:tcMar>
          </w:tcPr>
          <w:p w14:paraId="3952ED95">
            <w:pPr>
              <w:pStyle w:val="24"/>
              <w:jc w:val="center"/>
              <w:rPr>
                <w:rFonts w:ascii="Arial" w:hAnsi="Arial" w:cs="Arial"/>
                <w:b/>
                <w:bCs/>
              </w:rPr>
            </w:pPr>
            <w:r>
              <w:rPr>
                <w:rFonts w:ascii="Arial" w:hAnsi="Arial" w:cs="Arial"/>
                <w:b/>
                <w:bCs/>
              </w:rPr>
              <w:t>Mechanism of action</w:t>
            </w:r>
          </w:p>
        </w:tc>
        <w:tc>
          <w:tcPr>
            <w:tcW w:w="3686" w:type="dxa"/>
            <w:tcMar>
              <w:top w:w="100" w:type="dxa"/>
              <w:left w:w="100" w:type="dxa"/>
              <w:bottom w:w="100" w:type="dxa"/>
              <w:right w:w="100" w:type="dxa"/>
            </w:tcMar>
          </w:tcPr>
          <w:p w14:paraId="3D714F6F">
            <w:pPr>
              <w:pStyle w:val="24"/>
              <w:jc w:val="center"/>
              <w:rPr>
                <w:rFonts w:ascii="Arial" w:hAnsi="Arial" w:cs="Arial"/>
                <w:b/>
                <w:bCs/>
              </w:rPr>
            </w:pPr>
            <w:r>
              <w:rPr>
                <w:rFonts w:ascii="Arial" w:hAnsi="Arial" w:cs="Arial"/>
                <w:b/>
                <w:bCs/>
              </w:rPr>
              <w:t>Antibiotic group</w:t>
            </w:r>
          </w:p>
        </w:tc>
        <w:tc>
          <w:tcPr>
            <w:tcW w:w="1701" w:type="dxa"/>
            <w:tcMar>
              <w:top w:w="100" w:type="dxa"/>
              <w:left w:w="100" w:type="dxa"/>
              <w:bottom w:w="100" w:type="dxa"/>
              <w:right w:w="100" w:type="dxa"/>
            </w:tcMar>
          </w:tcPr>
          <w:p w14:paraId="3F013B27">
            <w:pPr>
              <w:pStyle w:val="24"/>
              <w:jc w:val="center"/>
              <w:rPr>
                <w:rFonts w:ascii="Arial" w:hAnsi="Arial" w:cs="Arial"/>
                <w:b/>
                <w:bCs/>
              </w:rPr>
            </w:pPr>
            <w:r>
              <w:rPr>
                <w:rFonts w:ascii="Arial" w:hAnsi="Arial" w:cs="Arial"/>
                <w:b/>
                <w:bCs/>
              </w:rPr>
              <w:t>Example</w:t>
            </w:r>
          </w:p>
        </w:tc>
      </w:tr>
      <w:tr w14:paraId="1B6315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vMerge w:val="restart"/>
            <w:tcMar>
              <w:top w:w="100" w:type="dxa"/>
              <w:left w:w="100" w:type="dxa"/>
              <w:bottom w:w="100" w:type="dxa"/>
              <w:right w:w="100" w:type="dxa"/>
            </w:tcMar>
          </w:tcPr>
          <w:p w14:paraId="1BECC55C">
            <w:pPr>
              <w:pStyle w:val="24"/>
              <w:jc w:val="center"/>
              <w:rPr>
                <w:rFonts w:ascii="Arial" w:hAnsi="Arial" w:cs="Arial"/>
                <w:b/>
                <w:bCs/>
              </w:rPr>
            </w:pPr>
          </w:p>
          <w:p w14:paraId="655C17DC">
            <w:pPr>
              <w:pStyle w:val="24"/>
              <w:jc w:val="center"/>
              <w:rPr>
                <w:rFonts w:ascii="Arial" w:hAnsi="Arial" w:cs="Arial"/>
                <w:b/>
                <w:bCs/>
              </w:rPr>
            </w:pPr>
            <w:r>
              <w:rPr>
                <w:rFonts w:ascii="Arial" w:hAnsi="Arial" w:cs="Arial"/>
                <w:b/>
                <w:bCs/>
              </w:rPr>
              <w:t>Inhibition of cell wall synthesis</w:t>
            </w:r>
          </w:p>
          <w:p w14:paraId="190C5107">
            <w:pPr>
              <w:pStyle w:val="24"/>
              <w:jc w:val="center"/>
              <w:rPr>
                <w:rFonts w:ascii="Arial" w:hAnsi="Arial" w:cs="Arial"/>
                <w:b/>
                <w:bCs/>
              </w:rPr>
            </w:pPr>
          </w:p>
        </w:tc>
        <w:tc>
          <w:tcPr>
            <w:tcW w:w="3686" w:type="dxa"/>
            <w:tcMar>
              <w:top w:w="100" w:type="dxa"/>
              <w:left w:w="100" w:type="dxa"/>
              <w:bottom w:w="100" w:type="dxa"/>
              <w:right w:w="100" w:type="dxa"/>
            </w:tcMar>
          </w:tcPr>
          <w:p w14:paraId="088D47EC">
            <w:pPr>
              <w:pStyle w:val="24"/>
              <w:jc w:val="center"/>
              <w:rPr>
                <w:rFonts w:ascii="Arial" w:hAnsi="Arial" w:cs="Arial"/>
              </w:rPr>
            </w:pPr>
            <w:r>
              <w:rPr>
                <w:rFonts w:ascii="Arial" w:hAnsi="Arial" w:cs="Arial"/>
              </w:rPr>
              <w:t>Beta-lactams (Bush and Bradford, 2016)</w:t>
            </w:r>
          </w:p>
        </w:tc>
        <w:tc>
          <w:tcPr>
            <w:tcW w:w="1701" w:type="dxa"/>
            <w:tcMar>
              <w:top w:w="100" w:type="dxa"/>
              <w:left w:w="100" w:type="dxa"/>
              <w:bottom w:w="100" w:type="dxa"/>
              <w:right w:w="100" w:type="dxa"/>
            </w:tcMar>
          </w:tcPr>
          <w:p w14:paraId="2F0CDC10">
            <w:pPr>
              <w:pStyle w:val="24"/>
              <w:jc w:val="center"/>
              <w:rPr>
                <w:rFonts w:ascii="Arial" w:hAnsi="Arial" w:cs="Arial"/>
              </w:rPr>
            </w:pPr>
            <w:r>
              <w:rPr>
                <w:rFonts w:ascii="Arial" w:hAnsi="Arial" w:cs="Arial"/>
              </w:rPr>
              <w:t>Amoxicillin</w:t>
            </w:r>
          </w:p>
        </w:tc>
      </w:tr>
      <w:tr w14:paraId="2FE2F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vMerge w:val="continue"/>
            <w:tcMar>
              <w:top w:w="100" w:type="dxa"/>
              <w:left w:w="100" w:type="dxa"/>
              <w:bottom w:w="100" w:type="dxa"/>
              <w:right w:w="100" w:type="dxa"/>
            </w:tcMar>
          </w:tcPr>
          <w:p w14:paraId="433E7D7E">
            <w:pPr>
              <w:pStyle w:val="24"/>
              <w:jc w:val="center"/>
              <w:rPr>
                <w:rFonts w:ascii="Arial" w:hAnsi="Arial" w:cs="Arial"/>
                <w:b/>
                <w:bCs/>
              </w:rPr>
            </w:pPr>
          </w:p>
        </w:tc>
        <w:tc>
          <w:tcPr>
            <w:tcW w:w="3686" w:type="dxa"/>
            <w:tcMar>
              <w:top w:w="100" w:type="dxa"/>
              <w:left w:w="100" w:type="dxa"/>
              <w:bottom w:w="100" w:type="dxa"/>
              <w:right w:w="100" w:type="dxa"/>
            </w:tcMar>
          </w:tcPr>
          <w:p w14:paraId="4F611840">
            <w:pPr>
              <w:pStyle w:val="24"/>
              <w:jc w:val="center"/>
              <w:rPr>
                <w:rFonts w:ascii="Arial" w:hAnsi="Arial" w:cs="Arial"/>
              </w:rPr>
            </w:pPr>
            <w:r>
              <w:rPr>
                <w:rFonts w:ascii="Arial" w:hAnsi="Arial" w:cs="Arial"/>
              </w:rPr>
              <w:t>Glycopeptides (Zeng et al., 2016)</w:t>
            </w:r>
          </w:p>
        </w:tc>
        <w:tc>
          <w:tcPr>
            <w:tcW w:w="1701" w:type="dxa"/>
            <w:tcMar>
              <w:top w:w="100" w:type="dxa"/>
              <w:left w:w="100" w:type="dxa"/>
              <w:bottom w:w="100" w:type="dxa"/>
              <w:right w:w="100" w:type="dxa"/>
            </w:tcMar>
          </w:tcPr>
          <w:p w14:paraId="5AEC220B">
            <w:pPr>
              <w:pStyle w:val="24"/>
              <w:jc w:val="center"/>
              <w:rPr>
                <w:rFonts w:ascii="Arial" w:hAnsi="Arial" w:cs="Arial"/>
              </w:rPr>
            </w:pPr>
            <w:r>
              <w:rPr>
                <w:rFonts w:ascii="Arial" w:hAnsi="Arial" w:cs="Arial"/>
              </w:rPr>
              <w:t>Vancomycin</w:t>
            </w:r>
          </w:p>
        </w:tc>
      </w:tr>
      <w:tr w14:paraId="699A2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vMerge w:val="restart"/>
            <w:tcMar>
              <w:top w:w="100" w:type="dxa"/>
              <w:left w:w="100" w:type="dxa"/>
              <w:bottom w:w="100" w:type="dxa"/>
              <w:right w:w="100" w:type="dxa"/>
            </w:tcMar>
          </w:tcPr>
          <w:p w14:paraId="30E4E936">
            <w:pPr>
              <w:pStyle w:val="24"/>
              <w:jc w:val="center"/>
              <w:rPr>
                <w:rFonts w:ascii="Arial" w:hAnsi="Arial" w:cs="Arial"/>
                <w:b/>
                <w:bCs/>
              </w:rPr>
            </w:pPr>
          </w:p>
          <w:p w14:paraId="58D38DFD">
            <w:pPr>
              <w:pStyle w:val="24"/>
              <w:jc w:val="center"/>
              <w:rPr>
                <w:rFonts w:ascii="Arial" w:hAnsi="Arial" w:cs="Arial"/>
                <w:b/>
                <w:bCs/>
              </w:rPr>
            </w:pPr>
            <w:r>
              <w:rPr>
                <w:rFonts w:ascii="Arial" w:hAnsi="Arial" w:cs="Arial"/>
                <w:b/>
                <w:bCs/>
              </w:rPr>
              <w:t>Alteration of the cell membrane</w:t>
            </w:r>
          </w:p>
        </w:tc>
        <w:tc>
          <w:tcPr>
            <w:tcW w:w="3686" w:type="dxa"/>
            <w:tcMar>
              <w:top w:w="100" w:type="dxa"/>
              <w:left w:w="100" w:type="dxa"/>
              <w:bottom w:w="100" w:type="dxa"/>
              <w:right w:w="100" w:type="dxa"/>
            </w:tcMar>
          </w:tcPr>
          <w:p w14:paraId="46FB06CA">
            <w:pPr>
              <w:pStyle w:val="24"/>
              <w:jc w:val="center"/>
              <w:rPr>
                <w:rFonts w:ascii="Arial" w:hAnsi="Arial" w:cs="Arial"/>
              </w:rPr>
            </w:pPr>
            <w:r>
              <w:rPr>
                <w:rFonts w:ascii="Arial" w:hAnsi="Arial" w:cs="Arial"/>
              </w:rPr>
              <w:t>Polypeptides (Regen, 2020)</w:t>
            </w:r>
          </w:p>
        </w:tc>
        <w:tc>
          <w:tcPr>
            <w:tcW w:w="1701" w:type="dxa"/>
            <w:tcMar>
              <w:top w:w="100" w:type="dxa"/>
              <w:left w:w="100" w:type="dxa"/>
              <w:bottom w:w="100" w:type="dxa"/>
              <w:right w:w="100" w:type="dxa"/>
            </w:tcMar>
          </w:tcPr>
          <w:p w14:paraId="27405218">
            <w:pPr>
              <w:pStyle w:val="24"/>
              <w:jc w:val="center"/>
              <w:rPr>
                <w:rFonts w:ascii="Arial" w:hAnsi="Arial" w:cs="Arial"/>
              </w:rPr>
            </w:pPr>
            <w:r>
              <w:rPr>
                <w:rFonts w:ascii="Arial" w:hAnsi="Arial" w:cs="Arial"/>
              </w:rPr>
              <w:t>Polymyxin B</w:t>
            </w:r>
          </w:p>
        </w:tc>
      </w:tr>
      <w:tr w14:paraId="444E4B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vMerge w:val="continue"/>
            <w:tcMar>
              <w:top w:w="100" w:type="dxa"/>
              <w:left w:w="100" w:type="dxa"/>
              <w:bottom w:w="100" w:type="dxa"/>
              <w:right w:w="100" w:type="dxa"/>
            </w:tcMar>
          </w:tcPr>
          <w:p w14:paraId="5ABC2685">
            <w:pPr>
              <w:pStyle w:val="24"/>
              <w:jc w:val="center"/>
              <w:rPr>
                <w:rFonts w:ascii="Arial" w:hAnsi="Arial" w:cs="Arial"/>
                <w:b/>
                <w:bCs/>
              </w:rPr>
            </w:pPr>
          </w:p>
        </w:tc>
        <w:tc>
          <w:tcPr>
            <w:tcW w:w="3686" w:type="dxa"/>
            <w:tcMar>
              <w:top w:w="100" w:type="dxa"/>
              <w:left w:w="100" w:type="dxa"/>
              <w:bottom w:w="100" w:type="dxa"/>
              <w:right w:w="100" w:type="dxa"/>
            </w:tcMar>
          </w:tcPr>
          <w:p w14:paraId="7F1EA2E4">
            <w:pPr>
              <w:pStyle w:val="24"/>
              <w:jc w:val="center"/>
              <w:rPr>
                <w:rFonts w:ascii="Arial" w:hAnsi="Arial" w:cs="Arial"/>
              </w:rPr>
            </w:pPr>
            <w:r>
              <w:rPr>
                <w:rFonts w:ascii="Arial" w:hAnsi="Arial" w:cs="Arial"/>
              </w:rPr>
              <w:t>Lipopeptides (Singh et al., 2021)</w:t>
            </w:r>
          </w:p>
        </w:tc>
        <w:tc>
          <w:tcPr>
            <w:tcW w:w="1701" w:type="dxa"/>
            <w:tcMar>
              <w:top w:w="100" w:type="dxa"/>
              <w:left w:w="100" w:type="dxa"/>
              <w:bottom w:w="100" w:type="dxa"/>
              <w:right w:w="100" w:type="dxa"/>
            </w:tcMar>
          </w:tcPr>
          <w:p w14:paraId="555BF837">
            <w:pPr>
              <w:pStyle w:val="24"/>
              <w:jc w:val="center"/>
              <w:rPr>
                <w:rFonts w:ascii="Arial" w:hAnsi="Arial" w:cs="Arial"/>
              </w:rPr>
            </w:pPr>
            <w:r>
              <w:rPr>
                <w:rFonts w:ascii="Arial" w:hAnsi="Arial" w:cs="Arial"/>
              </w:rPr>
              <w:t>Daptomycin</w:t>
            </w:r>
          </w:p>
        </w:tc>
      </w:tr>
      <w:tr w14:paraId="0E5FC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tcMar>
              <w:top w:w="100" w:type="dxa"/>
              <w:left w:w="100" w:type="dxa"/>
              <w:bottom w:w="100" w:type="dxa"/>
              <w:right w:w="100" w:type="dxa"/>
            </w:tcMar>
          </w:tcPr>
          <w:p w14:paraId="0ABAACDB">
            <w:pPr>
              <w:pStyle w:val="24"/>
              <w:jc w:val="center"/>
              <w:rPr>
                <w:rFonts w:ascii="Arial" w:hAnsi="Arial" w:cs="Arial"/>
                <w:b/>
                <w:bCs/>
              </w:rPr>
            </w:pPr>
            <w:r>
              <w:rPr>
                <w:rFonts w:ascii="Arial" w:hAnsi="Arial" w:cs="Arial"/>
                <w:b/>
                <w:bCs/>
              </w:rPr>
              <w:t>Inhibition of protein synthesis (50S subunit)</w:t>
            </w:r>
          </w:p>
        </w:tc>
        <w:tc>
          <w:tcPr>
            <w:tcW w:w="3686" w:type="dxa"/>
            <w:tcMar>
              <w:top w:w="100" w:type="dxa"/>
              <w:left w:w="100" w:type="dxa"/>
              <w:bottom w:w="100" w:type="dxa"/>
              <w:right w:w="100" w:type="dxa"/>
            </w:tcMar>
          </w:tcPr>
          <w:p w14:paraId="36860216">
            <w:pPr>
              <w:pStyle w:val="24"/>
              <w:jc w:val="center"/>
              <w:rPr>
                <w:rFonts w:ascii="Arial" w:hAnsi="Arial" w:cs="Arial"/>
              </w:rPr>
            </w:pPr>
            <w:r>
              <w:rPr>
                <w:rFonts w:ascii="Arial" w:hAnsi="Arial" w:cs="Arial"/>
              </w:rPr>
              <w:t>Macrolides (Singh et al., 2021)</w:t>
            </w:r>
          </w:p>
        </w:tc>
        <w:tc>
          <w:tcPr>
            <w:tcW w:w="1701" w:type="dxa"/>
            <w:tcMar>
              <w:top w:w="100" w:type="dxa"/>
              <w:left w:w="100" w:type="dxa"/>
              <w:bottom w:w="100" w:type="dxa"/>
              <w:right w:w="100" w:type="dxa"/>
            </w:tcMar>
          </w:tcPr>
          <w:p w14:paraId="4E0AC621">
            <w:pPr>
              <w:pStyle w:val="24"/>
              <w:jc w:val="center"/>
              <w:rPr>
                <w:rFonts w:ascii="Arial" w:hAnsi="Arial" w:cs="Arial"/>
              </w:rPr>
            </w:pPr>
            <w:r>
              <w:rPr>
                <w:rFonts w:ascii="Arial" w:hAnsi="Arial" w:cs="Arial"/>
              </w:rPr>
              <w:t>Azithromycin</w:t>
            </w:r>
          </w:p>
        </w:tc>
      </w:tr>
      <w:tr w14:paraId="508FF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vMerge w:val="restart"/>
            <w:tcMar>
              <w:top w:w="100" w:type="dxa"/>
              <w:left w:w="100" w:type="dxa"/>
              <w:bottom w:w="100" w:type="dxa"/>
              <w:right w:w="100" w:type="dxa"/>
            </w:tcMar>
          </w:tcPr>
          <w:p w14:paraId="0C31AB9E">
            <w:pPr>
              <w:pStyle w:val="24"/>
              <w:jc w:val="center"/>
              <w:rPr>
                <w:rFonts w:ascii="Arial" w:hAnsi="Arial" w:cs="Arial"/>
                <w:b/>
                <w:bCs/>
              </w:rPr>
            </w:pPr>
            <w:r>
              <w:rPr>
                <w:rFonts w:ascii="Arial" w:hAnsi="Arial" w:cs="Arial"/>
                <w:b/>
                <w:bCs/>
              </w:rPr>
              <w:t>Inhibition of protein synthesis (30S subunit)</w:t>
            </w:r>
          </w:p>
        </w:tc>
        <w:tc>
          <w:tcPr>
            <w:tcW w:w="3686" w:type="dxa"/>
            <w:tcMar>
              <w:top w:w="100" w:type="dxa"/>
              <w:left w:w="100" w:type="dxa"/>
              <w:bottom w:w="100" w:type="dxa"/>
              <w:right w:w="100" w:type="dxa"/>
            </w:tcMar>
          </w:tcPr>
          <w:p w14:paraId="68918D36">
            <w:pPr>
              <w:pStyle w:val="24"/>
              <w:jc w:val="center"/>
              <w:rPr>
                <w:rFonts w:ascii="Arial" w:hAnsi="Arial" w:cs="Arial"/>
              </w:rPr>
            </w:pPr>
            <w:r>
              <w:rPr>
                <w:rFonts w:ascii="Arial" w:hAnsi="Arial" w:cs="Arial"/>
              </w:rPr>
              <w:t>Tetracyclines (Parmar and Patel, 2025)</w:t>
            </w:r>
          </w:p>
        </w:tc>
        <w:tc>
          <w:tcPr>
            <w:tcW w:w="1701" w:type="dxa"/>
            <w:tcMar>
              <w:top w:w="100" w:type="dxa"/>
              <w:left w:w="100" w:type="dxa"/>
              <w:bottom w:w="100" w:type="dxa"/>
              <w:right w:w="100" w:type="dxa"/>
            </w:tcMar>
          </w:tcPr>
          <w:p w14:paraId="32E32F07">
            <w:pPr>
              <w:pStyle w:val="24"/>
              <w:jc w:val="center"/>
              <w:rPr>
                <w:rFonts w:ascii="Arial" w:hAnsi="Arial" w:cs="Arial"/>
              </w:rPr>
            </w:pPr>
            <w:r>
              <w:rPr>
                <w:rFonts w:ascii="Arial" w:hAnsi="Arial" w:cs="Arial"/>
              </w:rPr>
              <w:t>Doxycycline</w:t>
            </w:r>
          </w:p>
        </w:tc>
      </w:tr>
      <w:tr w14:paraId="1DBC20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825" w:type="dxa"/>
            <w:vMerge w:val="continue"/>
            <w:tcMar>
              <w:top w:w="100" w:type="dxa"/>
              <w:left w:w="100" w:type="dxa"/>
              <w:bottom w:w="100" w:type="dxa"/>
              <w:right w:w="100" w:type="dxa"/>
            </w:tcMar>
          </w:tcPr>
          <w:p w14:paraId="3D9B7F11">
            <w:pPr>
              <w:pStyle w:val="24"/>
              <w:jc w:val="center"/>
              <w:rPr>
                <w:rFonts w:ascii="Arial" w:hAnsi="Arial" w:cs="Arial"/>
                <w:b/>
                <w:bCs/>
              </w:rPr>
            </w:pPr>
          </w:p>
        </w:tc>
        <w:tc>
          <w:tcPr>
            <w:tcW w:w="3686" w:type="dxa"/>
            <w:tcMar>
              <w:top w:w="100" w:type="dxa"/>
              <w:left w:w="100" w:type="dxa"/>
              <w:bottom w:w="100" w:type="dxa"/>
              <w:right w:w="100" w:type="dxa"/>
            </w:tcMar>
          </w:tcPr>
          <w:p w14:paraId="11669442">
            <w:pPr>
              <w:pStyle w:val="24"/>
              <w:jc w:val="center"/>
              <w:rPr>
                <w:rFonts w:ascii="Arial" w:hAnsi="Arial" w:cs="Arial"/>
              </w:rPr>
            </w:pPr>
            <w:r>
              <w:rPr>
                <w:rFonts w:ascii="Arial" w:hAnsi="Arial" w:cs="Arial"/>
              </w:rPr>
              <w:t>Aminoglycosides (Singh et al., 2021)</w:t>
            </w:r>
          </w:p>
        </w:tc>
        <w:tc>
          <w:tcPr>
            <w:tcW w:w="1701" w:type="dxa"/>
            <w:tcMar>
              <w:top w:w="100" w:type="dxa"/>
              <w:left w:w="100" w:type="dxa"/>
              <w:bottom w:w="100" w:type="dxa"/>
              <w:right w:w="100" w:type="dxa"/>
            </w:tcMar>
          </w:tcPr>
          <w:p w14:paraId="27525CBA">
            <w:pPr>
              <w:pStyle w:val="24"/>
              <w:jc w:val="center"/>
              <w:rPr>
                <w:rFonts w:ascii="Arial" w:hAnsi="Arial" w:cs="Arial"/>
              </w:rPr>
            </w:pPr>
            <w:r>
              <w:rPr>
                <w:rFonts w:ascii="Arial" w:hAnsi="Arial" w:cs="Arial"/>
              </w:rPr>
              <w:t>Streptomycin</w:t>
            </w:r>
          </w:p>
        </w:tc>
      </w:tr>
      <w:tr w14:paraId="2B6640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trPr>
        <w:tc>
          <w:tcPr>
            <w:tcW w:w="2825" w:type="dxa"/>
            <w:vMerge w:val="restart"/>
            <w:tcMar>
              <w:top w:w="100" w:type="dxa"/>
              <w:left w:w="100" w:type="dxa"/>
              <w:bottom w:w="100" w:type="dxa"/>
              <w:right w:w="100" w:type="dxa"/>
            </w:tcMar>
          </w:tcPr>
          <w:p w14:paraId="553C0718">
            <w:pPr>
              <w:pStyle w:val="24"/>
              <w:jc w:val="center"/>
              <w:rPr>
                <w:rFonts w:ascii="Arial" w:hAnsi="Arial" w:cs="Arial"/>
                <w:b/>
                <w:bCs/>
              </w:rPr>
            </w:pPr>
            <w:r>
              <w:rPr>
                <w:rFonts w:ascii="Arial" w:hAnsi="Arial" w:cs="Arial"/>
                <w:b/>
                <w:bCs/>
              </w:rPr>
              <w:t>Inhibition of nucleic acid synthesis</w:t>
            </w:r>
          </w:p>
        </w:tc>
        <w:tc>
          <w:tcPr>
            <w:tcW w:w="3686" w:type="dxa"/>
          </w:tcPr>
          <w:p w14:paraId="7AE8F84F">
            <w:pPr>
              <w:pStyle w:val="24"/>
              <w:jc w:val="center"/>
              <w:rPr>
                <w:rFonts w:ascii="Arial" w:hAnsi="Arial" w:cs="Arial"/>
              </w:rPr>
            </w:pPr>
            <w:r>
              <w:rPr>
                <w:rFonts w:ascii="Arial" w:hAnsi="Arial" w:cs="Arial"/>
              </w:rPr>
              <w:t>Fluoroquinolones (Halawa et al., 2024)</w:t>
            </w:r>
          </w:p>
        </w:tc>
        <w:tc>
          <w:tcPr>
            <w:tcW w:w="1701" w:type="dxa"/>
          </w:tcPr>
          <w:p w14:paraId="568AF1AC">
            <w:pPr>
              <w:pStyle w:val="24"/>
              <w:jc w:val="center"/>
              <w:rPr>
                <w:rFonts w:ascii="Arial" w:hAnsi="Arial" w:cs="Arial"/>
              </w:rPr>
            </w:pPr>
            <w:r>
              <w:rPr>
                <w:rFonts w:ascii="Arial" w:hAnsi="Arial" w:cs="Arial"/>
              </w:rPr>
              <w:t>Ciprofloxacin</w:t>
            </w:r>
          </w:p>
        </w:tc>
      </w:tr>
      <w:tr w14:paraId="023670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18" w:hRule="atLeast"/>
        </w:trPr>
        <w:tc>
          <w:tcPr>
            <w:tcW w:w="2825" w:type="dxa"/>
            <w:vMerge w:val="continue"/>
            <w:tcMar>
              <w:top w:w="100" w:type="dxa"/>
              <w:left w:w="100" w:type="dxa"/>
              <w:bottom w:w="100" w:type="dxa"/>
              <w:right w:w="100" w:type="dxa"/>
            </w:tcMar>
          </w:tcPr>
          <w:p w14:paraId="0CD0F934">
            <w:pPr>
              <w:pStyle w:val="24"/>
              <w:rPr>
                <w:rFonts w:ascii="Arial" w:hAnsi="Arial" w:cs="Arial"/>
              </w:rPr>
            </w:pPr>
          </w:p>
        </w:tc>
        <w:tc>
          <w:tcPr>
            <w:tcW w:w="3686" w:type="dxa"/>
          </w:tcPr>
          <w:p w14:paraId="47F4F59D">
            <w:pPr>
              <w:pStyle w:val="24"/>
              <w:jc w:val="center"/>
              <w:rPr>
                <w:rFonts w:ascii="Arial" w:hAnsi="Arial" w:cs="Arial"/>
              </w:rPr>
            </w:pPr>
            <w:r>
              <w:rPr>
                <w:rFonts w:ascii="Arial" w:hAnsi="Arial" w:cs="Arial"/>
              </w:rPr>
              <w:t>Rifamycins (Singh et al., 2021)</w:t>
            </w:r>
          </w:p>
        </w:tc>
        <w:tc>
          <w:tcPr>
            <w:tcW w:w="1701" w:type="dxa"/>
          </w:tcPr>
          <w:p w14:paraId="1B7F6AF1">
            <w:pPr>
              <w:pStyle w:val="24"/>
              <w:jc w:val="center"/>
              <w:rPr>
                <w:rFonts w:ascii="Arial" w:hAnsi="Arial" w:cs="Arial"/>
              </w:rPr>
            </w:pPr>
            <w:r>
              <w:rPr>
                <w:rFonts w:ascii="Arial" w:hAnsi="Arial" w:cs="Arial"/>
              </w:rPr>
              <w:t>Rifampicin</w:t>
            </w:r>
          </w:p>
        </w:tc>
      </w:tr>
    </w:tbl>
    <w:p w14:paraId="7D82D284">
      <w:pPr>
        <w:pStyle w:val="24"/>
        <w:rPr>
          <w:rFonts w:ascii="Arial" w:hAnsi="Arial" w:cs="Arial"/>
        </w:rPr>
      </w:pPr>
    </w:p>
    <w:p w14:paraId="1ED30D84">
      <w:pPr>
        <w:pStyle w:val="24"/>
        <w:rPr>
          <w:rFonts w:ascii="Arial" w:hAnsi="Arial" w:cs="Arial"/>
        </w:rPr>
      </w:pPr>
      <w:r>
        <w:rPr>
          <w:rFonts w:ascii="Arial" w:hAnsi="Arial" w:cs="Arial"/>
        </w:rPr>
        <w:t xml:space="preserve">Endophytic fungi, which have evolved alongside plants, can synthesize molecules similar to those of their host plants or modulate the production of plant metabolites (Shimoyama et al., 2018; Ogbe et al., 2020). One of the most notable examples is paclitaxel, an anticancer agent obtained by endophytic fungi such as </w:t>
      </w:r>
      <w:r>
        <w:rPr>
          <w:rFonts w:ascii="Arial" w:hAnsi="Arial" w:cs="Arial"/>
          <w:i/>
          <w:iCs/>
        </w:rPr>
        <w:t>Taxomyces andreanae</w:t>
      </w:r>
      <w:r>
        <w:rPr>
          <w:rFonts w:ascii="Arial" w:hAnsi="Arial" w:cs="Arial"/>
        </w:rPr>
        <w:t xml:space="preserve"> and </w:t>
      </w:r>
      <w:r>
        <w:rPr>
          <w:rFonts w:ascii="Arial" w:hAnsi="Arial" w:cs="Arial"/>
          <w:i/>
          <w:iCs/>
        </w:rPr>
        <w:t>Alternaria alternata</w:t>
      </w:r>
      <w:r>
        <w:rPr>
          <w:rFonts w:ascii="Arial" w:hAnsi="Arial" w:cs="Arial"/>
        </w:rPr>
        <w:t xml:space="preserve">. Similarly, vinblastine is acquired from </w:t>
      </w:r>
      <w:r>
        <w:rPr>
          <w:rFonts w:ascii="Arial" w:hAnsi="Arial" w:cs="Arial"/>
          <w:i/>
          <w:iCs/>
        </w:rPr>
        <w:t>F. oxysporum</w:t>
      </w:r>
      <w:r>
        <w:rPr>
          <w:rFonts w:ascii="Arial" w:hAnsi="Arial" w:cs="Arial"/>
        </w:rPr>
        <w:t xml:space="preserve">, found in </w:t>
      </w:r>
      <w:r>
        <w:rPr>
          <w:rFonts w:ascii="Arial" w:hAnsi="Arial" w:cs="Arial"/>
          <w:i/>
          <w:iCs/>
        </w:rPr>
        <w:t>Catharanthus roseus</w:t>
      </w:r>
      <w:r>
        <w:rPr>
          <w:rFonts w:ascii="Arial" w:hAnsi="Arial" w:cs="Arial"/>
        </w:rPr>
        <w:t xml:space="preserve"> (Singh and Kumar, 2023).</w:t>
      </w:r>
    </w:p>
    <w:p w14:paraId="5123EC24">
      <w:pPr>
        <w:pStyle w:val="24"/>
        <w:rPr>
          <w:rFonts w:ascii="Arial" w:hAnsi="Arial" w:cs="Arial"/>
        </w:rPr>
      </w:pPr>
      <w:r>
        <w:rPr>
          <w:rFonts w:ascii="Arial" w:hAnsi="Arial" w:cs="Arial"/>
        </w:rPr>
        <w:t>Secondary metabolites can be extracted, identified, and quantified through several methods that depend on their bioactive and physicochemical characteristics, ranging from chromatography to nuclear magnetic resonance (NMR). Chromatography is a simple method that allows the separation of components of an extract based on properties such as polarity. For its part, NMR is a spectroscopic method for acquiring information about molecular structure, detailing the carbon and hydrogen backbone and the connectivity between atoms (Zakariyah et al., 2024; Singh and Kumar, 2023). Along with these procedures, metabolomic studies are done to understand the complexity and chemical diversity of bioactive compounds (Zakariyah et al., 2024).</w:t>
      </w:r>
    </w:p>
    <w:p w14:paraId="04C48D9E">
      <w:pPr>
        <w:pStyle w:val="24"/>
        <w:rPr>
          <w:rFonts w:ascii="Arial" w:hAnsi="Arial" w:cs="Arial"/>
          <w:b/>
          <w:bCs/>
          <w:sz w:val="22"/>
          <w:szCs w:val="22"/>
        </w:rPr>
      </w:pPr>
      <w:r>
        <w:rPr>
          <w:rFonts w:ascii="Arial" w:hAnsi="Arial" w:cs="Arial"/>
          <w:b/>
          <w:bCs/>
          <w:sz w:val="22"/>
          <w:szCs w:val="22"/>
        </w:rPr>
        <w:t>5. GENERA OF ENDOPHYTIC FUNGI WITH POTENTIAL FOR THE SYNTESIS OF ANTIMICROBIAL AGENTS</w:t>
      </w:r>
    </w:p>
    <w:p w14:paraId="2C545F23">
      <w:pPr>
        <w:pStyle w:val="24"/>
        <w:rPr>
          <w:rFonts w:ascii="Arial" w:hAnsi="Arial" w:cs="Arial"/>
        </w:rPr>
      </w:pPr>
      <w:r>
        <w:rPr>
          <w:rFonts w:ascii="Arial" w:hAnsi="Arial" w:cs="Arial"/>
        </w:rPr>
        <w:t>One essential element is distinguishing the main genera of endophytic fungi that have demonstrated potential to synthesize antimicrobial agents. They inhabit the internal tissues of plants without causing them harm (Wen et al., 2022). They can be located in various ecosystems, including deserts and the Arctic, and establish symbiotic relationships with plants ranging from algae and mosses to pteridophytes, gymnosperms, monocots, and dicots (Li et al., 2025).</w:t>
      </w:r>
    </w:p>
    <w:p w14:paraId="3BD27BC9">
      <w:pPr>
        <w:pStyle w:val="24"/>
        <w:rPr>
          <w:rFonts w:ascii="Arial" w:hAnsi="Arial" w:cs="Arial"/>
        </w:rPr>
      </w:pPr>
      <w:r>
        <w:rPr>
          <w:rFonts w:ascii="Arial" w:hAnsi="Arial" w:cs="Arial"/>
        </w:rPr>
        <w:t xml:space="preserve">One or more of these eukaryotes are in approximately 380,000 plant species. More than 376 fungal genera belonging to 83 families and 212 medicinal plant species have been isolated, including </w:t>
      </w:r>
      <w:r>
        <w:rPr>
          <w:rFonts w:ascii="Arial" w:hAnsi="Arial" w:cs="Arial"/>
          <w:i/>
          <w:iCs/>
        </w:rPr>
        <w:t>Basidiomycetes</w:t>
      </w:r>
      <w:r>
        <w:rPr>
          <w:rFonts w:ascii="Arial" w:hAnsi="Arial" w:cs="Arial"/>
        </w:rPr>
        <w:t xml:space="preserve"> and </w:t>
      </w:r>
      <w:r>
        <w:rPr>
          <w:rFonts w:ascii="Arial" w:hAnsi="Arial" w:cs="Arial"/>
          <w:i/>
          <w:iCs/>
        </w:rPr>
        <w:t>Ascomycetes</w:t>
      </w:r>
      <w:r>
        <w:rPr>
          <w:rFonts w:ascii="Arial" w:hAnsi="Arial" w:cs="Arial"/>
        </w:rPr>
        <w:t xml:space="preserve"> (Li et al., 2025).</w:t>
      </w:r>
    </w:p>
    <w:p w14:paraId="7B5B23B9">
      <w:pPr>
        <w:pStyle w:val="24"/>
        <w:rPr>
          <w:rFonts w:ascii="Arial" w:hAnsi="Arial" w:cs="Arial"/>
        </w:rPr>
      </w:pPr>
      <w:r>
        <w:rPr>
          <w:rFonts w:ascii="Arial" w:hAnsi="Arial" w:cs="Arial"/>
        </w:rPr>
        <w:t xml:space="preserve">They are primarily concentrated in four phyla: Ascomycota, Basidiomycota, Mucoromycota, and Oomycota. As a complement, based on genetic relationships, host plants, and ecological functions, they can be divided into clavicipitaceous-endophytes (C-endophytes) and nonclavicipitaceous-endophytes (NC-endophytes) (Li et al., 2025). </w:t>
      </w:r>
      <w:r>
        <w:rPr>
          <w:rFonts w:ascii="Arial" w:hAnsi="Arial" w:cs="Arial"/>
          <w:b/>
          <w:bCs/>
        </w:rPr>
        <w:t>Table 2</w:t>
      </w:r>
      <w:r>
        <w:rPr>
          <w:rFonts w:ascii="Arial" w:hAnsi="Arial" w:cs="Arial"/>
        </w:rPr>
        <w:t xml:space="preserve"> lists some endophytic fungi, their host plants, and key metabolites.</w:t>
      </w:r>
    </w:p>
    <w:p w14:paraId="72765F66">
      <w:pPr>
        <w:pStyle w:val="24"/>
        <w:rPr>
          <w:rFonts w:ascii="Arial" w:hAnsi="Arial" w:cs="Arial"/>
        </w:rPr>
      </w:pPr>
      <w:r>
        <w:rPr>
          <w:rFonts w:ascii="Arial" w:hAnsi="Arial" w:cs="Arial"/>
          <w:b/>
          <w:bCs/>
        </w:rPr>
        <w:t>Table 2</w:t>
      </w:r>
      <w:r>
        <w:rPr>
          <w:rFonts w:ascii="Arial" w:hAnsi="Arial" w:cs="Arial"/>
        </w:rPr>
        <w:t>. Genera of endophytic fungi, host plant species, and important metabolites associated with them.</w:t>
      </w:r>
    </w:p>
    <w:tbl>
      <w:tblPr>
        <w:tblStyle w:val="6"/>
        <w:tblW w:w="8222" w:type="dxa"/>
        <w:tblInd w:w="-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552"/>
        <w:gridCol w:w="2977"/>
        <w:gridCol w:w="2693"/>
      </w:tblGrid>
      <w:tr w14:paraId="6187C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single" w:color="000000" w:sz="6" w:space="0"/>
              <w:left w:val="single" w:color="000000" w:sz="6" w:space="0"/>
              <w:bottom w:val="single" w:color="000000" w:sz="6" w:space="0"/>
              <w:right w:val="single" w:color="000000" w:sz="6" w:space="0"/>
            </w:tcBorders>
            <w:tcMar>
              <w:top w:w="0" w:type="dxa"/>
              <w:left w:w="100" w:type="dxa"/>
              <w:bottom w:w="0" w:type="dxa"/>
              <w:right w:w="100" w:type="dxa"/>
            </w:tcMar>
          </w:tcPr>
          <w:p w14:paraId="4236BB2C">
            <w:pPr>
              <w:pStyle w:val="24"/>
              <w:jc w:val="center"/>
              <w:rPr>
                <w:rFonts w:ascii="Arial" w:hAnsi="Arial" w:cs="Arial"/>
                <w:b/>
                <w:bCs/>
              </w:rPr>
            </w:pPr>
            <w:r>
              <w:rPr>
                <w:rFonts w:ascii="Arial" w:hAnsi="Arial" w:cs="Arial"/>
                <w:b/>
                <w:bCs/>
              </w:rPr>
              <w:t>Endophytic fungi</w:t>
            </w:r>
          </w:p>
        </w:tc>
        <w:tc>
          <w:tcPr>
            <w:tcW w:w="2977"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48B76F36">
            <w:pPr>
              <w:pStyle w:val="24"/>
              <w:jc w:val="center"/>
              <w:rPr>
                <w:rFonts w:ascii="Arial" w:hAnsi="Arial" w:cs="Arial"/>
                <w:b/>
                <w:bCs/>
              </w:rPr>
            </w:pPr>
            <w:r>
              <w:rPr>
                <w:rFonts w:ascii="Arial" w:hAnsi="Arial" w:cs="Arial"/>
                <w:b/>
                <w:bCs/>
              </w:rPr>
              <w:t>Host plant</w:t>
            </w:r>
          </w:p>
        </w:tc>
        <w:tc>
          <w:tcPr>
            <w:tcW w:w="2693" w:type="dxa"/>
            <w:tcBorders>
              <w:top w:val="single" w:color="000000" w:sz="6" w:space="0"/>
              <w:left w:val="nil"/>
              <w:bottom w:val="single" w:color="000000" w:sz="6" w:space="0"/>
              <w:right w:val="single" w:color="000000" w:sz="6" w:space="0"/>
            </w:tcBorders>
            <w:tcMar>
              <w:top w:w="0" w:type="dxa"/>
              <w:left w:w="100" w:type="dxa"/>
              <w:bottom w:w="0" w:type="dxa"/>
              <w:right w:w="100" w:type="dxa"/>
            </w:tcMar>
          </w:tcPr>
          <w:p w14:paraId="4032377E">
            <w:pPr>
              <w:pStyle w:val="24"/>
              <w:jc w:val="center"/>
              <w:rPr>
                <w:rFonts w:ascii="Arial" w:hAnsi="Arial" w:cs="Arial"/>
                <w:b/>
                <w:bCs/>
              </w:rPr>
            </w:pPr>
            <w:r>
              <w:rPr>
                <w:rFonts w:ascii="Arial" w:hAnsi="Arial" w:cs="Arial"/>
                <w:b/>
                <w:bCs/>
              </w:rPr>
              <w:t>Metabolites</w:t>
            </w:r>
          </w:p>
        </w:tc>
      </w:tr>
      <w:tr w14:paraId="05960A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308C1EA7">
            <w:pPr>
              <w:pStyle w:val="24"/>
              <w:jc w:val="center"/>
              <w:rPr>
                <w:rFonts w:ascii="Arial" w:hAnsi="Arial" w:cs="Arial"/>
                <w:b/>
                <w:bCs/>
                <w:lang w:val="es-CR"/>
              </w:rPr>
            </w:pPr>
            <w:r>
              <w:rPr>
                <w:rFonts w:ascii="Arial" w:hAnsi="Arial" w:cs="Arial"/>
                <w:b/>
                <w:bCs/>
                <w:i/>
                <w:iCs/>
                <w:lang w:val="es-CR"/>
              </w:rPr>
              <w:t>Talaromyces</w:t>
            </w:r>
            <w:r>
              <w:rPr>
                <w:rFonts w:ascii="Arial" w:hAnsi="Arial" w:cs="Arial"/>
                <w:b/>
                <w:bCs/>
                <w:lang w:val="es-CR"/>
              </w:rPr>
              <w:t xml:space="preserve"> sp. (Cao et al., 2020)</w:t>
            </w:r>
          </w:p>
        </w:tc>
        <w:tc>
          <w:tcPr>
            <w:tcW w:w="2977" w:type="dxa"/>
            <w:tcBorders>
              <w:top w:val="nil"/>
              <w:left w:val="nil"/>
              <w:bottom w:val="single" w:color="000000" w:sz="6" w:space="0"/>
              <w:right w:val="single" w:color="000000" w:sz="6" w:space="0"/>
            </w:tcBorders>
            <w:tcMar>
              <w:top w:w="0" w:type="dxa"/>
              <w:left w:w="100" w:type="dxa"/>
              <w:bottom w:w="0" w:type="dxa"/>
              <w:right w:w="100" w:type="dxa"/>
            </w:tcMar>
          </w:tcPr>
          <w:p w14:paraId="0A80C6CF">
            <w:pPr>
              <w:pStyle w:val="24"/>
              <w:jc w:val="center"/>
              <w:rPr>
                <w:rFonts w:ascii="Arial" w:hAnsi="Arial" w:cs="Arial"/>
                <w:i/>
                <w:iCs/>
              </w:rPr>
            </w:pPr>
            <w:r>
              <w:rPr>
                <w:rFonts w:ascii="Arial" w:hAnsi="Arial" w:cs="Arial"/>
                <w:i/>
                <w:iCs/>
              </w:rPr>
              <w:t>Grateloupia filicina</w:t>
            </w:r>
          </w:p>
        </w:tc>
        <w:tc>
          <w:tcPr>
            <w:tcW w:w="2693" w:type="dxa"/>
            <w:tcBorders>
              <w:top w:val="nil"/>
              <w:left w:val="nil"/>
              <w:bottom w:val="single" w:color="000000" w:sz="6" w:space="0"/>
              <w:right w:val="single" w:color="000000" w:sz="6" w:space="0"/>
            </w:tcBorders>
            <w:shd w:val="clear" w:color="auto" w:fill="FFFFFF"/>
            <w:tcMar>
              <w:top w:w="0" w:type="dxa"/>
              <w:left w:w="100" w:type="dxa"/>
              <w:bottom w:w="0" w:type="dxa"/>
              <w:right w:w="100" w:type="dxa"/>
            </w:tcMar>
          </w:tcPr>
          <w:p w14:paraId="0957BA62">
            <w:pPr>
              <w:pStyle w:val="24"/>
              <w:jc w:val="center"/>
              <w:rPr>
                <w:rFonts w:ascii="Arial" w:hAnsi="Arial" w:cs="Arial"/>
              </w:rPr>
            </w:pPr>
            <w:r>
              <w:rPr>
                <w:rFonts w:ascii="Arial" w:hAnsi="Arial" w:cs="Arial"/>
              </w:rPr>
              <w:t>Polycyclic meroterpenoids talaromyolides I and K</w:t>
            </w:r>
          </w:p>
        </w:tc>
      </w:tr>
      <w:tr w14:paraId="532AE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681DECF3">
            <w:pPr>
              <w:pStyle w:val="24"/>
              <w:jc w:val="center"/>
              <w:rPr>
                <w:rFonts w:ascii="Arial" w:hAnsi="Arial" w:cs="Arial"/>
                <w:b/>
                <w:bCs/>
              </w:rPr>
            </w:pPr>
            <w:r>
              <w:rPr>
                <w:rFonts w:ascii="Arial" w:hAnsi="Arial" w:cs="Arial"/>
                <w:b/>
                <w:bCs/>
                <w:i/>
                <w:iCs/>
              </w:rPr>
              <w:t>Chaetomium</w:t>
            </w:r>
            <w:r>
              <w:rPr>
                <w:rFonts w:ascii="Arial" w:hAnsi="Arial" w:cs="Arial"/>
                <w:b/>
                <w:bCs/>
              </w:rPr>
              <w:t xml:space="preserve"> sp. (Kumar et al., 2017)</w:t>
            </w:r>
          </w:p>
        </w:tc>
        <w:tc>
          <w:tcPr>
            <w:tcW w:w="2977"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5F180A4E">
            <w:pPr>
              <w:pStyle w:val="24"/>
              <w:jc w:val="center"/>
              <w:rPr>
                <w:rFonts w:ascii="Arial" w:hAnsi="Arial" w:cs="Arial"/>
                <w:i/>
                <w:iCs/>
              </w:rPr>
            </w:pPr>
            <w:r>
              <w:rPr>
                <w:rFonts w:ascii="Arial" w:hAnsi="Arial" w:cs="Arial"/>
                <w:i/>
                <w:iCs/>
              </w:rPr>
              <w:t>Ephedra fasciculata</w:t>
            </w:r>
          </w:p>
          <w:p w14:paraId="38503EFC">
            <w:pPr>
              <w:pStyle w:val="24"/>
              <w:jc w:val="center"/>
              <w:rPr>
                <w:rFonts w:ascii="Arial" w:hAnsi="Arial" w:cs="Arial"/>
              </w:rPr>
            </w:pPr>
          </w:p>
        </w:tc>
        <w:tc>
          <w:tcPr>
            <w:tcW w:w="2693"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798D0B8E">
            <w:pPr>
              <w:pStyle w:val="24"/>
              <w:jc w:val="center"/>
              <w:rPr>
                <w:rFonts w:ascii="Arial" w:hAnsi="Arial" w:cs="Arial"/>
              </w:rPr>
            </w:pPr>
            <w:r>
              <w:rPr>
                <w:rFonts w:ascii="Arial" w:hAnsi="Arial" w:cs="Arial"/>
              </w:rPr>
              <w:t>Radiciol</w:t>
            </w:r>
          </w:p>
          <w:p w14:paraId="330147C3">
            <w:pPr>
              <w:pStyle w:val="24"/>
              <w:jc w:val="center"/>
              <w:rPr>
                <w:rFonts w:ascii="Arial" w:hAnsi="Arial" w:cs="Arial"/>
              </w:rPr>
            </w:pPr>
          </w:p>
        </w:tc>
      </w:tr>
      <w:tr w14:paraId="7CAF19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2F61A40E">
            <w:pPr>
              <w:pStyle w:val="24"/>
              <w:jc w:val="center"/>
              <w:rPr>
                <w:rFonts w:ascii="Arial" w:hAnsi="Arial" w:cs="Arial"/>
                <w:b/>
                <w:bCs/>
              </w:rPr>
            </w:pPr>
            <w:r>
              <w:rPr>
                <w:rFonts w:ascii="Arial" w:hAnsi="Arial" w:cs="Arial"/>
                <w:b/>
                <w:bCs/>
                <w:i/>
                <w:iCs/>
              </w:rPr>
              <w:t>Phomopsis</w:t>
            </w:r>
            <w:r>
              <w:rPr>
                <w:rFonts w:ascii="Arial" w:hAnsi="Arial" w:cs="Arial"/>
                <w:b/>
                <w:bCs/>
              </w:rPr>
              <w:t xml:space="preserve"> sp. (Kumar et al., 2017)</w:t>
            </w:r>
          </w:p>
        </w:tc>
        <w:tc>
          <w:tcPr>
            <w:tcW w:w="2977"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4FDF802E">
            <w:pPr>
              <w:pStyle w:val="24"/>
              <w:jc w:val="center"/>
              <w:rPr>
                <w:rFonts w:ascii="Arial" w:hAnsi="Arial" w:cs="Arial"/>
                <w:i/>
                <w:iCs/>
                <w:lang w:val="es-CR"/>
              </w:rPr>
            </w:pPr>
            <w:r>
              <w:rPr>
                <w:rFonts w:ascii="Arial" w:hAnsi="Arial" w:cs="Arial"/>
                <w:i/>
                <w:iCs/>
                <w:lang w:val="es-CR"/>
              </w:rPr>
              <w:t>Plumeria acutifolia</w:t>
            </w:r>
          </w:p>
          <w:p w14:paraId="4C454F69">
            <w:pPr>
              <w:pStyle w:val="24"/>
              <w:jc w:val="center"/>
              <w:rPr>
                <w:rFonts w:ascii="Arial" w:hAnsi="Arial" w:cs="Arial"/>
                <w:i/>
                <w:iCs/>
                <w:lang w:val="es-CR"/>
              </w:rPr>
            </w:pPr>
            <w:r>
              <w:rPr>
                <w:rFonts w:ascii="Arial" w:hAnsi="Arial" w:cs="Arial"/>
                <w:i/>
                <w:iCs/>
                <w:lang w:val="es-CR"/>
              </w:rPr>
              <w:t>Erythrina crista-gall</w:t>
            </w:r>
          </w:p>
        </w:tc>
        <w:tc>
          <w:tcPr>
            <w:tcW w:w="2693"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1A043BCC">
            <w:pPr>
              <w:pStyle w:val="24"/>
              <w:jc w:val="center"/>
              <w:rPr>
                <w:rFonts w:ascii="Arial" w:hAnsi="Arial" w:cs="Arial"/>
              </w:rPr>
            </w:pPr>
            <w:r>
              <w:rPr>
                <w:rFonts w:ascii="Arial" w:hAnsi="Arial" w:cs="Arial"/>
              </w:rPr>
              <w:t>Isoflavonoids</w:t>
            </w:r>
          </w:p>
          <w:p w14:paraId="2F76D3FB">
            <w:pPr>
              <w:pStyle w:val="24"/>
              <w:jc w:val="center"/>
              <w:rPr>
                <w:rFonts w:ascii="Arial" w:hAnsi="Arial" w:cs="Arial"/>
              </w:rPr>
            </w:pPr>
            <w:r>
              <w:rPr>
                <w:rFonts w:ascii="Arial" w:hAnsi="Arial" w:cs="Arial"/>
              </w:rPr>
              <w:t>Terpenoid</w:t>
            </w:r>
          </w:p>
        </w:tc>
      </w:tr>
      <w:tr w14:paraId="1DD86B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648464D5">
            <w:pPr>
              <w:pStyle w:val="24"/>
              <w:jc w:val="center"/>
              <w:rPr>
                <w:rFonts w:ascii="Arial" w:hAnsi="Arial" w:cs="Arial"/>
                <w:b/>
                <w:bCs/>
              </w:rPr>
            </w:pPr>
            <w:r>
              <w:rPr>
                <w:rFonts w:ascii="Arial" w:hAnsi="Arial" w:cs="Arial"/>
                <w:b/>
                <w:bCs/>
                <w:i/>
                <w:iCs/>
              </w:rPr>
              <w:t xml:space="preserve">Fomitopsis </w:t>
            </w:r>
            <w:r>
              <w:rPr>
                <w:rFonts w:ascii="Arial" w:hAnsi="Arial" w:cs="Arial"/>
                <w:b/>
                <w:bCs/>
              </w:rPr>
              <w:t>sp. (Kumar and Prasher, 2022)</w:t>
            </w:r>
          </w:p>
        </w:tc>
        <w:tc>
          <w:tcPr>
            <w:tcW w:w="2977" w:type="dxa"/>
            <w:tcBorders>
              <w:top w:val="nil"/>
              <w:left w:val="nil"/>
              <w:bottom w:val="single" w:color="000000" w:sz="6" w:space="0"/>
              <w:right w:val="single" w:color="000000" w:sz="6" w:space="0"/>
            </w:tcBorders>
            <w:tcMar>
              <w:top w:w="0" w:type="dxa"/>
              <w:left w:w="100" w:type="dxa"/>
              <w:bottom w:w="0" w:type="dxa"/>
              <w:right w:w="100" w:type="dxa"/>
            </w:tcMar>
          </w:tcPr>
          <w:p w14:paraId="461D377D">
            <w:pPr>
              <w:pStyle w:val="24"/>
              <w:jc w:val="center"/>
              <w:rPr>
                <w:rFonts w:ascii="Arial" w:hAnsi="Arial" w:cs="Arial"/>
              </w:rPr>
            </w:pPr>
            <w:r>
              <w:rPr>
                <w:rFonts w:ascii="Arial" w:hAnsi="Arial" w:cs="Arial"/>
                <w:i/>
                <w:iCs/>
              </w:rPr>
              <w:t>Dillenia indica</w:t>
            </w:r>
            <w:r>
              <w:rPr>
                <w:rFonts w:ascii="Arial" w:hAnsi="Arial" w:cs="Arial"/>
              </w:rPr>
              <w:t xml:space="preserve"> L.</w:t>
            </w:r>
          </w:p>
        </w:tc>
        <w:tc>
          <w:tcPr>
            <w:tcW w:w="2693" w:type="dxa"/>
            <w:tcBorders>
              <w:top w:val="nil"/>
              <w:left w:val="nil"/>
              <w:bottom w:val="single" w:color="000000" w:sz="6" w:space="0"/>
              <w:right w:val="single" w:color="000000" w:sz="6" w:space="0"/>
            </w:tcBorders>
            <w:tcMar>
              <w:top w:w="0" w:type="dxa"/>
              <w:left w:w="100" w:type="dxa"/>
              <w:bottom w:w="0" w:type="dxa"/>
              <w:right w:w="100" w:type="dxa"/>
            </w:tcMar>
          </w:tcPr>
          <w:p w14:paraId="69E696C4">
            <w:pPr>
              <w:pStyle w:val="24"/>
              <w:jc w:val="center"/>
              <w:rPr>
                <w:rFonts w:ascii="Arial" w:hAnsi="Arial" w:cs="Arial"/>
              </w:rPr>
            </w:pPr>
            <w:r>
              <w:rPr>
                <w:rFonts w:ascii="Arial" w:hAnsi="Arial" w:cs="Arial"/>
              </w:rPr>
              <w:t>Dodecane</w:t>
            </w:r>
          </w:p>
          <w:p w14:paraId="4E32CDAC">
            <w:pPr>
              <w:pStyle w:val="24"/>
              <w:jc w:val="center"/>
              <w:rPr>
                <w:rFonts w:ascii="Arial" w:hAnsi="Arial" w:cs="Arial"/>
              </w:rPr>
            </w:pPr>
            <w:r>
              <w:rPr>
                <w:rFonts w:ascii="Arial" w:hAnsi="Arial" w:cs="Arial"/>
              </w:rPr>
              <w:t>Ethyl 2-thiopheneacetate</w:t>
            </w:r>
          </w:p>
          <w:p w14:paraId="0E090B9D">
            <w:pPr>
              <w:pStyle w:val="24"/>
              <w:jc w:val="center"/>
              <w:rPr>
                <w:rFonts w:ascii="Arial" w:hAnsi="Arial" w:cs="Arial"/>
              </w:rPr>
            </w:pPr>
            <w:r>
              <w:rPr>
                <w:rFonts w:ascii="Arial" w:hAnsi="Arial" w:cs="Arial"/>
              </w:rPr>
              <w:t>Tetradecane</w:t>
            </w:r>
          </w:p>
          <w:p w14:paraId="0C0F4E7F">
            <w:pPr>
              <w:pStyle w:val="24"/>
              <w:jc w:val="center"/>
              <w:rPr>
                <w:rFonts w:ascii="Arial" w:hAnsi="Arial" w:cs="Arial"/>
              </w:rPr>
            </w:pPr>
            <w:r>
              <w:rPr>
                <w:rFonts w:ascii="Arial" w:hAnsi="Arial" w:cs="Arial"/>
              </w:rPr>
              <w:t>Hexadecane</w:t>
            </w:r>
          </w:p>
          <w:p w14:paraId="4243040D">
            <w:pPr>
              <w:pStyle w:val="24"/>
              <w:jc w:val="center"/>
              <w:rPr>
                <w:rFonts w:ascii="Arial" w:hAnsi="Arial" w:cs="Arial"/>
              </w:rPr>
            </w:pPr>
            <w:r>
              <w:rPr>
                <w:rFonts w:ascii="Arial" w:hAnsi="Arial" w:cs="Arial"/>
              </w:rPr>
              <w:t>Octadecane</w:t>
            </w:r>
          </w:p>
          <w:p w14:paraId="1FFF3D1E">
            <w:pPr>
              <w:pStyle w:val="24"/>
              <w:jc w:val="center"/>
              <w:rPr>
                <w:rFonts w:ascii="Arial" w:hAnsi="Arial" w:cs="Arial"/>
              </w:rPr>
            </w:pPr>
            <w:r>
              <w:rPr>
                <w:rFonts w:ascii="Arial" w:hAnsi="Arial" w:cs="Arial"/>
              </w:rPr>
              <w:t>Griseofulvin</w:t>
            </w:r>
          </w:p>
        </w:tc>
      </w:tr>
      <w:tr w14:paraId="6D6A9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12B186F8">
            <w:pPr>
              <w:pStyle w:val="24"/>
              <w:jc w:val="center"/>
              <w:rPr>
                <w:rFonts w:ascii="Arial" w:hAnsi="Arial" w:cs="Arial"/>
                <w:b/>
                <w:bCs/>
                <w:lang w:val="es-CR"/>
              </w:rPr>
            </w:pPr>
            <w:r>
              <w:rPr>
                <w:rFonts w:ascii="Arial" w:hAnsi="Arial" w:cs="Arial"/>
                <w:b/>
                <w:bCs/>
                <w:i/>
                <w:iCs/>
                <w:lang w:val="es-CR"/>
              </w:rPr>
              <w:t>Cochliobolus</w:t>
            </w:r>
            <w:r>
              <w:rPr>
                <w:rFonts w:ascii="Arial" w:hAnsi="Arial" w:cs="Arial"/>
                <w:b/>
                <w:bCs/>
                <w:lang w:val="es-CR"/>
              </w:rPr>
              <w:t xml:space="preserve"> sp. (Abdalla et al., 2020)</w:t>
            </w:r>
          </w:p>
        </w:tc>
        <w:tc>
          <w:tcPr>
            <w:tcW w:w="2977" w:type="dxa"/>
            <w:tcMar>
              <w:top w:w="100" w:type="dxa"/>
              <w:left w:w="100" w:type="dxa"/>
              <w:bottom w:w="100" w:type="dxa"/>
              <w:right w:w="100" w:type="dxa"/>
            </w:tcMar>
          </w:tcPr>
          <w:p w14:paraId="3F939516">
            <w:pPr>
              <w:pStyle w:val="24"/>
              <w:jc w:val="center"/>
              <w:rPr>
                <w:rFonts w:ascii="Arial" w:hAnsi="Arial" w:cs="Arial"/>
                <w:i/>
                <w:iCs/>
              </w:rPr>
            </w:pPr>
            <w:r>
              <w:rPr>
                <w:rFonts w:ascii="Arial" w:hAnsi="Arial" w:cs="Arial"/>
                <w:i/>
                <w:iCs/>
              </w:rPr>
              <w:t>Psychotria zombamontana</w:t>
            </w:r>
          </w:p>
          <w:p w14:paraId="1BCB414A">
            <w:pPr>
              <w:pStyle w:val="24"/>
              <w:jc w:val="center"/>
              <w:rPr>
                <w:rFonts w:ascii="Arial" w:hAnsi="Arial" w:cs="Arial"/>
                <w:i/>
                <w:iCs/>
              </w:rPr>
            </w:pPr>
            <w:r>
              <w:rPr>
                <w:rFonts w:ascii="Arial" w:hAnsi="Arial" w:cs="Arial"/>
                <w:i/>
                <w:iCs/>
              </w:rPr>
              <w:t>Tecomaria capensis</w:t>
            </w:r>
          </w:p>
          <w:p w14:paraId="5F94749F">
            <w:pPr>
              <w:pStyle w:val="24"/>
              <w:jc w:val="center"/>
              <w:rPr>
                <w:rFonts w:ascii="Arial" w:hAnsi="Arial" w:cs="Arial"/>
              </w:rPr>
            </w:pPr>
          </w:p>
        </w:tc>
        <w:tc>
          <w:tcPr>
            <w:tcW w:w="2693"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5D4ACF34">
            <w:pPr>
              <w:pStyle w:val="24"/>
              <w:jc w:val="center"/>
              <w:rPr>
                <w:rFonts w:ascii="Arial" w:hAnsi="Arial" w:cs="Arial"/>
              </w:rPr>
            </w:pPr>
            <w:r>
              <w:rPr>
                <w:rFonts w:ascii="Arial" w:hAnsi="Arial" w:cs="Arial"/>
              </w:rPr>
              <w:t>Polyketide synthase type 1</w:t>
            </w:r>
          </w:p>
          <w:p w14:paraId="19FBD6C2">
            <w:pPr>
              <w:pStyle w:val="24"/>
              <w:jc w:val="center"/>
              <w:rPr>
                <w:rFonts w:ascii="Arial" w:hAnsi="Arial" w:cs="Arial"/>
              </w:rPr>
            </w:pPr>
            <w:r>
              <w:rPr>
                <w:rFonts w:ascii="Arial" w:hAnsi="Arial" w:cs="Arial"/>
              </w:rPr>
              <w:t>(indicator of bioactive compounds synthesis)</w:t>
            </w:r>
          </w:p>
        </w:tc>
      </w:tr>
      <w:tr w14:paraId="35990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2CC79D1F">
            <w:pPr>
              <w:pStyle w:val="24"/>
              <w:jc w:val="center"/>
              <w:rPr>
                <w:rFonts w:ascii="Arial" w:hAnsi="Arial" w:cs="Arial"/>
                <w:b/>
                <w:bCs/>
              </w:rPr>
            </w:pPr>
            <w:r>
              <w:rPr>
                <w:rFonts w:ascii="Arial" w:hAnsi="Arial" w:cs="Arial"/>
                <w:b/>
                <w:bCs/>
              </w:rPr>
              <w:t>Stemphylium sp.</w:t>
            </w:r>
          </w:p>
          <w:p w14:paraId="00E3779F">
            <w:pPr>
              <w:pStyle w:val="24"/>
              <w:jc w:val="center"/>
              <w:rPr>
                <w:rFonts w:ascii="Arial" w:hAnsi="Arial" w:cs="Arial"/>
                <w:b/>
                <w:bCs/>
              </w:rPr>
            </w:pPr>
            <w:r>
              <w:rPr>
                <w:rFonts w:ascii="Arial" w:hAnsi="Arial" w:cs="Arial"/>
                <w:b/>
                <w:bCs/>
              </w:rPr>
              <w:t>(Gaffari et al., 2023)</w:t>
            </w:r>
          </w:p>
        </w:tc>
        <w:tc>
          <w:tcPr>
            <w:tcW w:w="2977" w:type="dxa"/>
            <w:tcMar>
              <w:top w:w="100" w:type="dxa"/>
              <w:left w:w="100" w:type="dxa"/>
              <w:bottom w:w="100" w:type="dxa"/>
              <w:right w:w="100" w:type="dxa"/>
            </w:tcMar>
          </w:tcPr>
          <w:p w14:paraId="3170BB92">
            <w:pPr>
              <w:pStyle w:val="24"/>
              <w:jc w:val="center"/>
              <w:rPr>
                <w:rFonts w:ascii="Arial" w:hAnsi="Arial" w:cs="Arial"/>
                <w:i/>
                <w:iCs/>
                <w:lang w:val="es-CR"/>
              </w:rPr>
            </w:pPr>
            <w:r>
              <w:rPr>
                <w:rFonts w:ascii="Arial" w:hAnsi="Arial" w:cs="Arial"/>
                <w:i/>
                <w:iCs/>
                <w:lang w:val="es-CR"/>
              </w:rPr>
              <w:t>Portulaca oleracea</w:t>
            </w:r>
          </w:p>
          <w:p w14:paraId="4CD89B58">
            <w:pPr>
              <w:pStyle w:val="24"/>
              <w:jc w:val="center"/>
              <w:rPr>
                <w:rFonts w:ascii="Arial" w:hAnsi="Arial" w:cs="Arial"/>
                <w:lang w:val="es-CR"/>
              </w:rPr>
            </w:pPr>
            <w:r>
              <w:rPr>
                <w:rFonts w:ascii="Arial" w:hAnsi="Arial" w:cs="Arial"/>
                <w:i/>
                <w:iCs/>
                <w:lang w:val="es-CR"/>
              </w:rPr>
              <w:t>Ziziphora tenuior</w:t>
            </w:r>
            <w:r>
              <w:rPr>
                <w:rFonts w:ascii="Arial" w:hAnsi="Arial" w:cs="Arial"/>
                <w:lang w:val="es-CR"/>
              </w:rPr>
              <w:t xml:space="preserve"> L.</w:t>
            </w:r>
          </w:p>
        </w:tc>
        <w:tc>
          <w:tcPr>
            <w:tcW w:w="2693" w:type="dxa"/>
            <w:tcMar>
              <w:top w:w="100" w:type="dxa"/>
              <w:left w:w="100" w:type="dxa"/>
              <w:bottom w:w="100" w:type="dxa"/>
              <w:right w:w="100" w:type="dxa"/>
            </w:tcMar>
          </w:tcPr>
          <w:p w14:paraId="2CCC5301">
            <w:pPr>
              <w:pStyle w:val="24"/>
              <w:jc w:val="center"/>
              <w:rPr>
                <w:rFonts w:ascii="Arial" w:hAnsi="Arial" w:cs="Arial"/>
              </w:rPr>
            </w:pPr>
            <w:r>
              <w:rPr>
                <w:rFonts w:ascii="Arial" w:hAnsi="Arial" w:cs="Arial"/>
              </w:rPr>
              <w:t>Compounds with antibacterial, antioxidant, and antidiabetic activity</w:t>
            </w:r>
          </w:p>
        </w:tc>
      </w:tr>
      <w:tr w14:paraId="06E6B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4AF87BCF">
            <w:pPr>
              <w:pStyle w:val="24"/>
              <w:jc w:val="center"/>
              <w:rPr>
                <w:rFonts w:ascii="Arial" w:hAnsi="Arial" w:cs="Arial"/>
                <w:b/>
                <w:bCs/>
              </w:rPr>
            </w:pPr>
            <w:r>
              <w:rPr>
                <w:rFonts w:ascii="Arial" w:hAnsi="Arial" w:cs="Arial"/>
                <w:b/>
                <w:bCs/>
                <w:i/>
                <w:iCs/>
              </w:rPr>
              <w:t xml:space="preserve">Cladosporium </w:t>
            </w:r>
            <w:r>
              <w:rPr>
                <w:rFonts w:ascii="Arial" w:hAnsi="Arial" w:cs="Arial"/>
                <w:b/>
                <w:bCs/>
              </w:rPr>
              <w:t>sp. (Gaffari et al., 2023; Khan et al., 2016; Zhang et al., 2023)</w:t>
            </w:r>
          </w:p>
        </w:tc>
        <w:tc>
          <w:tcPr>
            <w:tcW w:w="2977" w:type="dxa"/>
            <w:tcMar>
              <w:top w:w="100" w:type="dxa"/>
              <w:left w:w="100" w:type="dxa"/>
              <w:bottom w:w="100" w:type="dxa"/>
              <w:right w:w="100" w:type="dxa"/>
            </w:tcMar>
          </w:tcPr>
          <w:p w14:paraId="39B29CE0">
            <w:pPr>
              <w:pStyle w:val="24"/>
              <w:jc w:val="center"/>
              <w:rPr>
                <w:rFonts w:ascii="Arial" w:hAnsi="Arial" w:cs="Arial"/>
                <w:i/>
                <w:iCs/>
                <w:lang w:val="es-CR"/>
              </w:rPr>
            </w:pPr>
            <w:r>
              <w:rPr>
                <w:rFonts w:ascii="Arial" w:hAnsi="Arial" w:cs="Arial"/>
                <w:i/>
                <w:iCs/>
                <w:lang w:val="es-CR"/>
              </w:rPr>
              <w:t>Rauwolfia serpentina</w:t>
            </w:r>
          </w:p>
          <w:p w14:paraId="14390DB3">
            <w:pPr>
              <w:pStyle w:val="24"/>
              <w:jc w:val="center"/>
              <w:rPr>
                <w:rFonts w:ascii="Arial" w:hAnsi="Arial" w:cs="Arial"/>
                <w:i/>
                <w:iCs/>
                <w:lang w:val="es-CR"/>
              </w:rPr>
            </w:pPr>
            <w:r>
              <w:rPr>
                <w:rFonts w:ascii="Arial" w:hAnsi="Arial" w:cs="Arial"/>
                <w:i/>
                <w:iCs/>
                <w:lang w:val="es-CR"/>
              </w:rPr>
              <w:t>Suaeda salsa</w:t>
            </w:r>
          </w:p>
          <w:p w14:paraId="6BCF5B13">
            <w:pPr>
              <w:pStyle w:val="24"/>
              <w:jc w:val="center"/>
              <w:rPr>
                <w:rFonts w:ascii="Arial" w:hAnsi="Arial" w:cs="Arial"/>
                <w:lang w:val="es-CR"/>
              </w:rPr>
            </w:pPr>
            <w:r>
              <w:rPr>
                <w:rFonts w:ascii="Arial" w:hAnsi="Arial" w:cs="Arial"/>
                <w:i/>
                <w:iCs/>
                <w:lang w:val="es-CR"/>
              </w:rPr>
              <w:t>Z. tenuior</w:t>
            </w:r>
            <w:r>
              <w:rPr>
                <w:rFonts w:ascii="Arial" w:hAnsi="Arial" w:cs="Arial"/>
                <w:lang w:val="es-CR"/>
              </w:rPr>
              <w:t xml:space="preserve"> L.</w:t>
            </w:r>
          </w:p>
        </w:tc>
        <w:tc>
          <w:tcPr>
            <w:tcW w:w="2693"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0CE5D9F2">
            <w:pPr>
              <w:pStyle w:val="24"/>
              <w:jc w:val="center"/>
              <w:rPr>
                <w:rFonts w:ascii="Arial" w:hAnsi="Arial" w:cs="Arial"/>
                <w:lang w:val="es-CR"/>
              </w:rPr>
            </w:pPr>
            <w:r>
              <w:rPr>
                <w:rFonts w:ascii="Arial" w:hAnsi="Arial" w:cs="Arial"/>
                <w:lang w:val="es-CR"/>
              </w:rPr>
              <w:t>Naphthoquinones</w:t>
            </w:r>
          </w:p>
          <w:p w14:paraId="68E6DDEC">
            <w:pPr>
              <w:pStyle w:val="24"/>
              <w:jc w:val="center"/>
              <w:rPr>
                <w:rFonts w:ascii="Arial" w:hAnsi="Arial" w:cs="Arial"/>
                <w:lang w:val="es-CR"/>
              </w:rPr>
            </w:pPr>
            <w:r>
              <w:rPr>
                <w:rFonts w:ascii="Arial" w:hAnsi="Arial" w:cs="Arial"/>
                <w:lang w:val="es-CR"/>
              </w:rPr>
              <w:t>p-methylbenzoic acid</w:t>
            </w:r>
          </w:p>
          <w:p w14:paraId="7BDC8BBC">
            <w:pPr>
              <w:pStyle w:val="24"/>
              <w:jc w:val="center"/>
              <w:rPr>
                <w:rFonts w:ascii="Arial" w:hAnsi="Arial" w:cs="Arial"/>
                <w:lang w:val="es-CR"/>
              </w:rPr>
            </w:pPr>
            <w:r>
              <w:rPr>
                <w:rFonts w:ascii="Arial" w:hAnsi="Arial" w:cs="Arial"/>
                <w:lang w:val="es-CR"/>
              </w:rPr>
              <w:t>Peroxyergosterol</w:t>
            </w:r>
          </w:p>
          <w:p w14:paraId="56E9A5CE">
            <w:pPr>
              <w:pStyle w:val="24"/>
              <w:jc w:val="center"/>
              <w:rPr>
                <w:rFonts w:ascii="Arial" w:hAnsi="Arial" w:cs="Arial"/>
                <w:lang w:val="es-CR"/>
              </w:rPr>
            </w:pPr>
            <w:r>
              <w:rPr>
                <w:rFonts w:ascii="Arial" w:hAnsi="Arial" w:cs="Arial"/>
                <w:lang w:val="es-CR"/>
              </w:rPr>
              <w:t>Cytotoxic aspernigrin A</w:t>
            </w:r>
          </w:p>
          <w:p w14:paraId="5C8AA913">
            <w:pPr>
              <w:pStyle w:val="24"/>
              <w:jc w:val="center"/>
              <w:rPr>
                <w:rFonts w:ascii="Arial" w:hAnsi="Arial" w:cs="Arial"/>
                <w:lang w:val="es-CR"/>
              </w:rPr>
            </w:pPr>
            <w:r>
              <w:rPr>
                <w:rFonts w:ascii="Arial" w:hAnsi="Arial" w:cs="Arial"/>
                <w:lang w:val="es-CR"/>
              </w:rPr>
              <w:t>Antifungal phleichrome</w:t>
            </w:r>
          </w:p>
          <w:p w14:paraId="4E85248E">
            <w:pPr>
              <w:pStyle w:val="24"/>
              <w:jc w:val="center"/>
              <w:rPr>
                <w:rFonts w:ascii="Arial" w:hAnsi="Arial" w:cs="Arial"/>
              </w:rPr>
            </w:pPr>
            <w:r>
              <w:rPr>
                <w:rFonts w:ascii="Arial" w:hAnsi="Arial" w:cs="Arial"/>
              </w:rPr>
              <w:t>Macrolide metabolites</w:t>
            </w:r>
          </w:p>
          <w:p w14:paraId="64D82F94">
            <w:pPr>
              <w:pStyle w:val="24"/>
              <w:jc w:val="center"/>
              <w:rPr>
                <w:rFonts w:ascii="Arial" w:hAnsi="Arial" w:cs="Arial"/>
              </w:rPr>
            </w:pPr>
            <w:r>
              <w:rPr>
                <w:rFonts w:ascii="Arial" w:hAnsi="Arial" w:cs="Arial"/>
              </w:rPr>
              <w:t>Antimicrobial furan carboxylic acid</w:t>
            </w:r>
          </w:p>
          <w:p w14:paraId="54A6325B">
            <w:pPr>
              <w:pStyle w:val="24"/>
              <w:jc w:val="center"/>
              <w:rPr>
                <w:rFonts w:ascii="Arial" w:hAnsi="Arial" w:cs="Arial"/>
              </w:rPr>
            </w:pPr>
            <w:r>
              <w:rPr>
                <w:rFonts w:ascii="Arial" w:hAnsi="Arial" w:cs="Arial"/>
              </w:rPr>
              <w:t>Quercetin</w:t>
            </w:r>
          </w:p>
        </w:tc>
      </w:tr>
      <w:tr w14:paraId="2AB721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nil"/>
              <w:left w:val="single" w:color="000000" w:sz="6" w:space="0"/>
              <w:bottom w:val="single" w:color="000000" w:sz="6" w:space="0"/>
              <w:right w:val="single" w:color="000000" w:sz="6" w:space="0"/>
            </w:tcBorders>
            <w:tcMar>
              <w:top w:w="0" w:type="dxa"/>
              <w:left w:w="100" w:type="dxa"/>
              <w:bottom w:w="0" w:type="dxa"/>
              <w:right w:w="100" w:type="dxa"/>
            </w:tcMar>
          </w:tcPr>
          <w:p w14:paraId="5BB9FEE9">
            <w:pPr>
              <w:pStyle w:val="24"/>
              <w:jc w:val="center"/>
              <w:rPr>
                <w:rFonts w:ascii="Arial" w:hAnsi="Arial" w:cs="Arial"/>
                <w:b/>
                <w:bCs/>
                <w:lang w:val="es-CR"/>
              </w:rPr>
            </w:pPr>
            <w:r>
              <w:rPr>
                <w:rFonts w:ascii="Arial" w:hAnsi="Arial" w:cs="Arial"/>
                <w:b/>
                <w:bCs/>
                <w:i/>
                <w:iCs/>
                <w:lang w:val="es-CR"/>
              </w:rPr>
              <w:t>Alternaria</w:t>
            </w:r>
            <w:r>
              <w:rPr>
                <w:rFonts w:ascii="Arial" w:hAnsi="Arial" w:cs="Arial"/>
                <w:b/>
                <w:bCs/>
                <w:lang w:val="es-CR"/>
              </w:rPr>
              <w:t xml:space="preserve"> sp. (Al Mousa et al., 2021; Xie et al., 2025)</w:t>
            </w:r>
          </w:p>
        </w:tc>
        <w:tc>
          <w:tcPr>
            <w:tcW w:w="2977" w:type="dxa"/>
            <w:tcMar>
              <w:top w:w="100" w:type="dxa"/>
              <w:left w:w="100" w:type="dxa"/>
              <w:bottom w:w="100" w:type="dxa"/>
              <w:right w:w="100" w:type="dxa"/>
            </w:tcMar>
          </w:tcPr>
          <w:p w14:paraId="097528E8">
            <w:pPr>
              <w:pStyle w:val="24"/>
              <w:jc w:val="center"/>
              <w:rPr>
                <w:rFonts w:ascii="Arial" w:hAnsi="Arial" w:cs="Arial"/>
                <w:i/>
                <w:iCs/>
              </w:rPr>
            </w:pPr>
            <w:r>
              <w:rPr>
                <w:rFonts w:ascii="Arial" w:hAnsi="Arial" w:cs="Arial"/>
                <w:i/>
                <w:iCs/>
              </w:rPr>
              <w:t>Aconitum hemsleyanum</w:t>
            </w:r>
          </w:p>
          <w:p w14:paraId="6EAF1436">
            <w:pPr>
              <w:pStyle w:val="24"/>
              <w:jc w:val="center"/>
              <w:rPr>
                <w:rFonts w:ascii="Arial" w:hAnsi="Arial" w:cs="Arial"/>
              </w:rPr>
            </w:pPr>
            <w:r>
              <w:rPr>
                <w:rFonts w:ascii="Arial" w:hAnsi="Arial" w:cs="Arial"/>
                <w:i/>
                <w:iCs/>
              </w:rPr>
              <w:t>Artemisia judaica</w:t>
            </w:r>
            <w:r>
              <w:rPr>
                <w:rFonts w:ascii="Arial" w:hAnsi="Arial" w:cs="Arial"/>
              </w:rPr>
              <w:t xml:space="preserve"> L</w:t>
            </w:r>
          </w:p>
        </w:tc>
        <w:tc>
          <w:tcPr>
            <w:tcW w:w="2693"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4DA743D8">
            <w:pPr>
              <w:pStyle w:val="24"/>
              <w:jc w:val="center"/>
              <w:rPr>
                <w:rFonts w:ascii="Arial" w:hAnsi="Arial" w:cs="Arial"/>
              </w:rPr>
            </w:pPr>
            <w:r>
              <w:rPr>
                <w:rFonts w:ascii="Arial" w:hAnsi="Arial" w:cs="Arial"/>
              </w:rPr>
              <w:t>Camphene</w:t>
            </w:r>
          </w:p>
          <w:p w14:paraId="24E2826C">
            <w:pPr>
              <w:pStyle w:val="24"/>
              <w:jc w:val="center"/>
              <w:rPr>
                <w:rFonts w:ascii="Arial" w:hAnsi="Arial" w:cs="Arial"/>
              </w:rPr>
            </w:pPr>
            <w:r>
              <w:rPr>
                <w:rFonts w:ascii="Arial" w:hAnsi="Arial" w:cs="Arial"/>
              </w:rPr>
              <w:t>Artemisia ketone</w:t>
            </w:r>
          </w:p>
          <w:p w14:paraId="20B2319E">
            <w:pPr>
              <w:pStyle w:val="24"/>
              <w:jc w:val="center"/>
              <w:rPr>
                <w:rFonts w:ascii="Arial" w:hAnsi="Arial" w:cs="Arial"/>
              </w:rPr>
            </w:pPr>
            <w:r>
              <w:rPr>
                <w:rFonts w:ascii="Arial" w:hAnsi="Arial" w:cs="Arial"/>
              </w:rPr>
              <w:t>Camphor</w:t>
            </w:r>
          </w:p>
          <w:p w14:paraId="6F263FB4">
            <w:pPr>
              <w:pStyle w:val="24"/>
              <w:jc w:val="center"/>
              <w:rPr>
                <w:rFonts w:ascii="Arial" w:hAnsi="Arial" w:cs="Arial"/>
              </w:rPr>
            </w:pPr>
            <w:r>
              <w:rPr>
                <w:rFonts w:ascii="Arial" w:hAnsi="Arial" w:cs="Arial"/>
              </w:rPr>
              <w:t>(+)-dihydrocarvone</w:t>
            </w:r>
          </w:p>
          <w:p w14:paraId="2966DD45">
            <w:pPr>
              <w:pStyle w:val="24"/>
              <w:jc w:val="center"/>
              <w:rPr>
                <w:rFonts w:ascii="Arial" w:hAnsi="Arial" w:cs="Arial"/>
              </w:rPr>
            </w:pPr>
            <w:r>
              <w:rPr>
                <w:rFonts w:ascii="Arial" w:hAnsi="Arial" w:cs="Arial"/>
              </w:rPr>
              <w:t>α-bisabolol</w:t>
            </w:r>
          </w:p>
          <w:p w14:paraId="6A4363B9">
            <w:pPr>
              <w:pStyle w:val="24"/>
              <w:jc w:val="center"/>
              <w:rPr>
                <w:rFonts w:ascii="Arial" w:hAnsi="Arial" w:cs="Arial"/>
                <w:lang w:val="es-CR"/>
              </w:rPr>
            </w:pPr>
            <w:r>
              <w:rPr>
                <w:rFonts w:ascii="Arial" w:hAnsi="Arial" w:cs="Arial"/>
                <w:lang w:val="es-CR"/>
              </w:rPr>
              <w:t>Humulol</w:t>
            </w:r>
          </w:p>
          <w:p w14:paraId="3655B13C">
            <w:pPr>
              <w:pStyle w:val="24"/>
              <w:jc w:val="center"/>
              <w:rPr>
                <w:rFonts w:ascii="Arial" w:hAnsi="Arial" w:cs="Arial"/>
                <w:lang w:val="es-CR"/>
              </w:rPr>
            </w:pPr>
            <w:r>
              <w:rPr>
                <w:rFonts w:ascii="Arial" w:hAnsi="Arial" w:cs="Arial"/>
                <w:lang w:val="es-CR"/>
              </w:rPr>
              <w:t>Limonene dioxide</w:t>
            </w:r>
          </w:p>
          <w:p w14:paraId="107D1C66">
            <w:pPr>
              <w:pStyle w:val="24"/>
              <w:jc w:val="center"/>
              <w:rPr>
                <w:rFonts w:ascii="Arial" w:hAnsi="Arial" w:cs="Arial"/>
                <w:lang w:val="es-CR"/>
              </w:rPr>
            </w:pPr>
            <w:r>
              <w:rPr>
                <w:rFonts w:ascii="Arial" w:hAnsi="Arial" w:cs="Arial"/>
                <w:lang w:val="es-CR"/>
              </w:rPr>
              <w:t>Alternixtioles B, F y G</w:t>
            </w:r>
          </w:p>
        </w:tc>
      </w:tr>
      <w:tr w14:paraId="7F947B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4E7E27E1">
            <w:pPr>
              <w:pStyle w:val="24"/>
              <w:jc w:val="center"/>
              <w:rPr>
                <w:rFonts w:ascii="Arial" w:hAnsi="Arial" w:cs="Arial"/>
                <w:b/>
                <w:bCs/>
              </w:rPr>
            </w:pPr>
            <w:r>
              <w:rPr>
                <w:rFonts w:ascii="Arial" w:hAnsi="Arial" w:cs="Arial"/>
                <w:b/>
                <w:bCs/>
                <w:i/>
                <w:iCs/>
              </w:rPr>
              <w:t>Penicillium</w:t>
            </w:r>
            <w:r>
              <w:rPr>
                <w:rFonts w:ascii="Arial" w:hAnsi="Arial" w:cs="Arial"/>
                <w:b/>
                <w:bCs/>
              </w:rPr>
              <w:t xml:space="preserve"> sp. (Geris dos Santos and Rodrigues-Fo, 2002).</w:t>
            </w:r>
          </w:p>
        </w:tc>
        <w:tc>
          <w:tcPr>
            <w:tcW w:w="2977" w:type="dxa"/>
            <w:tcMar>
              <w:top w:w="100" w:type="dxa"/>
              <w:left w:w="100" w:type="dxa"/>
              <w:bottom w:w="100" w:type="dxa"/>
              <w:right w:w="100" w:type="dxa"/>
            </w:tcMar>
          </w:tcPr>
          <w:p w14:paraId="58CCD47A">
            <w:pPr>
              <w:pStyle w:val="24"/>
              <w:jc w:val="center"/>
              <w:rPr>
                <w:rFonts w:ascii="Arial" w:hAnsi="Arial" w:cs="Arial"/>
                <w:i/>
                <w:iCs/>
              </w:rPr>
            </w:pPr>
            <w:r>
              <w:rPr>
                <w:rFonts w:ascii="Arial" w:hAnsi="Arial" w:cs="Arial"/>
                <w:i/>
                <w:iCs/>
              </w:rPr>
              <w:t>Melia azedaracha</w:t>
            </w:r>
          </w:p>
        </w:tc>
        <w:tc>
          <w:tcPr>
            <w:tcW w:w="2693" w:type="dxa"/>
            <w:tcMar>
              <w:top w:w="100" w:type="dxa"/>
              <w:left w:w="100" w:type="dxa"/>
              <w:bottom w:w="100" w:type="dxa"/>
              <w:right w:w="100" w:type="dxa"/>
            </w:tcMar>
          </w:tcPr>
          <w:p w14:paraId="4500422F">
            <w:pPr>
              <w:pStyle w:val="24"/>
              <w:jc w:val="center"/>
              <w:rPr>
                <w:rFonts w:ascii="Arial" w:hAnsi="Arial" w:cs="Arial"/>
              </w:rPr>
            </w:pPr>
            <w:r>
              <w:rPr>
                <w:rFonts w:ascii="Arial" w:hAnsi="Arial" w:cs="Arial"/>
              </w:rPr>
              <w:t>Preaustinoid A and B</w:t>
            </w:r>
          </w:p>
          <w:p w14:paraId="35F7D433">
            <w:pPr>
              <w:pStyle w:val="24"/>
              <w:jc w:val="center"/>
              <w:rPr>
                <w:rFonts w:ascii="Arial" w:hAnsi="Arial" w:cs="Arial"/>
              </w:rPr>
            </w:pPr>
            <w:r>
              <w:rPr>
                <w:rFonts w:ascii="Arial" w:hAnsi="Arial" w:cs="Arial"/>
              </w:rPr>
              <w:t>Verruculogen</w:t>
            </w:r>
          </w:p>
        </w:tc>
      </w:tr>
      <w:tr w14:paraId="4319D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2552" w:type="dxa"/>
            <w:tcBorders>
              <w:top w:val="single" w:color="000000" w:sz="8" w:space="0"/>
              <w:left w:val="single" w:color="000000" w:sz="8" w:space="0"/>
              <w:bottom w:val="single" w:color="000000" w:sz="8" w:space="0"/>
              <w:right w:val="single" w:color="000000" w:sz="8" w:space="0"/>
            </w:tcBorders>
            <w:tcMar>
              <w:top w:w="0" w:type="dxa"/>
              <w:left w:w="100" w:type="dxa"/>
              <w:bottom w:w="0" w:type="dxa"/>
              <w:right w:w="100" w:type="dxa"/>
            </w:tcMar>
          </w:tcPr>
          <w:p w14:paraId="7E462E3B">
            <w:pPr>
              <w:pStyle w:val="24"/>
              <w:jc w:val="center"/>
              <w:rPr>
                <w:rFonts w:ascii="Arial" w:hAnsi="Arial" w:cs="Arial"/>
                <w:b/>
                <w:bCs/>
              </w:rPr>
            </w:pPr>
            <w:r>
              <w:rPr>
                <w:rFonts w:ascii="Arial" w:hAnsi="Arial" w:cs="Arial"/>
                <w:b/>
                <w:bCs/>
                <w:i/>
                <w:iCs/>
              </w:rPr>
              <w:t>Aspergillus</w:t>
            </w:r>
            <w:r>
              <w:rPr>
                <w:rFonts w:ascii="Arial" w:hAnsi="Arial" w:cs="Arial"/>
                <w:b/>
                <w:bCs/>
              </w:rPr>
              <w:t xml:space="preserve"> sp. (Gupta et al., 2025)</w:t>
            </w:r>
          </w:p>
        </w:tc>
        <w:tc>
          <w:tcPr>
            <w:tcW w:w="2977" w:type="dxa"/>
            <w:tcMar>
              <w:top w:w="100" w:type="dxa"/>
              <w:left w:w="100" w:type="dxa"/>
              <w:bottom w:w="100" w:type="dxa"/>
              <w:right w:w="100" w:type="dxa"/>
            </w:tcMar>
          </w:tcPr>
          <w:p w14:paraId="6568992C">
            <w:pPr>
              <w:pStyle w:val="24"/>
              <w:jc w:val="center"/>
              <w:rPr>
                <w:rFonts w:ascii="Arial" w:hAnsi="Arial" w:cs="Arial"/>
                <w:i/>
                <w:iCs/>
              </w:rPr>
            </w:pPr>
            <w:r>
              <w:rPr>
                <w:rFonts w:ascii="Arial" w:hAnsi="Arial" w:cs="Arial"/>
                <w:i/>
                <w:iCs/>
              </w:rPr>
              <w:t>Dillenia indica</w:t>
            </w:r>
          </w:p>
        </w:tc>
        <w:tc>
          <w:tcPr>
            <w:tcW w:w="2693" w:type="dxa"/>
            <w:tcMar>
              <w:top w:w="100" w:type="dxa"/>
              <w:left w:w="100" w:type="dxa"/>
              <w:bottom w:w="100" w:type="dxa"/>
              <w:right w:w="100" w:type="dxa"/>
            </w:tcMar>
          </w:tcPr>
          <w:p w14:paraId="78C9240B">
            <w:pPr>
              <w:pStyle w:val="24"/>
              <w:jc w:val="center"/>
              <w:rPr>
                <w:rFonts w:ascii="Arial" w:hAnsi="Arial" w:cs="Arial"/>
              </w:rPr>
            </w:pPr>
            <w:r>
              <w:rPr>
                <w:rFonts w:ascii="Arial" w:hAnsi="Arial" w:cs="Arial"/>
              </w:rPr>
              <w:t>Phenolics</w:t>
            </w:r>
          </w:p>
          <w:p w14:paraId="5778ABE3">
            <w:pPr>
              <w:pStyle w:val="24"/>
              <w:jc w:val="center"/>
              <w:rPr>
                <w:rFonts w:ascii="Arial" w:hAnsi="Arial" w:cs="Arial"/>
              </w:rPr>
            </w:pPr>
            <w:r>
              <w:rPr>
                <w:rFonts w:ascii="Arial" w:hAnsi="Arial" w:cs="Arial"/>
              </w:rPr>
              <w:t>Flavonoids</w:t>
            </w:r>
          </w:p>
          <w:p w14:paraId="4B6700E6">
            <w:pPr>
              <w:pStyle w:val="24"/>
              <w:jc w:val="center"/>
              <w:rPr>
                <w:rFonts w:ascii="Arial" w:hAnsi="Arial" w:cs="Arial"/>
              </w:rPr>
            </w:pPr>
            <w:r>
              <w:rPr>
                <w:rFonts w:ascii="Arial" w:hAnsi="Arial" w:cs="Arial"/>
              </w:rPr>
              <w:t>Terpenes</w:t>
            </w:r>
          </w:p>
          <w:p w14:paraId="499A64CD">
            <w:pPr>
              <w:pStyle w:val="24"/>
              <w:jc w:val="center"/>
              <w:rPr>
                <w:rFonts w:ascii="Arial" w:hAnsi="Arial" w:cs="Arial"/>
              </w:rPr>
            </w:pPr>
            <w:r>
              <w:rPr>
                <w:rFonts w:ascii="Arial" w:hAnsi="Arial" w:cs="Arial"/>
              </w:rPr>
              <w:t>Steroids</w:t>
            </w:r>
          </w:p>
        </w:tc>
      </w:tr>
    </w:tbl>
    <w:p w14:paraId="52AE27DB">
      <w:pPr>
        <w:pStyle w:val="24"/>
        <w:rPr>
          <w:rFonts w:ascii="Arial" w:hAnsi="Arial" w:cs="Arial"/>
        </w:rPr>
      </w:pPr>
    </w:p>
    <w:p w14:paraId="7E3BDF16">
      <w:pPr>
        <w:pStyle w:val="24"/>
        <w:rPr>
          <w:rFonts w:ascii="Arial" w:hAnsi="Arial" w:cs="Arial"/>
        </w:rPr>
      </w:pPr>
      <w:r>
        <w:rPr>
          <w:rFonts w:ascii="Arial" w:hAnsi="Arial" w:cs="Arial"/>
        </w:rPr>
        <w:t xml:space="preserve">In the case of </w:t>
      </w:r>
      <w:r>
        <w:rPr>
          <w:rFonts w:ascii="Arial" w:hAnsi="Arial" w:cs="Arial"/>
          <w:i/>
          <w:iCs/>
        </w:rPr>
        <w:t>Talaromyces purpureogenus</w:t>
      </w:r>
      <w:r>
        <w:rPr>
          <w:rFonts w:ascii="Arial" w:hAnsi="Arial" w:cs="Arial"/>
        </w:rPr>
        <w:t xml:space="preserve">, the extracted metabolites were evaluated with </w:t>
      </w:r>
      <w:r>
        <w:rPr>
          <w:rFonts w:ascii="Arial" w:hAnsi="Arial" w:cs="Arial"/>
          <w:i/>
          <w:iCs/>
        </w:rPr>
        <w:t>in vitro</w:t>
      </w:r>
      <w:r>
        <w:rPr>
          <w:rFonts w:ascii="Arial" w:hAnsi="Arial" w:cs="Arial"/>
        </w:rPr>
        <w:t xml:space="preserve"> models to demonstrate antiviral activity against pseudorabies virus (PRV), a member of the Herpesviridae subfamily. PRV has a relatively short replication cycle, resulting in the effective destruction of infected cells, rapid spread, and the establishment of a latent infection in the host. Talaromyolide I and K showed inhibition effect rates of 48.69 % and 60.11 %, blocking effect rates of 45.71 % and 53.24 %, and killing effect rates of 48.69 % and 62.16 %, respectively, at a concentration of 50 mg/ml. Additionally, they play a significant role during viral adsorption (Cao et al., 2020).</w:t>
      </w:r>
    </w:p>
    <w:p w14:paraId="59EA49B9">
      <w:pPr>
        <w:pStyle w:val="24"/>
        <w:rPr>
          <w:rFonts w:ascii="Arial" w:hAnsi="Arial" w:cs="Arial"/>
        </w:rPr>
      </w:pPr>
      <w:r>
        <w:rPr>
          <w:rFonts w:ascii="Arial" w:hAnsi="Arial" w:cs="Arial"/>
        </w:rPr>
        <w:t xml:space="preserve">Regarding </w:t>
      </w:r>
      <w:r>
        <w:rPr>
          <w:rFonts w:ascii="Arial" w:hAnsi="Arial" w:cs="Arial"/>
          <w:i/>
          <w:iCs/>
        </w:rPr>
        <w:t>Chaetomium globosum</w:t>
      </w:r>
      <w:r>
        <w:rPr>
          <w:rFonts w:ascii="Arial" w:hAnsi="Arial" w:cs="Arial"/>
        </w:rPr>
        <w:t xml:space="preserve"> collected from </w:t>
      </w:r>
      <w:r>
        <w:rPr>
          <w:rFonts w:ascii="Arial" w:hAnsi="Arial" w:cs="Arial"/>
          <w:i/>
          <w:iCs/>
        </w:rPr>
        <w:t>Ginkgo biloba</w:t>
      </w:r>
      <w:r>
        <w:rPr>
          <w:rFonts w:ascii="Arial" w:hAnsi="Arial" w:cs="Arial"/>
        </w:rPr>
        <w:t xml:space="preserve">, chaetomugilin A and D, with antifungal activity, have been isolated. Also, </w:t>
      </w:r>
      <w:r>
        <w:rPr>
          <w:rFonts w:ascii="Arial" w:hAnsi="Arial" w:cs="Arial"/>
          <w:i/>
          <w:iCs/>
        </w:rPr>
        <w:t>in vitro</w:t>
      </w:r>
      <w:r>
        <w:rPr>
          <w:rFonts w:ascii="Arial" w:hAnsi="Arial" w:cs="Arial"/>
        </w:rPr>
        <w:t xml:space="preserve">, endophytic fungi of the genus </w:t>
      </w:r>
      <w:r>
        <w:rPr>
          <w:rFonts w:ascii="Arial" w:hAnsi="Arial" w:cs="Arial"/>
          <w:i/>
          <w:iCs/>
        </w:rPr>
        <w:t>Phomopsis</w:t>
      </w:r>
      <w:r>
        <w:rPr>
          <w:rFonts w:ascii="Arial" w:hAnsi="Arial" w:cs="Arial"/>
        </w:rPr>
        <w:t xml:space="preserve"> synthesize cytosporone B and C, which exhibit antifungal activity against </w:t>
      </w:r>
      <w:r>
        <w:rPr>
          <w:rFonts w:ascii="Arial" w:hAnsi="Arial" w:cs="Arial"/>
          <w:i/>
          <w:iCs/>
        </w:rPr>
        <w:t>C. albicans</w:t>
      </w:r>
      <w:r>
        <w:rPr>
          <w:rFonts w:ascii="Arial" w:hAnsi="Arial" w:cs="Arial"/>
        </w:rPr>
        <w:t xml:space="preserve"> and </w:t>
      </w:r>
      <w:r>
        <w:rPr>
          <w:rFonts w:ascii="Arial" w:hAnsi="Arial" w:cs="Arial"/>
          <w:i/>
          <w:iCs/>
        </w:rPr>
        <w:t>F. oxysporum</w:t>
      </w:r>
      <w:r>
        <w:rPr>
          <w:rFonts w:ascii="Arial" w:hAnsi="Arial" w:cs="Arial"/>
        </w:rPr>
        <w:t xml:space="preserve"> (Kumar et al., 2017). Both microorganisms represent significant threats to human health, as they are in the environment or form part of the human microbiota, and have pathogenic potential under conditions of immune system disorders (immunological, metabolic, and oncological pathologies) (Góralska et al., 2024).</w:t>
      </w:r>
    </w:p>
    <w:p w14:paraId="0C1B2C48">
      <w:pPr>
        <w:pStyle w:val="24"/>
        <w:rPr>
          <w:rFonts w:ascii="Arial" w:hAnsi="Arial" w:cs="Arial"/>
        </w:rPr>
      </w:pPr>
      <w:r>
        <w:rPr>
          <w:rFonts w:ascii="Arial" w:hAnsi="Arial" w:cs="Arial"/>
        </w:rPr>
        <w:t xml:space="preserve">Moreover, there are studies related to the </w:t>
      </w:r>
      <w:r>
        <w:rPr>
          <w:rFonts w:ascii="Arial" w:hAnsi="Arial" w:cs="Arial"/>
          <w:i/>
          <w:iCs/>
        </w:rPr>
        <w:t>Fomitopsis meliae</w:t>
      </w:r>
      <w:r>
        <w:rPr>
          <w:rFonts w:ascii="Arial" w:hAnsi="Arial" w:cs="Arial"/>
        </w:rPr>
        <w:t xml:space="preserve"> extract from </w:t>
      </w:r>
      <w:r>
        <w:rPr>
          <w:rFonts w:ascii="Arial" w:hAnsi="Arial" w:cs="Arial"/>
          <w:i/>
          <w:iCs/>
        </w:rPr>
        <w:t xml:space="preserve">D. indica </w:t>
      </w:r>
      <w:r>
        <w:rPr>
          <w:rFonts w:ascii="Arial" w:hAnsi="Arial" w:cs="Arial"/>
        </w:rPr>
        <w:t xml:space="preserve">L. This fungal species has been documented to produce compounds, such as griseofulvin and alkanes, with biological activity against the human pathogenic bacteria </w:t>
      </w:r>
      <w:r>
        <w:rPr>
          <w:rFonts w:ascii="Arial" w:hAnsi="Arial" w:cs="Arial"/>
          <w:i/>
          <w:iCs/>
        </w:rPr>
        <w:t>S. aureus</w:t>
      </w:r>
      <w:r>
        <w:rPr>
          <w:rFonts w:ascii="Arial" w:hAnsi="Arial" w:cs="Arial"/>
        </w:rPr>
        <w:t xml:space="preserve"> and </w:t>
      </w:r>
      <w:r>
        <w:rPr>
          <w:rFonts w:ascii="Arial" w:hAnsi="Arial" w:cs="Arial"/>
          <w:i/>
          <w:iCs/>
        </w:rPr>
        <w:t>P. aeruginosa</w:t>
      </w:r>
      <w:r>
        <w:rPr>
          <w:rFonts w:ascii="Arial" w:hAnsi="Arial" w:cs="Arial"/>
        </w:rPr>
        <w:t xml:space="preserve"> (Kumar and Prasher, 2022).</w:t>
      </w:r>
    </w:p>
    <w:p w14:paraId="097E731E">
      <w:pPr>
        <w:pStyle w:val="24"/>
        <w:rPr>
          <w:rFonts w:ascii="Arial" w:hAnsi="Arial" w:cs="Arial"/>
        </w:rPr>
      </w:pPr>
      <w:r>
        <w:rPr>
          <w:rFonts w:ascii="Arial" w:hAnsi="Arial" w:cs="Arial"/>
        </w:rPr>
        <w:t xml:space="preserve">Likewise, </w:t>
      </w:r>
      <w:r>
        <w:rPr>
          <w:rFonts w:ascii="Arial" w:hAnsi="Arial" w:cs="Arial"/>
          <w:i/>
          <w:iCs/>
        </w:rPr>
        <w:t>in vitro</w:t>
      </w:r>
      <w:r>
        <w:rPr>
          <w:rFonts w:ascii="Arial" w:hAnsi="Arial" w:cs="Arial"/>
        </w:rPr>
        <w:t xml:space="preserve"> studies have been performed with South African plants. Some examples are </w:t>
      </w:r>
      <w:r>
        <w:rPr>
          <w:rFonts w:ascii="Arial" w:hAnsi="Arial" w:cs="Arial"/>
          <w:i/>
          <w:iCs/>
        </w:rPr>
        <w:t>P. zombamontana</w:t>
      </w:r>
      <w:r>
        <w:rPr>
          <w:rFonts w:ascii="Arial" w:hAnsi="Arial" w:cs="Arial"/>
        </w:rPr>
        <w:t xml:space="preserve"> and </w:t>
      </w:r>
      <w:r>
        <w:rPr>
          <w:rFonts w:ascii="Arial" w:hAnsi="Arial" w:cs="Arial"/>
          <w:i/>
          <w:iCs/>
        </w:rPr>
        <w:t>T. capensis</w:t>
      </w:r>
      <w:r>
        <w:rPr>
          <w:rFonts w:ascii="Arial" w:hAnsi="Arial" w:cs="Arial"/>
        </w:rPr>
        <w:t xml:space="preserve">. From these samples, the microorganisms </w:t>
      </w:r>
      <w:r>
        <w:rPr>
          <w:rFonts w:ascii="Arial" w:hAnsi="Arial" w:cs="Arial"/>
          <w:i/>
          <w:iCs/>
        </w:rPr>
        <w:t xml:space="preserve">Cochliobolus </w:t>
      </w:r>
      <w:r>
        <w:rPr>
          <w:rFonts w:ascii="Arial" w:hAnsi="Arial" w:cs="Arial"/>
        </w:rPr>
        <w:t xml:space="preserve">sp. and </w:t>
      </w:r>
      <w:r>
        <w:rPr>
          <w:rFonts w:ascii="Arial" w:hAnsi="Arial" w:cs="Arial"/>
          <w:i/>
          <w:iCs/>
        </w:rPr>
        <w:t>Clonostachys rosea</w:t>
      </w:r>
      <w:r>
        <w:rPr>
          <w:rFonts w:ascii="Arial" w:hAnsi="Arial" w:cs="Arial"/>
        </w:rPr>
        <w:t xml:space="preserve"> were isolated, and their extracts revealed antifungal activity against </w:t>
      </w:r>
      <w:r>
        <w:rPr>
          <w:rFonts w:ascii="Arial" w:hAnsi="Arial" w:cs="Arial"/>
          <w:i/>
          <w:iCs/>
        </w:rPr>
        <w:t>Cryptococcus neoformans</w:t>
      </w:r>
      <w:r>
        <w:rPr>
          <w:rFonts w:ascii="Arial" w:hAnsi="Arial" w:cs="Arial"/>
        </w:rPr>
        <w:t xml:space="preserve"> and </w:t>
      </w:r>
      <w:r>
        <w:rPr>
          <w:rFonts w:ascii="Arial" w:hAnsi="Arial" w:cs="Arial"/>
          <w:i/>
          <w:iCs/>
        </w:rPr>
        <w:t>C. albicans</w:t>
      </w:r>
      <w:r>
        <w:rPr>
          <w:rFonts w:ascii="Arial" w:hAnsi="Arial" w:cs="Arial"/>
        </w:rPr>
        <w:t xml:space="preserve"> (Abdalla et al., 2020). </w:t>
      </w:r>
      <w:r>
        <w:rPr>
          <w:rFonts w:ascii="Arial" w:hAnsi="Arial" w:cs="Arial"/>
          <w:i/>
          <w:iCs/>
        </w:rPr>
        <w:t>C. neoformans</w:t>
      </w:r>
      <w:r>
        <w:rPr>
          <w:rFonts w:ascii="Arial" w:hAnsi="Arial" w:cs="Arial"/>
        </w:rPr>
        <w:t xml:space="preserve"> is an opportunistic fungal pathogen that affects immunocompromised individuals. Its most serious and usual infection is cryptococcal meningitis, an inflammation of the membranes surrounding the brain and spinal cord (Cruz et al., 2019).</w:t>
      </w:r>
    </w:p>
    <w:p w14:paraId="5312F8C6">
      <w:pPr>
        <w:pStyle w:val="24"/>
        <w:rPr>
          <w:rFonts w:ascii="Arial" w:hAnsi="Arial" w:cs="Arial"/>
        </w:rPr>
      </w:pPr>
      <w:r>
        <w:rPr>
          <w:rFonts w:ascii="Arial" w:hAnsi="Arial" w:cs="Arial"/>
        </w:rPr>
        <w:t xml:space="preserve">As a complement, genera obtained from the aerial parts of </w:t>
      </w:r>
      <w:r>
        <w:rPr>
          <w:rFonts w:ascii="Arial" w:hAnsi="Arial" w:cs="Arial"/>
          <w:i/>
          <w:iCs/>
        </w:rPr>
        <w:t xml:space="preserve">Z. tenuior </w:t>
      </w:r>
      <w:r>
        <w:rPr>
          <w:rFonts w:ascii="Arial" w:hAnsi="Arial" w:cs="Arial"/>
        </w:rPr>
        <w:t xml:space="preserve">L. can be mentioned, specifically </w:t>
      </w:r>
      <w:r>
        <w:rPr>
          <w:rFonts w:ascii="Arial" w:hAnsi="Arial" w:cs="Arial"/>
          <w:i/>
          <w:iCs/>
        </w:rPr>
        <w:t>Acremonium</w:t>
      </w:r>
      <w:r>
        <w:rPr>
          <w:rFonts w:ascii="Arial" w:hAnsi="Arial" w:cs="Arial"/>
        </w:rPr>
        <w:t xml:space="preserve">, </w:t>
      </w:r>
      <w:r>
        <w:rPr>
          <w:rFonts w:ascii="Arial" w:hAnsi="Arial" w:cs="Arial"/>
          <w:i/>
          <w:iCs/>
        </w:rPr>
        <w:t>Alternaria</w:t>
      </w:r>
      <w:r>
        <w:rPr>
          <w:rFonts w:ascii="Arial" w:hAnsi="Arial" w:cs="Arial"/>
        </w:rPr>
        <w:t xml:space="preserve">, </w:t>
      </w:r>
      <w:r>
        <w:rPr>
          <w:rFonts w:ascii="Arial" w:hAnsi="Arial" w:cs="Arial"/>
          <w:i/>
          <w:iCs/>
        </w:rPr>
        <w:t>Aspergillus</w:t>
      </w:r>
      <w:r>
        <w:rPr>
          <w:rFonts w:ascii="Arial" w:hAnsi="Arial" w:cs="Arial"/>
        </w:rPr>
        <w:t xml:space="preserve">, </w:t>
      </w:r>
      <w:r>
        <w:rPr>
          <w:rFonts w:ascii="Arial" w:hAnsi="Arial" w:cs="Arial"/>
          <w:i/>
          <w:iCs/>
        </w:rPr>
        <w:t>Cladosporium</w:t>
      </w:r>
      <w:r>
        <w:rPr>
          <w:rFonts w:ascii="Arial" w:hAnsi="Arial" w:cs="Arial"/>
        </w:rPr>
        <w:t xml:space="preserve">, </w:t>
      </w:r>
      <w:r>
        <w:rPr>
          <w:rFonts w:ascii="Arial" w:hAnsi="Arial" w:cs="Arial"/>
          <w:i/>
          <w:iCs/>
        </w:rPr>
        <w:t>Neocamarosporium</w:t>
      </w:r>
      <w:r>
        <w:rPr>
          <w:rFonts w:ascii="Arial" w:hAnsi="Arial" w:cs="Arial"/>
        </w:rPr>
        <w:t xml:space="preserve">, and </w:t>
      </w:r>
      <w:r>
        <w:rPr>
          <w:rFonts w:ascii="Arial" w:hAnsi="Arial" w:cs="Arial"/>
          <w:i/>
          <w:iCs/>
        </w:rPr>
        <w:t>Stemphylium</w:t>
      </w:r>
      <w:r>
        <w:rPr>
          <w:rFonts w:ascii="Arial" w:hAnsi="Arial" w:cs="Arial"/>
        </w:rPr>
        <w:t xml:space="preserve">. </w:t>
      </w:r>
      <w:r>
        <w:rPr>
          <w:rFonts w:ascii="Arial" w:hAnsi="Arial" w:cs="Arial"/>
          <w:i/>
          <w:iCs/>
        </w:rPr>
        <w:t>Aspergillus ochraceus</w:t>
      </w:r>
      <w:r>
        <w:rPr>
          <w:rFonts w:ascii="Arial" w:hAnsi="Arial" w:cs="Arial"/>
        </w:rPr>
        <w:t xml:space="preserve"> showed antibacterial activity against </w:t>
      </w:r>
      <w:r>
        <w:rPr>
          <w:rFonts w:ascii="Arial" w:hAnsi="Arial" w:cs="Arial"/>
          <w:i/>
          <w:iCs/>
        </w:rPr>
        <w:t>Bacillus cereus</w:t>
      </w:r>
      <w:r>
        <w:rPr>
          <w:rFonts w:ascii="Arial" w:hAnsi="Arial" w:cs="Arial"/>
        </w:rPr>
        <w:t xml:space="preserve">, </w:t>
      </w:r>
      <w:r>
        <w:rPr>
          <w:rFonts w:ascii="Arial" w:hAnsi="Arial" w:cs="Arial"/>
          <w:i/>
          <w:iCs/>
        </w:rPr>
        <w:t>B. subtilis</w:t>
      </w:r>
      <w:r>
        <w:rPr>
          <w:rFonts w:ascii="Arial" w:hAnsi="Arial" w:cs="Arial"/>
        </w:rPr>
        <w:t xml:space="preserve">, </w:t>
      </w:r>
      <w:r>
        <w:rPr>
          <w:rFonts w:ascii="Arial" w:hAnsi="Arial" w:cs="Arial"/>
          <w:i/>
          <w:iCs/>
        </w:rPr>
        <w:t>E. coli</w:t>
      </w:r>
      <w:r>
        <w:rPr>
          <w:rFonts w:ascii="Arial" w:hAnsi="Arial" w:cs="Arial"/>
        </w:rPr>
        <w:t xml:space="preserve">, and </w:t>
      </w:r>
      <w:r>
        <w:rPr>
          <w:rFonts w:ascii="Arial" w:hAnsi="Arial" w:cs="Arial"/>
          <w:i/>
          <w:iCs/>
        </w:rPr>
        <w:t>P. aeruginosa</w:t>
      </w:r>
      <w:r>
        <w:rPr>
          <w:rFonts w:ascii="Arial" w:hAnsi="Arial" w:cs="Arial"/>
        </w:rPr>
        <w:t>, although with a smaller diameter than gentamicin (positive control). Its effectiveness may be due to its high fatty acid content. Linoleic acid possesses an antibacterial mechanism of activity by inhibiting the enoyl-acyl carrier protein reductase (FabI), essential for bacterial fatty acid synthesis (Gaffari et al., 2023).</w:t>
      </w:r>
    </w:p>
    <w:p w14:paraId="19DEAA96">
      <w:pPr>
        <w:pStyle w:val="24"/>
        <w:rPr>
          <w:rFonts w:ascii="Arial" w:hAnsi="Arial" w:cs="Arial"/>
        </w:rPr>
      </w:pPr>
      <w:r>
        <w:rPr>
          <w:rFonts w:ascii="Arial" w:hAnsi="Arial" w:cs="Arial"/>
        </w:rPr>
        <w:t xml:space="preserve">Other </w:t>
      </w:r>
      <w:r>
        <w:rPr>
          <w:rFonts w:ascii="Arial" w:hAnsi="Arial" w:cs="Arial"/>
          <w:i/>
          <w:iCs/>
        </w:rPr>
        <w:t>in vitro</w:t>
      </w:r>
      <w:r>
        <w:rPr>
          <w:rFonts w:ascii="Arial" w:hAnsi="Arial" w:cs="Arial"/>
        </w:rPr>
        <w:t xml:space="preserve"> investigations have demonstrated that the methyl ether of fusarubin, isolated from </w:t>
      </w:r>
      <w:r>
        <w:rPr>
          <w:rFonts w:ascii="Arial" w:hAnsi="Arial" w:cs="Arial"/>
          <w:i/>
          <w:iCs/>
        </w:rPr>
        <w:t>Cladosporium</w:t>
      </w:r>
      <w:r>
        <w:rPr>
          <w:rFonts w:ascii="Arial" w:hAnsi="Arial" w:cs="Arial"/>
        </w:rPr>
        <w:t xml:space="preserve"> sp. (present in </w:t>
      </w:r>
      <w:r>
        <w:rPr>
          <w:rFonts w:ascii="Arial" w:hAnsi="Arial" w:cs="Arial"/>
          <w:i/>
          <w:iCs/>
        </w:rPr>
        <w:t>R. serpentina</w:t>
      </w:r>
      <w:r>
        <w:rPr>
          <w:rFonts w:ascii="Arial" w:hAnsi="Arial" w:cs="Arial"/>
        </w:rPr>
        <w:t xml:space="preserve">), has significant antimicrobial activity against </w:t>
      </w:r>
      <w:r>
        <w:rPr>
          <w:rFonts w:ascii="Arial" w:hAnsi="Arial" w:cs="Arial"/>
          <w:i/>
          <w:iCs/>
        </w:rPr>
        <w:t>S. aureus</w:t>
      </w:r>
      <w:r>
        <w:rPr>
          <w:rFonts w:ascii="Arial" w:hAnsi="Arial" w:cs="Arial"/>
        </w:rPr>
        <w:t xml:space="preserve">, </w:t>
      </w:r>
      <w:r>
        <w:rPr>
          <w:rFonts w:ascii="Arial" w:hAnsi="Arial" w:cs="Arial"/>
          <w:i/>
          <w:iCs/>
        </w:rPr>
        <w:t>E. coli</w:t>
      </w:r>
      <w:r>
        <w:rPr>
          <w:rFonts w:ascii="Arial" w:hAnsi="Arial" w:cs="Arial"/>
        </w:rPr>
        <w:t xml:space="preserve">, </w:t>
      </w:r>
      <w:r>
        <w:rPr>
          <w:rFonts w:ascii="Arial" w:hAnsi="Arial" w:cs="Arial"/>
          <w:i/>
          <w:iCs/>
        </w:rPr>
        <w:t>P. aeruginosa</w:t>
      </w:r>
      <w:r>
        <w:rPr>
          <w:rFonts w:ascii="Arial" w:hAnsi="Arial" w:cs="Arial"/>
        </w:rPr>
        <w:t xml:space="preserve">, and </w:t>
      </w:r>
      <w:r>
        <w:rPr>
          <w:rFonts w:ascii="Arial" w:hAnsi="Arial" w:cs="Arial"/>
          <w:i/>
          <w:iCs/>
        </w:rPr>
        <w:t>Bacillus megaterium</w:t>
      </w:r>
      <w:r>
        <w:rPr>
          <w:rFonts w:ascii="Arial" w:hAnsi="Arial" w:cs="Arial"/>
        </w:rPr>
        <w:t xml:space="preserve">, with inhibition zones of 27 mm, 25 mm, 24 mm, and 22 mm, respectively, at a dose of 40 μg/disc (Khan et al., 2016). Metabolites of this same genus have been elucidated from </w:t>
      </w:r>
      <w:r>
        <w:rPr>
          <w:rFonts w:ascii="Arial" w:hAnsi="Arial" w:cs="Arial"/>
          <w:i/>
          <w:iCs/>
        </w:rPr>
        <w:t>S. salsa</w:t>
      </w:r>
      <w:r>
        <w:rPr>
          <w:rFonts w:ascii="Arial" w:hAnsi="Arial" w:cs="Arial"/>
        </w:rPr>
        <w:t xml:space="preserve">, particularly pestalothiopamide E, quercetin, 4-methoxybenzoic acid, and 2,4-dihydroxyacetophenone. These molecules exhibited varying degrees of antimicrobial activity against </w:t>
      </w:r>
      <w:r>
        <w:rPr>
          <w:rFonts w:ascii="Arial" w:hAnsi="Arial" w:cs="Arial"/>
          <w:i/>
          <w:iCs/>
        </w:rPr>
        <w:t>P. aeruginosa</w:t>
      </w:r>
      <w:r>
        <w:rPr>
          <w:rFonts w:ascii="Arial" w:hAnsi="Arial" w:cs="Arial"/>
        </w:rPr>
        <w:t xml:space="preserve">, </w:t>
      </w:r>
      <w:r>
        <w:rPr>
          <w:rFonts w:ascii="Arial" w:hAnsi="Arial" w:cs="Arial"/>
          <w:i/>
          <w:iCs/>
        </w:rPr>
        <w:t>E. coli</w:t>
      </w:r>
      <w:r>
        <w:rPr>
          <w:rFonts w:ascii="Arial" w:hAnsi="Arial" w:cs="Arial"/>
        </w:rPr>
        <w:t xml:space="preserve">, </w:t>
      </w:r>
      <w:r>
        <w:rPr>
          <w:rFonts w:ascii="Arial" w:hAnsi="Arial" w:cs="Arial"/>
          <w:i/>
          <w:iCs/>
        </w:rPr>
        <w:t>Vibrio parahaemolyticus</w:t>
      </w:r>
      <w:r>
        <w:rPr>
          <w:rFonts w:ascii="Arial" w:hAnsi="Arial" w:cs="Arial"/>
        </w:rPr>
        <w:t xml:space="preserve">, </w:t>
      </w:r>
      <w:r>
        <w:rPr>
          <w:rFonts w:ascii="Arial" w:hAnsi="Arial" w:cs="Arial"/>
          <w:i/>
          <w:iCs/>
        </w:rPr>
        <w:t>Vibrio alginolyticus</w:t>
      </w:r>
      <w:r>
        <w:rPr>
          <w:rFonts w:ascii="Arial" w:hAnsi="Arial" w:cs="Arial"/>
        </w:rPr>
        <w:t xml:space="preserve">, </w:t>
      </w:r>
      <w:r>
        <w:rPr>
          <w:rFonts w:ascii="Arial" w:hAnsi="Arial" w:cs="Arial"/>
          <w:i/>
          <w:iCs/>
        </w:rPr>
        <w:t>Vibrio cholerae</w:t>
      </w:r>
      <w:r>
        <w:rPr>
          <w:rFonts w:ascii="Arial" w:hAnsi="Arial" w:cs="Arial"/>
        </w:rPr>
        <w:t xml:space="preserve">, and </w:t>
      </w:r>
      <w:r>
        <w:rPr>
          <w:rFonts w:ascii="Arial" w:hAnsi="Arial" w:cs="Arial"/>
          <w:i/>
          <w:iCs/>
        </w:rPr>
        <w:t>Vibrio vulnificus</w:t>
      </w:r>
      <w:r>
        <w:rPr>
          <w:rFonts w:ascii="Arial" w:hAnsi="Arial" w:cs="Arial"/>
        </w:rPr>
        <w:t xml:space="preserve"> (Zhang et al., 2023).</w:t>
      </w:r>
    </w:p>
    <w:p w14:paraId="0E42EA20">
      <w:pPr>
        <w:pStyle w:val="24"/>
        <w:rPr>
          <w:rFonts w:ascii="Arial" w:hAnsi="Arial" w:cs="Arial"/>
        </w:rPr>
      </w:pPr>
      <w:r>
        <w:rPr>
          <w:rFonts w:ascii="Arial" w:hAnsi="Arial" w:cs="Arial"/>
        </w:rPr>
        <w:t xml:space="preserve">Furthermore, </w:t>
      </w:r>
      <w:r>
        <w:rPr>
          <w:rFonts w:ascii="Arial" w:hAnsi="Arial" w:cs="Arial"/>
          <w:i/>
          <w:iCs/>
        </w:rPr>
        <w:t>Alternaria</w:t>
      </w:r>
      <w:r>
        <w:rPr>
          <w:rFonts w:ascii="Arial" w:hAnsi="Arial" w:cs="Arial"/>
        </w:rPr>
        <w:t xml:space="preserve"> sp. has been recognized for producing pharmacologically active metabolites, including pyrones, steroids, terpenoids, phenolics, quinones, and nitrogen-containing compounds. These substances exhibit multiple biological activities, including antimicrobial ones. Evidence of this was observed in </w:t>
      </w:r>
      <w:r>
        <w:rPr>
          <w:rFonts w:ascii="Arial" w:hAnsi="Arial" w:cs="Arial"/>
          <w:i/>
          <w:iCs/>
        </w:rPr>
        <w:t>Alternaria tenuissima</w:t>
      </w:r>
      <w:r>
        <w:rPr>
          <w:rFonts w:ascii="Arial" w:hAnsi="Arial" w:cs="Arial"/>
        </w:rPr>
        <w:t xml:space="preserve">, isolated from </w:t>
      </w:r>
      <w:r>
        <w:rPr>
          <w:rFonts w:ascii="Arial" w:hAnsi="Arial" w:cs="Arial"/>
          <w:i/>
          <w:iCs/>
        </w:rPr>
        <w:t>A. judaica</w:t>
      </w:r>
      <w:r>
        <w:rPr>
          <w:rFonts w:ascii="Arial" w:hAnsi="Arial" w:cs="Arial"/>
        </w:rPr>
        <w:t xml:space="preserve"> L., which inhibited the growth of </w:t>
      </w:r>
      <w:r>
        <w:rPr>
          <w:rFonts w:ascii="Arial" w:hAnsi="Arial" w:cs="Arial"/>
          <w:i/>
          <w:iCs/>
        </w:rPr>
        <w:t>P. aeruginosa</w:t>
      </w:r>
      <w:r>
        <w:rPr>
          <w:rFonts w:ascii="Arial" w:hAnsi="Arial" w:cs="Arial"/>
        </w:rPr>
        <w:t xml:space="preserve">, </w:t>
      </w:r>
      <w:r>
        <w:rPr>
          <w:rFonts w:ascii="Arial" w:hAnsi="Arial" w:cs="Arial"/>
          <w:i/>
          <w:iCs/>
        </w:rPr>
        <w:t>S. aureus</w:t>
      </w:r>
      <w:r>
        <w:rPr>
          <w:rFonts w:ascii="Arial" w:hAnsi="Arial" w:cs="Arial"/>
        </w:rPr>
        <w:t xml:space="preserve">, </w:t>
      </w:r>
      <w:r>
        <w:rPr>
          <w:rFonts w:ascii="Arial" w:hAnsi="Arial" w:cs="Arial"/>
          <w:i/>
          <w:iCs/>
        </w:rPr>
        <w:t>Fusarium solani</w:t>
      </w:r>
      <w:r>
        <w:rPr>
          <w:rFonts w:ascii="Arial" w:hAnsi="Arial" w:cs="Arial"/>
        </w:rPr>
        <w:t xml:space="preserve">, and </w:t>
      </w:r>
      <w:r>
        <w:rPr>
          <w:rFonts w:ascii="Arial" w:hAnsi="Arial" w:cs="Arial"/>
          <w:i/>
          <w:iCs/>
        </w:rPr>
        <w:t>Aspergillus niger</w:t>
      </w:r>
      <w:r>
        <w:rPr>
          <w:rFonts w:ascii="Arial" w:hAnsi="Arial" w:cs="Arial"/>
        </w:rPr>
        <w:t xml:space="preserve"> at concentrations of 30 mg/ml with a disc diffusion assay (Al Mousa et al., 2021).</w:t>
      </w:r>
    </w:p>
    <w:p w14:paraId="381C98DB">
      <w:pPr>
        <w:pStyle w:val="24"/>
        <w:rPr>
          <w:rFonts w:ascii="Arial" w:hAnsi="Arial" w:cs="Arial"/>
        </w:rPr>
      </w:pPr>
      <w:r>
        <w:rPr>
          <w:rFonts w:ascii="Arial" w:hAnsi="Arial" w:cs="Arial"/>
        </w:rPr>
        <w:t xml:space="preserve">Besides, </w:t>
      </w:r>
      <w:r>
        <w:rPr>
          <w:rFonts w:ascii="Arial" w:hAnsi="Arial" w:cs="Arial"/>
          <w:i/>
          <w:iCs/>
        </w:rPr>
        <w:t>Stemphylium</w:t>
      </w:r>
      <w:r>
        <w:rPr>
          <w:rFonts w:ascii="Arial" w:hAnsi="Arial" w:cs="Arial"/>
        </w:rPr>
        <w:t xml:space="preserve"> species synthesize a wide variety of secondary metabolites. </w:t>
      </w:r>
      <w:r>
        <w:rPr>
          <w:rFonts w:ascii="Arial" w:hAnsi="Arial" w:cs="Arial"/>
          <w:i/>
          <w:iCs/>
        </w:rPr>
        <w:t>Stemphylium vesicarium</w:t>
      </w:r>
      <w:r>
        <w:rPr>
          <w:rFonts w:ascii="Arial" w:hAnsi="Arial" w:cs="Arial"/>
        </w:rPr>
        <w:t xml:space="preserve">, found in </w:t>
      </w:r>
      <w:r>
        <w:rPr>
          <w:rFonts w:ascii="Arial" w:hAnsi="Arial" w:cs="Arial"/>
          <w:i/>
          <w:iCs/>
        </w:rPr>
        <w:t>P. oleracea</w:t>
      </w:r>
      <w:r>
        <w:rPr>
          <w:rFonts w:ascii="Arial" w:hAnsi="Arial" w:cs="Arial"/>
        </w:rPr>
        <w:t>, shows antibacterial activity (Gaffari et al., 2023).</w:t>
      </w:r>
    </w:p>
    <w:p w14:paraId="3C20CB1F">
      <w:pPr>
        <w:pStyle w:val="24"/>
        <w:rPr>
          <w:rFonts w:ascii="Arial" w:hAnsi="Arial" w:cs="Arial"/>
        </w:rPr>
      </w:pPr>
      <w:r>
        <w:rPr>
          <w:rFonts w:ascii="Arial" w:hAnsi="Arial" w:cs="Arial"/>
        </w:rPr>
        <w:t>As has been observed, the genetic diversity and the variety of bioactive metabolites in these organisms reinforce the importance of continuing to explore them. Nonetheless, research on these organisms has not included animal models, much less clinical trials. Therefore, the path to commercialization of these substances still requires significant research by the pharmaceutical industry.</w:t>
      </w:r>
    </w:p>
    <w:p w14:paraId="153E888A">
      <w:pPr>
        <w:pStyle w:val="24"/>
        <w:rPr>
          <w:rFonts w:ascii="Arial" w:hAnsi="Arial" w:cs="Arial"/>
          <w:b/>
          <w:bCs/>
          <w:sz w:val="22"/>
          <w:szCs w:val="22"/>
        </w:rPr>
      </w:pPr>
      <w:r>
        <w:rPr>
          <w:rFonts w:ascii="Arial" w:hAnsi="Arial" w:cs="Arial"/>
          <w:b/>
          <w:bCs/>
          <w:sz w:val="22"/>
          <w:szCs w:val="22"/>
        </w:rPr>
        <w:t>6. BIOTECHNOLOGICAL STRATEGIES TO OPTIMIZE THE PRODUCTION OF ANTIMICROBIAL AGENTS IN ENDOPHYTIC FUNGI</w:t>
      </w:r>
    </w:p>
    <w:p w14:paraId="6E1AFE5D">
      <w:pPr>
        <w:pStyle w:val="24"/>
        <w:rPr>
          <w:rFonts w:ascii="Arial" w:hAnsi="Arial" w:cs="Arial"/>
        </w:rPr>
      </w:pPr>
      <w:r>
        <w:rPr>
          <w:rFonts w:ascii="Arial" w:hAnsi="Arial" w:cs="Arial"/>
        </w:rPr>
        <w:t xml:space="preserve">Isolating endophytic fungi is a simple process. However, screening these species to determine how to produce a specific substance is extremely complex (Vasundhara et al., 2016). This situation has led to low or insufficient yields for industrial-scale considerations. In recent years, diverse chemical entities with pharmacological potential have been isolated and extensively studied, many of them with antineoplastic activity (camptothecin, paclitaxel, and podophyllotoxin, the latter also exhibiting antiviral activity) (Tiwari and Bae, 2022; Prajapati et al., 2025). Information on the therapeutic indication and the organism that produces these substances is shown in </w:t>
      </w:r>
      <w:r>
        <w:rPr>
          <w:rFonts w:ascii="Arial" w:hAnsi="Arial" w:cs="Arial"/>
          <w:b/>
          <w:bCs/>
        </w:rPr>
        <w:t>Table 3</w:t>
      </w:r>
      <w:r>
        <w:rPr>
          <w:rFonts w:ascii="Arial" w:hAnsi="Arial" w:cs="Arial"/>
        </w:rPr>
        <w:t>.</w:t>
      </w:r>
    </w:p>
    <w:p w14:paraId="1C9D2AE7">
      <w:pPr>
        <w:pStyle w:val="24"/>
        <w:rPr>
          <w:rFonts w:ascii="Arial" w:hAnsi="Arial" w:cs="Arial"/>
        </w:rPr>
      </w:pPr>
      <w:r>
        <w:rPr>
          <w:rFonts w:ascii="Arial" w:hAnsi="Arial" w:cs="Arial"/>
          <w:b/>
          <w:bCs/>
        </w:rPr>
        <w:t>Table 3</w:t>
      </w:r>
      <w:r>
        <w:rPr>
          <w:rFonts w:ascii="Arial" w:hAnsi="Arial" w:cs="Arial"/>
        </w:rPr>
        <w:t>. Examples of chemical entities with pharmacological potential.</w:t>
      </w:r>
    </w:p>
    <w:tbl>
      <w:tblPr>
        <w:tblStyle w:val="6"/>
        <w:tblW w:w="8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79"/>
        <w:gridCol w:w="1559"/>
        <w:gridCol w:w="2552"/>
        <w:gridCol w:w="2126"/>
      </w:tblGrid>
      <w:tr w14:paraId="6904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979"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54838FCC">
            <w:pPr>
              <w:pStyle w:val="24"/>
              <w:jc w:val="center"/>
              <w:rPr>
                <w:rFonts w:ascii="Arial" w:hAnsi="Arial" w:cs="Arial"/>
                <w:b/>
                <w:bCs/>
              </w:rPr>
            </w:pPr>
            <w:r>
              <w:rPr>
                <w:rFonts w:ascii="Arial" w:hAnsi="Arial" w:cs="Arial"/>
                <w:b/>
                <w:bCs/>
              </w:rPr>
              <w:t>Metabolite</w:t>
            </w:r>
          </w:p>
        </w:tc>
        <w:tc>
          <w:tcPr>
            <w:tcW w:w="1559"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56306192">
            <w:pPr>
              <w:pStyle w:val="24"/>
              <w:jc w:val="center"/>
              <w:rPr>
                <w:rFonts w:ascii="Arial" w:hAnsi="Arial" w:cs="Arial"/>
                <w:b/>
                <w:bCs/>
              </w:rPr>
            </w:pPr>
            <w:r>
              <w:rPr>
                <w:rFonts w:ascii="Arial" w:hAnsi="Arial" w:cs="Arial"/>
                <w:b/>
                <w:bCs/>
              </w:rPr>
              <w:t>Therapeutic indication</w:t>
            </w:r>
          </w:p>
        </w:tc>
        <w:tc>
          <w:tcPr>
            <w:tcW w:w="2552" w:type="dxa"/>
            <w:tcBorders>
              <w:top w:val="single" w:color="000000" w:sz="4" w:space="0"/>
              <w:left w:val="nil"/>
              <w:bottom w:val="single" w:color="000000" w:sz="4" w:space="0"/>
              <w:right w:val="single" w:color="000000" w:sz="4" w:space="0"/>
            </w:tcBorders>
            <w:tcMar>
              <w:top w:w="20" w:type="dxa"/>
              <w:left w:w="20" w:type="dxa"/>
              <w:bottom w:w="20" w:type="dxa"/>
              <w:right w:w="20" w:type="dxa"/>
            </w:tcMar>
          </w:tcPr>
          <w:p w14:paraId="191BFD6D">
            <w:pPr>
              <w:pStyle w:val="24"/>
              <w:jc w:val="center"/>
              <w:rPr>
                <w:rFonts w:ascii="Arial" w:hAnsi="Arial" w:cs="Arial"/>
                <w:b/>
                <w:bCs/>
              </w:rPr>
            </w:pPr>
            <w:r>
              <w:rPr>
                <w:rFonts w:ascii="Arial" w:hAnsi="Arial" w:cs="Arial"/>
                <w:b/>
                <w:bCs/>
              </w:rPr>
              <w:t>Mechanism of action</w:t>
            </w:r>
          </w:p>
        </w:tc>
        <w:tc>
          <w:tcPr>
            <w:tcW w:w="2126"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61D5FAD7">
            <w:pPr>
              <w:pStyle w:val="24"/>
              <w:jc w:val="center"/>
              <w:rPr>
                <w:rFonts w:ascii="Arial" w:hAnsi="Arial" w:cs="Arial"/>
                <w:b/>
                <w:bCs/>
              </w:rPr>
            </w:pPr>
            <w:r>
              <w:rPr>
                <w:rFonts w:ascii="Arial" w:hAnsi="Arial" w:cs="Arial"/>
                <w:b/>
                <w:bCs/>
              </w:rPr>
              <w:t>Endophytic fungus producer</w:t>
            </w:r>
          </w:p>
        </w:tc>
      </w:tr>
      <w:tr w14:paraId="6739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trPr>
        <w:tc>
          <w:tcPr>
            <w:tcW w:w="1979"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500375B2">
            <w:pPr>
              <w:pStyle w:val="24"/>
              <w:jc w:val="center"/>
              <w:rPr>
                <w:rFonts w:ascii="Arial" w:hAnsi="Arial" w:cs="Arial"/>
                <w:b/>
                <w:bCs/>
              </w:rPr>
            </w:pPr>
            <w:r>
              <w:rPr>
                <w:rFonts w:ascii="Arial" w:hAnsi="Arial" w:cs="Arial"/>
                <w:b/>
                <w:bCs/>
              </w:rPr>
              <w:t>Camptothecin (Tiwari and Bae, 2022; Ran et al., 2017)</w:t>
            </w:r>
          </w:p>
          <w:p w14:paraId="2FC70375">
            <w:pPr>
              <w:pStyle w:val="24"/>
              <w:jc w:val="center"/>
              <w:rPr>
                <w:rFonts w:ascii="Arial" w:hAnsi="Arial" w:cs="Arial"/>
                <w:b/>
                <w:bCs/>
              </w:rPr>
            </w:pPr>
          </w:p>
        </w:tc>
        <w:tc>
          <w:tcPr>
            <w:tcW w:w="1559" w:type="dxa"/>
            <w:tcBorders>
              <w:top w:val="nil"/>
              <w:left w:val="nil"/>
              <w:bottom w:val="single" w:color="000000" w:sz="4" w:space="0"/>
              <w:right w:val="single" w:color="000000" w:sz="4" w:space="0"/>
            </w:tcBorders>
            <w:tcMar>
              <w:top w:w="0" w:type="dxa"/>
              <w:left w:w="100" w:type="dxa"/>
              <w:bottom w:w="0" w:type="dxa"/>
              <w:right w:w="100" w:type="dxa"/>
            </w:tcMar>
          </w:tcPr>
          <w:p w14:paraId="00DC7886">
            <w:pPr>
              <w:pStyle w:val="24"/>
              <w:jc w:val="center"/>
              <w:rPr>
                <w:rFonts w:ascii="Arial" w:hAnsi="Arial" w:cs="Arial"/>
              </w:rPr>
            </w:pPr>
            <w:r>
              <w:rPr>
                <w:rFonts w:ascii="Arial" w:hAnsi="Arial" w:cs="Arial"/>
              </w:rPr>
              <w:t>Anticancer</w:t>
            </w:r>
          </w:p>
        </w:tc>
        <w:tc>
          <w:tcPr>
            <w:tcW w:w="2552" w:type="dxa"/>
            <w:tcBorders>
              <w:top w:val="nil"/>
              <w:left w:val="nil"/>
              <w:bottom w:val="single" w:color="000000" w:sz="4" w:space="0"/>
              <w:right w:val="single" w:color="000000" w:sz="4" w:space="0"/>
            </w:tcBorders>
            <w:tcMar>
              <w:top w:w="20" w:type="dxa"/>
              <w:left w:w="20" w:type="dxa"/>
              <w:bottom w:w="20" w:type="dxa"/>
              <w:right w:w="20" w:type="dxa"/>
            </w:tcMar>
          </w:tcPr>
          <w:p w14:paraId="25085811">
            <w:pPr>
              <w:pStyle w:val="24"/>
              <w:rPr>
                <w:rFonts w:ascii="Arial" w:hAnsi="Arial" w:cs="Arial"/>
              </w:rPr>
            </w:pPr>
            <w:r>
              <w:rPr>
                <w:rFonts w:ascii="Arial" w:hAnsi="Arial" w:cs="Arial"/>
              </w:rPr>
              <w:t>It inhibits topoisomerase I, which induces apoptotic pathways and cell death.</w:t>
            </w:r>
          </w:p>
        </w:tc>
        <w:tc>
          <w:tcPr>
            <w:tcW w:w="2126" w:type="dxa"/>
            <w:tcBorders>
              <w:top w:val="nil"/>
              <w:left w:val="nil"/>
              <w:bottom w:val="single" w:color="000000" w:sz="4" w:space="0"/>
              <w:right w:val="single" w:color="000000" w:sz="4" w:space="0"/>
            </w:tcBorders>
            <w:tcMar>
              <w:top w:w="0" w:type="dxa"/>
              <w:left w:w="100" w:type="dxa"/>
              <w:bottom w:w="0" w:type="dxa"/>
              <w:right w:w="100" w:type="dxa"/>
            </w:tcMar>
          </w:tcPr>
          <w:p w14:paraId="4C273E2C">
            <w:pPr>
              <w:pStyle w:val="24"/>
              <w:jc w:val="center"/>
              <w:rPr>
                <w:rFonts w:ascii="Arial" w:hAnsi="Arial" w:cs="Arial"/>
                <w:i/>
                <w:iCs/>
                <w:lang w:val="es-CR"/>
              </w:rPr>
            </w:pPr>
            <w:r>
              <w:rPr>
                <w:rFonts w:ascii="Arial" w:hAnsi="Arial" w:cs="Arial"/>
                <w:i/>
                <w:iCs/>
                <w:lang w:val="es-CR"/>
              </w:rPr>
              <w:t>Trichoderma atroviride</w:t>
            </w:r>
          </w:p>
          <w:p w14:paraId="1888F398">
            <w:pPr>
              <w:pStyle w:val="24"/>
              <w:jc w:val="center"/>
              <w:rPr>
                <w:rFonts w:ascii="Arial" w:hAnsi="Arial" w:cs="Arial"/>
                <w:i/>
                <w:iCs/>
                <w:lang w:val="es-CR"/>
              </w:rPr>
            </w:pPr>
            <w:r>
              <w:rPr>
                <w:rFonts w:ascii="Arial" w:hAnsi="Arial" w:cs="Arial"/>
                <w:i/>
                <w:iCs/>
                <w:lang w:val="es-CR"/>
              </w:rPr>
              <w:t>F. solani</w:t>
            </w:r>
          </w:p>
          <w:p w14:paraId="58F5C2AB">
            <w:pPr>
              <w:pStyle w:val="24"/>
              <w:jc w:val="center"/>
              <w:rPr>
                <w:rFonts w:ascii="Arial" w:hAnsi="Arial" w:cs="Arial"/>
                <w:lang w:val="es-CR"/>
              </w:rPr>
            </w:pPr>
            <w:r>
              <w:rPr>
                <w:rFonts w:ascii="Arial" w:hAnsi="Arial" w:cs="Arial"/>
                <w:i/>
                <w:iCs/>
                <w:lang w:val="es-CR"/>
              </w:rPr>
              <w:t>Neurospora</w:t>
            </w:r>
            <w:r>
              <w:rPr>
                <w:rFonts w:ascii="Arial" w:hAnsi="Arial" w:cs="Arial"/>
                <w:lang w:val="es-CR"/>
              </w:rPr>
              <w:t xml:space="preserve"> sp.</w:t>
            </w:r>
          </w:p>
        </w:tc>
      </w:tr>
      <w:tr w14:paraId="27AAC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4" w:hRule="atLeast"/>
        </w:trPr>
        <w:tc>
          <w:tcPr>
            <w:tcW w:w="1979"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362B6C36">
            <w:pPr>
              <w:pStyle w:val="24"/>
              <w:jc w:val="center"/>
              <w:rPr>
                <w:rFonts w:ascii="Arial" w:hAnsi="Arial" w:cs="Arial"/>
                <w:b/>
                <w:bCs/>
              </w:rPr>
            </w:pPr>
            <w:r>
              <w:rPr>
                <w:rFonts w:ascii="Arial" w:hAnsi="Arial" w:cs="Arial"/>
                <w:b/>
                <w:bCs/>
              </w:rPr>
              <w:t>Paclitaxel  (Tiwari and Bae, 2022; El-Sayed et al., 2020)</w:t>
            </w:r>
          </w:p>
          <w:p w14:paraId="3AE326B7">
            <w:pPr>
              <w:pStyle w:val="24"/>
              <w:jc w:val="center"/>
              <w:rPr>
                <w:rFonts w:ascii="Arial" w:hAnsi="Arial" w:cs="Arial"/>
                <w:b/>
                <w:bCs/>
              </w:rPr>
            </w:pPr>
          </w:p>
        </w:tc>
        <w:tc>
          <w:tcPr>
            <w:tcW w:w="1559" w:type="dxa"/>
            <w:tcBorders>
              <w:top w:val="nil"/>
              <w:left w:val="nil"/>
              <w:bottom w:val="single" w:color="000000" w:sz="4" w:space="0"/>
              <w:right w:val="single" w:color="000000" w:sz="4" w:space="0"/>
            </w:tcBorders>
            <w:tcMar>
              <w:top w:w="0" w:type="dxa"/>
              <w:left w:w="100" w:type="dxa"/>
              <w:bottom w:w="0" w:type="dxa"/>
              <w:right w:w="100" w:type="dxa"/>
            </w:tcMar>
          </w:tcPr>
          <w:p w14:paraId="3750FED1">
            <w:pPr>
              <w:pStyle w:val="24"/>
              <w:jc w:val="center"/>
              <w:rPr>
                <w:rFonts w:ascii="Arial" w:hAnsi="Arial" w:cs="Arial"/>
              </w:rPr>
            </w:pPr>
            <w:r>
              <w:rPr>
                <w:rFonts w:ascii="Arial" w:hAnsi="Arial" w:cs="Arial"/>
              </w:rPr>
              <w:t>Anticancer</w:t>
            </w:r>
          </w:p>
        </w:tc>
        <w:tc>
          <w:tcPr>
            <w:tcW w:w="2552" w:type="dxa"/>
            <w:tcBorders>
              <w:top w:val="nil"/>
              <w:left w:val="nil"/>
              <w:bottom w:val="single" w:color="000000" w:sz="4" w:space="0"/>
              <w:right w:val="single" w:color="000000" w:sz="4" w:space="0"/>
            </w:tcBorders>
            <w:tcMar>
              <w:top w:w="20" w:type="dxa"/>
              <w:left w:w="20" w:type="dxa"/>
              <w:bottom w:w="20" w:type="dxa"/>
              <w:right w:w="20" w:type="dxa"/>
            </w:tcMar>
          </w:tcPr>
          <w:p w14:paraId="394C6494">
            <w:pPr>
              <w:pStyle w:val="24"/>
              <w:rPr>
                <w:rFonts w:ascii="Arial" w:hAnsi="Arial" w:cs="Arial"/>
              </w:rPr>
            </w:pPr>
            <w:r>
              <w:rPr>
                <w:rFonts w:ascii="Arial" w:hAnsi="Arial" w:cs="Arial"/>
              </w:rPr>
              <w:t>It binds to β-tubulin, promoting microtubule assembly and disrupting mitotic division.</w:t>
            </w:r>
          </w:p>
        </w:tc>
        <w:tc>
          <w:tcPr>
            <w:tcW w:w="2126" w:type="dxa"/>
            <w:tcBorders>
              <w:top w:val="nil"/>
              <w:left w:val="nil"/>
              <w:bottom w:val="single" w:color="000000" w:sz="4" w:space="0"/>
              <w:right w:val="single" w:color="000000" w:sz="4" w:space="0"/>
            </w:tcBorders>
            <w:tcMar>
              <w:top w:w="0" w:type="dxa"/>
              <w:left w:w="100" w:type="dxa"/>
              <w:bottom w:w="0" w:type="dxa"/>
              <w:right w:w="100" w:type="dxa"/>
            </w:tcMar>
          </w:tcPr>
          <w:p w14:paraId="42BB54A3">
            <w:pPr>
              <w:pStyle w:val="24"/>
              <w:jc w:val="center"/>
              <w:rPr>
                <w:rFonts w:ascii="Arial" w:hAnsi="Arial" w:cs="Arial"/>
                <w:i/>
                <w:iCs/>
              </w:rPr>
            </w:pPr>
            <w:r>
              <w:rPr>
                <w:rFonts w:ascii="Arial" w:hAnsi="Arial" w:cs="Arial"/>
                <w:i/>
                <w:iCs/>
              </w:rPr>
              <w:t>T. andreanae</w:t>
            </w:r>
          </w:p>
        </w:tc>
      </w:tr>
      <w:tr w14:paraId="220DC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trPr>
        <w:tc>
          <w:tcPr>
            <w:tcW w:w="1979"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5DA170BD">
            <w:pPr>
              <w:pStyle w:val="24"/>
              <w:jc w:val="center"/>
              <w:rPr>
                <w:rFonts w:ascii="Arial" w:hAnsi="Arial" w:cs="Arial"/>
                <w:b/>
                <w:bCs/>
              </w:rPr>
            </w:pPr>
            <w:r>
              <w:rPr>
                <w:rFonts w:ascii="Arial" w:hAnsi="Arial" w:cs="Arial"/>
                <w:b/>
                <w:bCs/>
              </w:rPr>
              <w:t>Podophyllotoxin (Tiwari and Bae, 2022; Biswas et al., 2020)</w:t>
            </w:r>
          </w:p>
        </w:tc>
        <w:tc>
          <w:tcPr>
            <w:tcW w:w="1559" w:type="dxa"/>
            <w:tcBorders>
              <w:top w:val="nil"/>
              <w:left w:val="nil"/>
              <w:bottom w:val="single" w:color="000000" w:sz="4" w:space="0"/>
              <w:right w:val="single" w:color="000000" w:sz="4" w:space="0"/>
            </w:tcBorders>
            <w:tcMar>
              <w:top w:w="0" w:type="dxa"/>
              <w:left w:w="100" w:type="dxa"/>
              <w:bottom w:w="0" w:type="dxa"/>
              <w:right w:w="100" w:type="dxa"/>
            </w:tcMar>
          </w:tcPr>
          <w:p w14:paraId="156EFAC6">
            <w:pPr>
              <w:pStyle w:val="24"/>
              <w:jc w:val="center"/>
              <w:rPr>
                <w:rFonts w:ascii="Arial" w:hAnsi="Arial" w:cs="Arial"/>
              </w:rPr>
            </w:pPr>
            <w:r>
              <w:rPr>
                <w:rFonts w:ascii="Arial" w:hAnsi="Arial" w:cs="Arial"/>
              </w:rPr>
              <w:t>Antiviral and antineoplastic activities</w:t>
            </w:r>
          </w:p>
        </w:tc>
        <w:tc>
          <w:tcPr>
            <w:tcW w:w="2552" w:type="dxa"/>
            <w:tcBorders>
              <w:top w:val="nil"/>
              <w:left w:val="nil"/>
              <w:bottom w:val="single" w:color="000000" w:sz="4" w:space="0"/>
              <w:right w:val="single" w:color="000000" w:sz="4" w:space="0"/>
            </w:tcBorders>
            <w:tcMar>
              <w:top w:w="20" w:type="dxa"/>
              <w:left w:w="20" w:type="dxa"/>
              <w:bottom w:w="20" w:type="dxa"/>
              <w:right w:w="20" w:type="dxa"/>
            </w:tcMar>
          </w:tcPr>
          <w:p w14:paraId="5D9737EC">
            <w:pPr>
              <w:pStyle w:val="24"/>
              <w:rPr>
                <w:rFonts w:ascii="Arial" w:hAnsi="Arial" w:cs="Arial"/>
              </w:rPr>
            </w:pPr>
            <w:r>
              <w:rPr>
                <w:rFonts w:ascii="Arial" w:hAnsi="Arial" w:cs="Arial"/>
              </w:rPr>
              <w:t>Its antineoplastic properties are due to its ability to prevent tubulin-microtubule assembly, thereby arresting the cell cycle.</w:t>
            </w:r>
          </w:p>
          <w:p w14:paraId="0D494935">
            <w:pPr>
              <w:pStyle w:val="24"/>
              <w:rPr>
                <w:rFonts w:ascii="Arial" w:hAnsi="Arial" w:cs="Arial"/>
              </w:rPr>
            </w:pPr>
            <w:r>
              <w:rPr>
                <w:rFonts w:ascii="Arial" w:hAnsi="Arial" w:cs="Arial"/>
              </w:rPr>
              <w:t>Its antiviral properties are because of its binding to the hinge region of the E2 protein of the human papillomavirus and to the inhibition of the interaction between the E2 and E7 macromolecules.</w:t>
            </w:r>
          </w:p>
        </w:tc>
        <w:tc>
          <w:tcPr>
            <w:tcW w:w="2126" w:type="dxa"/>
            <w:tcBorders>
              <w:top w:val="nil"/>
              <w:left w:val="nil"/>
              <w:bottom w:val="single" w:color="000000" w:sz="4" w:space="0"/>
              <w:right w:val="single" w:color="000000" w:sz="4" w:space="0"/>
            </w:tcBorders>
            <w:tcMar>
              <w:top w:w="0" w:type="dxa"/>
              <w:left w:w="100" w:type="dxa"/>
              <w:bottom w:w="0" w:type="dxa"/>
              <w:right w:w="100" w:type="dxa"/>
            </w:tcMar>
          </w:tcPr>
          <w:p w14:paraId="5E7A43C4">
            <w:pPr>
              <w:pStyle w:val="24"/>
              <w:jc w:val="center"/>
              <w:rPr>
                <w:rFonts w:ascii="Arial" w:hAnsi="Arial" w:cs="Arial"/>
              </w:rPr>
            </w:pPr>
            <w:r>
              <w:rPr>
                <w:rFonts w:ascii="Arial" w:hAnsi="Arial" w:cs="Arial"/>
                <w:i/>
                <w:iCs/>
              </w:rPr>
              <w:t>Aspergillus fumigatus</w:t>
            </w:r>
          </w:p>
          <w:p w14:paraId="4F8A1C04">
            <w:pPr>
              <w:pStyle w:val="24"/>
              <w:jc w:val="center"/>
              <w:rPr>
                <w:rFonts w:ascii="Arial" w:hAnsi="Arial" w:cs="Arial"/>
                <w:i/>
                <w:iCs/>
              </w:rPr>
            </w:pPr>
            <w:r>
              <w:rPr>
                <w:rFonts w:ascii="Arial" w:hAnsi="Arial" w:cs="Arial"/>
                <w:i/>
                <w:iCs/>
              </w:rPr>
              <w:t>F. oxysporum</w:t>
            </w:r>
          </w:p>
          <w:p w14:paraId="0061B447">
            <w:pPr>
              <w:pStyle w:val="24"/>
              <w:jc w:val="center"/>
              <w:rPr>
                <w:rFonts w:ascii="Arial" w:hAnsi="Arial" w:cs="Arial"/>
                <w:i/>
                <w:iCs/>
              </w:rPr>
            </w:pPr>
            <w:r>
              <w:rPr>
                <w:rFonts w:ascii="Arial" w:hAnsi="Arial" w:cs="Arial"/>
                <w:i/>
                <w:iCs/>
              </w:rPr>
              <w:t>Mucor fragilis</w:t>
            </w:r>
          </w:p>
          <w:p w14:paraId="452CCA42">
            <w:pPr>
              <w:pStyle w:val="24"/>
              <w:jc w:val="center"/>
              <w:rPr>
                <w:rFonts w:ascii="Arial" w:hAnsi="Arial" w:cs="Arial"/>
              </w:rPr>
            </w:pPr>
            <w:r>
              <w:rPr>
                <w:rFonts w:ascii="Arial" w:hAnsi="Arial" w:cs="Arial"/>
                <w:i/>
                <w:iCs/>
              </w:rPr>
              <w:t>Podophyllum peltatum</w:t>
            </w:r>
            <w:r>
              <w:rPr>
                <w:rFonts w:ascii="Arial" w:hAnsi="Arial" w:cs="Arial"/>
              </w:rPr>
              <w:t xml:space="preserve"> </w:t>
            </w:r>
          </w:p>
          <w:p w14:paraId="3F4DADB5">
            <w:pPr>
              <w:pStyle w:val="24"/>
              <w:jc w:val="center"/>
              <w:rPr>
                <w:rFonts w:ascii="Arial" w:hAnsi="Arial" w:cs="Arial"/>
                <w:i/>
                <w:iCs/>
              </w:rPr>
            </w:pPr>
            <w:r>
              <w:rPr>
                <w:rFonts w:ascii="Arial" w:hAnsi="Arial" w:cs="Arial"/>
                <w:i/>
                <w:iCs/>
              </w:rPr>
              <w:t>Trametes hirsuta</w:t>
            </w:r>
          </w:p>
        </w:tc>
      </w:tr>
    </w:tbl>
    <w:p w14:paraId="06D0B73B">
      <w:pPr>
        <w:pStyle w:val="24"/>
        <w:rPr>
          <w:rFonts w:ascii="Arial" w:hAnsi="Arial" w:cs="Arial"/>
        </w:rPr>
      </w:pPr>
    </w:p>
    <w:p w14:paraId="1011FE6B">
      <w:pPr>
        <w:pStyle w:val="24"/>
        <w:rPr>
          <w:rFonts w:ascii="Arial" w:hAnsi="Arial" w:cs="Arial"/>
        </w:rPr>
      </w:pPr>
      <w:r>
        <w:rPr>
          <w:rFonts w:ascii="Arial" w:hAnsi="Arial" w:cs="Arial"/>
        </w:rPr>
        <w:t>While these compounds do not directly address the growing problem of antimicrobial resistance, they demonstrate that endophytic fungi remain a valuable source of new metabolites with antimicrobial activity. Consequently, they are an emerging priority in the search for therapeutic alternatives against multidrug-resistant pathogens (Tiwari and Bae, 2022).</w:t>
      </w:r>
    </w:p>
    <w:p w14:paraId="24ADD8C0">
      <w:pPr>
        <w:pStyle w:val="24"/>
        <w:rPr>
          <w:rFonts w:ascii="Arial" w:hAnsi="Arial" w:cs="Arial"/>
        </w:rPr>
      </w:pPr>
      <w:r>
        <w:rPr>
          <w:rFonts w:ascii="Arial" w:hAnsi="Arial" w:cs="Arial"/>
        </w:rPr>
        <w:t>Many of these metabolites face a significant challenge: they are naturally produced in very limited quantities, hindering their industrial-scale production. To overcome this barrier, biotechnology offers tools that enable easier extraction and purification, scalability, and predictable, stable, and year-round sustainable production (Wawrosch and Zotchev, 2021). To enhance their production and diversification, various biotechnological strategies have been developed. These include optimizing the culture medium and co-cultivating with other microbial species (Tironi et al., 2024), genetic engineering, epigenetic modifiers, and the one strain many compounds (OSMAC) procedure (Prajapati et al., 2025).</w:t>
      </w:r>
    </w:p>
    <w:p w14:paraId="3C610CE0">
      <w:pPr>
        <w:pStyle w:val="24"/>
        <w:rPr>
          <w:rFonts w:ascii="Arial" w:hAnsi="Arial" w:cs="Arial"/>
          <w:b/>
          <w:bCs/>
        </w:rPr>
      </w:pPr>
      <w:r>
        <w:rPr>
          <w:rFonts w:ascii="Arial" w:hAnsi="Arial" w:cs="Arial"/>
          <w:b/>
          <w:bCs/>
        </w:rPr>
        <w:t>6.1 Optimization of growing conditions and OSMAC approach</w:t>
      </w:r>
    </w:p>
    <w:p w14:paraId="7237C005">
      <w:pPr>
        <w:pStyle w:val="24"/>
        <w:rPr>
          <w:rFonts w:ascii="Arial" w:hAnsi="Arial" w:cs="Arial"/>
        </w:rPr>
      </w:pPr>
      <w:r>
        <w:rPr>
          <w:rFonts w:ascii="Arial" w:hAnsi="Arial" w:cs="Arial"/>
        </w:rPr>
        <w:t>Optimizing culture conditions has proven to be a strategy for improving the synthesis of metabolites with pharmacological activity. This procedure involves modifying variables such as carbon and nitrogen sources, pH, temperature, culture time, and aeration, all of which directly impact the biosynthesis of bioactive compounds (Tiwari and Bae, 2022).</w:t>
      </w:r>
    </w:p>
    <w:p w14:paraId="5FCE6711">
      <w:pPr>
        <w:pStyle w:val="24"/>
        <w:rPr>
          <w:rFonts w:ascii="Arial" w:hAnsi="Arial" w:cs="Arial"/>
        </w:rPr>
      </w:pPr>
      <w:r>
        <w:rPr>
          <w:rFonts w:ascii="Arial" w:hAnsi="Arial" w:cs="Arial"/>
        </w:rPr>
        <w:t>Orthogonal testing, response surface methodology (RSM), artificial neural networks, and genetic algorithms are emerging tools for optimizing the production of bioactive metabolites from endophytic fungi (Xu et al., 2018).</w:t>
      </w:r>
    </w:p>
    <w:p w14:paraId="0C54DC8F">
      <w:pPr>
        <w:pStyle w:val="24"/>
        <w:rPr>
          <w:rFonts w:ascii="Arial" w:hAnsi="Arial" w:cs="Arial"/>
        </w:rPr>
      </w:pPr>
      <w:r>
        <w:rPr>
          <w:rFonts w:ascii="Arial" w:hAnsi="Arial" w:cs="Arial"/>
        </w:rPr>
        <w:t>Orthogonal testing enables the analysis of multiple factors with a small number of experiments, thereby facilitating the identification of the most influential ones. RSM, a robust, efficient mathematical approach, enables optimization of experimental conditions and the fermentation process by determining the optimal formulation. Artificial neural networks are mathematical or computational models, influenced by the structural and functional aspects of biological neural networks, capable of predicting complex results utilizing previous data. Genetic algorithms adjust culture parameters through evolutionary simulations (Singh et al., 2017).</w:t>
      </w:r>
    </w:p>
    <w:p w14:paraId="2E9E0436">
      <w:pPr>
        <w:pStyle w:val="24"/>
        <w:rPr>
          <w:rFonts w:ascii="Arial" w:hAnsi="Arial" w:cs="Arial"/>
        </w:rPr>
      </w:pPr>
      <w:r>
        <w:rPr>
          <w:rFonts w:ascii="Arial" w:hAnsi="Arial" w:cs="Arial"/>
        </w:rPr>
        <w:t>In this context, another method is the OSMAC approach, which is effective in expanding the metabolite repertoire produced by a single microbial strain. It is based on intentionally modifying culture conditions (carbon and nitrogen sources, salt concentration, metal ions, and trace elements), physical properties (temperature, pH, aeration, and light), and adding cofactors or enzyme modulators (Zakariyah et al., 2024; 46, Hashem et al., 2023).</w:t>
      </w:r>
    </w:p>
    <w:p w14:paraId="7F14502C">
      <w:pPr>
        <w:pStyle w:val="24"/>
        <w:rPr>
          <w:rFonts w:ascii="Arial" w:hAnsi="Arial" w:cs="Arial"/>
        </w:rPr>
      </w:pPr>
      <w:r>
        <w:rPr>
          <w:rFonts w:ascii="Arial" w:hAnsi="Arial" w:cs="Arial"/>
        </w:rPr>
        <w:t xml:space="preserve">An example of its application was with the endophytic fungus </w:t>
      </w:r>
      <w:r>
        <w:rPr>
          <w:rFonts w:ascii="Arial" w:hAnsi="Arial" w:cs="Arial"/>
          <w:i/>
          <w:iCs/>
        </w:rPr>
        <w:t>Penicillium</w:t>
      </w:r>
      <w:r>
        <w:rPr>
          <w:rFonts w:ascii="Arial" w:hAnsi="Arial" w:cs="Arial"/>
        </w:rPr>
        <w:t xml:space="preserve"> sp. 5MP2F4, isolated from the leaves of </w:t>
      </w:r>
      <w:r>
        <w:rPr>
          <w:rFonts w:ascii="Arial" w:hAnsi="Arial" w:cs="Arial"/>
          <w:i/>
          <w:iCs/>
        </w:rPr>
        <w:t>Bromelia balansae</w:t>
      </w:r>
      <w:r>
        <w:rPr>
          <w:rFonts w:ascii="Arial" w:hAnsi="Arial" w:cs="Arial"/>
        </w:rPr>
        <w:t xml:space="preserve">. In this study, the strain was cultured in five different liquid media to induce secondary metabolite production and to obtain crude extracts from mycelial biomass and broth. These extracts were evaluated against </w:t>
      </w:r>
      <w:r>
        <w:rPr>
          <w:rFonts w:ascii="Arial" w:hAnsi="Arial" w:cs="Arial"/>
          <w:i/>
          <w:iCs/>
        </w:rPr>
        <w:t>S. aureus</w:t>
      </w:r>
      <w:r>
        <w:rPr>
          <w:rFonts w:ascii="Arial" w:hAnsi="Arial" w:cs="Arial"/>
        </w:rPr>
        <w:t xml:space="preserve"> and </w:t>
      </w:r>
      <w:r>
        <w:rPr>
          <w:rFonts w:ascii="Arial" w:hAnsi="Arial" w:cs="Arial"/>
          <w:i/>
          <w:iCs/>
        </w:rPr>
        <w:t>P. aeruginosa</w:t>
      </w:r>
      <w:r>
        <w:rPr>
          <w:rFonts w:ascii="Arial" w:hAnsi="Arial" w:cs="Arial"/>
        </w:rPr>
        <w:t xml:space="preserve">, demonstrating greater antimicrobial and antibiofilm activity against </w:t>
      </w:r>
      <w:r>
        <w:rPr>
          <w:rFonts w:ascii="Arial" w:hAnsi="Arial" w:cs="Arial"/>
          <w:i/>
          <w:iCs/>
        </w:rPr>
        <w:t>S. aureus</w:t>
      </w:r>
      <w:r>
        <w:rPr>
          <w:rFonts w:ascii="Arial" w:hAnsi="Arial" w:cs="Arial"/>
        </w:rPr>
        <w:t>. Among the compounds identified with relevant activity were viridicatumtoxin A, austalides, helvamide, spirohexaline, 13-oxoverruculogen isomer, and brasiliamides (da Silva et al., 2023).</w:t>
      </w:r>
    </w:p>
    <w:p w14:paraId="4954AFE7">
      <w:pPr>
        <w:pStyle w:val="24"/>
        <w:rPr>
          <w:rFonts w:ascii="Arial" w:hAnsi="Arial" w:cs="Arial"/>
        </w:rPr>
      </w:pPr>
      <w:r>
        <w:rPr>
          <w:rFonts w:ascii="Arial" w:hAnsi="Arial" w:cs="Arial"/>
        </w:rPr>
        <w:t xml:space="preserve">Another example, unrelated to the OSMAC methodology, is the analysis of mycelial biomass from </w:t>
      </w:r>
      <w:r>
        <w:rPr>
          <w:rFonts w:ascii="Arial" w:hAnsi="Arial" w:cs="Arial"/>
          <w:i/>
          <w:iCs/>
        </w:rPr>
        <w:t>Xylaria</w:t>
      </w:r>
      <w:r>
        <w:rPr>
          <w:rFonts w:ascii="Arial" w:hAnsi="Arial" w:cs="Arial"/>
        </w:rPr>
        <w:t xml:space="preserve"> sp. BCC 1067 and its antimicrobial activity as part of a culture regime modification strategy. For this purpose, media used at distinct cultivation stages were selected: first, a nutrient-rich medium that favored fungal growth, then a more nutrient-poor medium made from malt-peptone extract to stimulate secondary metabolite production. This modification enabled the activation of some metabolic pathways by sequentially altering fermentation conditions, shortening the total culture time to 7 days, augmenting biomass production by 4-fold, and tripling antifungal activity against </w:t>
      </w:r>
      <w:r>
        <w:rPr>
          <w:rFonts w:ascii="Arial" w:hAnsi="Arial" w:cs="Arial"/>
          <w:i/>
          <w:iCs/>
        </w:rPr>
        <w:t>Saccharomyces cerevisiae</w:t>
      </w:r>
      <w:r>
        <w:rPr>
          <w:rFonts w:ascii="Arial" w:hAnsi="Arial" w:cs="Arial"/>
        </w:rPr>
        <w:t xml:space="preserve"> (Jayasekara et al., 2022).</w:t>
      </w:r>
    </w:p>
    <w:p w14:paraId="339CA54D">
      <w:pPr>
        <w:pStyle w:val="24"/>
        <w:rPr>
          <w:rFonts w:ascii="Arial" w:hAnsi="Arial" w:cs="Arial"/>
          <w:b/>
          <w:bCs/>
        </w:rPr>
      </w:pPr>
      <w:r>
        <w:rPr>
          <w:rFonts w:ascii="Arial" w:hAnsi="Arial" w:cs="Arial"/>
          <w:b/>
          <w:bCs/>
        </w:rPr>
        <w:t>6.2 Co-culture</w:t>
      </w:r>
    </w:p>
    <w:p w14:paraId="1B7E496D">
      <w:pPr>
        <w:pStyle w:val="24"/>
        <w:rPr>
          <w:rFonts w:ascii="Arial" w:hAnsi="Arial" w:cs="Arial"/>
        </w:rPr>
      </w:pPr>
      <w:r>
        <w:rPr>
          <w:rFonts w:ascii="Arial" w:hAnsi="Arial" w:cs="Arial"/>
        </w:rPr>
        <w:t>Co-culture, also known as mixed culture or fermentation, comprises cultivating two or more microorganisms in the same medium to enhance the synthesis of secondary metabolites. Additionally, it promotes the activation of biosynthetic genes that are typically silenced, resulting in the production of bioactive compounds with pharmaceutical potential, such as antimicrobials (Tironi et al., 2024; Hashem et al., 2023).</w:t>
      </w:r>
    </w:p>
    <w:p w14:paraId="56D394E4">
      <w:pPr>
        <w:pStyle w:val="24"/>
        <w:rPr>
          <w:rFonts w:ascii="Arial" w:hAnsi="Arial" w:cs="Arial"/>
        </w:rPr>
      </w:pPr>
      <w:r>
        <w:rPr>
          <w:rFonts w:ascii="Arial" w:hAnsi="Arial" w:cs="Arial"/>
        </w:rPr>
        <w:t>The co-culture method can be classified into three types according to the organisms involved: fungus-fungus, fungus-bacteria, and bacteria-bacteria (Hashem et al., 2023). These associations can occur naturally, as in ecosystems, where microorganisms maintain mutualistic, commensal, parasitic, or even predatory relationships, resulting in the production of phytohormones, growth promoters, and toxic substances such as antibiotics, antifungals, and alkaloids. Therefore, this tool creates a controlled environment that, while simulating the natural ecosystem of microorganisms, fosters competitive or cooperative interactions that stimulate the production of new substances, thereby ensuring the survival of the species (Tironi et al., 2024).</w:t>
      </w:r>
    </w:p>
    <w:p w14:paraId="0E03D4CF">
      <w:pPr>
        <w:pStyle w:val="24"/>
        <w:rPr>
          <w:rFonts w:ascii="Arial" w:hAnsi="Arial" w:cs="Arial"/>
        </w:rPr>
      </w:pPr>
      <w:r>
        <w:rPr>
          <w:rFonts w:ascii="Arial" w:hAnsi="Arial" w:cs="Arial"/>
        </w:rPr>
        <w:t>Co-cultivation has become established as a promising procedure for the efficient, large-scale manufacture of pharmaceutical and nutraceutical compounds (Tironi et al., 2024; Marmann et al., 2014), which are biologically active foods or parts thereof that are beneficial for preventing and treating disorders (Puri et al., 2022). This technique stands out for its versatility and robustness, making it highly promising for biotechnology. A deeper understanding of the microbial interactions in these systems could facilitate the rational design of high-performance microbial consortia, thereby optimizing the synthesis of relevant products (Tironi et al., 2024).</w:t>
      </w:r>
    </w:p>
    <w:p w14:paraId="4407C4D8">
      <w:pPr>
        <w:pStyle w:val="24"/>
        <w:rPr>
          <w:rFonts w:ascii="Arial" w:hAnsi="Arial" w:cs="Arial"/>
        </w:rPr>
      </w:pPr>
      <w:r>
        <w:rPr>
          <w:rFonts w:ascii="Arial" w:hAnsi="Arial" w:cs="Arial"/>
        </w:rPr>
        <w:t xml:space="preserve">An example of its operation was observed during evaluation of the interaction between the marine endophytic fungus </w:t>
      </w:r>
      <w:r>
        <w:rPr>
          <w:rFonts w:ascii="Arial" w:hAnsi="Arial" w:cs="Arial"/>
          <w:i/>
          <w:iCs/>
        </w:rPr>
        <w:t>Arthrinium</w:t>
      </w:r>
      <w:r>
        <w:rPr>
          <w:rFonts w:ascii="Arial" w:hAnsi="Arial" w:cs="Arial"/>
        </w:rPr>
        <w:t xml:space="preserve"> cf. saccharicola and 14 fouling bacterial taxa. Six of these bacteria (</w:t>
      </w:r>
      <w:r>
        <w:rPr>
          <w:rFonts w:ascii="Arial" w:hAnsi="Arial" w:cs="Arial"/>
          <w:i/>
          <w:iCs/>
        </w:rPr>
        <w:t>Loktanella hongkongensis</w:t>
      </w:r>
      <w:r>
        <w:rPr>
          <w:rFonts w:ascii="Arial" w:hAnsi="Arial" w:cs="Arial"/>
        </w:rPr>
        <w:t xml:space="preserve">, </w:t>
      </w:r>
      <w:r>
        <w:rPr>
          <w:rFonts w:ascii="Arial" w:hAnsi="Arial" w:cs="Arial"/>
          <w:i/>
          <w:iCs/>
        </w:rPr>
        <w:t>Pseudoalteromonas piscicida</w:t>
      </w:r>
      <w:r>
        <w:rPr>
          <w:rFonts w:ascii="Arial" w:hAnsi="Arial" w:cs="Arial"/>
        </w:rPr>
        <w:t xml:space="preserve">, </w:t>
      </w:r>
      <w:r>
        <w:rPr>
          <w:rFonts w:ascii="Arial" w:hAnsi="Arial" w:cs="Arial"/>
          <w:i/>
          <w:iCs/>
        </w:rPr>
        <w:t>Pseudoalteromonas spongiae</w:t>
      </w:r>
      <w:r>
        <w:rPr>
          <w:rFonts w:ascii="Arial" w:hAnsi="Arial" w:cs="Arial"/>
        </w:rPr>
        <w:t xml:space="preserve">, </w:t>
      </w:r>
      <w:r>
        <w:rPr>
          <w:rFonts w:ascii="Arial" w:hAnsi="Arial" w:cs="Arial"/>
          <w:i/>
          <w:iCs/>
        </w:rPr>
        <w:t>Shewanella algae</w:t>
      </w:r>
      <w:r>
        <w:rPr>
          <w:rFonts w:ascii="Arial" w:hAnsi="Arial" w:cs="Arial"/>
        </w:rPr>
        <w:t xml:space="preserve">, </w:t>
      </w:r>
      <w:r>
        <w:rPr>
          <w:rFonts w:ascii="Arial" w:hAnsi="Arial" w:cs="Arial"/>
          <w:i/>
          <w:iCs/>
        </w:rPr>
        <w:t>Vibrio halioticoli</w:t>
      </w:r>
      <w:r>
        <w:rPr>
          <w:rFonts w:ascii="Arial" w:hAnsi="Arial" w:cs="Arial"/>
        </w:rPr>
        <w:t xml:space="preserve">, and </w:t>
      </w:r>
      <w:r>
        <w:rPr>
          <w:rFonts w:ascii="Arial" w:hAnsi="Arial" w:cs="Arial"/>
          <w:i/>
          <w:iCs/>
        </w:rPr>
        <w:t>V. vulnificus</w:t>
      </w:r>
      <w:r>
        <w:rPr>
          <w:rFonts w:ascii="Arial" w:hAnsi="Arial" w:cs="Arial"/>
        </w:rPr>
        <w:t xml:space="preserve">) were inhibited during co-culture, with </w:t>
      </w:r>
      <w:r>
        <w:rPr>
          <w:rFonts w:ascii="Arial" w:hAnsi="Arial" w:cs="Arial"/>
          <w:i/>
          <w:iCs/>
        </w:rPr>
        <w:t>P. piscicida</w:t>
      </w:r>
      <w:r>
        <w:rPr>
          <w:rFonts w:ascii="Arial" w:hAnsi="Arial" w:cs="Arial"/>
        </w:rPr>
        <w:t xml:space="preserve"> producing the most marked effect. Nevertheless, when the cell-free culture broth of this latter species was added, the antimicrobial activity of the fungus increased substantially against </w:t>
      </w:r>
      <w:r>
        <w:rPr>
          <w:rFonts w:ascii="Arial" w:hAnsi="Arial" w:cs="Arial"/>
          <w:i/>
          <w:iCs/>
        </w:rPr>
        <w:t xml:space="preserve">V. vulnificus </w:t>
      </w:r>
      <w:r>
        <w:rPr>
          <w:rFonts w:ascii="Arial" w:hAnsi="Arial" w:cs="Arial"/>
        </w:rPr>
        <w:t xml:space="preserve">and </w:t>
      </w:r>
      <w:r>
        <w:rPr>
          <w:rFonts w:ascii="Arial" w:hAnsi="Arial" w:cs="Arial"/>
          <w:i/>
          <w:iCs/>
        </w:rPr>
        <w:t>P. spongiae</w:t>
      </w:r>
      <w:r>
        <w:rPr>
          <w:rFonts w:ascii="Arial" w:hAnsi="Arial" w:cs="Arial"/>
        </w:rPr>
        <w:t>. Consequently, the technique can induce the production of secondary metabolites, probably in response to chemical signals released by the bacteria into the medium, activating secondary biosynthetic pathways that remain inactive in pure culture (Marmann et al., 2014).</w:t>
      </w:r>
    </w:p>
    <w:p w14:paraId="10417FCB">
      <w:pPr>
        <w:pStyle w:val="24"/>
        <w:rPr>
          <w:rFonts w:ascii="Arial" w:hAnsi="Arial" w:cs="Arial"/>
        </w:rPr>
      </w:pPr>
      <w:r>
        <w:rPr>
          <w:rFonts w:ascii="Arial" w:hAnsi="Arial" w:cs="Arial"/>
        </w:rPr>
        <w:t xml:space="preserve">Another study described how, after isolating </w:t>
      </w:r>
      <w:r>
        <w:rPr>
          <w:rFonts w:ascii="Arial" w:hAnsi="Arial" w:cs="Arial"/>
          <w:i/>
          <w:iCs/>
        </w:rPr>
        <w:t>Xylaria</w:t>
      </w:r>
      <w:r>
        <w:rPr>
          <w:rFonts w:ascii="Arial" w:hAnsi="Arial" w:cs="Arial"/>
        </w:rPr>
        <w:t xml:space="preserve"> sp. and </w:t>
      </w:r>
      <w:r>
        <w:rPr>
          <w:rFonts w:ascii="Arial" w:hAnsi="Arial" w:cs="Arial"/>
          <w:i/>
          <w:iCs/>
        </w:rPr>
        <w:t>Diaporthe endophytica</w:t>
      </w:r>
      <w:r>
        <w:rPr>
          <w:rFonts w:ascii="Arial" w:hAnsi="Arial" w:cs="Arial"/>
        </w:rPr>
        <w:t xml:space="preserve"> from the plant </w:t>
      </w:r>
      <w:r>
        <w:rPr>
          <w:rFonts w:ascii="Arial" w:hAnsi="Arial" w:cs="Arial"/>
          <w:i/>
          <w:iCs/>
        </w:rPr>
        <w:t>Otoba gracilipes</w:t>
      </w:r>
      <w:r>
        <w:rPr>
          <w:rFonts w:ascii="Arial" w:hAnsi="Arial" w:cs="Arial"/>
        </w:rPr>
        <w:t xml:space="preserve"> and evaluating their antibacterial activity against </w:t>
      </w:r>
      <w:r>
        <w:rPr>
          <w:rFonts w:ascii="Arial" w:hAnsi="Arial" w:cs="Arial"/>
          <w:i/>
          <w:iCs/>
        </w:rPr>
        <w:t>E. coli</w:t>
      </w:r>
      <w:r>
        <w:rPr>
          <w:rFonts w:ascii="Arial" w:hAnsi="Arial" w:cs="Arial"/>
        </w:rPr>
        <w:t xml:space="preserve"> and </w:t>
      </w:r>
      <w:r>
        <w:rPr>
          <w:rFonts w:ascii="Arial" w:hAnsi="Arial" w:cs="Arial"/>
          <w:i/>
          <w:iCs/>
        </w:rPr>
        <w:t>S. aureus,</w:t>
      </w:r>
      <w:r>
        <w:rPr>
          <w:rFonts w:ascii="Arial" w:hAnsi="Arial" w:cs="Arial"/>
        </w:rPr>
        <w:t xml:space="preserve"> the co-culture technique was implemented. Its consideration enhanced the production of secondary metabolites, decreasing the mean inhibitory concentrations (IC</w:t>
      </w:r>
      <w:r>
        <w:rPr>
          <w:rFonts w:ascii="Arial" w:hAnsi="Arial" w:cs="Arial"/>
          <w:vertAlign w:val="subscript"/>
        </w:rPr>
        <w:t>50</w:t>
      </w:r>
      <w:r>
        <w:rPr>
          <w:rFonts w:ascii="Arial" w:hAnsi="Arial" w:cs="Arial"/>
        </w:rPr>
        <w:t xml:space="preserve">) against </w:t>
      </w:r>
      <w:r>
        <w:rPr>
          <w:rFonts w:ascii="Arial" w:hAnsi="Arial" w:cs="Arial"/>
          <w:i/>
          <w:iCs/>
        </w:rPr>
        <w:t>E. coli</w:t>
      </w:r>
      <w:r>
        <w:rPr>
          <w:rFonts w:ascii="Arial" w:hAnsi="Arial" w:cs="Arial"/>
        </w:rPr>
        <w:t xml:space="preserve"> </w:t>
      </w:r>
      <w:r>
        <w:rPr>
          <w:rFonts w:ascii="Arial" w:hAnsi="Arial" w:cs="Arial"/>
          <w:i/>
          <w:iCs/>
        </w:rPr>
        <w:t>and S. aureus</w:t>
      </w:r>
      <w:r>
        <w:rPr>
          <w:rFonts w:ascii="Arial" w:hAnsi="Arial" w:cs="Arial"/>
        </w:rPr>
        <w:t xml:space="preserve"> by up to 10 times, compared to preliminary assessments of individual cultures (Charria-Girón et al., 2021). IC</w:t>
      </w:r>
      <w:r>
        <w:rPr>
          <w:rFonts w:ascii="Arial" w:hAnsi="Arial" w:cs="Arial"/>
          <w:vertAlign w:val="subscript"/>
        </w:rPr>
        <w:t>50</w:t>
      </w:r>
      <w:r>
        <w:rPr>
          <w:rFonts w:ascii="Arial" w:hAnsi="Arial" w:cs="Arial"/>
        </w:rPr>
        <w:t xml:space="preserve"> is a widely employed measure of a drug's efficacy (Aykul and Martinez-Hackert, 2016).</w:t>
      </w:r>
    </w:p>
    <w:p w14:paraId="3BD03915">
      <w:pPr>
        <w:pStyle w:val="24"/>
        <w:rPr>
          <w:rFonts w:ascii="Arial" w:hAnsi="Arial" w:cs="Arial"/>
          <w:b/>
          <w:bCs/>
        </w:rPr>
      </w:pPr>
      <w:r>
        <w:rPr>
          <w:rFonts w:ascii="Arial" w:hAnsi="Arial" w:cs="Arial"/>
          <w:b/>
          <w:bCs/>
        </w:rPr>
        <w:t>6.3 Epigenetic modifications</w:t>
      </w:r>
    </w:p>
    <w:p w14:paraId="3E2AA628">
      <w:pPr>
        <w:pStyle w:val="24"/>
        <w:rPr>
          <w:rFonts w:ascii="Arial" w:hAnsi="Arial" w:cs="Arial"/>
        </w:rPr>
      </w:pPr>
      <w:r>
        <w:rPr>
          <w:rFonts w:ascii="Arial" w:hAnsi="Arial" w:cs="Arial"/>
        </w:rPr>
        <w:t>Epigenetics refers to the study of gene expression that affects its function without altering the DNA sequence (Deshmukh et al., 2022). It analyses modifications that alter chromatin structure, influencing gene activation or silencing. In recent years, its field has expanded to incorporate secondary modifications of RNA and proteins, mediated by the same mechanisms that regulate chromatin (Farsetti et al., 2023).</w:t>
      </w:r>
    </w:p>
    <w:p w14:paraId="6397D5F9">
      <w:pPr>
        <w:pStyle w:val="24"/>
        <w:rPr>
          <w:rFonts w:ascii="Arial" w:hAnsi="Arial" w:cs="Arial"/>
        </w:rPr>
      </w:pPr>
      <w:r>
        <w:rPr>
          <w:rFonts w:ascii="Arial" w:hAnsi="Arial" w:cs="Arial"/>
        </w:rPr>
        <w:t xml:space="preserve">In endophytic fungi, this discipline has become a key biotechnological tool for activating silenced biosynthetic genes and thus inducing or enhancing the production of secondary metabolites (Deshmukh et al., 2022). The mechanisms that regulate gene transcription by altering chromatin structure are described in </w:t>
      </w:r>
      <w:r>
        <w:rPr>
          <w:rFonts w:ascii="Arial" w:hAnsi="Arial" w:cs="Arial"/>
          <w:b/>
          <w:bCs/>
        </w:rPr>
        <w:t>Table 4</w:t>
      </w:r>
      <w:r>
        <w:rPr>
          <w:rFonts w:ascii="Arial" w:hAnsi="Arial" w:cs="Arial"/>
        </w:rPr>
        <w:t>.</w:t>
      </w:r>
    </w:p>
    <w:p w14:paraId="52F8AB37">
      <w:pPr>
        <w:pStyle w:val="24"/>
        <w:rPr>
          <w:rFonts w:ascii="Arial" w:hAnsi="Arial" w:cs="Arial"/>
        </w:rPr>
      </w:pPr>
      <w:r>
        <w:rPr>
          <w:rFonts w:ascii="Arial" w:hAnsi="Arial" w:cs="Arial"/>
          <w:b/>
          <w:bCs/>
        </w:rPr>
        <w:t>Table 4</w:t>
      </w:r>
      <w:r>
        <w:rPr>
          <w:rFonts w:ascii="Arial" w:hAnsi="Arial" w:cs="Arial"/>
        </w:rPr>
        <w:t>. Main epigenetic mechanisms used to promote the production of secondary metabolites in endophytic fungi (Acharjee et al., 2023; Rossetto et al., 2012).</w:t>
      </w:r>
    </w:p>
    <w:tbl>
      <w:tblPr>
        <w:tblStyle w:val="6"/>
        <w:tblW w:w="82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7"/>
        <w:gridCol w:w="3260"/>
        <w:gridCol w:w="3119"/>
      </w:tblGrid>
      <w:tr w14:paraId="146F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837" w:type="dxa"/>
            <w:tcBorders>
              <w:top w:val="single" w:color="000000" w:sz="4" w:space="0"/>
              <w:left w:val="single" w:color="000000" w:sz="4" w:space="0"/>
              <w:bottom w:val="single" w:color="000000" w:sz="4" w:space="0"/>
              <w:right w:val="single" w:color="000000" w:sz="4" w:space="0"/>
            </w:tcBorders>
            <w:tcMar>
              <w:top w:w="0" w:type="dxa"/>
              <w:left w:w="100" w:type="dxa"/>
              <w:bottom w:w="0" w:type="dxa"/>
              <w:right w:w="100" w:type="dxa"/>
            </w:tcMar>
          </w:tcPr>
          <w:p w14:paraId="28CD3D31">
            <w:pPr>
              <w:pStyle w:val="24"/>
              <w:jc w:val="center"/>
              <w:rPr>
                <w:rFonts w:ascii="Arial" w:hAnsi="Arial" w:cs="Arial"/>
                <w:b/>
                <w:bCs/>
              </w:rPr>
            </w:pPr>
            <w:r>
              <w:rPr>
                <w:rFonts w:ascii="Arial" w:hAnsi="Arial" w:cs="Arial"/>
                <w:b/>
                <w:bCs/>
              </w:rPr>
              <w:t>Epigenetic mechanism</w:t>
            </w:r>
          </w:p>
        </w:tc>
        <w:tc>
          <w:tcPr>
            <w:tcW w:w="3260"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64B13CF7">
            <w:pPr>
              <w:pStyle w:val="24"/>
              <w:jc w:val="center"/>
              <w:rPr>
                <w:rFonts w:ascii="Arial" w:hAnsi="Arial" w:cs="Arial"/>
                <w:b/>
                <w:bCs/>
              </w:rPr>
            </w:pPr>
            <w:r>
              <w:rPr>
                <w:rFonts w:ascii="Arial" w:hAnsi="Arial" w:cs="Arial"/>
                <w:b/>
                <w:bCs/>
              </w:rPr>
              <w:t>Modification</w:t>
            </w:r>
          </w:p>
        </w:tc>
        <w:tc>
          <w:tcPr>
            <w:tcW w:w="3119" w:type="dxa"/>
            <w:tcBorders>
              <w:top w:val="single" w:color="000000" w:sz="4" w:space="0"/>
              <w:left w:val="nil"/>
              <w:bottom w:val="single" w:color="000000" w:sz="4" w:space="0"/>
              <w:right w:val="single" w:color="000000" w:sz="4" w:space="0"/>
            </w:tcBorders>
            <w:tcMar>
              <w:top w:w="0" w:type="dxa"/>
              <w:left w:w="100" w:type="dxa"/>
              <w:bottom w:w="0" w:type="dxa"/>
              <w:right w:w="100" w:type="dxa"/>
            </w:tcMar>
          </w:tcPr>
          <w:p w14:paraId="7E7CCA76">
            <w:pPr>
              <w:pStyle w:val="24"/>
              <w:jc w:val="center"/>
              <w:rPr>
                <w:rFonts w:ascii="Arial" w:hAnsi="Arial" w:cs="Arial"/>
                <w:b/>
                <w:bCs/>
              </w:rPr>
            </w:pPr>
            <w:r>
              <w:rPr>
                <w:rFonts w:ascii="Arial" w:hAnsi="Arial" w:cs="Arial"/>
                <w:b/>
                <w:bCs/>
              </w:rPr>
              <w:t>Effect on gene expression</w:t>
            </w:r>
          </w:p>
        </w:tc>
      </w:tr>
      <w:tr w14:paraId="0131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1837"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27941096">
            <w:pPr>
              <w:pStyle w:val="24"/>
              <w:jc w:val="center"/>
              <w:rPr>
                <w:rFonts w:ascii="Arial" w:hAnsi="Arial" w:cs="Arial"/>
                <w:b/>
                <w:bCs/>
              </w:rPr>
            </w:pPr>
            <w:r>
              <w:rPr>
                <w:rFonts w:ascii="Arial" w:hAnsi="Arial" w:cs="Arial"/>
                <w:b/>
                <w:bCs/>
              </w:rPr>
              <w:t>DNA methylation</w:t>
            </w:r>
          </w:p>
        </w:tc>
        <w:tc>
          <w:tcPr>
            <w:tcW w:w="3260" w:type="dxa"/>
            <w:tcBorders>
              <w:top w:val="nil"/>
              <w:left w:val="nil"/>
              <w:bottom w:val="single" w:color="000000" w:sz="4" w:space="0"/>
              <w:right w:val="single" w:color="000000" w:sz="4" w:space="0"/>
            </w:tcBorders>
            <w:tcMar>
              <w:top w:w="0" w:type="dxa"/>
              <w:left w:w="100" w:type="dxa"/>
              <w:bottom w:w="0" w:type="dxa"/>
              <w:right w:w="100" w:type="dxa"/>
            </w:tcMar>
          </w:tcPr>
          <w:p w14:paraId="764D0455">
            <w:pPr>
              <w:pStyle w:val="24"/>
              <w:rPr>
                <w:rFonts w:ascii="Arial" w:hAnsi="Arial" w:cs="Arial"/>
              </w:rPr>
            </w:pPr>
            <w:r>
              <w:rPr>
                <w:rFonts w:ascii="Arial" w:hAnsi="Arial" w:cs="Arial"/>
              </w:rPr>
              <w:t>DNA methyltransferases (DNMTs) add methyl groups to cytosine residues, followed by guanine (CpG islands).</w:t>
            </w:r>
          </w:p>
        </w:tc>
        <w:tc>
          <w:tcPr>
            <w:tcW w:w="3119" w:type="dxa"/>
            <w:tcBorders>
              <w:top w:val="nil"/>
              <w:left w:val="nil"/>
              <w:bottom w:val="single" w:color="000000" w:sz="4" w:space="0"/>
              <w:right w:val="single" w:color="000000" w:sz="4" w:space="0"/>
            </w:tcBorders>
            <w:tcMar>
              <w:top w:w="0" w:type="dxa"/>
              <w:left w:w="100" w:type="dxa"/>
              <w:bottom w:w="0" w:type="dxa"/>
              <w:right w:w="100" w:type="dxa"/>
            </w:tcMar>
          </w:tcPr>
          <w:p w14:paraId="03AC39C7">
            <w:pPr>
              <w:pStyle w:val="24"/>
              <w:rPr>
                <w:rFonts w:ascii="Arial" w:hAnsi="Arial" w:cs="Arial"/>
              </w:rPr>
            </w:pPr>
            <w:r>
              <w:rPr>
                <w:rFonts w:ascii="Arial" w:hAnsi="Arial" w:cs="Arial"/>
              </w:rPr>
              <w:t>It silences gene expression by inhibiting the binding of transcription factors to DNA.</w:t>
            </w:r>
          </w:p>
        </w:tc>
      </w:tr>
      <w:tr w14:paraId="3FC5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rPr>
        <w:tc>
          <w:tcPr>
            <w:tcW w:w="1837"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57D9728C">
            <w:pPr>
              <w:pStyle w:val="24"/>
              <w:jc w:val="center"/>
              <w:rPr>
                <w:rFonts w:ascii="Arial" w:hAnsi="Arial" w:cs="Arial"/>
                <w:b/>
                <w:bCs/>
              </w:rPr>
            </w:pPr>
            <w:r>
              <w:rPr>
                <w:rFonts w:ascii="Arial" w:hAnsi="Arial" w:cs="Arial"/>
                <w:b/>
                <w:bCs/>
              </w:rPr>
              <w:t>DNA demethylation</w:t>
            </w:r>
          </w:p>
        </w:tc>
        <w:tc>
          <w:tcPr>
            <w:tcW w:w="3260" w:type="dxa"/>
            <w:tcBorders>
              <w:top w:val="nil"/>
              <w:left w:val="nil"/>
              <w:bottom w:val="single" w:color="000000" w:sz="4" w:space="0"/>
              <w:right w:val="single" w:color="000000" w:sz="4" w:space="0"/>
            </w:tcBorders>
            <w:tcMar>
              <w:top w:w="0" w:type="dxa"/>
              <w:left w:w="100" w:type="dxa"/>
              <w:bottom w:w="0" w:type="dxa"/>
              <w:right w:w="100" w:type="dxa"/>
            </w:tcMar>
          </w:tcPr>
          <w:p w14:paraId="4C0C5A6C">
            <w:pPr>
              <w:pStyle w:val="24"/>
              <w:rPr>
                <w:rFonts w:ascii="Arial" w:hAnsi="Arial" w:cs="Arial"/>
              </w:rPr>
            </w:pPr>
            <w:r>
              <w:rPr>
                <w:rFonts w:ascii="Arial" w:hAnsi="Arial" w:cs="Arial"/>
              </w:rPr>
              <w:t>Removal of methyl groups from cytosine residues.</w:t>
            </w:r>
          </w:p>
        </w:tc>
        <w:tc>
          <w:tcPr>
            <w:tcW w:w="3119" w:type="dxa"/>
            <w:tcBorders>
              <w:top w:val="nil"/>
              <w:left w:val="nil"/>
              <w:bottom w:val="single" w:color="000000" w:sz="4" w:space="0"/>
              <w:right w:val="single" w:color="000000" w:sz="4" w:space="0"/>
            </w:tcBorders>
            <w:tcMar>
              <w:top w:w="0" w:type="dxa"/>
              <w:left w:w="100" w:type="dxa"/>
              <w:bottom w:w="0" w:type="dxa"/>
              <w:right w:w="100" w:type="dxa"/>
            </w:tcMar>
          </w:tcPr>
          <w:p w14:paraId="10F5C651">
            <w:pPr>
              <w:pStyle w:val="24"/>
              <w:rPr>
                <w:rFonts w:ascii="Arial" w:hAnsi="Arial" w:cs="Arial"/>
              </w:rPr>
            </w:pPr>
            <w:r>
              <w:rPr>
                <w:rFonts w:ascii="Arial" w:hAnsi="Arial" w:cs="Arial"/>
              </w:rPr>
              <w:t>It activates gene expression by allowing transcription factors access to DNA.</w:t>
            </w:r>
          </w:p>
        </w:tc>
      </w:tr>
      <w:tr w14:paraId="6D7E1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rPr>
        <w:tc>
          <w:tcPr>
            <w:tcW w:w="1837"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08643E21">
            <w:pPr>
              <w:pStyle w:val="24"/>
              <w:jc w:val="center"/>
              <w:rPr>
                <w:rFonts w:ascii="Arial" w:hAnsi="Arial" w:cs="Arial"/>
                <w:b/>
                <w:bCs/>
              </w:rPr>
            </w:pPr>
            <w:r>
              <w:rPr>
                <w:rFonts w:ascii="Arial" w:hAnsi="Arial" w:cs="Arial"/>
                <w:b/>
                <w:bCs/>
              </w:rPr>
              <w:t>Histone acetylation</w:t>
            </w:r>
          </w:p>
        </w:tc>
        <w:tc>
          <w:tcPr>
            <w:tcW w:w="3260" w:type="dxa"/>
            <w:tcBorders>
              <w:top w:val="nil"/>
              <w:left w:val="nil"/>
              <w:bottom w:val="single" w:color="000000" w:sz="4" w:space="0"/>
              <w:right w:val="single" w:color="000000" w:sz="4" w:space="0"/>
            </w:tcBorders>
            <w:tcMar>
              <w:top w:w="0" w:type="dxa"/>
              <w:left w:w="100" w:type="dxa"/>
              <w:bottom w:w="0" w:type="dxa"/>
              <w:right w:w="100" w:type="dxa"/>
            </w:tcMar>
          </w:tcPr>
          <w:p w14:paraId="08B02027">
            <w:pPr>
              <w:pStyle w:val="24"/>
              <w:rPr>
                <w:rFonts w:ascii="Arial" w:hAnsi="Arial" w:cs="Arial"/>
              </w:rPr>
            </w:pPr>
            <w:r>
              <w:rPr>
                <w:rFonts w:ascii="Arial" w:hAnsi="Arial" w:cs="Arial"/>
              </w:rPr>
              <w:t>Histone acetyltransferases (HATs) add acetyl groups to lysine residues in histone tails.</w:t>
            </w:r>
          </w:p>
        </w:tc>
        <w:tc>
          <w:tcPr>
            <w:tcW w:w="3119" w:type="dxa"/>
            <w:tcBorders>
              <w:top w:val="nil"/>
              <w:left w:val="nil"/>
              <w:bottom w:val="single" w:color="000000" w:sz="4" w:space="0"/>
              <w:right w:val="single" w:color="000000" w:sz="4" w:space="0"/>
            </w:tcBorders>
            <w:tcMar>
              <w:top w:w="0" w:type="dxa"/>
              <w:left w:w="100" w:type="dxa"/>
              <w:bottom w:w="0" w:type="dxa"/>
              <w:right w:w="100" w:type="dxa"/>
            </w:tcMar>
          </w:tcPr>
          <w:p w14:paraId="67CE396E">
            <w:pPr>
              <w:pStyle w:val="24"/>
              <w:rPr>
                <w:rFonts w:ascii="Arial" w:hAnsi="Arial" w:cs="Arial"/>
              </w:rPr>
            </w:pPr>
            <w:r>
              <w:rPr>
                <w:rFonts w:ascii="Arial" w:hAnsi="Arial" w:cs="Arial"/>
              </w:rPr>
              <w:t>It relaxes chromatin structure, facilitating gene transcription.</w:t>
            </w:r>
          </w:p>
        </w:tc>
      </w:tr>
      <w:tr w14:paraId="7FCB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 w:hRule="atLeast"/>
        </w:trPr>
        <w:tc>
          <w:tcPr>
            <w:tcW w:w="1837"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20CE1381">
            <w:pPr>
              <w:pStyle w:val="24"/>
              <w:jc w:val="center"/>
              <w:rPr>
                <w:rFonts w:ascii="Arial" w:hAnsi="Arial" w:cs="Arial"/>
                <w:b/>
                <w:bCs/>
              </w:rPr>
            </w:pPr>
            <w:r>
              <w:rPr>
                <w:rFonts w:ascii="Arial" w:hAnsi="Arial" w:cs="Arial"/>
                <w:b/>
                <w:bCs/>
              </w:rPr>
              <w:t>Histone deacetylation</w:t>
            </w:r>
          </w:p>
        </w:tc>
        <w:tc>
          <w:tcPr>
            <w:tcW w:w="3260" w:type="dxa"/>
            <w:tcBorders>
              <w:top w:val="nil"/>
              <w:left w:val="nil"/>
              <w:bottom w:val="single" w:color="000000" w:sz="4" w:space="0"/>
              <w:right w:val="single" w:color="000000" w:sz="4" w:space="0"/>
            </w:tcBorders>
            <w:tcMar>
              <w:top w:w="0" w:type="dxa"/>
              <w:left w:w="100" w:type="dxa"/>
              <w:bottom w:w="0" w:type="dxa"/>
              <w:right w:w="100" w:type="dxa"/>
            </w:tcMar>
          </w:tcPr>
          <w:p w14:paraId="1CCEF436">
            <w:pPr>
              <w:pStyle w:val="24"/>
              <w:rPr>
                <w:rFonts w:ascii="Arial" w:hAnsi="Arial" w:cs="Arial"/>
              </w:rPr>
            </w:pPr>
            <w:r>
              <w:rPr>
                <w:rFonts w:ascii="Arial" w:hAnsi="Arial" w:cs="Arial"/>
              </w:rPr>
              <w:t>Histone deacetylases (HDACs) remove acetyl groups from histone tails</w:t>
            </w:r>
          </w:p>
        </w:tc>
        <w:tc>
          <w:tcPr>
            <w:tcW w:w="3119" w:type="dxa"/>
            <w:tcBorders>
              <w:top w:val="nil"/>
              <w:left w:val="nil"/>
              <w:bottom w:val="single" w:color="000000" w:sz="4" w:space="0"/>
              <w:right w:val="single" w:color="000000" w:sz="4" w:space="0"/>
            </w:tcBorders>
            <w:tcMar>
              <w:top w:w="0" w:type="dxa"/>
              <w:left w:w="100" w:type="dxa"/>
              <w:bottom w:w="0" w:type="dxa"/>
              <w:right w:w="100" w:type="dxa"/>
            </w:tcMar>
          </w:tcPr>
          <w:p w14:paraId="4A7B85DF">
            <w:pPr>
              <w:pStyle w:val="24"/>
              <w:rPr>
                <w:rFonts w:ascii="Arial" w:hAnsi="Arial" w:cs="Arial"/>
              </w:rPr>
            </w:pPr>
            <w:r>
              <w:rPr>
                <w:rFonts w:ascii="Arial" w:hAnsi="Arial" w:cs="Arial"/>
              </w:rPr>
              <w:t>It generates a chromatin condensation, repressing gene expression.</w:t>
            </w:r>
          </w:p>
        </w:tc>
      </w:tr>
      <w:tr w14:paraId="741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0" w:hRule="atLeast"/>
        </w:trPr>
        <w:tc>
          <w:tcPr>
            <w:tcW w:w="1837"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6D266342">
            <w:pPr>
              <w:pStyle w:val="24"/>
              <w:jc w:val="center"/>
              <w:rPr>
                <w:rFonts w:ascii="Arial" w:hAnsi="Arial" w:cs="Arial"/>
                <w:b/>
                <w:bCs/>
              </w:rPr>
            </w:pPr>
            <w:r>
              <w:rPr>
                <w:rFonts w:ascii="Arial" w:hAnsi="Arial" w:cs="Arial"/>
                <w:b/>
                <w:bCs/>
              </w:rPr>
              <w:t>Histone phosphorylation</w:t>
            </w:r>
          </w:p>
        </w:tc>
        <w:tc>
          <w:tcPr>
            <w:tcW w:w="3260" w:type="dxa"/>
            <w:tcBorders>
              <w:top w:val="nil"/>
              <w:left w:val="nil"/>
              <w:bottom w:val="single" w:color="000000" w:sz="4" w:space="0"/>
              <w:right w:val="single" w:color="000000" w:sz="4" w:space="0"/>
            </w:tcBorders>
            <w:tcMar>
              <w:top w:w="0" w:type="dxa"/>
              <w:left w:w="100" w:type="dxa"/>
              <w:bottom w:w="0" w:type="dxa"/>
              <w:right w:w="100" w:type="dxa"/>
            </w:tcMar>
          </w:tcPr>
          <w:p w14:paraId="74BABE67">
            <w:pPr>
              <w:pStyle w:val="24"/>
              <w:rPr>
                <w:rFonts w:ascii="Arial" w:hAnsi="Arial" w:cs="Arial"/>
              </w:rPr>
            </w:pPr>
            <w:r>
              <w:rPr>
                <w:rFonts w:ascii="Arial" w:hAnsi="Arial" w:cs="Arial"/>
              </w:rPr>
              <w:t>Addition of phosphate groups to serine, threonine, or tyrosine residues in histone tails.</w:t>
            </w:r>
          </w:p>
        </w:tc>
        <w:tc>
          <w:tcPr>
            <w:tcW w:w="3119" w:type="dxa"/>
            <w:tcBorders>
              <w:top w:val="nil"/>
              <w:left w:val="nil"/>
              <w:bottom w:val="single" w:color="000000" w:sz="4" w:space="0"/>
              <w:right w:val="single" w:color="000000" w:sz="4" w:space="0"/>
            </w:tcBorders>
            <w:tcMar>
              <w:top w:w="0" w:type="dxa"/>
              <w:left w:w="100" w:type="dxa"/>
              <w:bottom w:w="0" w:type="dxa"/>
              <w:right w:w="100" w:type="dxa"/>
            </w:tcMar>
          </w:tcPr>
          <w:p w14:paraId="3B27771F">
            <w:pPr>
              <w:pStyle w:val="24"/>
              <w:rPr>
                <w:rFonts w:ascii="Arial" w:hAnsi="Arial" w:cs="Arial"/>
              </w:rPr>
            </w:pPr>
            <w:r>
              <w:rPr>
                <w:rFonts w:ascii="Arial" w:hAnsi="Arial" w:cs="Arial"/>
              </w:rPr>
              <w:t>It influences DNA repair and gene transcription.</w:t>
            </w:r>
          </w:p>
        </w:tc>
      </w:tr>
      <w:tr w14:paraId="37DEF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837" w:type="dxa"/>
            <w:tcBorders>
              <w:top w:val="nil"/>
              <w:left w:val="single" w:color="000000" w:sz="4" w:space="0"/>
              <w:bottom w:val="single" w:color="000000" w:sz="4" w:space="0"/>
              <w:right w:val="single" w:color="000000" w:sz="4" w:space="0"/>
            </w:tcBorders>
            <w:tcMar>
              <w:top w:w="0" w:type="dxa"/>
              <w:left w:w="100" w:type="dxa"/>
              <w:bottom w:w="0" w:type="dxa"/>
              <w:right w:w="100" w:type="dxa"/>
            </w:tcMar>
          </w:tcPr>
          <w:p w14:paraId="63CA6F65">
            <w:pPr>
              <w:pStyle w:val="24"/>
              <w:jc w:val="center"/>
              <w:rPr>
                <w:rFonts w:ascii="Arial" w:hAnsi="Arial" w:cs="Arial"/>
                <w:b/>
                <w:bCs/>
              </w:rPr>
            </w:pPr>
            <w:r>
              <w:rPr>
                <w:rFonts w:ascii="Arial" w:hAnsi="Arial" w:cs="Arial"/>
                <w:b/>
                <w:bCs/>
              </w:rPr>
              <w:t>RNA interference</w:t>
            </w:r>
          </w:p>
          <w:p w14:paraId="68206DA6">
            <w:pPr>
              <w:pStyle w:val="24"/>
              <w:jc w:val="center"/>
              <w:rPr>
                <w:rFonts w:ascii="Arial" w:hAnsi="Arial" w:cs="Arial"/>
                <w:b/>
                <w:bCs/>
              </w:rPr>
            </w:pPr>
          </w:p>
        </w:tc>
        <w:tc>
          <w:tcPr>
            <w:tcW w:w="3260" w:type="dxa"/>
            <w:tcBorders>
              <w:top w:val="nil"/>
              <w:left w:val="nil"/>
              <w:bottom w:val="single" w:color="000000" w:sz="4" w:space="0"/>
              <w:right w:val="single" w:color="000000" w:sz="4" w:space="0"/>
            </w:tcBorders>
            <w:tcMar>
              <w:top w:w="0" w:type="dxa"/>
              <w:left w:w="100" w:type="dxa"/>
              <w:bottom w:w="0" w:type="dxa"/>
              <w:right w:w="100" w:type="dxa"/>
            </w:tcMar>
          </w:tcPr>
          <w:p w14:paraId="3F1B7217">
            <w:pPr>
              <w:pStyle w:val="24"/>
              <w:rPr>
                <w:rFonts w:ascii="Arial" w:hAnsi="Arial" w:cs="Arial"/>
              </w:rPr>
            </w:pPr>
            <w:r>
              <w:rPr>
                <w:rFonts w:ascii="Arial" w:hAnsi="Arial" w:cs="Arial"/>
              </w:rPr>
              <w:t>It involves small non-coding RNAs such as small interfering RNA (siRNA), microRNA (miRNA), and piwi-interacting RNA (piRNA).</w:t>
            </w:r>
          </w:p>
        </w:tc>
        <w:tc>
          <w:tcPr>
            <w:tcW w:w="3119" w:type="dxa"/>
            <w:tcBorders>
              <w:top w:val="nil"/>
              <w:left w:val="nil"/>
              <w:bottom w:val="single" w:color="000000" w:sz="4" w:space="0"/>
              <w:right w:val="single" w:color="000000" w:sz="4" w:space="0"/>
            </w:tcBorders>
            <w:tcMar>
              <w:top w:w="0" w:type="dxa"/>
              <w:left w:w="100" w:type="dxa"/>
              <w:bottom w:w="0" w:type="dxa"/>
              <w:right w:w="100" w:type="dxa"/>
            </w:tcMar>
          </w:tcPr>
          <w:p w14:paraId="1AF4AEB4">
            <w:pPr>
              <w:pStyle w:val="24"/>
              <w:rPr>
                <w:rFonts w:ascii="Arial" w:hAnsi="Arial" w:cs="Arial"/>
              </w:rPr>
            </w:pPr>
            <w:r>
              <w:rPr>
                <w:rFonts w:ascii="Arial" w:hAnsi="Arial" w:cs="Arial"/>
              </w:rPr>
              <w:t>They regulate gene expression post-transcriptionally, through gene silencing and the regulation of specific transcripts.</w:t>
            </w:r>
          </w:p>
        </w:tc>
      </w:tr>
    </w:tbl>
    <w:p w14:paraId="00472712">
      <w:pPr>
        <w:pStyle w:val="24"/>
        <w:rPr>
          <w:rFonts w:ascii="Arial" w:hAnsi="Arial" w:cs="Arial"/>
        </w:rPr>
      </w:pPr>
    </w:p>
    <w:p w14:paraId="44B2864D">
      <w:pPr>
        <w:pStyle w:val="24"/>
        <w:rPr>
          <w:rFonts w:ascii="Arial" w:hAnsi="Arial" w:cs="Arial"/>
        </w:rPr>
      </w:pPr>
      <w:r>
        <w:rPr>
          <w:rFonts w:ascii="Arial" w:hAnsi="Arial" w:cs="Arial"/>
        </w:rPr>
        <w:t>The epigenetic modifiers have demonstrated a significant alteration in biomolecule production in endophytic fungi by inducing the expression of silenced biosynthetic pathways. These compounds act on key epigenetic regulatory enzymes, such as DNMTs, HATs, and HDACs (Zakariyah et al., 2024; A. Verma et al., 2023).</w:t>
      </w:r>
    </w:p>
    <w:p w14:paraId="0FD70AA0">
      <w:pPr>
        <w:pStyle w:val="24"/>
        <w:rPr>
          <w:rFonts w:ascii="Arial" w:hAnsi="Arial" w:cs="Arial"/>
        </w:rPr>
      </w:pPr>
      <w:r>
        <w:rPr>
          <w:rFonts w:ascii="Arial" w:hAnsi="Arial" w:cs="Arial"/>
        </w:rPr>
        <w:t>Pharmacological inhibition of these enzymes represents a fundamental strategy for modifying the epigenetic state of endophytic fungi. Compounds such as 5-azacytidine (a DNMT inhibitor), as well as valproic acid, suberoylanilide hydroxamic acid (SAHA), and sodium butyrate (HDAC inhibitors) have been successfully applied to induce the expression of inactive genes (Zakariyah et al., 2024).</w:t>
      </w:r>
    </w:p>
    <w:p w14:paraId="47BF4509">
      <w:pPr>
        <w:pStyle w:val="24"/>
        <w:rPr>
          <w:rFonts w:ascii="Arial" w:hAnsi="Arial" w:cs="Arial"/>
        </w:rPr>
      </w:pPr>
      <w:r>
        <w:rPr>
          <w:rFonts w:ascii="Arial" w:hAnsi="Arial" w:cs="Arial"/>
        </w:rPr>
        <w:t xml:space="preserve">The application of valproic acid to </w:t>
      </w:r>
      <w:r>
        <w:rPr>
          <w:rFonts w:ascii="Arial" w:hAnsi="Arial" w:cs="Arial"/>
          <w:i/>
          <w:iCs/>
        </w:rPr>
        <w:t>Phomopsis heveicola</w:t>
      </w:r>
      <w:r>
        <w:rPr>
          <w:rFonts w:ascii="Arial" w:hAnsi="Arial" w:cs="Arial"/>
        </w:rPr>
        <w:t xml:space="preserve">, an endophytic fungus of Piper longum, led to the production of molecules active against human pathogens, including </w:t>
      </w:r>
      <w:r>
        <w:rPr>
          <w:rFonts w:ascii="Arial" w:hAnsi="Arial" w:cs="Arial"/>
          <w:i/>
          <w:iCs/>
        </w:rPr>
        <w:t>P. aeruginosa</w:t>
      </w:r>
      <w:r>
        <w:rPr>
          <w:rFonts w:ascii="Arial" w:hAnsi="Arial" w:cs="Arial"/>
        </w:rPr>
        <w:t xml:space="preserve">, </w:t>
      </w:r>
      <w:r>
        <w:rPr>
          <w:rFonts w:ascii="Arial" w:hAnsi="Arial" w:cs="Arial"/>
          <w:i/>
          <w:iCs/>
        </w:rPr>
        <w:t>Shigella sonnei</w:t>
      </w:r>
      <w:r>
        <w:rPr>
          <w:rFonts w:ascii="Arial" w:hAnsi="Arial" w:cs="Arial"/>
        </w:rPr>
        <w:t xml:space="preserve">, </w:t>
      </w:r>
      <w:r>
        <w:rPr>
          <w:rFonts w:ascii="Arial" w:hAnsi="Arial" w:cs="Arial"/>
          <w:i/>
          <w:iCs/>
        </w:rPr>
        <w:t>Salmonella pyogenes</w:t>
      </w:r>
      <w:r>
        <w:rPr>
          <w:rFonts w:ascii="Arial" w:hAnsi="Arial" w:cs="Arial"/>
        </w:rPr>
        <w:t xml:space="preserve">, and </w:t>
      </w:r>
      <w:r>
        <w:rPr>
          <w:rFonts w:ascii="Arial" w:hAnsi="Arial" w:cs="Arial"/>
          <w:i/>
          <w:iCs/>
        </w:rPr>
        <w:t>S. typhi</w:t>
      </w:r>
      <w:r>
        <w:rPr>
          <w:rFonts w:ascii="Arial" w:hAnsi="Arial" w:cs="Arial"/>
        </w:rPr>
        <w:t xml:space="preserve">. Specifically, the utilization of 0.5 μg/ml valproic acid led to a 37 % increase in the inhibition of </w:t>
      </w:r>
      <w:r>
        <w:rPr>
          <w:rFonts w:ascii="Arial" w:hAnsi="Arial" w:cs="Arial"/>
          <w:i/>
          <w:iCs/>
        </w:rPr>
        <w:t>S. typhi</w:t>
      </w:r>
      <w:r>
        <w:rPr>
          <w:rFonts w:ascii="Arial" w:hAnsi="Arial" w:cs="Arial"/>
        </w:rPr>
        <w:t xml:space="preserve"> compared to the positive control, and a concentration of 5 μg/ml resulted in 17 %, 20 %, and 25 % greater inhibition of </w:t>
      </w:r>
      <w:r>
        <w:rPr>
          <w:rFonts w:ascii="Arial" w:hAnsi="Arial" w:cs="Arial"/>
          <w:i/>
          <w:iCs/>
        </w:rPr>
        <w:t>S. pyogenes</w:t>
      </w:r>
      <w:r>
        <w:rPr>
          <w:rFonts w:ascii="Arial" w:hAnsi="Arial" w:cs="Arial"/>
        </w:rPr>
        <w:t xml:space="preserve">, </w:t>
      </w:r>
      <w:r>
        <w:rPr>
          <w:rFonts w:ascii="Arial" w:hAnsi="Arial" w:cs="Arial"/>
          <w:i/>
          <w:iCs/>
        </w:rPr>
        <w:t>P. aeruginosa</w:t>
      </w:r>
      <w:r>
        <w:rPr>
          <w:rFonts w:ascii="Arial" w:hAnsi="Arial" w:cs="Arial"/>
        </w:rPr>
        <w:t xml:space="preserve">, and </w:t>
      </w:r>
      <w:r>
        <w:rPr>
          <w:rFonts w:ascii="Arial" w:hAnsi="Arial" w:cs="Arial"/>
          <w:i/>
          <w:iCs/>
        </w:rPr>
        <w:t>S. sonnei</w:t>
      </w:r>
      <w:r>
        <w:rPr>
          <w:rFonts w:ascii="Arial" w:hAnsi="Arial" w:cs="Arial"/>
        </w:rPr>
        <w:t>, respectively, compared to the positive control. It should be noted that no effect was observed with the addition of 5-azacytidine. This research demonstrates their effectiveness in activating latent biosynthetic pathways in endophytic fungi (Ameen et al., 2020).</w:t>
      </w:r>
    </w:p>
    <w:p w14:paraId="11EC6C35">
      <w:pPr>
        <w:pStyle w:val="24"/>
        <w:rPr>
          <w:rFonts w:ascii="Arial" w:hAnsi="Arial" w:cs="Arial"/>
        </w:rPr>
      </w:pPr>
      <w:r>
        <w:rPr>
          <w:rFonts w:ascii="Arial" w:hAnsi="Arial" w:cs="Arial"/>
        </w:rPr>
        <w:t xml:space="preserve">Another example was observed in a study with </w:t>
      </w:r>
      <w:r>
        <w:rPr>
          <w:rFonts w:ascii="Arial" w:hAnsi="Arial" w:cs="Arial"/>
          <w:i/>
          <w:iCs/>
        </w:rPr>
        <w:t>Penicillium chrysogenum</w:t>
      </w:r>
      <w:r>
        <w:rPr>
          <w:rFonts w:ascii="Arial" w:hAnsi="Arial" w:cs="Arial"/>
        </w:rPr>
        <w:t xml:space="preserve">, isolated from </w:t>
      </w:r>
      <w:r>
        <w:rPr>
          <w:rFonts w:ascii="Arial" w:hAnsi="Arial" w:cs="Arial"/>
          <w:i/>
          <w:iCs/>
        </w:rPr>
        <w:t>Albizia adianthifolia</w:t>
      </w:r>
      <w:r>
        <w:rPr>
          <w:rFonts w:ascii="Arial" w:hAnsi="Arial" w:cs="Arial"/>
        </w:rPr>
        <w:t xml:space="preserve">, whose fermentation with sodium butyrate led to a significant induction of biosynthetic genes associated with metabolites with anti-HIV activity. Notably, </w:t>
      </w:r>
      <w:r>
        <w:rPr>
          <w:rFonts w:ascii="Arial" w:hAnsi="Arial" w:cs="Arial"/>
          <w:i/>
          <w:iCs/>
        </w:rPr>
        <w:t>P. chrysogenum</w:t>
      </w:r>
      <w:r>
        <w:rPr>
          <w:rFonts w:ascii="Arial" w:hAnsi="Arial" w:cs="Arial"/>
        </w:rPr>
        <w:t xml:space="preserve"> P03MB2 treated with this modifier exhibited antiviral activity against HIV-1 with an IC</w:t>
      </w:r>
      <w:r>
        <w:rPr>
          <w:rFonts w:ascii="Arial" w:hAnsi="Arial" w:cs="Arial"/>
          <w:vertAlign w:val="subscript"/>
        </w:rPr>
        <w:t>50</w:t>
      </w:r>
      <w:r>
        <w:rPr>
          <w:rFonts w:ascii="Arial" w:hAnsi="Arial" w:cs="Arial"/>
        </w:rPr>
        <w:t xml:space="preserve"> of 0.6025 µg/mL, compared to 5.053 µg/mL for the untreated crude extract, representing a rise of more than eightfold in antiviral potency (Makhwitine et al., 2023).</w:t>
      </w:r>
    </w:p>
    <w:p w14:paraId="35FFED05">
      <w:pPr>
        <w:pStyle w:val="24"/>
        <w:rPr>
          <w:rFonts w:ascii="Arial" w:hAnsi="Arial" w:cs="Arial"/>
          <w:b/>
          <w:bCs/>
        </w:rPr>
      </w:pPr>
      <w:r>
        <w:rPr>
          <w:rFonts w:ascii="Arial" w:hAnsi="Arial" w:cs="Arial"/>
          <w:b/>
          <w:bCs/>
        </w:rPr>
        <w:t>6.4 Genetic engineering</w:t>
      </w:r>
    </w:p>
    <w:p w14:paraId="3634A266">
      <w:pPr>
        <w:pStyle w:val="24"/>
        <w:rPr>
          <w:rFonts w:ascii="Arial" w:hAnsi="Arial" w:cs="Arial"/>
        </w:rPr>
      </w:pPr>
      <w:r>
        <w:rPr>
          <w:rFonts w:ascii="Arial" w:hAnsi="Arial" w:cs="Arial"/>
        </w:rPr>
        <w:t>Genetic engineering applied to endophytic fungi is in its early stages. Nonetheless, it provides a foundation for the development of more complex approaches, such as systems biology, which involves computational modeling of molecular systems and the integrative interpretation of larger postgenomic datasets to comprehend metabolic and genomic networks (Breitling, 2010). As a complement, functional genomics allows the study of gene function within specific biological systems (Hyde et al., 2024). The purpose of applying these approaches is to achieve translational success, understood as the ability of animal models to predict outcomes in humans (Van de Wall et al., 2023).</w:t>
      </w:r>
    </w:p>
    <w:p w14:paraId="1C46E4C5">
      <w:pPr>
        <w:pStyle w:val="24"/>
        <w:rPr>
          <w:rFonts w:ascii="Arial" w:hAnsi="Arial" w:cs="Arial"/>
        </w:rPr>
      </w:pPr>
      <w:r>
        <w:rPr>
          <w:rFonts w:ascii="Arial" w:hAnsi="Arial" w:cs="Arial"/>
        </w:rPr>
        <w:t>Genetic recombination between host plants and endophytic fungi could facilitate the incorporation of new metabolic pathways and functional genes in these microorganisms. Additionally, it has been proposed that horizontal gene transfer (the exchange of DNA between species between evolutionary lineages by means other than fertilization) (Wickell and Li, 2020). acts as an adaptive evolutionary mechanism, granting fungi novel characteristics that enhance their functionality and biotechnological value (Tiwari and Bae, 2022).</w:t>
      </w:r>
    </w:p>
    <w:p w14:paraId="66C31881">
      <w:pPr>
        <w:pStyle w:val="24"/>
        <w:rPr>
          <w:rFonts w:ascii="Arial" w:hAnsi="Arial" w:cs="Arial"/>
        </w:rPr>
      </w:pPr>
      <w:r>
        <w:rPr>
          <w:rFonts w:ascii="Arial" w:hAnsi="Arial" w:cs="Arial"/>
        </w:rPr>
        <w:t>Gene editing involves altering specific DNA sequences or inserting exogenous genetic material to activate cryptic genes (which are inactive under standard conditions) (A. Verma et al., 2023; Gaj et al., 2016). Also, targeted integration of transgenes and deletion of mutant alleles (A. Verma et al., 2023).</w:t>
      </w:r>
    </w:p>
    <w:p w14:paraId="658FFCE1">
      <w:pPr>
        <w:pStyle w:val="24"/>
        <w:rPr>
          <w:rFonts w:ascii="Arial" w:hAnsi="Arial" w:cs="Arial"/>
        </w:rPr>
      </w:pPr>
      <w:r>
        <w:rPr>
          <w:rFonts w:ascii="Arial" w:hAnsi="Arial" w:cs="Arial"/>
        </w:rPr>
        <w:t>Another relevant technology is genome editing, which allows the insertion or deletion of DNA segments. Guide sequences are created during the process, complementary to the target sequence, and help identify the breakpoint and facilitate repair by homologous recombination (HR) (A. Verma et al., 2023). Three main technologies for precise genome editing in living organisms can be highlighted: clustered regularly interspaced short palindromic repeats (CRISPR)-Cas9, transcription activator-like effector nucleases (TALENs), and zinc-finger nucleases (ZFNs) (Gaj et al., 2016).</w:t>
      </w:r>
    </w:p>
    <w:p w14:paraId="5FE532C8">
      <w:pPr>
        <w:pStyle w:val="24"/>
        <w:rPr>
          <w:rFonts w:ascii="Arial" w:hAnsi="Arial" w:cs="Arial"/>
        </w:rPr>
      </w:pPr>
      <w:r>
        <w:rPr>
          <w:rFonts w:ascii="Arial" w:hAnsi="Arial" w:cs="Arial"/>
        </w:rPr>
        <w:t>ZFNs and TALENs are first-generation gene-editing technologies. Both use the FokI nuclease, which, together with its DNA-binding domains, induces double-strand breaks (DSBs) in target regions of the genome. Although they have demonstrated efficacy, their widespread employment has been limited by high off-target rates. Besides, the tools' design is complex and expensive. ZFNs present problems due to the lack of specificity of zinc fingers for certain sequences. Finally, both techniques require advanced protein manipulation, which can represent a barrier for inexperienced researchers (Zheng et al., 2023).</w:t>
      </w:r>
    </w:p>
    <w:p w14:paraId="76DA03D6">
      <w:pPr>
        <w:pStyle w:val="24"/>
        <w:rPr>
          <w:rFonts w:ascii="Arial" w:hAnsi="Arial" w:cs="Arial"/>
        </w:rPr>
      </w:pPr>
      <w:r>
        <w:rPr>
          <w:rFonts w:ascii="Arial" w:hAnsi="Arial" w:cs="Arial"/>
        </w:rPr>
        <w:t>In contrast, CRISPR/Cas9 enables precise and efficient DNA modification in microorganisms, including endophytic fungi. It is based on the Cas9 protein, which is guided by a single guide RNA (sgRNA) to introduce the DSBs in the target gene. From these cuts, natural DNA repair mechanisms (HR and non-homologous end joining or NHEJ) insert, replace, or delete genes of interest (V. Verma et al., 2023). It offers significant advantages, like high editing efficiency, ease of operation, cost-effectiveness, and diversified recognition sites (Zhang et al., 2024). Despite its popularity, it generates off-target editing, which can affect the accuracy of genetic modifications, and requires optimization to ensure its feasibility (Gaj et al., 2016; V. Verma et al., 2023).</w:t>
      </w:r>
    </w:p>
    <w:p w14:paraId="24D21923">
      <w:pPr>
        <w:pStyle w:val="24"/>
        <w:rPr>
          <w:rFonts w:ascii="Arial" w:hAnsi="Arial" w:cs="Arial"/>
        </w:rPr>
      </w:pPr>
      <w:r>
        <w:rPr>
          <w:rFonts w:ascii="Arial" w:hAnsi="Arial" w:cs="Arial"/>
        </w:rPr>
        <w:t xml:space="preserve">An example of this technology is the editing of the mitogen-activated protein kinase kinase (MAPKK) gene in the endophytic fungus </w:t>
      </w:r>
      <w:r>
        <w:rPr>
          <w:rFonts w:ascii="Arial" w:hAnsi="Arial" w:cs="Arial"/>
          <w:i/>
          <w:iCs/>
        </w:rPr>
        <w:t>Phomopsis liquidambaris</w:t>
      </w:r>
      <w:r>
        <w:rPr>
          <w:rFonts w:ascii="Arial" w:hAnsi="Arial" w:cs="Arial"/>
        </w:rPr>
        <w:t>. This genetic modification led to the activation of latent biosynthetic pathways and the consequent production of flavonoids such as naringenin and quercetin (Yang et al., 2021), compounds with recognized antimicrobial activity (Veiko et al., 2023).</w:t>
      </w:r>
    </w:p>
    <w:p w14:paraId="2B1B18E0">
      <w:pPr>
        <w:pStyle w:val="24"/>
        <w:rPr>
          <w:rFonts w:ascii="Arial" w:hAnsi="Arial" w:cs="Arial"/>
        </w:rPr>
      </w:pPr>
      <w:r>
        <w:rPr>
          <w:rFonts w:ascii="Arial" w:hAnsi="Arial" w:cs="Arial"/>
        </w:rPr>
        <w:t xml:space="preserve">Another investigation involved </w:t>
      </w:r>
      <w:r>
        <w:rPr>
          <w:rFonts w:ascii="Arial" w:hAnsi="Arial" w:cs="Arial"/>
          <w:i/>
          <w:iCs/>
        </w:rPr>
        <w:t>Berkleasmium</w:t>
      </w:r>
      <w:r>
        <w:rPr>
          <w:rFonts w:ascii="Arial" w:hAnsi="Arial" w:cs="Arial"/>
        </w:rPr>
        <w:t xml:space="preserve"> sp. Dzf12, isolated from </w:t>
      </w:r>
      <w:r>
        <w:rPr>
          <w:rFonts w:ascii="Arial" w:hAnsi="Arial" w:cs="Arial"/>
          <w:i/>
          <w:iCs/>
        </w:rPr>
        <w:t>Dioscorea zingiberensis</w:t>
      </w:r>
      <w:r>
        <w:rPr>
          <w:rFonts w:ascii="Arial" w:hAnsi="Arial" w:cs="Arial"/>
        </w:rPr>
        <w:t>, and known to synthesize palmarumicins, molecules with potent antibacterial and antifungal activities. This fungus exhibits traits that hinder genetic manipulation (slow growth, lack of sporulation, and high pigmentation). The specifically designed CRISPR/Cas9 system featured the U6 snRNA-1 promoter as the sgRNA promoter (S. Zhao et al., 2024).</w:t>
      </w:r>
    </w:p>
    <w:p w14:paraId="499615F4">
      <w:pPr>
        <w:pStyle w:val="24"/>
        <w:rPr>
          <w:rFonts w:ascii="Arial" w:hAnsi="Arial" w:cs="Arial"/>
        </w:rPr>
      </w:pPr>
      <w:r>
        <w:rPr>
          <w:rFonts w:ascii="Arial" w:hAnsi="Arial" w:cs="Arial"/>
        </w:rPr>
        <w:t>TALENs and ZNFs are gene-editing technologies, but they have not been shown to have relevant applications for modulating antimicrobial metabolites in endophytic fungi. Most related studies have focused on CRISPR/Cas9.</w:t>
      </w:r>
    </w:p>
    <w:p w14:paraId="0FEE763A">
      <w:pPr>
        <w:pStyle w:val="24"/>
        <w:rPr>
          <w:rFonts w:ascii="Arial" w:hAnsi="Arial" w:cs="Arial"/>
          <w:b/>
          <w:bCs/>
          <w:sz w:val="22"/>
          <w:szCs w:val="22"/>
        </w:rPr>
      </w:pPr>
      <w:r>
        <w:rPr>
          <w:rFonts w:ascii="Arial" w:hAnsi="Arial" w:cs="Arial"/>
          <w:b/>
          <w:bCs/>
          <w:sz w:val="22"/>
          <w:szCs w:val="22"/>
        </w:rPr>
        <w:t>7. ADVANTAGES, CHALLENGES, AND FUTURE PERSPECTIVES IN THE BIOTECHNOLOGICAL APPLICATION OF ENDOPHYTIC FUNGI POR THE PRODUCTION OF ANTIMICROBIAL AGENTS</w:t>
      </w:r>
    </w:p>
    <w:p w14:paraId="028EF6D8">
      <w:pPr>
        <w:pStyle w:val="24"/>
        <w:rPr>
          <w:rFonts w:ascii="Arial" w:hAnsi="Arial" w:cs="Arial"/>
        </w:rPr>
      </w:pPr>
      <w:r>
        <w:rPr>
          <w:rFonts w:ascii="Arial" w:hAnsi="Arial" w:cs="Arial"/>
        </w:rPr>
        <w:t>The production of secondary metabolites is linked to bioactive compounds with pharmaceutical properties (Kumari et al., 2023), and endophytic fungi have been shown to produce higher proportions than soil fungi or phytopathogenic fungi. Their advantages are short generation time, high biomass production owing to high growth rates, and good handling characteristics in bioreactors (da Silva et al., 2022). Moreover, they perform essential biotransformation activities. This capacity allows them to utilize their biological systems to make chemical modifications in compounds that are not their natural substrates (Zheng et al., 2016). Biotechnology is involved in these processes to enable optimal selection of organisms of interest and to study the conditions necessary for their survival, along with their metabolic and environmental interactions, thereby preserving their biodiversity (da Silva et al., 2022).</w:t>
      </w:r>
    </w:p>
    <w:p w14:paraId="41A07F88">
      <w:pPr>
        <w:pStyle w:val="24"/>
        <w:rPr>
          <w:rFonts w:ascii="Arial" w:hAnsi="Arial" w:cs="Arial"/>
        </w:rPr>
      </w:pPr>
      <w:r>
        <w:rPr>
          <w:rFonts w:ascii="Arial" w:hAnsi="Arial" w:cs="Arial"/>
        </w:rPr>
        <w:t>Another aspect is that the discovery of antimicrobial properties is geared toward an alternative strategy to address the significant impact of resistance to currently commercialized drugs (Digra &amp; Nonzom, 2023). This scenario becomes particularly relevant given that bacteria, fungi, and parasites provoke approximately half of all deaths worldwide each year (Gupta &amp; Sharma, 2020).</w:t>
      </w:r>
    </w:p>
    <w:p w14:paraId="45494DB0">
      <w:pPr>
        <w:pStyle w:val="24"/>
        <w:rPr>
          <w:rFonts w:ascii="Arial" w:hAnsi="Arial" w:cs="Arial"/>
        </w:rPr>
      </w:pPr>
      <w:r>
        <w:rPr>
          <w:rFonts w:ascii="Arial" w:hAnsi="Arial" w:cs="Arial"/>
        </w:rPr>
        <w:t>Therefore, the finding of more effective antimicrobial agents is essential. Likewise, the biotechnology sector continues to be promoted to explore further the analysis of these new biomolecules, capable of producing results for human health while being safe, having fewer adverse effects, and offering guaranteed activity (Hashem et al., 2023; Takahashi et al., 2024).</w:t>
      </w:r>
    </w:p>
    <w:p w14:paraId="28363C25">
      <w:pPr>
        <w:pStyle w:val="24"/>
        <w:rPr>
          <w:rFonts w:ascii="Arial" w:hAnsi="Arial" w:cs="Arial"/>
        </w:rPr>
      </w:pPr>
      <w:r>
        <w:rPr>
          <w:rFonts w:ascii="Arial" w:hAnsi="Arial" w:cs="Arial"/>
        </w:rPr>
        <w:t>Nevertheless, despite the beneficial aspects, limitations exist due to the still limited comprehension of endophytic fungal biology, which ultimately impacts the synthesis of secondary metabolites. These problems highlight the need to develop a plan that complements and integrates the missing information to continue their research, for example, a better understanding of how plant associations function and how they biosynthesize secondary metabolites. Another element is to establish methods related to genetic engineering in conjunction with technological advances and the genomic revolution (Tiwari and Bae, 2022).</w:t>
      </w:r>
    </w:p>
    <w:p w14:paraId="43AE1DCD">
      <w:pPr>
        <w:pStyle w:val="24"/>
        <w:rPr>
          <w:rFonts w:ascii="Arial" w:hAnsi="Arial" w:cs="Arial"/>
        </w:rPr>
      </w:pPr>
      <w:r>
        <w:rPr>
          <w:rFonts w:ascii="Arial" w:hAnsi="Arial" w:cs="Arial"/>
        </w:rPr>
        <w:t>It is relevant not to overlook the role that endophytic fungi play in nature. It has been determined that almost all plants harbor at least one symbiotic fungal endophyte, with its own development in terms of colonization and richness that depends on its spatial location and the environmental factors that affect it (Prajapati et al., 2025).</w:t>
      </w:r>
    </w:p>
    <w:p w14:paraId="09BA0A75">
      <w:pPr>
        <w:pStyle w:val="24"/>
        <w:rPr>
          <w:rFonts w:ascii="Arial" w:hAnsi="Arial" w:cs="Arial"/>
        </w:rPr>
      </w:pPr>
      <w:r>
        <w:rPr>
          <w:rFonts w:ascii="Arial" w:hAnsi="Arial" w:cs="Arial"/>
        </w:rPr>
        <w:t>In addition, the locations and ecological conditions of plants pose significant challenges. One example is that the plant may be endangered, affecting access to it, or may reach a point where it is lost because of persistent harvesting of plant tissues that cannot be replaced (Omomowo et al., 2023).</w:t>
      </w:r>
    </w:p>
    <w:p w14:paraId="412FDAD5">
      <w:pPr>
        <w:pStyle w:val="24"/>
        <w:rPr>
          <w:rFonts w:ascii="Arial" w:hAnsi="Arial" w:cs="Arial"/>
        </w:rPr>
      </w:pPr>
      <w:r>
        <w:rPr>
          <w:rFonts w:ascii="Arial" w:hAnsi="Arial" w:cs="Arial"/>
        </w:rPr>
        <w:t>Finally, it is necessary to know which biosynthetic genes are responsible for producing the molecules. Also, it has been questioned whether the ability to activate these compounds can be compromised by prolonged exposure to an artificial culture medium, thereby losing the potential to obtain bioactive substances (Zakariyah et al., 2024).</w:t>
      </w:r>
    </w:p>
    <w:p w14:paraId="63EAFD49">
      <w:pPr>
        <w:pStyle w:val="24"/>
        <w:rPr>
          <w:rFonts w:ascii="Arial" w:hAnsi="Arial" w:cs="Arial"/>
        </w:rPr>
      </w:pPr>
      <w:r>
        <w:rPr>
          <w:rFonts w:ascii="Arial" w:hAnsi="Arial" w:cs="Arial"/>
        </w:rPr>
        <w:t>Even though the metabolites of endophytic fungi have received little attention regarding their bioactivity, they have proven to be a valuable reservoir. In this way, they have the potential to synthesize multiple natural chemical substances (Prajapati et al., 2025).</w:t>
      </w:r>
    </w:p>
    <w:p w14:paraId="4903C68A">
      <w:pPr>
        <w:pStyle w:val="24"/>
        <w:rPr>
          <w:rFonts w:ascii="Arial" w:hAnsi="Arial" w:cs="Arial"/>
        </w:rPr>
      </w:pPr>
      <w:r>
        <w:rPr>
          <w:rFonts w:ascii="Arial" w:hAnsi="Arial" w:cs="Arial"/>
        </w:rPr>
        <w:t>Regarding future expectations, the success of the investigations will depend on clearly identifying the metabolic pathways, host interactions, and molecular components of these fungal endophytes. With this knowledge, appropriate compounds for the production of biopharmaceuticals could be found (Singh and Kumar, 2023; Saini et al., 2024).</w:t>
      </w:r>
    </w:p>
    <w:p w14:paraId="30E480FD">
      <w:pPr>
        <w:pStyle w:val="24"/>
        <w:rPr>
          <w:rFonts w:ascii="Arial" w:hAnsi="Arial" w:cs="Arial"/>
        </w:rPr>
      </w:pPr>
      <w:r>
        <w:rPr>
          <w:rFonts w:ascii="Arial" w:hAnsi="Arial" w:cs="Arial"/>
        </w:rPr>
        <w:t>To improve study quality, it is necessary to consider preventive measures, such as identifying plant hosts and their geographic locations, properly sampling and processing, performing surface disinfection, and conducting phenotypic identification before sequencing and molecular analysis of the isolated samples. Similarly, it is optimal to contemplate culture-independent methods to extract and purify metabolites while maintaining controlled conditions for the maintenance of the desired biological activity (Dos Reis et al., 2022).</w:t>
      </w:r>
    </w:p>
    <w:p w14:paraId="1590854B">
      <w:pPr>
        <w:pStyle w:val="24"/>
        <w:rPr>
          <w:rFonts w:ascii="Arial" w:hAnsi="Arial" w:cs="Arial"/>
          <w:b/>
          <w:bCs/>
          <w:sz w:val="22"/>
          <w:szCs w:val="22"/>
        </w:rPr>
      </w:pPr>
      <w:r>
        <w:rPr>
          <w:rFonts w:ascii="Arial" w:hAnsi="Arial" w:cs="Arial"/>
          <w:b/>
          <w:bCs/>
          <w:sz w:val="22"/>
          <w:szCs w:val="22"/>
        </w:rPr>
        <w:t>8. CONCLUSIONS</w:t>
      </w:r>
    </w:p>
    <w:p w14:paraId="0FE92462">
      <w:pPr>
        <w:pStyle w:val="24"/>
        <w:rPr>
          <w:rFonts w:ascii="Arial" w:hAnsi="Arial" w:cs="Arial"/>
        </w:rPr>
      </w:pPr>
      <w:r>
        <w:rPr>
          <w:rFonts w:ascii="Arial" w:hAnsi="Arial" w:cs="Arial"/>
        </w:rPr>
        <w:t>Endophytic fungi represent a valuable biological source for obtaining antimicrobial compounds with high pharmacological potential, characterized by diverse chemical structures and promising bioactivities against clinically relevant pathogens. Numerous species have demonstrated the ability to synthesize active metabolites, even against resistant strains.</w:t>
      </w:r>
    </w:p>
    <w:p w14:paraId="7E258A2E">
      <w:pPr>
        <w:pStyle w:val="24"/>
        <w:rPr>
          <w:rFonts w:ascii="Arial" w:hAnsi="Arial" w:cs="Arial"/>
        </w:rPr>
      </w:pPr>
      <w:r>
        <w:rPr>
          <w:rFonts w:ascii="Arial" w:hAnsi="Arial" w:cs="Arial"/>
        </w:rPr>
        <w:t>The effective use of these eukaryotes is limited by their low natural productivity and an insufficient knowledge of their symbiotic relationships and the regulation of their metabolic pathways. Therefore, standardizing isolation, culture, extraction, and bioactivity evaluation methodologies is fundamental to ensuring process reproducibility and scalability. The elaboration and implementation of biotechnological strategies have permitted overcoming several of these limitations. Techniques such as media optimization, the OSMAC approach, co-culture, epigenetic modification, and genetic engineering have been appropriate for activating latent biosynthetic pathways and increasing metabolite production.</w:t>
      </w:r>
    </w:p>
    <w:p w14:paraId="01330AF7">
      <w:pPr>
        <w:pStyle w:val="24"/>
        <w:rPr>
          <w:rFonts w:ascii="Arial" w:hAnsi="Arial" w:cs="Arial"/>
        </w:rPr>
      </w:pPr>
      <w:r>
        <w:rPr>
          <w:rFonts w:ascii="Arial" w:hAnsi="Arial" w:cs="Arial"/>
        </w:rPr>
        <w:t>Although most of these findings have been obtained through in vitro studies, there is potential to advance to preclinical and clinical research to validate their therapeutic applicability. Prospects are geared toward developing effective, safe, and sustainable therapies utilizing biological drugs derived from these natural sources, leveraging ecological, molecular, and biotechnological knowledge.</w:t>
      </w:r>
    </w:p>
    <w:p w14:paraId="480D372C">
      <w:pPr>
        <w:pStyle w:val="31"/>
        <w:spacing w:after="0"/>
        <w:jc w:val="both"/>
        <w:rPr>
          <w:rFonts w:ascii="Arial" w:hAnsi="Arial" w:cs="Arial"/>
        </w:rPr>
      </w:pPr>
    </w:p>
    <w:p w14:paraId="30C66D5F">
      <w:pPr>
        <w:pStyle w:val="31"/>
        <w:spacing w:after="0"/>
        <w:jc w:val="both"/>
        <w:rPr>
          <w:rFonts w:ascii="Arial" w:hAnsi="Arial" w:cs="Arial"/>
        </w:rPr>
      </w:pPr>
    </w:p>
    <w:p w14:paraId="05232565">
      <w:pPr>
        <w:pStyle w:val="31"/>
        <w:spacing w:after="0"/>
        <w:jc w:val="both"/>
        <w:rPr>
          <w:rFonts w:ascii="Arial" w:hAnsi="Arial" w:cs="Arial"/>
        </w:rPr>
      </w:pPr>
      <w:r>
        <w:rPr>
          <w:rFonts w:ascii="Arial" w:hAnsi="Arial" w:cs="Arial"/>
        </w:rPr>
        <w:t>References</w:t>
      </w:r>
      <w:r>
        <w:commentReference w:id="2"/>
      </w:r>
    </w:p>
    <w:p w14:paraId="7CC95647">
      <w:pPr>
        <w:pStyle w:val="66"/>
        <w:numPr>
          <w:ilvl w:val="0"/>
          <w:numId w:val="2"/>
        </w:numPr>
        <w:tabs>
          <w:tab w:val="center" w:pos="0"/>
        </w:tabs>
        <w:ind w:left="426" w:right="0" w:hanging="426"/>
        <w:rPr>
          <w:rFonts w:ascii="Arial" w:hAnsi="Arial" w:cs="Arial"/>
          <w:sz w:val="20"/>
          <w:szCs w:val="20"/>
          <w:lang w:val="en-US"/>
        </w:rPr>
      </w:pPr>
      <w:r>
        <w:rPr>
          <w:rFonts w:ascii="Arial" w:hAnsi="Arial" w:cs="Arial"/>
          <w:sz w:val="20"/>
          <w:szCs w:val="20"/>
          <w:shd w:val="clear" w:color="auto" w:fill="FFFFFF"/>
          <w:lang w:val="es-CR"/>
        </w:rPr>
        <w:t xml:space="preserve">Abdalla, M. A., Aro, A. O., Gado, D., Passari, A. K., Mishra, V. K., Singh, B. P., et al. </w:t>
      </w:r>
      <w:r>
        <w:rPr>
          <w:rFonts w:ascii="Arial" w:hAnsi="Arial" w:cs="Arial"/>
          <w:sz w:val="20"/>
          <w:szCs w:val="20"/>
          <w:shd w:val="clear" w:color="auto" w:fill="FFFFFF"/>
          <w:lang w:val="en-US"/>
        </w:rPr>
        <w:t>(2020). Isolation of endophytic fungi from South African plants, and screening for</w:t>
      </w:r>
      <w:r>
        <w:rPr>
          <w:rFonts w:ascii="Arial" w:hAnsi="Arial" w:cs="Arial"/>
          <w:sz w:val="20"/>
          <w:szCs w:val="20"/>
          <w:lang w:val="en-US"/>
        </w:rPr>
        <w:t xml:space="preserve"> </w:t>
      </w:r>
      <w:r>
        <w:rPr>
          <w:rFonts w:ascii="Arial" w:hAnsi="Arial" w:cs="Arial"/>
          <w:sz w:val="20"/>
          <w:szCs w:val="20"/>
          <w:shd w:val="clear" w:color="auto" w:fill="FFFFFF"/>
          <w:lang w:val="en-US"/>
        </w:rPr>
        <w:t>their antimicrobial and extracellular enzymatic activities and presence of</w:t>
      </w:r>
      <w:r>
        <w:rPr>
          <w:rFonts w:ascii="Arial" w:hAnsi="Arial" w:cs="Arial"/>
          <w:sz w:val="20"/>
          <w:szCs w:val="20"/>
          <w:lang w:val="en-US"/>
        </w:rPr>
        <w:t xml:space="preserve"> </w:t>
      </w:r>
      <w:r>
        <w:rPr>
          <w:rFonts w:ascii="Arial" w:hAnsi="Arial" w:cs="Arial"/>
          <w:sz w:val="20"/>
          <w:szCs w:val="20"/>
          <w:shd w:val="clear" w:color="auto" w:fill="FFFFFF"/>
          <w:lang w:val="en-US"/>
        </w:rPr>
        <w:t xml:space="preserve">type I polyketide synthases. </w:t>
      </w:r>
      <w:r>
        <w:rPr>
          <w:rFonts w:ascii="Arial" w:hAnsi="Arial" w:cs="Arial"/>
          <w:i/>
          <w:iCs/>
          <w:sz w:val="20"/>
          <w:szCs w:val="20"/>
          <w:shd w:val="clear" w:color="auto" w:fill="FFFFFF"/>
          <w:lang w:val="en-US"/>
        </w:rPr>
        <w:t>South African Journal of Botany, 134</w:t>
      </w:r>
      <w:r>
        <w:rPr>
          <w:rFonts w:ascii="Arial" w:hAnsi="Arial" w:cs="Arial"/>
          <w:sz w:val="20"/>
          <w:szCs w:val="20"/>
          <w:shd w:val="clear" w:color="auto" w:fill="FFFFFF"/>
          <w:lang w:val="en-US"/>
        </w:rPr>
        <w:t>, 336-242.</w:t>
      </w:r>
    </w:p>
    <w:p w14:paraId="52FFE584">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Acharjee, S., Chauhan, S., Pal, R., &amp; Tomar, R. S. (2023). </w:t>
      </w:r>
      <w:r>
        <w:rPr>
          <w:rFonts w:ascii="Arial" w:hAnsi="Arial" w:cs="Arial"/>
          <w:sz w:val="20"/>
          <w:szCs w:val="20"/>
          <w:shd w:val="clear" w:color="auto" w:fill="FFFFFF"/>
          <w:lang w:val="en-US"/>
        </w:rPr>
        <w:t>Mechanisms of DNA methylation and histone modifications. </w:t>
      </w:r>
      <w:r>
        <w:rPr>
          <w:rFonts w:ascii="Arial" w:hAnsi="Arial" w:cs="Arial"/>
          <w:i/>
          <w:iCs/>
          <w:sz w:val="20"/>
          <w:szCs w:val="20"/>
          <w:shd w:val="clear" w:color="auto" w:fill="FFFFFF"/>
          <w:lang w:val="en-US"/>
        </w:rPr>
        <w:t>Progress in Molecular Biology and Translational Science, 197</w:t>
      </w:r>
      <w:r>
        <w:rPr>
          <w:rFonts w:ascii="Arial" w:hAnsi="Arial" w:cs="Arial"/>
          <w:sz w:val="20"/>
          <w:szCs w:val="20"/>
          <w:shd w:val="clear" w:color="auto" w:fill="FFFFFF"/>
          <w:lang w:val="en-US"/>
        </w:rPr>
        <w:t>, 51-92.</w:t>
      </w:r>
    </w:p>
    <w:p w14:paraId="3E14DF3B">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Ahmed, S. K., Hussein, S., Qurbani, K., Ibrahim, R. H., Fareeq, A., Mahmood, K. A., et al. (2024). Antimicrobial resistance: Impacts, challenges, and future prospects. </w:t>
      </w:r>
      <w:r>
        <w:rPr>
          <w:rFonts w:ascii="Arial" w:hAnsi="Arial" w:cs="Arial"/>
          <w:i/>
          <w:iCs/>
          <w:sz w:val="20"/>
          <w:szCs w:val="20"/>
          <w:shd w:val="clear" w:color="auto" w:fill="FFFFFF"/>
          <w:lang w:val="en-US"/>
        </w:rPr>
        <w:t>Journal of Medicine, Surgery, and Public Health, 2</w:t>
      </w:r>
      <w:r>
        <w:rPr>
          <w:rFonts w:ascii="Arial" w:hAnsi="Arial" w:cs="Arial"/>
          <w:sz w:val="20"/>
          <w:szCs w:val="20"/>
          <w:shd w:val="clear" w:color="auto" w:fill="FFFFFF"/>
          <w:lang w:val="en-US"/>
        </w:rPr>
        <w:t>, 100081.</w:t>
      </w:r>
    </w:p>
    <w:p w14:paraId="41C4B1F3">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Al Mousa, A. A., Mohamed, H., Hassane, A. M. A., Abo-Dahab, N. F. (2021). Antimicrobial and cytotoxic potential of an endophytic fungus </w:t>
      </w:r>
      <w:r>
        <w:rPr>
          <w:rFonts w:ascii="Arial" w:hAnsi="Arial" w:cs="Arial"/>
          <w:i/>
          <w:iCs/>
          <w:sz w:val="20"/>
          <w:szCs w:val="20"/>
          <w:shd w:val="clear" w:color="auto" w:fill="FFFFFF"/>
          <w:lang w:val="en-US"/>
        </w:rPr>
        <w:t>Alternaria tenuissima</w:t>
      </w:r>
      <w:r>
        <w:rPr>
          <w:rFonts w:ascii="Arial" w:hAnsi="Arial" w:cs="Arial"/>
          <w:sz w:val="20"/>
          <w:szCs w:val="20"/>
          <w:shd w:val="clear" w:color="auto" w:fill="FFFFFF"/>
          <w:lang w:val="en-US"/>
        </w:rPr>
        <w:t xml:space="preserve"> AUMC14342 isolated from </w:t>
      </w:r>
      <w:r>
        <w:rPr>
          <w:rFonts w:ascii="Arial" w:hAnsi="Arial" w:cs="Arial"/>
          <w:i/>
          <w:iCs/>
          <w:sz w:val="20"/>
          <w:szCs w:val="20"/>
          <w:shd w:val="clear" w:color="auto" w:fill="FFFFFF"/>
          <w:lang w:val="en-US"/>
        </w:rPr>
        <w:t>Artemisia judaica</w:t>
      </w:r>
      <w:r>
        <w:rPr>
          <w:rFonts w:ascii="Arial" w:hAnsi="Arial" w:cs="Arial"/>
          <w:sz w:val="20"/>
          <w:szCs w:val="20"/>
          <w:shd w:val="clear" w:color="auto" w:fill="FFFFFF"/>
          <w:lang w:val="en-US"/>
        </w:rPr>
        <w:t xml:space="preserve"> L. growing in Saudi Arabia. </w:t>
      </w:r>
      <w:r>
        <w:rPr>
          <w:rFonts w:ascii="Arial" w:hAnsi="Arial" w:cs="Arial"/>
          <w:i/>
          <w:iCs/>
          <w:sz w:val="20"/>
          <w:szCs w:val="20"/>
          <w:shd w:val="clear" w:color="auto" w:fill="FFFFFF"/>
          <w:lang w:val="en-US"/>
        </w:rPr>
        <w:t>Journal of King Saud University, 33</w:t>
      </w:r>
      <w:r>
        <w:rPr>
          <w:rFonts w:ascii="Arial" w:hAnsi="Arial" w:cs="Arial"/>
          <w:sz w:val="20"/>
          <w:szCs w:val="20"/>
          <w:shd w:val="clear" w:color="auto" w:fill="FFFFFF"/>
          <w:lang w:val="en-US"/>
        </w:rPr>
        <w:t>(5), 101462.</w:t>
      </w:r>
    </w:p>
    <w:p w14:paraId="31EB971D">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Alam, B., Lǐ, J., Gě, Q., Khan, M. A., Gōng, J., Mehmood, S., et al. (2021). Endophytic Fungi: From Symbiosis to Secondary Metabolite Communications or Vice Versa?</w:t>
      </w:r>
      <w:r>
        <w:rPr>
          <w:rFonts w:ascii="Arial" w:hAnsi="Arial" w:cs="Arial"/>
          <w:sz w:val="20"/>
          <w:szCs w:val="20"/>
          <w:lang w:val="en-US"/>
        </w:rPr>
        <w:t> </w:t>
      </w:r>
      <w:r>
        <w:rPr>
          <w:rFonts w:ascii="Arial" w:hAnsi="Arial" w:cs="Arial"/>
          <w:i/>
          <w:iCs/>
          <w:sz w:val="20"/>
          <w:szCs w:val="20"/>
          <w:shd w:val="clear" w:color="auto" w:fill="FFFFFF"/>
          <w:lang w:val="en-US"/>
        </w:rPr>
        <w:t>Frontiers in Plant Science,</w:t>
      </w:r>
      <w:r>
        <w:rPr>
          <w:rFonts w:ascii="Arial" w:hAnsi="Arial" w:cs="Arial"/>
          <w:i/>
          <w:iCs/>
          <w:sz w:val="20"/>
          <w:szCs w:val="20"/>
          <w:lang w:val="en-US"/>
        </w:rPr>
        <w:t> </w:t>
      </w:r>
      <w:r>
        <w:rPr>
          <w:rFonts w:ascii="Arial" w:hAnsi="Arial" w:cs="Arial"/>
          <w:i/>
          <w:iCs/>
          <w:sz w:val="20"/>
          <w:szCs w:val="20"/>
          <w:shd w:val="clear" w:color="auto" w:fill="FFFFFF"/>
          <w:lang w:val="en-US"/>
        </w:rPr>
        <w:t>12</w:t>
      </w:r>
      <w:r>
        <w:rPr>
          <w:rFonts w:ascii="Arial" w:hAnsi="Arial" w:cs="Arial"/>
          <w:sz w:val="20"/>
          <w:szCs w:val="20"/>
          <w:shd w:val="clear" w:color="auto" w:fill="FFFFFF"/>
          <w:lang w:val="en-US"/>
        </w:rPr>
        <w:t>, 791033.</w:t>
      </w:r>
    </w:p>
    <w:p w14:paraId="3610F33A">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Ameen, F., Almansob, A., Al Tami, M., Al-Enazi, N., Al-Sabri, A., &amp; Orfali, R. (2020). </w:t>
      </w:r>
      <w:r>
        <w:rPr>
          <w:rFonts w:ascii="Arial" w:hAnsi="Arial" w:cs="Arial"/>
          <w:sz w:val="20"/>
          <w:szCs w:val="20"/>
          <w:shd w:val="clear" w:color="auto" w:fill="FFFFFF"/>
          <w:lang w:val="en-US"/>
        </w:rPr>
        <w:t xml:space="preserve">Epigenetic Modifiers Affect the Bioactive Compounds Secreted by an Endophyte of the Tropical Plant </w:t>
      </w:r>
      <w:r>
        <w:rPr>
          <w:rFonts w:ascii="Arial" w:hAnsi="Arial" w:cs="Arial"/>
          <w:i/>
          <w:iCs/>
          <w:sz w:val="20"/>
          <w:szCs w:val="20"/>
          <w:shd w:val="clear" w:color="auto" w:fill="FFFFFF"/>
          <w:lang w:val="en-US"/>
        </w:rPr>
        <w:t>Piper longum</w:t>
      </w:r>
      <w:r>
        <w:rPr>
          <w:rFonts w:ascii="Arial" w:hAnsi="Arial" w:cs="Arial"/>
          <w:sz w:val="20"/>
          <w:szCs w:val="20"/>
          <w:shd w:val="clear" w:color="auto" w:fill="FFFFFF"/>
          <w:lang w:val="en-US"/>
        </w:rPr>
        <w:t xml:space="preserve">. </w:t>
      </w:r>
      <w:r>
        <w:rPr>
          <w:rFonts w:ascii="Arial" w:hAnsi="Arial" w:cs="Arial"/>
          <w:i/>
          <w:iCs/>
          <w:sz w:val="20"/>
          <w:szCs w:val="20"/>
          <w:shd w:val="clear" w:color="auto" w:fill="FFFFFF"/>
          <w:lang w:val="en-US"/>
        </w:rPr>
        <w:t>Molecules,</w:t>
      </w:r>
      <w:r>
        <w:rPr>
          <w:rFonts w:ascii="Arial" w:hAnsi="Arial" w:cs="Arial"/>
          <w:i/>
          <w:iCs/>
          <w:sz w:val="20"/>
          <w:szCs w:val="20"/>
          <w:lang w:val="en-US"/>
        </w:rPr>
        <w:t> </w:t>
      </w:r>
      <w:r>
        <w:rPr>
          <w:rFonts w:ascii="Arial" w:hAnsi="Arial" w:cs="Arial"/>
          <w:i/>
          <w:iCs/>
          <w:sz w:val="20"/>
          <w:szCs w:val="20"/>
          <w:shd w:val="clear" w:color="auto" w:fill="FFFFFF"/>
          <w:lang w:val="en-US"/>
        </w:rPr>
        <w:t>26</w:t>
      </w:r>
      <w:r>
        <w:rPr>
          <w:rFonts w:ascii="Arial" w:hAnsi="Arial" w:cs="Arial"/>
          <w:sz w:val="20"/>
          <w:szCs w:val="20"/>
          <w:shd w:val="clear" w:color="auto" w:fill="FFFFFF"/>
          <w:lang w:val="en-US"/>
        </w:rPr>
        <w:t>(1), 29.</w:t>
      </w:r>
    </w:p>
    <w:p w14:paraId="434FBAAF">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Amirzakariya, B. Z., &amp; Shakeri, A. (2022). Bioactive terpenoids derived from plant endophytic fungi: An updated review (2011-2020).</w:t>
      </w:r>
      <w:r>
        <w:rPr>
          <w:rFonts w:ascii="Arial" w:hAnsi="Arial" w:cs="Arial"/>
          <w:sz w:val="20"/>
          <w:szCs w:val="20"/>
          <w:lang w:val="en-US"/>
        </w:rPr>
        <w:t> </w:t>
      </w:r>
      <w:r>
        <w:rPr>
          <w:rFonts w:ascii="Arial" w:hAnsi="Arial" w:cs="Arial"/>
          <w:i/>
          <w:iCs/>
          <w:sz w:val="20"/>
          <w:szCs w:val="20"/>
          <w:shd w:val="clear" w:color="auto" w:fill="FFFFFF"/>
          <w:lang w:val="en-US"/>
        </w:rPr>
        <w:t>Phytochemistry,</w:t>
      </w:r>
      <w:r>
        <w:rPr>
          <w:rFonts w:ascii="Arial" w:hAnsi="Arial" w:cs="Arial"/>
          <w:i/>
          <w:iCs/>
          <w:sz w:val="20"/>
          <w:szCs w:val="20"/>
          <w:lang w:val="en-US"/>
        </w:rPr>
        <w:t> </w:t>
      </w:r>
      <w:r>
        <w:rPr>
          <w:rFonts w:ascii="Arial" w:hAnsi="Arial" w:cs="Arial"/>
          <w:i/>
          <w:iCs/>
          <w:sz w:val="20"/>
          <w:szCs w:val="20"/>
          <w:shd w:val="clear" w:color="auto" w:fill="FFFFFF"/>
          <w:lang w:val="en-US"/>
        </w:rPr>
        <w:t>197</w:t>
      </w:r>
      <w:r>
        <w:rPr>
          <w:rFonts w:ascii="Arial" w:hAnsi="Arial" w:cs="Arial"/>
          <w:sz w:val="20"/>
          <w:szCs w:val="20"/>
          <w:shd w:val="clear" w:color="auto" w:fill="FFFFFF"/>
          <w:lang w:val="en-US"/>
        </w:rPr>
        <w:t>, 113130.</w:t>
      </w:r>
    </w:p>
    <w:p w14:paraId="64B99168">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Anderson, M., Panteli, D., van Kessel, R., Ljungqvist, G., Colombo, F., &amp; Mossialos, E. (2023). </w:t>
      </w:r>
      <w:r>
        <w:rPr>
          <w:rFonts w:ascii="Arial" w:hAnsi="Arial" w:cs="Arial"/>
          <w:sz w:val="20"/>
          <w:szCs w:val="20"/>
          <w:shd w:val="clear" w:color="auto" w:fill="FFFFFF"/>
          <w:lang w:val="en-US"/>
        </w:rPr>
        <w:t>Challenges and opportunities for incentivising antibiotic research and development in Europe.</w:t>
      </w:r>
      <w:r>
        <w:rPr>
          <w:rFonts w:ascii="Arial" w:hAnsi="Arial" w:cs="Arial"/>
          <w:sz w:val="20"/>
          <w:szCs w:val="20"/>
          <w:lang w:val="en-US"/>
        </w:rPr>
        <w:t> </w:t>
      </w:r>
      <w:r>
        <w:rPr>
          <w:rFonts w:ascii="Arial" w:hAnsi="Arial" w:cs="Arial"/>
          <w:i/>
          <w:iCs/>
          <w:sz w:val="20"/>
          <w:szCs w:val="20"/>
          <w:shd w:val="clear" w:color="auto" w:fill="FFFFFF"/>
          <w:lang w:val="en-US"/>
        </w:rPr>
        <w:t>The Lancet Regional Health - Europe,</w:t>
      </w:r>
      <w:r>
        <w:rPr>
          <w:rFonts w:ascii="Arial" w:hAnsi="Arial" w:cs="Arial"/>
          <w:i/>
          <w:iCs/>
          <w:sz w:val="20"/>
          <w:szCs w:val="20"/>
          <w:lang w:val="en-US"/>
        </w:rPr>
        <w:t> </w:t>
      </w:r>
      <w:r>
        <w:rPr>
          <w:rFonts w:ascii="Arial" w:hAnsi="Arial" w:cs="Arial"/>
          <w:i/>
          <w:iCs/>
          <w:sz w:val="20"/>
          <w:szCs w:val="20"/>
          <w:shd w:val="clear" w:color="auto" w:fill="FFFFFF"/>
          <w:lang w:val="en-US"/>
        </w:rPr>
        <w:t>33</w:t>
      </w:r>
      <w:r>
        <w:rPr>
          <w:rFonts w:ascii="Arial" w:hAnsi="Arial" w:cs="Arial"/>
          <w:sz w:val="20"/>
          <w:szCs w:val="20"/>
          <w:shd w:val="clear" w:color="auto" w:fill="FFFFFF"/>
          <w:lang w:val="en-US"/>
        </w:rPr>
        <w:t>, 100705.</w:t>
      </w:r>
    </w:p>
    <w:p w14:paraId="3E0C27B6">
      <w:pPr>
        <w:pStyle w:val="66"/>
        <w:numPr>
          <w:ilvl w:val="0"/>
          <w:numId w:val="2"/>
        </w:numPr>
        <w:tabs>
          <w:tab w:val="center" w:pos="0"/>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Appelbaum, R. D., Farrell, M. S., Gelbard, R. B., Hoth, J. J., Jawa, R. S., Kirsch, J. M., et al. (2024). Antibiotic prophylaxis in injury: an American Association for the Surgery of Trauma Critical Care Committee clinical consensus document.</w:t>
      </w:r>
      <w:r>
        <w:rPr>
          <w:rFonts w:ascii="Arial" w:hAnsi="Arial" w:cs="Arial"/>
          <w:sz w:val="20"/>
          <w:szCs w:val="20"/>
          <w:lang w:val="en-US"/>
        </w:rPr>
        <w:t> </w:t>
      </w:r>
      <w:r>
        <w:rPr>
          <w:rFonts w:ascii="Arial" w:hAnsi="Arial" w:cs="Arial"/>
          <w:i/>
          <w:iCs/>
          <w:sz w:val="20"/>
          <w:szCs w:val="20"/>
          <w:shd w:val="clear" w:color="auto" w:fill="FFFFFF"/>
          <w:lang w:val="en-US"/>
        </w:rPr>
        <w:t>Trauma Surgery &amp; Acute Care Open,</w:t>
      </w:r>
      <w:r>
        <w:rPr>
          <w:rFonts w:ascii="Arial" w:hAnsi="Arial" w:cs="Arial"/>
          <w:i/>
          <w:iCs/>
          <w:sz w:val="20"/>
          <w:szCs w:val="20"/>
          <w:lang w:val="en-US"/>
        </w:rPr>
        <w:t> </w:t>
      </w:r>
      <w:r>
        <w:rPr>
          <w:rFonts w:ascii="Arial" w:hAnsi="Arial" w:cs="Arial"/>
          <w:i/>
          <w:iCs/>
          <w:sz w:val="20"/>
          <w:szCs w:val="20"/>
          <w:shd w:val="clear" w:color="auto" w:fill="FFFFFF"/>
          <w:lang w:val="en-US"/>
        </w:rPr>
        <w:t>9</w:t>
      </w:r>
      <w:r>
        <w:rPr>
          <w:rFonts w:ascii="Arial" w:hAnsi="Arial" w:cs="Arial"/>
          <w:sz w:val="20"/>
          <w:szCs w:val="20"/>
          <w:shd w:val="clear" w:color="auto" w:fill="FFFFFF"/>
          <w:lang w:val="en-US"/>
        </w:rPr>
        <w:t>(1), e001304.</w:t>
      </w:r>
    </w:p>
    <w:p w14:paraId="735C3E4A">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Ardakani, Z., Aragrande, M., &amp; Canali, M. (2024). </w:t>
      </w:r>
      <w:r>
        <w:rPr>
          <w:rFonts w:ascii="Arial" w:hAnsi="Arial" w:cs="Arial"/>
          <w:sz w:val="20"/>
          <w:szCs w:val="20"/>
          <w:shd w:val="clear" w:color="auto" w:fill="FFFFFF"/>
          <w:lang w:val="en-US"/>
        </w:rPr>
        <w:t>Global antimicrobial use in livestock farming: an estimate for cattle, chickens, and pigs.</w:t>
      </w:r>
      <w:r>
        <w:rPr>
          <w:rFonts w:ascii="Arial" w:hAnsi="Arial" w:cs="Arial"/>
          <w:sz w:val="20"/>
          <w:szCs w:val="20"/>
          <w:lang w:val="en-US"/>
        </w:rPr>
        <w:t> </w:t>
      </w:r>
      <w:r>
        <w:rPr>
          <w:rFonts w:ascii="Arial" w:hAnsi="Arial" w:cs="Arial"/>
          <w:i/>
          <w:iCs/>
          <w:sz w:val="20"/>
          <w:szCs w:val="20"/>
          <w:shd w:val="clear" w:color="auto" w:fill="FFFFFF"/>
          <w:lang w:val="en-US"/>
        </w:rPr>
        <w:t>Animal: The International Journal of Animal Biosciences,</w:t>
      </w:r>
      <w:r>
        <w:rPr>
          <w:rFonts w:ascii="Arial" w:hAnsi="Arial" w:cs="Arial"/>
          <w:i/>
          <w:iCs/>
          <w:sz w:val="20"/>
          <w:szCs w:val="20"/>
          <w:lang w:val="en-US"/>
        </w:rPr>
        <w:t> </w:t>
      </w:r>
      <w:r>
        <w:rPr>
          <w:rFonts w:ascii="Arial" w:hAnsi="Arial" w:cs="Arial"/>
          <w:i/>
          <w:iCs/>
          <w:sz w:val="20"/>
          <w:szCs w:val="20"/>
          <w:shd w:val="clear" w:color="auto" w:fill="FFFFFF"/>
          <w:lang w:val="en-US"/>
        </w:rPr>
        <w:t>18</w:t>
      </w:r>
      <w:r>
        <w:rPr>
          <w:rFonts w:ascii="Arial" w:hAnsi="Arial" w:cs="Arial"/>
          <w:sz w:val="20"/>
          <w:szCs w:val="20"/>
          <w:shd w:val="clear" w:color="auto" w:fill="FFFFFF"/>
          <w:lang w:val="en-US"/>
        </w:rPr>
        <w:t>(2), 101060.</w:t>
      </w:r>
    </w:p>
    <w:p w14:paraId="34CEA088">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Aslam, B., Khurshid, M., Arshad, M. I., Muzammil, S., Rasool, M., Yasmeen, N., et al. (2021). </w:t>
      </w:r>
      <w:r>
        <w:rPr>
          <w:rFonts w:ascii="Arial" w:hAnsi="Arial" w:cs="Arial"/>
          <w:i/>
          <w:iCs/>
          <w:sz w:val="20"/>
          <w:szCs w:val="20"/>
          <w:shd w:val="clear" w:color="auto" w:fill="FFFFFF"/>
          <w:lang w:val="en-US"/>
        </w:rPr>
        <w:t>Antibiotic Resistance: One Health One World Outlook.</w:t>
      </w:r>
      <w:r>
        <w:rPr>
          <w:rFonts w:ascii="Arial" w:hAnsi="Arial" w:cs="Arial"/>
          <w:i/>
          <w:iCs/>
          <w:sz w:val="20"/>
          <w:szCs w:val="20"/>
          <w:lang w:val="en-US"/>
        </w:rPr>
        <w:t> </w:t>
      </w:r>
      <w:r>
        <w:rPr>
          <w:rFonts w:ascii="Arial" w:hAnsi="Arial" w:cs="Arial"/>
          <w:i/>
          <w:iCs/>
          <w:sz w:val="20"/>
          <w:szCs w:val="20"/>
          <w:shd w:val="clear" w:color="auto" w:fill="FFFFFF"/>
          <w:lang w:val="en-US"/>
        </w:rPr>
        <w:t>Frontiers in Cellular and Infection Microbiology,</w:t>
      </w:r>
      <w:r>
        <w:rPr>
          <w:rFonts w:ascii="Arial" w:hAnsi="Arial" w:cs="Arial"/>
          <w:i/>
          <w:iCs/>
          <w:sz w:val="20"/>
          <w:szCs w:val="20"/>
          <w:lang w:val="en-US"/>
        </w:rPr>
        <w:t> </w:t>
      </w:r>
      <w:r>
        <w:rPr>
          <w:rFonts w:ascii="Arial" w:hAnsi="Arial" w:cs="Arial"/>
          <w:i/>
          <w:iCs/>
          <w:sz w:val="20"/>
          <w:szCs w:val="20"/>
          <w:shd w:val="clear" w:color="auto" w:fill="FFFFFF"/>
          <w:lang w:val="en-US"/>
        </w:rPr>
        <w:t>11</w:t>
      </w:r>
      <w:r>
        <w:rPr>
          <w:rFonts w:ascii="Arial" w:hAnsi="Arial" w:cs="Arial"/>
          <w:sz w:val="20"/>
          <w:szCs w:val="20"/>
          <w:shd w:val="clear" w:color="auto" w:fill="FFFFFF"/>
          <w:lang w:val="en-US"/>
        </w:rPr>
        <w:t>, 771510.</w:t>
      </w:r>
    </w:p>
    <w:p w14:paraId="75F160C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Avalos, J., &amp; Limón, M. C. (2022). </w:t>
      </w:r>
      <w:r>
        <w:rPr>
          <w:rFonts w:ascii="Arial" w:hAnsi="Arial" w:cs="Arial"/>
          <w:sz w:val="20"/>
          <w:szCs w:val="20"/>
          <w:shd w:val="clear" w:color="auto" w:fill="FFFFFF"/>
          <w:lang w:val="en-US"/>
        </w:rPr>
        <w:t xml:space="preserve">Fungal Secondary Metabolism. </w:t>
      </w:r>
      <w:r>
        <w:rPr>
          <w:rFonts w:ascii="Arial" w:hAnsi="Arial" w:cs="Arial"/>
          <w:i/>
          <w:iCs/>
          <w:sz w:val="20"/>
          <w:szCs w:val="20"/>
          <w:shd w:val="clear" w:color="auto" w:fill="FFFFFF"/>
          <w:lang w:val="en-US"/>
        </w:rPr>
        <w:t>Encyclopedia, 2</w:t>
      </w:r>
      <w:r>
        <w:rPr>
          <w:rFonts w:ascii="Arial" w:hAnsi="Arial" w:cs="Arial"/>
          <w:sz w:val="20"/>
          <w:szCs w:val="20"/>
          <w:shd w:val="clear" w:color="auto" w:fill="FFFFFF"/>
          <w:lang w:val="en-US"/>
        </w:rPr>
        <w:t>, 1-13.</w:t>
      </w:r>
    </w:p>
    <w:p w14:paraId="481B07FD">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Aykul, S., &amp; Martinez-Hackert, E. (2016). Determination of half-maximal inhibitory concentration using biosensor-based protein interaction analysis.</w:t>
      </w:r>
      <w:r>
        <w:rPr>
          <w:rFonts w:ascii="Arial" w:hAnsi="Arial" w:cs="Arial"/>
          <w:sz w:val="20"/>
          <w:szCs w:val="20"/>
          <w:lang w:val="en-US"/>
        </w:rPr>
        <w:t> </w:t>
      </w:r>
      <w:r>
        <w:rPr>
          <w:rFonts w:ascii="Arial" w:hAnsi="Arial" w:cs="Arial"/>
          <w:i/>
          <w:iCs/>
          <w:sz w:val="20"/>
          <w:szCs w:val="20"/>
          <w:shd w:val="clear" w:color="auto" w:fill="FFFFFF"/>
          <w:lang w:val="en-US"/>
        </w:rPr>
        <w:t>Analytical Biochemistry,</w:t>
      </w:r>
      <w:r>
        <w:rPr>
          <w:rFonts w:ascii="Arial" w:hAnsi="Arial" w:cs="Arial"/>
          <w:i/>
          <w:iCs/>
          <w:sz w:val="20"/>
          <w:szCs w:val="20"/>
          <w:lang w:val="en-US"/>
        </w:rPr>
        <w:t> </w:t>
      </w:r>
      <w:r>
        <w:rPr>
          <w:rFonts w:ascii="Arial" w:hAnsi="Arial" w:cs="Arial"/>
          <w:i/>
          <w:iCs/>
          <w:sz w:val="20"/>
          <w:szCs w:val="20"/>
          <w:shd w:val="clear" w:color="auto" w:fill="FFFFFF"/>
          <w:lang w:val="en-US"/>
        </w:rPr>
        <w:t>508</w:t>
      </w:r>
      <w:r>
        <w:rPr>
          <w:rFonts w:ascii="Arial" w:hAnsi="Arial" w:cs="Arial"/>
          <w:sz w:val="20"/>
          <w:szCs w:val="20"/>
          <w:shd w:val="clear" w:color="auto" w:fill="FFFFFF"/>
          <w:lang w:val="en-US"/>
        </w:rPr>
        <w:t>, 97-103.</w:t>
      </w:r>
    </w:p>
    <w:p w14:paraId="500E503F">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Azar, N., Liarzi, O., Zavitan, M., Samara, M., Nasser, A., &amp; Ezra, D. (2023). </w:t>
      </w:r>
      <w:r>
        <w:rPr>
          <w:rFonts w:ascii="Arial" w:hAnsi="Arial" w:cs="Arial"/>
          <w:sz w:val="20"/>
          <w:szCs w:val="20"/>
          <w:shd w:val="clear" w:color="auto" w:fill="FFFFFF"/>
          <w:lang w:val="en-US"/>
        </w:rPr>
        <w:t xml:space="preserve">Endophytic </w:t>
      </w:r>
      <w:r>
        <w:rPr>
          <w:rFonts w:ascii="Arial" w:hAnsi="Arial" w:cs="Arial"/>
          <w:i/>
          <w:iCs/>
          <w:sz w:val="20"/>
          <w:szCs w:val="20"/>
          <w:shd w:val="clear" w:color="auto" w:fill="FFFFFF"/>
          <w:lang w:val="en-US"/>
        </w:rPr>
        <w:t>Penicillium</w:t>
      </w:r>
      <w:r>
        <w:rPr>
          <w:rFonts w:ascii="Arial" w:hAnsi="Arial" w:cs="Arial"/>
          <w:sz w:val="20"/>
          <w:szCs w:val="20"/>
          <w:shd w:val="clear" w:color="auto" w:fill="FFFFFF"/>
          <w:lang w:val="en-US"/>
        </w:rPr>
        <w:t xml:space="preserve"> species secretes mycophenolic acid that inhibits the growth of phytopathogenic fungi.</w:t>
      </w:r>
      <w:r>
        <w:rPr>
          <w:rFonts w:ascii="Arial" w:hAnsi="Arial" w:cs="Arial"/>
          <w:sz w:val="20"/>
          <w:szCs w:val="20"/>
          <w:lang w:val="en-US"/>
        </w:rPr>
        <w:t> </w:t>
      </w:r>
      <w:r>
        <w:rPr>
          <w:rFonts w:ascii="Arial" w:hAnsi="Arial" w:cs="Arial"/>
          <w:i/>
          <w:iCs/>
          <w:sz w:val="20"/>
          <w:szCs w:val="20"/>
          <w:shd w:val="clear" w:color="auto" w:fill="FFFFFF"/>
          <w:lang w:val="en-US"/>
        </w:rPr>
        <w:t>Microbial Biotechnology,</w:t>
      </w:r>
      <w:r>
        <w:rPr>
          <w:rFonts w:ascii="Arial" w:hAnsi="Arial" w:cs="Arial"/>
          <w:i/>
          <w:iCs/>
          <w:sz w:val="20"/>
          <w:szCs w:val="20"/>
          <w:lang w:val="en-US"/>
        </w:rPr>
        <w:t> </w:t>
      </w:r>
      <w:r>
        <w:rPr>
          <w:rFonts w:ascii="Arial" w:hAnsi="Arial" w:cs="Arial"/>
          <w:i/>
          <w:iCs/>
          <w:sz w:val="20"/>
          <w:szCs w:val="20"/>
          <w:shd w:val="clear" w:color="auto" w:fill="FFFFFF"/>
          <w:lang w:val="en-US"/>
        </w:rPr>
        <w:t>16</w:t>
      </w:r>
      <w:r>
        <w:rPr>
          <w:rFonts w:ascii="Arial" w:hAnsi="Arial" w:cs="Arial"/>
          <w:sz w:val="20"/>
          <w:szCs w:val="20"/>
          <w:shd w:val="clear" w:color="auto" w:fill="FFFFFF"/>
          <w:lang w:val="en-US"/>
        </w:rPr>
        <w:t>(8), 1629-1638.</w:t>
      </w:r>
    </w:p>
    <w:p w14:paraId="50296AD6">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Bava, R., Castagna, F., Lupia, C., Poerio, G., Liguori, G., Lombardi, R., et al. </w:t>
      </w:r>
      <w:r>
        <w:rPr>
          <w:rFonts w:ascii="Arial" w:hAnsi="Arial" w:cs="Arial"/>
          <w:sz w:val="20"/>
          <w:szCs w:val="20"/>
          <w:shd w:val="clear" w:color="auto" w:fill="FFFFFF"/>
          <w:lang w:val="en-US"/>
        </w:rPr>
        <w:t>(2024). Antimicrobial Resistance in Livestock: A Serious Threat to Public Health.</w:t>
      </w:r>
      <w:r>
        <w:rPr>
          <w:rFonts w:ascii="Arial" w:hAnsi="Arial" w:cs="Arial"/>
          <w:sz w:val="20"/>
          <w:szCs w:val="20"/>
          <w:lang w:val="en-US"/>
        </w:rPr>
        <w:t> </w:t>
      </w:r>
      <w:r>
        <w:rPr>
          <w:rFonts w:ascii="Arial" w:hAnsi="Arial" w:cs="Arial"/>
          <w:i/>
          <w:iCs/>
          <w:sz w:val="20"/>
          <w:szCs w:val="20"/>
          <w:shd w:val="clear" w:color="auto" w:fill="FFFFFF"/>
          <w:lang w:val="en-US"/>
        </w:rPr>
        <w:t>Antibiotics,</w:t>
      </w:r>
      <w:r>
        <w:rPr>
          <w:rFonts w:ascii="Arial" w:hAnsi="Arial" w:cs="Arial"/>
          <w:i/>
          <w:iCs/>
          <w:sz w:val="20"/>
          <w:szCs w:val="20"/>
          <w:lang w:val="en-US"/>
        </w:rPr>
        <w:t> </w:t>
      </w:r>
      <w:r>
        <w:rPr>
          <w:rFonts w:ascii="Arial" w:hAnsi="Arial" w:cs="Arial"/>
          <w:i/>
          <w:iCs/>
          <w:sz w:val="20"/>
          <w:szCs w:val="20"/>
          <w:shd w:val="clear" w:color="auto" w:fill="FFFFFF"/>
          <w:lang w:val="en-US"/>
        </w:rPr>
        <w:t>13</w:t>
      </w:r>
      <w:r>
        <w:rPr>
          <w:rFonts w:ascii="Arial" w:hAnsi="Arial" w:cs="Arial"/>
          <w:sz w:val="20"/>
          <w:szCs w:val="20"/>
          <w:shd w:val="clear" w:color="auto" w:fill="FFFFFF"/>
          <w:lang w:val="en-US"/>
        </w:rPr>
        <w:t>(6), 551.</w:t>
      </w:r>
    </w:p>
    <w:p w14:paraId="5FF4676F">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Biswas, D., Biswas, P., Nandy, S., Mukherjee, A., Pandey, D. K., Dey, A. (2020). Endophytes producing podophyllotoxin from </w:t>
      </w:r>
      <w:r>
        <w:rPr>
          <w:rFonts w:ascii="Arial" w:hAnsi="Arial" w:cs="Arial"/>
          <w:i/>
          <w:iCs/>
          <w:sz w:val="20"/>
          <w:szCs w:val="20"/>
          <w:shd w:val="clear" w:color="auto" w:fill="FFFFFF"/>
          <w:lang w:val="en-US"/>
        </w:rPr>
        <w:t>Podophyllum</w:t>
      </w:r>
      <w:r>
        <w:rPr>
          <w:rFonts w:ascii="Arial" w:hAnsi="Arial" w:cs="Arial"/>
          <w:sz w:val="20"/>
          <w:szCs w:val="20"/>
          <w:shd w:val="clear" w:color="auto" w:fill="FFFFFF"/>
          <w:lang w:val="en-US"/>
        </w:rPr>
        <w:t xml:space="preserve"> sp. and other plants: A review on isolation, extraction and bottlenecks</w:t>
      </w:r>
      <w:r>
        <w:rPr>
          <w:rFonts w:ascii="Arial" w:hAnsi="Arial" w:cs="Arial"/>
          <w:i/>
          <w:iCs/>
          <w:sz w:val="20"/>
          <w:szCs w:val="20"/>
          <w:shd w:val="clear" w:color="auto" w:fill="FFFFFF"/>
          <w:lang w:val="en-US"/>
        </w:rPr>
        <w:t>. South African Journal of Botany, 134</w:t>
      </w:r>
      <w:r>
        <w:rPr>
          <w:rFonts w:ascii="Arial" w:hAnsi="Arial" w:cs="Arial"/>
          <w:sz w:val="20"/>
          <w:szCs w:val="20"/>
          <w:shd w:val="clear" w:color="auto" w:fill="FFFFFF"/>
          <w:lang w:val="en-US"/>
        </w:rPr>
        <w:t>, 303-313.</w:t>
      </w:r>
    </w:p>
    <w:p w14:paraId="3E310968">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Breitling R. (2010). What is systems biology?</w:t>
      </w:r>
      <w:r>
        <w:rPr>
          <w:rFonts w:ascii="Arial" w:hAnsi="Arial" w:cs="Arial"/>
          <w:sz w:val="20"/>
          <w:szCs w:val="20"/>
          <w:lang w:val="en-US"/>
        </w:rPr>
        <w:t> </w:t>
      </w:r>
      <w:r>
        <w:rPr>
          <w:rFonts w:ascii="Arial" w:hAnsi="Arial" w:cs="Arial"/>
          <w:i/>
          <w:iCs/>
          <w:sz w:val="20"/>
          <w:szCs w:val="20"/>
          <w:shd w:val="clear" w:color="auto" w:fill="FFFFFF"/>
          <w:lang w:val="en-US"/>
        </w:rPr>
        <w:t>Frontiers in Physiology,</w:t>
      </w:r>
      <w:r>
        <w:rPr>
          <w:rFonts w:ascii="Arial" w:hAnsi="Arial" w:cs="Arial"/>
          <w:i/>
          <w:iCs/>
          <w:sz w:val="20"/>
          <w:szCs w:val="20"/>
          <w:lang w:val="en-US"/>
        </w:rPr>
        <w:t> </w:t>
      </w:r>
      <w:r>
        <w:rPr>
          <w:rFonts w:ascii="Arial" w:hAnsi="Arial" w:cs="Arial"/>
          <w:i/>
          <w:iCs/>
          <w:sz w:val="20"/>
          <w:szCs w:val="20"/>
          <w:shd w:val="clear" w:color="auto" w:fill="FFFFFF"/>
          <w:lang w:val="en-US"/>
        </w:rPr>
        <w:t>1</w:t>
      </w:r>
      <w:r>
        <w:rPr>
          <w:rFonts w:ascii="Arial" w:hAnsi="Arial" w:cs="Arial"/>
          <w:sz w:val="20"/>
          <w:szCs w:val="20"/>
          <w:shd w:val="clear" w:color="auto" w:fill="FFFFFF"/>
          <w:lang w:val="en-US"/>
        </w:rPr>
        <w:t>, 9.</w:t>
      </w:r>
    </w:p>
    <w:p w14:paraId="7A42ACD3">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Bush, K., &amp; Bradford, P. A. (2016). </w:t>
      </w:r>
      <w:r>
        <w:rPr>
          <w:rFonts w:ascii="Arial" w:hAnsi="Arial" w:cs="Arial"/>
          <w:sz w:val="20"/>
          <w:szCs w:val="20"/>
          <w:shd w:val="clear" w:color="auto" w:fill="FFFFFF"/>
          <w:lang w:val="es-CR"/>
        </w:rPr>
        <w:t>β</w:t>
      </w:r>
      <w:r>
        <w:rPr>
          <w:rFonts w:ascii="Arial" w:hAnsi="Arial" w:cs="Arial"/>
          <w:sz w:val="20"/>
          <w:szCs w:val="20"/>
          <w:shd w:val="clear" w:color="auto" w:fill="FFFFFF"/>
          <w:lang w:val="en-US"/>
        </w:rPr>
        <w:t xml:space="preserve">-Lactams and </w:t>
      </w:r>
      <w:r>
        <w:rPr>
          <w:rFonts w:ascii="Arial" w:hAnsi="Arial" w:cs="Arial"/>
          <w:sz w:val="20"/>
          <w:szCs w:val="20"/>
          <w:shd w:val="clear" w:color="auto" w:fill="FFFFFF"/>
          <w:lang w:val="es-CR"/>
        </w:rPr>
        <w:t>β</w:t>
      </w:r>
      <w:r>
        <w:rPr>
          <w:rFonts w:ascii="Arial" w:hAnsi="Arial" w:cs="Arial"/>
          <w:sz w:val="20"/>
          <w:szCs w:val="20"/>
          <w:shd w:val="clear" w:color="auto" w:fill="FFFFFF"/>
          <w:lang w:val="en-US"/>
        </w:rPr>
        <w:t>-Lactamase Inhibitors: An Overview.</w:t>
      </w:r>
      <w:r>
        <w:rPr>
          <w:rFonts w:ascii="Arial" w:hAnsi="Arial" w:cs="Arial"/>
          <w:sz w:val="20"/>
          <w:szCs w:val="20"/>
          <w:lang w:val="en-US"/>
        </w:rPr>
        <w:t> </w:t>
      </w:r>
      <w:r>
        <w:rPr>
          <w:rFonts w:ascii="Arial" w:hAnsi="Arial" w:cs="Arial"/>
          <w:i/>
          <w:iCs/>
          <w:sz w:val="20"/>
          <w:szCs w:val="20"/>
          <w:shd w:val="clear" w:color="auto" w:fill="FFFFFF"/>
          <w:lang w:val="en-US"/>
        </w:rPr>
        <w:t>Cold Spring Harbor Perspectives in Medicine,</w:t>
      </w:r>
      <w:r>
        <w:rPr>
          <w:rFonts w:ascii="Arial" w:hAnsi="Arial" w:cs="Arial"/>
          <w:i/>
          <w:iCs/>
          <w:sz w:val="20"/>
          <w:szCs w:val="20"/>
          <w:lang w:val="en-US"/>
        </w:rPr>
        <w:t> </w:t>
      </w:r>
      <w:r>
        <w:rPr>
          <w:rFonts w:ascii="Arial" w:hAnsi="Arial" w:cs="Arial"/>
          <w:i/>
          <w:iCs/>
          <w:sz w:val="20"/>
          <w:szCs w:val="20"/>
          <w:shd w:val="clear" w:color="auto" w:fill="FFFFFF"/>
          <w:lang w:val="en-US"/>
        </w:rPr>
        <w:t>6</w:t>
      </w:r>
      <w:r>
        <w:rPr>
          <w:rFonts w:ascii="Arial" w:hAnsi="Arial" w:cs="Arial"/>
          <w:sz w:val="20"/>
          <w:szCs w:val="20"/>
          <w:shd w:val="clear" w:color="auto" w:fill="FFFFFF"/>
          <w:lang w:val="en-US"/>
        </w:rPr>
        <w:t>(8), a025247.</w:t>
      </w:r>
    </w:p>
    <w:p w14:paraId="6AED16E2">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Cambray, G., Guerout, A. M., &amp; Mazel, D. (2010). Integrons.</w:t>
      </w:r>
      <w:r>
        <w:rPr>
          <w:rFonts w:ascii="Arial" w:hAnsi="Arial" w:cs="Arial"/>
          <w:sz w:val="20"/>
          <w:szCs w:val="20"/>
          <w:lang w:val="en-US"/>
        </w:rPr>
        <w:t> </w:t>
      </w:r>
      <w:r>
        <w:rPr>
          <w:rFonts w:ascii="Arial" w:hAnsi="Arial" w:cs="Arial"/>
          <w:i/>
          <w:iCs/>
          <w:sz w:val="20"/>
          <w:szCs w:val="20"/>
          <w:shd w:val="clear" w:color="auto" w:fill="FFFFFF"/>
          <w:lang w:val="en-US"/>
        </w:rPr>
        <w:t>Annual Review of Genetics,</w:t>
      </w:r>
      <w:r>
        <w:rPr>
          <w:rFonts w:ascii="Arial" w:hAnsi="Arial" w:cs="Arial"/>
          <w:i/>
          <w:iCs/>
          <w:sz w:val="20"/>
          <w:szCs w:val="20"/>
          <w:lang w:val="en-US"/>
        </w:rPr>
        <w:t> </w:t>
      </w:r>
      <w:r>
        <w:rPr>
          <w:rFonts w:ascii="Arial" w:hAnsi="Arial" w:cs="Arial"/>
          <w:i/>
          <w:iCs/>
          <w:sz w:val="20"/>
          <w:szCs w:val="20"/>
          <w:shd w:val="clear" w:color="auto" w:fill="FFFFFF"/>
          <w:lang w:val="en-US"/>
        </w:rPr>
        <w:t>44</w:t>
      </w:r>
      <w:r>
        <w:rPr>
          <w:rFonts w:ascii="Arial" w:hAnsi="Arial" w:cs="Arial"/>
          <w:sz w:val="20"/>
          <w:szCs w:val="20"/>
          <w:shd w:val="clear" w:color="auto" w:fill="FFFFFF"/>
          <w:lang w:val="en-US"/>
        </w:rPr>
        <w:t>, 141-166.</w:t>
      </w:r>
    </w:p>
    <w:p w14:paraId="2493BC16">
      <w:pPr>
        <w:pStyle w:val="66"/>
        <w:numPr>
          <w:ilvl w:val="0"/>
          <w:numId w:val="2"/>
        </w:numPr>
        <w:tabs>
          <w:tab w:val="center" w:pos="142"/>
        </w:tabs>
        <w:ind w:left="426" w:right="0" w:hanging="426"/>
        <w:rPr>
          <w:rFonts w:ascii="Arial" w:hAnsi="Arial" w:cs="Arial"/>
          <w:sz w:val="20"/>
          <w:szCs w:val="20"/>
          <w:lang w:val="en-US"/>
        </w:rPr>
      </w:pPr>
      <w:r>
        <w:rPr>
          <w:rFonts w:ascii="Arial" w:hAnsi="Arial" w:cs="Arial"/>
          <w:sz w:val="20"/>
          <w:szCs w:val="20"/>
          <w:lang w:val="en-US"/>
        </w:rPr>
        <w:t xml:space="preserve">Cao, X., Shi, Y., Wu, S., Wu, X., Wang, K., Sun, H., et al. (2020). Polycyclic meroterpenoids, talaromyolides E – K for antiviral activity against pseudorabies virus from the endophytic fungus Talaromyces purpureogenus. </w:t>
      </w:r>
      <w:r>
        <w:rPr>
          <w:rFonts w:ascii="Arial" w:hAnsi="Arial" w:cs="Arial"/>
          <w:i/>
          <w:iCs/>
          <w:sz w:val="20"/>
          <w:szCs w:val="20"/>
          <w:lang w:val="en-US"/>
        </w:rPr>
        <w:t>Tetrahedron, 76</w:t>
      </w:r>
      <w:r>
        <w:rPr>
          <w:rFonts w:ascii="Arial" w:hAnsi="Arial" w:cs="Arial"/>
          <w:sz w:val="20"/>
          <w:szCs w:val="20"/>
          <w:lang w:val="en-US"/>
        </w:rPr>
        <w:t>(30), 131349.</w:t>
      </w:r>
    </w:p>
    <w:p w14:paraId="52A365B1">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Centers for Disease Control and Prevention. (2024a). </w:t>
      </w:r>
      <w:r>
        <w:rPr>
          <w:rFonts w:ascii="Arial" w:hAnsi="Arial" w:cs="Arial"/>
          <w:i/>
          <w:iCs/>
          <w:sz w:val="20"/>
          <w:szCs w:val="20"/>
          <w:shd w:val="clear" w:color="auto" w:fill="FFFFFF"/>
          <w:lang w:val="en-US"/>
        </w:rPr>
        <w:t>Antibiotic Use and Antimicrobial Resistance Facts</w:t>
      </w:r>
      <w:r>
        <w:rPr>
          <w:rFonts w:ascii="Arial" w:hAnsi="Arial" w:cs="Arial"/>
          <w:sz w:val="20"/>
          <w:szCs w:val="20"/>
          <w:shd w:val="clear" w:color="auto" w:fill="FFFFFF"/>
          <w:lang w:val="en-US"/>
        </w:rPr>
        <w:t>. https://www.cdc.gov/antibiotic-use/data-research/facts-stats/index.html?utm</w:t>
      </w:r>
    </w:p>
    <w:p w14:paraId="61811F00">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Centers for Disease Control and Prevention. (2024b). </w:t>
      </w:r>
      <w:r>
        <w:rPr>
          <w:rFonts w:ascii="Arial" w:hAnsi="Arial" w:cs="Arial"/>
          <w:i/>
          <w:iCs/>
          <w:sz w:val="20"/>
          <w:szCs w:val="20"/>
          <w:shd w:val="clear" w:color="auto" w:fill="FFFFFF"/>
          <w:lang w:val="en-US"/>
        </w:rPr>
        <w:t>Meningococcal disease</w:t>
      </w:r>
      <w:r>
        <w:rPr>
          <w:rFonts w:ascii="Arial" w:hAnsi="Arial" w:cs="Arial"/>
          <w:sz w:val="20"/>
          <w:szCs w:val="20"/>
          <w:shd w:val="clear" w:color="auto" w:fill="FFFFFF"/>
          <w:lang w:val="en-US"/>
        </w:rPr>
        <w:t>. https://www.cdc.gov/infection-control/hcp/healthcare-personnel-epidemiology-control/meningococcal-disease.html</w:t>
      </w:r>
    </w:p>
    <w:p w14:paraId="318F2BD3">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Charria-Girón, E., Espinosa, M. C., Zapata-Montoya, A., Méndez, M. J., Caicedo, J. P., Dávalos, A. F., et al. </w:t>
      </w:r>
      <w:r>
        <w:rPr>
          <w:rFonts w:ascii="Arial" w:hAnsi="Arial" w:cs="Arial"/>
          <w:sz w:val="20"/>
          <w:szCs w:val="20"/>
          <w:shd w:val="clear" w:color="auto" w:fill="FFFFFF"/>
          <w:lang w:val="en-US"/>
        </w:rPr>
        <w:t>(2021). Evaluation of the Antibacterial Activity of Crude Extracts Obtained From Cultivation of Native Endophytic Fungi Belonging to a Tropical Montane Rainforest in Colombia.</w:t>
      </w:r>
      <w:r>
        <w:rPr>
          <w:rFonts w:ascii="Arial" w:hAnsi="Arial" w:cs="Arial"/>
          <w:sz w:val="20"/>
          <w:szCs w:val="20"/>
          <w:lang w:val="en-US"/>
        </w:rPr>
        <w:t> </w:t>
      </w:r>
      <w:r>
        <w:rPr>
          <w:rFonts w:ascii="Arial" w:hAnsi="Arial" w:cs="Arial"/>
          <w:i/>
          <w:iCs/>
          <w:sz w:val="20"/>
          <w:szCs w:val="20"/>
          <w:shd w:val="clear" w:color="auto" w:fill="FFFFFF"/>
          <w:lang w:val="en-US"/>
        </w:rPr>
        <w:t>Frontiers in Microbiology,</w:t>
      </w:r>
      <w:r>
        <w:rPr>
          <w:rFonts w:ascii="Arial" w:hAnsi="Arial" w:cs="Arial"/>
          <w:i/>
          <w:iCs/>
          <w:sz w:val="20"/>
          <w:szCs w:val="20"/>
          <w:lang w:val="en-US"/>
        </w:rPr>
        <w:t> </w:t>
      </w:r>
      <w:r>
        <w:rPr>
          <w:rFonts w:ascii="Arial" w:hAnsi="Arial" w:cs="Arial"/>
          <w:i/>
          <w:iCs/>
          <w:sz w:val="20"/>
          <w:szCs w:val="20"/>
          <w:shd w:val="clear" w:color="auto" w:fill="FFFFFF"/>
          <w:lang w:val="en-US"/>
        </w:rPr>
        <w:t>12</w:t>
      </w:r>
      <w:r>
        <w:rPr>
          <w:rFonts w:ascii="Arial" w:hAnsi="Arial" w:cs="Arial"/>
          <w:sz w:val="20"/>
          <w:szCs w:val="20"/>
          <w:shd w:val="clear" w:color="auto" w:fill="FFFFFF"/>
          <w:lang w:val="en-US"/>
        </w:rPr>
        <w:t>, 716523.</w:t>
      </w:r>
    </w:p>
    <w:p w14:paraId="5C911BE9">
      <w:pPr>
        <w:pStyle w:val="66"/>
        <w:numPr>
          <w:ilvl w:val="0"/>
          <w:numId w:val="2"/>
        </w:numPr>
        <w:tabs>
          <w:tab w:val="center" w:pos="142"/>
        </w:tabs>
        <w:ind w:left="426" w:right="0" w:hanging="426"/>
        <w:rPr>
          <w:rFonts w:ascii="Arial" w:hAnsi="Arial" w:cs="Arial"/>
          <w:b/>
          <w:sz w:val="20"/>
          <w:szCs w:val="20"/>
        </w:rPr>
      </w:pPr>
      <w:r>
        <w:rPr>
          <w:rFonts w:ascii="Arial" w:hAnsi="Arial" w:cs="Arial"/>
          <w:sz w:val="20"/>
          <w:szCs w:val="20"/>
          <w:shd w:val="clear" w:color="auto" w:fill="FFFFFF"/>
          <w:lang w:val="en-US"/>
        </w:rPr>
        <w:t>Christaki, E., Marcou, M., &amp; Tofarides, A. (2020). Antimicrobial Resistance in Bacteria: Mechanisms, Evolution, and Persistence.</w:t>
      </w:r>
      <w:r>
        <w:rPr>
          <w:rStyle w:val="68"/>
          <w:rFonts w:ascii="Arial" w:hAnsi="Arial" w:cs="Arial"/>
          <w:sz w:val="20"/>
          <w:szCs w:val="20"/>
          <w:shd w:val="clear" w:color="auto" w:fill="FFFFFF"/>
          <w:lang w:val="en-US"/>
        </w:rPr>
        <w:t> </w:t>
      </w:r>
      <w:r>
        <w:rPr>
          <w:rFonts w:ascii="Arial" w:hAnsi="Arial" w:cs="Arial"/>
          <w:i/>
          <w:iCs/>
          <w:sz w:val="20"/>
          <w:szCs w:val="20"/>
        </w:rPr>
        <w:t>Journal of Molecular Evolution</w:t>
      </w:r>
      <w:r>
        <w:rPr>
          <w:rFonts w:ascii="Arial" w:hAnsi="Arial" w:cs="Arial"/>
          <w:i/>
          <w:iCs/>
          <w:sz w:val="20"/>
          <w:szCs w:val="20"/>
          <w:shd w:val="clear" w:color="auto" w:fill="FFFFFF"/>
        </w:rPr>
        <w:t>,</w:t>
      </w:r>
      <w:r>
        <w:rPr>
          <w:rStyle w:val="68"/>
          <w:rFonts w:ascii="Arial" w:hAnsi="Arial" w:cs="Arial"/>
          <w:i/>
          <w:iCs/>
          <w:sz w:val="20"/>
          <w:szCs w:val="20"/>
          <w:shd w:val="clear" w:color="auto" w:fill="FFFFFF"/>
        </w:rPr>
        <w:t> </w:t>
      </w:r>
      <w:r>
        <w:rPr>
          <w:rFonts w:ascii="Arial" w:hAnsi="Arial" w:cs="Arial"/>
          <w:i/>
          <w:iCs/>
          <w:sz w:val="20"/>
          <w:szCs w:val="20"/>
        </w:rPr>
        <w:t>88</w:t>
      </w:r>
      <w:r>
        <w:rPr>
          <w:rFonts w:ascii="Arial" w:hAnsi="Arial" w:cs="Arial"/>
          <w:sz w:val="20"/>
          <w:szCs w:val="20"/>
          <w:shd w:val="clear" w:color="auto" w:fill="FFFFFF"/>
        </w:rPr>
        <w:t>(1), 26-40.</w:t>
      </w:r>
    </w:p>
    <w:p w14:paraId="45E8A6D1">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s-CR"/>
        </w:rPr>
        <w:t xml:space="preserve">Cruz, D., Costa, P., &amp; Sagüés, M. (2019). </w:t>
      </w:r>
      <w:r>
        <w:rPr>
          <w:rFonts w:ascii="Arial" w:hAnsi="Arial" w:cs="Arial"/>
          <w:sz w:val="20"/>
          <w:szCs w:val="20"/>
          <w:shd w:val="clear" w:color="auto" w:fill="FFFFFF"/>
          <w:lang w:val="en-US"/>
        </w:rPr>
        <w:t>Meningeal cryptococcosis in a patient with angioimmunoblastic lymphoma treated with alemtuzumab.</w:t>
      </w:r>
      <w:r>
        <w:rPr>
          <w:rFonts w:ascii="Arial" w:hAnsi="Arial" w:cs="Arial"/>
          <w:sz w:val="20"/>
          <w:szCs w:val="20"/>
          <w:lang w:val="en-US"/>
        </w:rPr>
        <w:t> </w:t>
      </w:r>
      <w:r>
        <w:rPr>
          <w:rFonts w:ascii="Arial" w:hAnsi="Arial" w:cs="Arial"/>
          <w:i/>
          <w:iCs/>
          <w:sz w:val="20"/>
          <w:szCs w:val="20"/>
          <w:shd w:val="clear" w:color="auto" w:fill="FFFFFF"/>
          <w:lang w:val="es-CR"/>
        </w:rPr>
        <w:t>Medicina Clínica,</w:t>
      </w:r>
      <w:r>
        <w:rPr>
          <w:rFonts w:ascii="Arial" w:hAnsi="Arial" w:cs="Arial"/>
          <w:i/>
          <w:iCs/>
          <w:sz w:val="20"/>
          <w:szCs w:val="20"/>
          <w:lang w:val="es-CR"/>
        </w:rPr>
        <w:t> </w:t>
      </w:r>
      <w:r>
        <w:rPr>
          <w:rFonts w:ascii="Arial" w:hAnsi="Arial" w:cs="Arial"/>
          <w:i/>
          <w:iCs/>
          <w:sz w:val="20"/>
          <w:szCs w:val="20"/>
          <w:shd w:val="clear" w:color="auto" w:fill="FFFFFF"/>
          <w:lang w:val="es-CR"/>
        </w:rPr>
        <w:t>152</w:t>
      </w:r>
      <w:r>
        <w:rPr>
          <w:rFonts w:ascii="Arial" w:hAnsi="Arial" w:cs="Arial"/>
          <w:sz w:val="20"/>
          <w:szCs w:val="20"/>
          <w:shd w:val="clear" w:color="auto" w:fill="FFFFFF"/>
          <w:lang w:val="es-CR"/>
        </w:rPr>
        <w:t>(4), e19-e20.</w:t>
      </w:r>
    </w:p>
    <w:p w14:paraId="09546C5B">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da Silva, F. M. R., Paggi, G. M., Brust, F. R., Macedo, A. J., &amp; Silva, D. B. (2023). </w:t>
      </w:r>
      <w:r>
        <w:rPr>
          <w:rFonts w:ascii="Arial" w:hAnsi="Arial" w:cs="Arial"/>
          <w:sz w:val="20"/>
          <w:szCs w:val="20"/>
          <w:shd w:val="clear" w:color="auto" w:fill="FFFFFF"/>
          <w:lang w:val="en-US"/>
        </w:rPr>
        <w:t>Metabolomic Strategies to Improve Chemical Information from OSMAC Studies of Endophytic Fungi.</w:t>
      </w:r>
      <w:r>
        <w:rPr>
          <w:rFonts w:ascii="Arial" w:hAnsi="Arial" w:cs="Arial"/>
          <w:sz w:val="20"/>
          <w:szCs w:val="20"/>
          <w:lang w:val="en-US"/>
        </w:rPr>
        <w:t> </w:t>
      </w:r>
      <w:r>
        <w:rPr>
          <w:rFonts w:ascii="Arial" w:hAnsi="Arial" w:cs="Arial"/>
          <w:i/>
          <w:iCs/>
          <w:sz w:val="20"/>
          <w:szCs w:val="20"/>
          <w:shd w:val="clear" w:color="auto" w:fill="FFFFFF"/>
          <w:lang w:val="en-US"/>
        </w:rPr>
        <w:t>Metabolites,</w:t>
      </w:r>
      <w:r>
        <w:rPr>
          <w:rFonts w:ascii="Arial" w:hAnsi="Arial" w:cs="Arial"/>
          <w:i/>
          <w:iCs/>
          <w:sz w:val="20"/>
          <w:szCs w:val="20"/>
          <w:lang w:val="en-US"/>
        </w:rPr>
        <w:t> </w:t>
      </w:r>
      <w:r>
        <w:rPr>
          <w:rFonts w:ascii="Arial" w:hAnsi="Arial" w:cs="Arial"/>
          <w:i/>
          <w:iCs/>
          <w:sz w:val="20"/>
          <w:szCs w:val="20"/>
          <w:shd w:val="clear" w:color="auto" w:fill="FFFFFF"/>
          <w:lang w:val="en-US"/>
        </w:rPr>
        <w:t>13</w:t>
      </w:r>
      <w:r>
        <w:rPr>
          <w:rFonts w:ascii="Arial" w:hAnsi="Arial" w:cs="Arial"/>
          <w:sz w:val="20"/>
          <w:szCs w:val="20"/>
          <w:shd w:val="clear" w:color="auto" w:fill="FFFFFF"/>
          <w:lang w:val="en-US"/>
        </w:rPr>
        <w:t>(2), 236.</w:t>
      </w:r>
    </w:p>
    <w:p w14:paraId="06CD9D07">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da Silva, S. G. M., de Melo, B. A., dos Santos, M. T., Rios, R. R. S., Matos de Santos, C. S. A., Ribeiro Júnior, K. A. L., et al. </w:t>
      </w:r>
      <w:r>
        <w:rPr>
          <w:rFonts w:ascii="Arial" w:hAnsi="Arial" w:cs="Arial"/>
          <w:sz w:val="20"/>
          <w:szCs w:val="20"/>
          <w:shd w:val="clear" w:color="auto" w:fill="FFFFFF"/>
          <w:lang w:val="en-US"/>
        </w:rPr>
        <w:t xml:space="preserve">(2022). Endophytic fungi: Benefits for plants and biotechnological potential. </w:t>
      </w:r>
      <w:r>
        <w:rPr>
          <w:rFonts w:ascii="Arial" w:hAnsi="Arial" w:cs="Arial"/>
          <w:i/>
          <w:iCs/>
          <w:sz w:val="20"/>
          <w:szCs w:val="20"/>
          <w:shd w:val="clear" w:color="auto" w:fill="FFFFFF"/>
          <w:lang w:val="en-US"/>
        </w:rPr>
        <w:t>Research, Society and Development, 11</w:t>
      </w:r>
      <w:r>
        <w:rPr>
          <w:rFonts w:ascii="Arial" w:hAnsi="Arial" w:cs="Arial"/>
          <w:sz w:val="20"/>
          <w:szCs w:val="20"/>
          <w:shd w:val="clear" w:color="auto" w:fill="FFFFFF"/>
          <w:lang w:val="en-US"/>
        </w:rPr>
        <w:t>(4), e9211427008.</w:t>
      </w:r>
    </w:p>
    <w:p w14:paraId="190DD157">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de Oliveira Santos, J. V., da Costa Júnior, S. D., de Fátima Ramos Dos Santos Medeiros, S. M., Cavalcanti, I. D. L., de Souza, J. B., Coriolano, D. L., et al. </w:t>
      </w:r>
      <w:r>
        <w:rPr>
          <w:rFonts w:ascii="Arial" w:hAnsi="Arial" w:cs="Arial"/>
          <w:sz w:val="20"/>
          <w:szCs w:val="20"/>
          <w:shd w:val="clear" w:color="auto" w:fill="FFFFFF"/>
          <w:lang w:val="en-US"/>
        </w:rPr>
        <w:t>(2022). Panorama of Bacterial Infections Caused by Epidemic Resistant Strains.</w:t>
      </w:r>
      <w:r>
        <w:rPr>
          <w:rFonts w:ascii="Arial" w:hAnsi="Arial" w:cs="Arial"/>
          <w:sz w:val="20"/>
          <w:szCs w:val="20"/>
          <w:lang w:val="en-US"/>
        </w:rPr>
        <w:t> </w:t>
      </w:r>
      <w:r>
        <w:rPr>
          <w:rFonts w:ascii="Arial" w:hAnsi="Arial" w:cs="Arial"/>
          <w:sz w:val="20"/>
          <w:szCs w:val="20"/>
          <w:shd w:val="clear" w:color="auto" w:fill="FFFFFF"/>
          <w:lang w:val="en-US"/>
        </w:rPr>
        <w:t xml:space="preserve">Current </w:t>
      </w:r>
      <w:r>
        <w:rPr>
          <w:rFonts w:ascii="Arial" w:hAnsi="Arial" w:cs="Arial"/>
          <w:i/>
          <w:iCs/>
          <w:sz w:val="20"/>
          <w:szCs w:val="20"/>
          <w:shd w:val="clear" w:color="auto" w:fill="FFFFFF"/>
          <w:lang w:val="en-US"/>
        </w:rPr>
        <w:t>Microbiology,</w:t>
      </w:r>
      <w:r>
        <w:rPr>
          <w:rFonts w:ascii="Arial" w:hAnsi="Arial" w:cs="Arial"/>
          <w:i/>
          <w:iCs/>
          <w:sz w:val="20"/>
          <w:szCs w:val="20"/>
          <w:lang w:val="en-US"/>
        </w:rPr>
        <w:t> </w:t>
      </w:r>
      <w:r>
        <w:rPr>
          <w:rFonts w:ascii="Arial" w:hAnsi="Arial" w:cs="Arial"/>
          <w:i/>
          <w:iCs/>
          <w:sz w:val="20"/>
          <w:szCs w:val="20"/>
          <w:shd w:val="clear" w:color="auto" w:fill="FFFFFF"/>
          <w:lang w:val="en-US"/>
        </w:rPr>
        <w:t>79</w:t>
      </w:r>
      <w:r>
        <w:rPr>
          <w:rFonts w:ascii="Arial" w:hAnsi="Arial" w:cs="Arial"/>
          <w:sz w:val="20"/>
          <w:szCs w:val="20"/>
          <w:shd w:val="clear" w:color="auto" w:fill="FFFFFF"/>
          <w:lang w:val="en-US"/>
        </w:rPr>
        <w:t>(6), 175.</w:t>
      </w:r>
    </w:p>
    <w:p w14:paraId="4224A822">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Deshmukh, S. K., Dufossé, L., Chhipa, H., Saxena, S., Mahajan, G. B., &amp; Gupta, M. K. (2022). </w:t>
      </w:r>
      <w:r>
        <w:rPr>
          <w:rFonts w:ascii="Arial" w:hAnsi="Arial" w:cs="Arial"/>
          <w:sz w:val="20"/>
          <w:szCs w:val="20"/>
          <w:shd w:val="clear" w:color="auto" w:fill="FFFFFF"/>
          <w:lang w:val="en-US"/>
        </w:rPr>
        <w:t>Fungal Endophytes: A Potential Source of Antibacterial Compounds.</w:t>
      </w:r>
      <w:r>
        <w:rPr>
          <w:rFonts w:ascii="Arial" w:hAnsi="Arial" w:cs="Arial"/>
          <w:sz w:val="20"/>
          <w:szCs w:val="20"/>
          <w:lang w:val="en-US"/>
        </w:rPr>
        <w:t> </w:t>
      </w:r>
      <w:r>
        <w:rPr>
          <w:rFonts w:ascii="Arial" w:hAnsi="Arial" w:cs="Arial"/>
          <w:i/>
          <w:iCs/>
          <w:sz w:val="20"/>
          <w:szCs w:val="20"/>
          <w:shd w:val="clear" w:color="auto" w:fill="FFFFFF"/>
          <w:lang w:val="en-US"/>
        </w:rPr>
        <w:t>Journal of Fungi,</w:t>
      </w:r>
      <w:r>
        <w:rPr>
          <w:rFonts w:ascii="Arial" w:hAnsi="Arial" w:cs="Arial"/>
          <w:i/>
          <w:iCs/>
          <w:sz w:val="20"/>
          <w:szCs w:val="20"/>
          <w:lang w:val="en-US"/>
        </w:rPr>
        <w:t> </w:t>
      </w:r>
      <w:r>
        <w:rPr>
          <w:rFonts w:ascii="Arial" w:hAnsi="Arial" w:cs="Arial"/>
          <w:i/>
          <w:iCs/>
          <w:sz w:val="20"/>
          <w:szCs w:val="20"/>
          <w:shd w:val="clear" w:color="auto" w:fill="FFFFFF"/>
          <w:lang w:val="en-US"/>
        </w:rPr>
        <w:t>8</w:t>
      </w:r>
      <w:r>
        <w:rPr>
          <w:rFonts w:ascii="Arial" w:hAnsi="Arial" w:cs="Arial"/>
          <w:sz w:val="20"/>
          <w:szCs w:val="20"/>
          <w:shd w:val="clear" w:color="auto" w:fill="FFFFFF"/>
          <w:lang w:val="en-US"/>
        </w:rPr>
        <w:t>(2), 164.</w:t>
      </w:r>
    </w:p>
    <w:p w14:paraId="1352FCAB">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Dhole, S., Mahakalkar, C., Kshirsagar, S., &amp; Bhargava, A. (2023). Antibiotic Prophylaxis in Surgery: Current Insights and Future Directions for Surgical Site Infection Prevention.</w:t>
      </w:r>
      <w:r>
        <w:rPr>
          <w:rFonts w:ascii="Arial" w:hAnsi="Arial" w:cs="Arial"/>
          <w:sz w:val="20"/>
          <w:szCs w:val="20"/>
          <w:lang w:val="en-US"/>
        </w:rPr>
        <w:t> </w:t>
      </w:r>
      <w:r>
        <w:rPr>
          <w:rFonts w:ascii="Arial" w:hAnsi="Arial" w:cs="Arial"/>
          <w:i/>
          <w:iCs/>
          <w:sz w:val="20"/>
          <w:szCs w:val="20"/>
          <w:shd w:val="clear" w:color="auto" w:fill="FFFFFF"/>
          <w:lang w:val="en-US"/>
        </w:rPr>
        <w:t>Cureus,</w:t>
      </w:r>
      <w:r>
        <w:rPr>
          <w:rFonts w:ascii="Arial" w:hAnsi="Arial" w:cs="Arial"/>
          <w:i/>
          <w:iCs/>
          <w:sz w:val="20"/>
          <w:szCs w:val="20"/>
          <w:lang w:val="en-US"/>
        </w:rPr>
        <w:t> </w:t>
      </w:r>
      <w:r>
        <w:rPr>
          <w:rFonts w:ascii="Arial" w:hAnsi="Arial" w:cs="Arial"/>
          <w:i/>
          <w:iCs/>
          <w:sz w:val="20"/>
          <w:szCs w:val="20"/>
          <w:shd w:val="clear" w:color="auto" w:fill="FFFFFF"/>
          <w:lang w:val="en-US"/>
        </w:rPr>
        <w:t>15</w:t>
      </w:r>
      <w:r>
        <w:rPr>
          <w:rFonts w:ascii="Arial" w:hAnsi="Arial" w:cs="Arial"/>
          <w:sz w:val="20"/>
          <w:szCs w:val="20"/>
          <w:shd w:val="clear" w:color="auto" w:fill="FFFFFF"/>
          <w:lang w:val="en-US"/>
        </w:rPr>
        <w:t>(10), e47858.</w:t>
      </w:r>
    </w:p>
    <w:p w14:paraId="71B3D734">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Digra, S., &amp; Nonzom, S. (2023). An insight into endophytic antimicrobial compounds: an updated analysis.</w:t>
      </w:r>
      <w:r>
        <w:rPr>
          <w:rFonts w:ascii="Arial" w:hAnsi="Arial" w:cs="Arial"/>
          <w:sz w:val="20"/>
          <w:szCs w:val="20"/>
          <w:lang w:val="en-US"/>
        </w:rPr>
        <w:t> </w:t>
      </w:r>
      <w:r>
        <w:rPr>
          <w:rFonts w:ascii="Arial" w:hAnsi="Arial" w:cs="Arial"/>
          <w:i/>
          <w:iCs/>
          <w:sz w:val="20"/>
          <w:szCs w:val="20"/>
          <w:shd w:val="clear" w:color="auto" w:fill="FFFFFF"/>
          <w:lang w:val="en-US"/>
        </w:rPr>
        <w:t>Plant Biotechnology Reports, 17</w:t>
      </w:r>
      <w:r>
        <w:rPr>
          <w:rFonts w:ascii="Arial" w:hAnsi="Arial" w:cs="Arial"/>
          <w:sz w:val="20"/>
          <w:szCs w:val="20"/>
          <w:shd w:val="clear" w:color="auto" w:fill="FFFFFF"/>
          <w:lang w:val="en-US"/>
        </w:rPr>
        <w:t>, 427-457.</w:t>
      </w:r>
    </w:p>
    <w:p w14:paraId="1B53D0BE">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Dos Reis, J. B. A., Lorenzi, A. S., &amp; do Vale, H. M. M. (2022). </w:t>
      </w:r>
      <w:r>
        <w:rPr>
          <w:rFonts w:ascii="Arial" w:hAnsi="Arial" w:cs="Arial"/>
          <w:sz w:val="20"/>
          <w:szCs w:val="20"/>
          <w:shd w:val="clear" w:color="auto" w:fill="FFFFFF"/>
          <w:lang w:val="en-US"/>
        </w:rPr>
        <w:t>Methods used for the study of endophytic fungi: a review on methodologies and challenges, and associated tips.</w:t>
      </w:r>
      <w:r>
        <w:rPr>
          <w:rFonts w:ascii="Arial" w:hAnsi="Arial" w:cs="Arial"/>
          <w:sz w:val="20"/>
          <w:szCs w:val="20"/>
          <w:lang w:val="en-US"/>
        </w:rPr>
        <w:t> </w:t>
      </w:r>
      <w:r>
        <w:rPr>
          <w:rFonts w:ascii="Arial" w:hAnsi="Arial" w:cs="Arial"/>
          <w:i/>
          <w:iCs/>
          <w:sz w:val="20"/>
          <w:szCs w:val="20"/>
          <w:shd w:val="clear" w:color="auto" w:fill="FFFFFF"/>
          <w:lang w:val="en-US"/>
        </w:rPr>
        <w:t>Archives of Microbiology,</w:t>
      </w:r>
      <w:r>
        <w:rPr>
          <w:rFonts w:ascii="Arial" w:hAnsi="Arial" w:cs="Arial"/>
          <w:i/>
          <w:iCs/>
          <w:sz w:val="20"/>
          <w:szCs w:val="20"/>
          <w:lang w:val="en-US"/>
        </w:rPr>
        <w:t> </w:t>
      </w:r>
      <w:r>
        <w:rPr>
          <w:rFonts w:ascii="Arial" w:hAnsi="Arial" w:cs="Arial"/>
          <w:i/>
          <w:iCs/>
          <w:sz w:val="20"/>
          <w:szCs w:val="20"/>
          <w:shd w:val="clear" w:color="auto" w:fill="FFFFFF"/>
          <w:lang w:val="en-US"/>
        </w:rPr>
        <w:t>204</w:t>
      </w:r>
      <w:r>
        <w:rPr>
          <w:rFonts w:ascii="Arial" w:hAnsi="Arial" w:cs="Arial"/>
          <w:sz w:val="20"/>
          <w:szCs w:val="20"/>
          <w:shd w:val="clear" w:color="auto" w:fill="FFFFFF"/>
          <w:lang w:val="en-US"/>
        </w:rPr>
        <w:t>(11), 675.</w:t>
      </w:r>
    </w:p>
    <w:p w14:paraId="797BBD3F">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El-Sayed, A. S. A., El-Sayed, M. T., Rady, A., Zein, N., Enan, G., Shindia, A., et al. (2020). Exploiting the Biosynthetic Potency of Taxol from Fungal Endophytes of Conifers Plants; Genome Mining and Metabolic Manipulation.</w:t>
      </w:r>
      <w:r>
        <w:rPr>
          <w:rFonts w:ascii="Arial" w:hAnsi="Arial" w:cs="Arial"/>
          <w:sz w:val="20"/>
          <w:szCs w:val="20"/>
          <w:lang w:val="en-US"/>
        </w:rPr>
        <w:t> </w:t>
      </w:r>
      <w:r>
        <w:rPr>
          <w:rFonts w:ascii="Arial" w:hAnsi="Arial" w:cs="Arial"/>
          <w:i/>
          <w:iCs/>
          <w:sz w:val="20"/>
          <w:szCs w:val="20"/>
          <w:shd w:val="clear" w:color="auto" w:fill="FFFFFF"/>
          <w:lang w:val="en-US"/>
        </w:rPr>
        <w:t>Molecules,</w:t>
      </w:r>
      <w:r>
        <w:rPr>
          <w:rFonts w:ascii="Arial" w:hAnsi="Arial" w:cs="Arial"/>
          <w:i/>
          <w:iCs/>
          <w:sz w:val="20"/>
          <w:szCs w:val="20"/>
          <w:lang w:val="en-US"/>
        </w:rPr>
        <w:t> </w:t>
      </w:r>
      <w:r>
        <w:rPr>
          <w:rFonts w:ascii="Arial" w:hAnsi="Arial" w:cs="Arial"/>
          <w:i/>
          <w:iCs/>
          <w:sz w:val="20"/>
          <w:szCs w:val="20"/>
          <w:shd w:val="clear" w:color="auto" w:fill="FFFFFF"/>
          <w:lang w:val="en-US"/>
        </w:rPr>
        <w:t>25</w:t>
      </w:r>
      <w:r>
        <w:rPr>
          <w:rFonts w:ascii="Arial" w:hAnsi="Arial" w:cs="Arial"/>
          <w:sz w:val="20"/>
          <w:szCs w:val="20"/>
          <w:shd w:val="clear" w:color="auto" w:fill="FFFFFF"/>
          <w:lang w:val="en-US"/>
        </w:rPr>
        <w:t>(13), 3000.</w:t>
      </w:r>
    </w:p>
    <w:p w14:paraId="1B180AE2">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Farsetti, A., Illi, B., &amp; Gaetano, C. (2023). How epigenetics impacts on human diseases.</w:t>
      </w:r>
      <w:r>
        <w:rPr>
          <w:rFonts w:ascii="Arial" w:hAnsi="Arial" w:cs="Arial"/>
          <w:sz w:val="20"/>
          <w:szCs w:val="20"/>
          <w:lang w:val="en-US"/>
        </w:rPr>
        <w:t> </w:t>
      </w:r>
      <w:r>
        <w:rPr>
          <w:rFonts w:ascii="Arial" w:hAnsi="Arial" w:cs="Arial"/>
          <w:i/>
          <w:iCs/>
          <w:sz w:val="20"/>
          <w:szCs w:val="20"/>
          <w:shd w:val="clear" w:color="auto" w:fill="FFFFFF"/>
          <w:lang w:val="en-US"/>
        </w:rPr>
        <w:t>European Journal of Internal Medicine,</w:t>
      </w:r>
      <w:r>
        <w:rPr>
          <w:rFonts w:ascii="Arial" w:hAnsi="Arial" w:cs="Arial"/>
          <w:i/>
          <w:iCs/>
          <w:sz w:val="20"/>
          <w:szCs w:val="20"/>
          <w:lang w:val="en-US"/>
        </w:rPr>
        <w:t> </w:t>
      </w:r>
      <w:r>
        <w:rPr>
          <w:rFonts w:ascii="Arial" w:hAnsi="Arial" w:cs="Arial"/>
          <w:i/>
          <w:iCs/>
          <w:sz w:val="20"/>
          <w:szCs w:val="20"/>
          <w:shd w:val="clear" w:color="auto" w:fill="FFFFFF"/>
          <w:lang w:val="en-US"/>
        </w:rPr>
        <w:t>114</w:t>
      </w:r>
      <w:r>
        <w:rPr>
          <w:rFonts w:ascii="Arial" w:hAnsi="Arial" w:cs="Arial"/>
          <w:sz w:val="20"/>
          <w:szCs w:val="20"/>
          <w:shd w:val="clear" w:color="auto" w:fill="FFFFFF"/>
          <w:lang w:val="en-US"/>
        </w:rPr>
        <w:t>, 15-22.</w:t>
      </w:r>
    </w:p>
    <w:p w14:paraId="0466304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Gaffari, F., Ebadi, M., &amp; Mollaei, S. (2023). Isolation and molecular identification of endophytic fungi associated with </w:t>
      </w:r>
      <w:r>
        <w:rPr>
          <w:rFonts w:ascii="Arial" w:hAnsi="Arial" w:cs="Arial"/>
          <w:i/>
          <w:iCs/>
          <w:sz w:val="20"/>
          <w:szCs w:val="20"/>
          <w:shd w:val="clear" w:color="auto" w:fill="FFFFFF"/>
          <w:lang w:val="en-US"/>
        </w:rPr>
        <w:t>Ziziphora tenuior</w:t>
      </w:r>
      <w:r>
        <w:rPr>
          <w:rFonts w:ascii="Arial" w:hAnsi="Arial" w:cs="Arial"/>
          <w:sz w:val="20"/>
          <w:szCs w:val="20"/>
          <w:shd w:val="clear" w:color="auto" w:fill="FFFFFF"/>
          <w:lang w:val="en-US"/>
        </w:rPr>
        <w:t xml:space="preserve"> L. and their biological potential. </w:t>
      </w:r>
      <w:r>
        <w:rPr>
          <w:rFonts w:ascii="Arial" w:hAnsi="Arial" w:cs="Arial"/>
          <w:i/>
          <w:iCs/>
          <w:sz w:val="20"/>
          <w:szCs w:val="20"/>
          <w:shd w:val="clear" w:color="auto" w:fill="FFFFFF"/>
          <w:lang w:val="en-US"/>
        </w:rPr>
        <w:t>South African Journal of Botany, 161</w:t>
      </w:r>
      <w:r>
        <w:rPr>
          <w:rFonts w:ascii="Arial" w:hAnsi="Arial" w:cs="Arial"/>
          <w:sz w:val="20"/>
          <w:szCs w:val="20"/>
          <w:shd w:val="clear" w:color="auto" w:fill="FFFFFF"/>
          <w:lang w:val="en-US"/>
        </w:rPr>
        <w:t>, 358-364.</w:t>
      </w:r>
    </w:p>
    <w:p w14:paraId="5F570C20">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Gaj, T., Sirk, S. J., Shui, S. L., &amp; Liu, J. (2016). Genome-Editing Technologies: Principles and Applications.</w:t>
      </w:r>
      <w:r>
        <w:rPr>
          <w:rFonts w:ascii="Arial" w:hAnsi="Arial" w:cs="Arial"/>
          <w:sz w:val="20"/>
          <w:szCs w:val="20"/>
          <w:lang w:val="en-US"/>
        </w:rPr>
        <w:t> </w:t>
      </w:r>
      <w:r>
        <w:rPr>
          <w:rFonts w:ascii="Arial" w:hAnsi="Arial" w:cs="Arial"/>
          <w:i/>
          <w:iCs/>
          <w:sz w:val="20"/>
          <w:szCs w:val="20"/>
          <w:shd w:val="clear" w:color="auto" w:fill="FFFFFF"/>
          <w:lang w:val="en-US"/>
        </w:rPr>
        <w:t>Cold Spring Harbor Perspectives in Biology,</w:t>
      </w:r>
      <w:r>
        <w:rPr>
          <w:rFonts w:ascii="Arial" w:hAnsi="Arial" w:cs="Arial"/>
          <w:i/>
          <w:iCs/>
          <w:sz w:val="20"/>
          <w:szCs w:val="20"/>
          <w:lang w:val="en-US"/>
        </w:rPr>
        <w:t> </w:t>
      </w:r>
      <w:r>
        <w:rPr>
          <w:rFonts w:ascii="Arial" w:hAnsi="Arial" w:cs="Arial"/>
          <w:i/>
          <w:iCs/>
          <w:sz w:val="20"/>
          <w:szCs w:val="20"/>
          <w:shd w:val="clear" w:color="auto" w:fill="FFFFFF"/>
          <w:lang w:val="en-US"/>
        </w:rPr>
        <w:t>8</w:t>
      </w:r>
      <w:r>
        <w:rPr>
          <w:rFonts w:ascii="Arial" w:hAnsi="Arial" w:cs="Arial"/>
          <w:sz w:val="20"/>
          <w:szCs w:val="20"/>
          <w:shd w:val="clear" w:color="auto" w:fill="FFFFFF"/>
          <w:lang w:val="en-US"/>
        </w:rPr>
        <w:t>(12), a023754.</w:t>
      </w:r>
    </w:p>
    <w:p w14:paraId="29791CE4">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s-CR"/>
        </w:rPr>
        <w:t xml:space="preserve">Galgano, M., Pellegrini, F., Catalano, E., Capozzi, L., Del Sambro, L., Sposato, A., et al. </w:t>
      </w:r>
      <w:r>
        <w:rPr>
          <w:rFonts w:ascii="Arial" w:hAnsi="Arial" w:cs="Arial"/>
          <w:sz w:val="20"/>
          <w:szCs w:val="20"/>
          <w:shd w:val="clear" w:color="auto" w:fill="FFFFFF"/>
          <w:lang w:val="en-US"/>
        </w:rPr>
        <w:t>(2025). Acquired Bacterial Resistance to Antibiotics and Resistance Genes: From Past to Future.</w:t>
      </w:r>
      <w:r>
        <w:rPr>
          <w:rFonts w:ascii="Arial" w:hAnsi="Arial" w:cs="Arial"/>
          <w:sz w:val="20"/>
          <w:szCs w:val="20"/>
          <w:lang w:val="en-US"/>
        </w:rPr>
        <w:t> </w:t>
      </w:r>
      <w:r>
        <w:rPr>
          <w:rFonts w:ascii="Arial" w:hAnsi="Arial" w:cs="Arial"/>
          <w:i/>
          <w:iCs/>
          <w:sz w:val="20"/>
          <w:szCs w:val="20"/>
          <w:shd w:val="clear" w:color="auto" w:fill="FFFFFF"/>
          <w:lang w:val="es-CR"/>
        </w:rPr>
        <w:t>Antibiotics,</w:t>
      </w:r>
      <w:r>
        <w:rPr>
          <w:rFonts w:ascii="Arial" w:hAnsi="Arial" w:cs="Arial"/>
          <w:i/>
          <w:iCs/>
          <w:sz w:val="20"/>
          <w:szCs w:val="20"/>
          <w:lang w:val="es-CR"/>
        </w:rPr>
        <w:t> </w:t>
      </w:r>
      <w:r>
        <w:rPr>
          <w:rFonts w:ascii="Arial" w:hAnsi="Arial" w:cs="Arial"/>
          <w:i/>
          <w:iCs/>
          <w:sz w:val="20"/>
          <w:szCs w:val="20"/>
          <w:shd w:val="clear" w:color="auto" w:fill="FFFFFF"/>
          <w:lang w:val="es-CR"/>
        </w:rPr>
        <w:t>14</w:t>
      </w:r>
      <w:r>
        <w:rPr>
          <w:rFonts w:ascii="Arial" w:hAnsi="Arial" w:cs="Arial"/>
          <w:sz w:val="20"/>
          <w:szCs w:val="20"/>
          <w:shd w:val="clear" w:color="auto" w:fill="FFFFFF"/>
          <w:lang w:val="es-CR"/>
        </w:rPr>
        <w:t>(3), 222.</w:t>
      </w:r>
    </w:p>
    <w:p w14:paraId="26561492">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s-CR"/>
        </w:rPr>
        <w:t xml:space="preserve">García Palomo, J. D., Agüero Balbín, J., Parra Blanco, J. A., &amp; Santos Benito, M. F. (2010). Enfermedades infecciosas. Concepto. Clasificación. Aspectos generales y específicos de las infecciones. Criterios de sospecha de enfermedad infecciosa. Pruebas diagnósticas complementarias. Criterios de indicación. </w:t>
      </w:r>
      <w:r>
        <w:rPr>
          <w:rFonts w:ascii="Arial" w:hAnsi="Arial" w:cs="Arial"/>
          <w:i/>
          <w:iCs/>
          <w:sz w:val="20"/>
          <w:szCs w:val="20"/>
          <w:shd w:val="clear" w:color="auto" w:fill="FFFFFF"/>
          <w:lang w:val="es-CR"/>
        </w:rPr>
        <w:t>Medicine, 10</w:t>
      </w:r>
      <w:r>
        <w:rPr>
          <w:rFonts w:ascii="Arial" w:hAnsi="Arial" w:cs="Arial"/>
          <w:sz w:val="20"/>
          <w:szCs w:val="20"/>
          <w:shd w:val="clear" w:color="auto" w:fill="FFFFFF"/>
          <w:lang w:val="es-CR"/>
        </w:rPr>
        <w:t>(49), 3251-3264.</w:t>
      </w:r>
    </w:p>
    <w:p w14:paraId="4F5FF24A">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Geris dos Santos, R. M., &amp; Rodrigues-Fo, E. (2002). </w:t>
      </w:r>
      <w:r>
        <w:rPr>
          <w:rFonts w:ascii="Arial" w:hAnsi="Arial" w:cs="Arial"/>
          <w:sz w:val="20"/>
          <w:szCs w:val="20"/>
          <w:shd w:val="clear" w:color="auto" w:fill="FFFFFF"/>
          <w:lang w:val="en-US"/>
        </w:rPr>
        <w:t xml:space="preserve">Meroterpenes from </w:t>
      </w:r>
      <w:r>
        <w:rPr>
          <w:rFonts w:ascii="Arial" w:hAnsi="Arial" w:cs="Arial"/>
          <w:i/>
          <w:iCs/>
          <w:sz w:val="20"/>
          <w:szCs w:val="20"/>
          <w:shd w:val="clear" w:color="auto" w:fill="FFFFFF"/>
          <w:lang w:val="en-US"/>
        </w:rPr>
        <w:t>Penicillium</w:t>
      </w:r>
      <w:r>
        <w:rPr>
          <w:rFonts w:ascii="Arial" w:hAnsi="Arial" w:cs="Arial"/>
          <w:sz w:val="20"/>
          <w:szCs w:val="20"/>
          <w:shd w:val="clear" w:color="auto" w:fill="FFFFFF"/>
          <w:lang w:val="en-US"/>
        </w:rPr>
        <w:t xml:space="preserve"> sp found in association with </w:t>
      </w:r>
      <w:r>
        <w:rPr>
          <w:rFonts w:ascii="Arial" w:hAnsi="Arial" w:cs="Arial"/>
          <w:i/>
          <w:iCs/>
          <w:sz w:val="20"/>
          <w:szCs w:val="20"/>
          <w:shd w:val="clear" w:color="auto" w:fill="FFFFFF"/>
          <w:lang w:val="en-US"/>
        </w:rPr>
        <w:t>Melia azedarach</w:t>
      </w:r>
      <w:r>
        <w:rPr>
          <w:rFonts w:ascii="Arial" w:hAnsi="Arial" w:cs="Arial"/>
          <w:sz w:val="20"/>
          <w:szCs w:val="20"/>
          <w:shd w:val="clear" w:color="auto" w:fill="FFFFFF"/>
          <w:lang w:val="en-US"/>
        </w:rPr>
        <w:t>.</w:t>
      </w:r>
      <w:r>
        <w:rPr>
          <w:rFonts w:ascii="Arial" w:hAnsi="Arial" w:cs="Arial"/>
          <w:sz w:val="20"/>
          <w:szCs w:val="20"/>
          <w:lang w:val="en-US"/>
        </w:rPr>
        <w:t> </w:t>
      </w:r>
      <w:r>
        <w:rPr>
          <w:rFonts w:ascii="Arial" w:hAnsi="Arial" w:cs="Arial"/>
          <w:i/>
          <w:iCs/>
          <w:sz w:val="20"/>
          <w:szCs w:val="20"/>
          <w:shd w:val="clear" w:color="auto" w:fill="FFFFFF"/>
          <w:lang w:val="en-US"/>
        </w:rPr>
        <w:t>Phytochemistry,</w:t>
      </w:r>
      <w:r>
        <w:rPr>
          <w:rFonts w:ascii="Arial" w:hAnsi="Arial" w:cs="Arial"/>
          <w:i/>
          <w:iCs/>
          <w:sz w:val="20"/>
          <w:szCs w:val="20"/>
          <w:lang w:val="en-US"/>
        </w:rPr>
        <w:t> </w:t>
      </w:r>
      <w:r>
        <w:rPr>
          <w:rFonts w:ascii="Arial" w:hAnsi="Arial" w:cs="Arial"/>
          <w:i/>
          <w:iCs/>
          <w:sz w:val="20"/>
          <w:szCs w:val="20"/>
          <w:shd w:val="clear" w:color="auto" w:fill="FFFFFF"/>
          <w:lang w:val="en-US"/>
        </w:rPr>
        <w:t>61</w:t>
      </w:r>
      <w:r>
        <w:rPr>
          <w:rFonts w:ascii="Arial" w:hAnsi="Arial" w:cs="Arial"/>
          <w:sz w:val="20"/>
          <w:szCs w:val="20"/>
          <w:shd w:val="clear" w:color="auto" w:fill="FFFFFF"/>
          <w:lang w:val="en-US"/>
        </w:rPr>
        <w:t>(8), 907-912.</w:t>
      </w:r>
    </w:p>
    <w:p w14:paraId="2EDEE523">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González-Medina, M., Owen, J. R., El-Elimat, T., Pearce, C. J., Oberlies, N. H., Figueroa, M., et al. </w:t>
      </w:r>
      <w:r>
        <w:rPr>
          <w:rFonts w:ascii="Arial" w:hAnsi="Arial" w:cs="Arial"/>
          <w:sz w:val="20"/>
          <w:szCs w:val="20"/>
          <w:shd w:val="clear" w:color="auto" w:fill="FFFFFF"/>
          <w:lang w:val="en-US"/>
        </w:rPr>
        <w:t>(2017). Scaffold Diversity of Fungal Metabolites.</w:t>
      </w:r>
      <w:r>
        <w:rPr>
          <w:rFonts w:ascii="Arial" w:hAnsi="Arial" w:cs="Arial"/>
          <w:sz w:val="20"/>
          <w:szCs w:val="20"/>
          <w:lang w:val="en-US"/>
        </w:rPr>
        <w:t> </w:t>
      </w:r>
      <w:r>
        <w:rPr>
          <w:rFonts w:ascii="Arial" w:hAnsi="Arial" w:cs="Arial"/>
          <w:i/>
          <w:iCs/>
          <w:sz w:val="20"/>
          <w:szCs w:val="20"/>
          <w:shd w:val="clear" w:color="auto" w:fill="FFFFFF"/>
          <w:lang w:val="en-US"/>
        </w:rPr>
        <w:t>Frontiers in Pharmacology,</w:t>
      </w:r>
      <w:r>
        <w:rPr>
          <w:rFonts w:ascii="Arial" w:hAnsi="Arial" w:cs="Arial"/>
          <w:i/>
          <w:iCs/>
          <w:sz w:val="20"/>
          <w:szCs w:val="20"/>
          <w:lang w:val="en-US"/>
        </w:rPr>
        <w:t> </w:t>
      </w:r>
      <w:r>
        <w:rPr>
          <w:rFonts w:ascii="Arial" w:hAnsi="Arial" w:cs="Arial"/>
          <w:i/>
          <w:iCs/>
          <w:sz w:val="20"/>
          <w:szCs w:val="20"/>
          <w:shd w:val="clear" w:color="auto" w:fill="FFFFFF"/>
          <w:lang w:val="en-US"/>
        </w:rPr>
        <w:t>8</w:t>
      </w:r>
      <w:r>
        <w:rPr>
          <w:rFonts w:ascii="Arial" w:hAnsi="Arial" w:cs="Arial"/>
          <w:sz w:val="20"/>
          <w:szCs w:val="20"/>
          <w:shd w:val="clear" w:color="auto" w:fill="FFFFFF"/>
          <w:lang w:val="en-US"/>
        </w:rPr>
        <w:t>, 180.</w:t>
      </w:r>
    </w:p>
    <w:p w14:paraId="38094AE7">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Góralska, K., Szybka, M., Karuga, F. F., Pastuszak-Lewandoska, D., &amp; Brzeziańska-Lasota, E. (2024). Acquired resistance or tolerance? – in search of mechanisms underlying changes in the resistance profile of </w:t>
      </w:r>
      <w:r>
        <w:rPr>
          <w:rFonts w:ascii="Arial" w:hAnsi="Arial" w:cs="Arial"/>
          <w:i/>
          <w:iCs/>
          <w:sz w:val="20"/>
          <w:szCs w:val="20"/>
          <w:shd w:val="clear" w:color="auto" w:fill="FFFFFF"/>
          <w:lang w:val="en-US"/>
        </w:rPr>
        <w:t>Candida albicans</w:t>
      </w:r>
      <w:r>
        <w:rPr>
          <w:rFonts w:ascii="Arial" w:hAnsi="Arial" w:cs="Arial"/>
          <w:sz w:val="20"/>
          <w:szCs w:val="20"/>
          <w:shd w:val="clear" w:color="auto" w:fill="FFFFFF"/>
          <w:lang w:val="en-US"/>
        </w:rPr>
        <w:t xml:space="preserve"> and </w:t>
      </w:r>
      <w:r>
        <w:rPr>
          <w:rFonts w:ascii="Arial" w:hAnsi="Arial" w:cs="Arial"/>
          <w:i/>
          <w:iCs/>
          <w:sz w:val="20"/>
          <w:szCs w:val="20"/>
          <w:shd w:val="clear" w:color="auto" w:fill="FFFFFF"/>
          <w:lang w:val="en-US"/>
        </w:rPr>
        <w:t>Candida parapsilosis</w:t>
      </w:r>
      <w:r>
        <w:rPr>
          <w:rFonts w:ascii="Arial" w:hAnsi="Arial" w:cs="Arial"/>
          <w:sz w:val="20"/>
          <w:szCs w:val="20"/>
          <w:shd w:val="clear" w:color="auto" w:fill="FFFFFF"/>
          <w:lang w:val="en-US"/>
        </w:rPr>
        <w:t xml:space="preserve"> as a result of exposure to methotrexate. </w:t>
      </w:r>
      <w:r>
        <w:rPr>
          <w:rFonts w:ascii="Arial" w:hAnsi="Arial" w:cs="Arial"/>
          <w:i/>
          <w:iCs/>
          <w:sz w:val="20"/>
          <w:szCs w:val="20"/>
          <w:shd w:val="clear" w:color="auto" w:fill="FFFFFF"/>
          <w:lang w:val="en-US"/>
        </w:rPr>
        <w:t>Journal of Medical Mycology,</w:t>
      </w:r>
      <w:r>
        <w:rPr>
          <w:rFonts w:ascii="Arial" w:hAnsi="Arial" w:cs="Arial"/>
          <w:i/>
          <w:iCs/>
          <w:sz w:val="20"/>
          <w:szCs w:val="20"/>
          <w:lang w:val="en-US"/>
        </w:rPr>
        <w:t> </w:t>
      </w:r>
      <w:r>
        <w:rPr>
          <w:rFonts w:ascii="Arial" w:hAnsi="Arial" w:cs="Arial"/>
          <w:i/>
          <w:iCs/>
          <w:sz w:val="20"/>
          <w:szCs w:val="20"/>
          <w:shd w:val="clear" w:color="auto" w:fill="FFFFFF"/>
          <w:lang w:val="en-US"/>
        </w:rPr>
        <w:t>34</w:t>
      </w:r>
      <w:r>
        <w:rPr>
          <w:rFonts w:ascii="Arial" w:hAnsi="Arial" w:cs="Arial"/>
          <w:sz w:val="20"/>
          <w:szCs w:val="20"/>
          <w:shd w:val="clear" w:color="auto" w:fill="FFFFFF"/>
          <w:lang w:val="en-US"/>
        </w:rPr>
        <w:t>(2), 101476.</w:t>
      </w:r>
    </w:p>
    <w:p w14:paraId="578B5BEE">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Gupta, A., Chandra Pandey, B., Yaseen, M., Kushwaha, R., Shukla, M., Chaudhary, P., et al. (2025). Exploring anticancer, antioxidant, and antimicrobial potential of</w:t>
      </w:r>
      <w:r>
        <w:rPr>
          <w:rFonts w:ascii="Arial" w:hAnsi="Arial" w:cs="Arial"/>
          <w:sz w:val="20"/>
          <w:szCs w:val="20"/>
          <w:lang w:val="en-US"/>
        </w:rPr>
        <w:t> </w:t>
      </w:r>
      <w:r>
        <w:rPr>
          <w:rFonts w:ascii="Arial" w:hAnsi="Arial" w:cs="Arial"/>
          <w:i/>
          <w:iCs/>
          <w:sz w:val="20"/>
          <w:szCs w:val="20"/>
          <w:shd w:val="clear" w:color="auto" w:fill="FFFFFF"/>
          <w:lang w:val="en-US"/>
        </w:rPr>
        <w:t>Aspergillus flavus</w:t>
      </w:r>
      <w:r>
        <w:rPr>
          <w:rFonts w:ascii="Arial" w:hAnsi="Arial" w:cs="Arial"/>
          <w:sz w:val="20"/>
          <w:szCs w:val="20"/>
          <w:shd w:val="clear" w:color="auto" w:fill="FFFFFF"/>
          <w:lang w:val="en-US"/>
        </w:rPr>
        <w:t>, a fungal endophyte isolated from</w:t>
      </w:r>
      <w:r>
        <w:rPr>
          <w:rFonts w:ascii="Arial" w:hAnsi="Arial" w:cs="Arial"/>
          <w:sz w:val="20"/>
          <w:szCs w:val="20"/>
          <w:lang w:val="en-US"/>
        </w:rPr>
        <w:t> </w:t>
      </w:r>
      <w:r>
        <w:rPr>
          <w:rFonts w:ascii="Arial" w:hAnsi="Arial" w:cs="Arial"/>
          <w:i/>
          <w:iCs/>
          <w:sz w:val="20"/>
          <w:szCs w:val="20"/>
          <w:shd w:val="clear" w:color="auto" w:fill="FFFFFF"/>
          <w:lang w:val="en-US"/>
        </w:rPr>
        <w:t>Dillenia indica</w:t>
      </w:r>
      <w:r>
        <w:rPr>
          <w:rFonts w:ascii="Arial" w:hAnsi="Arial" w:cs="Arial"/>
          <w:sz w:val="20"/>
          <w:szCs w:val="20"/>
          <w:lang w:val="en-US"/>
        </w:rPr>
        <w:t> </w:t>
      </w:r>
      <w:r>
        <w:rPr>
          <w:rFonts w:ascii="Arial" w:hAnsi="Arial" w:cs="Arial"/>
          <w:sz w:val="20"/>
          <w:szCs w:val="20"/>
          <w:shd w:val="clear" w:color="auto" w:fill="FFFFFF"/>
          <w:lang w:val="en-US"/>
        </w:rPr>
        <w:t>leaf callus.</w:t>
      </w:r>
      <w:r>
        <w:rPr>
          <w:rFonts w:ascii="Arial" w:hAnsi="Arial" w:cs="Arial"/>
          <w:sz w:val="20"/>
          <w:szCs w:val="20"/>
          <w:lang w:val="en-US"/>
        </w:rPr>
        <w:t> </w:t>
      </w:r>
      <w:r>
        <w:rPr>
          <w:rFonts w:ascii="Arial" w:hAnsi="Arial" w:cs="Arial"/>
          <w:i/>
          <w:iCs/>
          <w:sz w:val="20"/>
          <w:szCs w:val="20"/>
          <w:shd w:val="clear" w:color="auto" w:fill="FFFFFF"/>
          <w:lang w:val="en-US"/>
        </w:rPr>
        <w:t>Heliyon,</w:t>
      </w:r>
      <w:r>
        <w:rPr>
          <w:rFonts w:ascii="Arial" w:hAnsi="Arial" w:cs="Arial"/>
          <w:i/>
          <w:iCs/>
          <w:sz w:val="20"/>
          <w:szCs w:val="20"/>
          <w:lang w:val="en-US"/>
        </w:rPr>
        <w:t> </w:t>
      </w:r>
      <w:r>
        <w:rPr>
          <w:rFonts w:ascii="Arial" w:hAnsi="Arial" w:cs="Arial"/>
          <w:i/>
          <w:iCs/>
          <w:sz w:val="20"/>
          <w:szCs w:val="20"/>
          <w:shd w:val="clear" w:color="auto" w:fill="FFFFFF"/>
          <w:lang w:val="en-US"/>
        </w:rPr>
        <w:t>11</w:t>
      </w:r>
      <w:r>
        <w:rPr>
          <w:rFonts w:ascii="Arial" w:hAnsi="Arial" w:cs="Arial"/>
          <w:sz w:val="20"/>
          <w:szCs w:val="20"/>
          <w:shd w:val="clear" w:color="auto" w:fill="FFFFFF"/>
          <w:lang w:val="en-US"/>
        </w:rPr>
        <w:t>(3), e42142.</w:t>
      </w:r>
    </w:p>
    <w:p w14:paraId="18529567">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Gupta, A., Meshram, V., Gupta, M., Goyal, S., Qureshi, K. A., Jaremko, M., et al. </w:t>
      </w:r>
      <w:r>
        <w:rPr>
          <w:rFonts w:ascii="Arial" w:hAnsi="Arial" w:cs="Arial"/>
          <w:sz w:val="20"/>
          <w:szCs w:val="20"/>
          <w:shd w:val="clear" w:color="auto" w:fill="FFFFFF"/>
          <w:lang w:val="en-US"/>
        </w:rPr>
        <w:t>(2023). Fungal Endophytes: Microfactories of Novel Bioactive Compounds with Therapeutic Interventions; A Comprehensive Review on the Biotechnological Developments in the Field of Fungal Endophytic Biology over the Last Decade.</w:t>
      </w:r>
      <w:r>
        <w:rPr>
          <w:rFonts w:ascii="Arial" w:hAnsi="Arial" w:cs="Arial"/>
          <w:sz w:val="20"/>
          <w:szCs w:val="20"/>
          <w:lang w:val="en-US"/>
        </w:rPr>
        <w:t> </w:t>
      </w:r>
      <w:r>
        <w:rPr>
          <w:rFonts w:ascii="Arial" w:hAnsi="Arial" w:cs="Arial"/>
          <w:i/>
          <w:iCs/>
          <w:sz w:val="20"/>
          <w:szCs w:val="20"/>
          <w:shd w:val="clear" w:color="auto" w:fill="FFFFFF"/>
          <w:lang w:val="en-US"/>
        </w:rPr>
        <w:t>Biomolecules,</w:t>
      </w:r>
      <w:r>
        <w:rPr>
          <w:rFonts w:ascii="Arial" w:hAnsi="Arial" w:cs="Arial"/>
          <w:i/>
          <w:iCs/>
          <w:sz w:val="20"/>
          <w:szCs w:val="20"/>
          <w:lang w:val="en-US"/>
        </w:rPr>
        <w:t> </w:t>
      </w:r>
      <w:r>
        <w:rPr>
          <w:rFonts w:ascii="Arial" w:hAnsi="Arial" w:cs="Arial"/>
          <w:i/>
          <w:iCs/>
          <w:sz w:val="20"/>
          <w:szCs w:val="20"/>
          <w:shd w:val="clear" w:color="auto" w:fill="FFFFFF"/>
          <w:lang w:val="en-US"/>
        </w:rPr>
        <w:t>13</w:t>
      </w:r>
      <w:r>
        <w:rPr>
          <w:rFonts w:ascii="Arial" w:hAnsi="Arial" w:cs="Arial"/>
          <w:sz w:val="20"/>
          <w:szCs w:val="20"/>
          <w:shd w:val="clear" w:color="auto" w:fill="FFFFFF"/>
          <w:lang w:val="en-US"/>
        </w:rPr>
        <w:t>(7), 1038.</w:t>
      </w:r>
    </w:p>
    <w:p w14:paraId="333A3F06">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Gupta, J., &amp; Sharma, S. (2020). Endophytic fungi: A new hope for drug discovery. In J. Singh &amp; P. Gehlot (Eds.), </w:t>
      </w:r>
      <w:r>
        <w:rPr>
          <w:rFonts w:ascii="Arial" w:hAnsi="Arial" w:cs="Arial"/>
          <w:i/>
          <w:iCs/>
          <w:sz w:val="20"/>
          <w:szCs w:val="20"/>
          <w:shd w:val="clear" w:color="auto" w:fill="FFFFFF"/>
          <w:lang w:val="en-US"/>
        </w:rPr>
        <w:t>New and Future Developments in Microbial Biotechnology and Bioengineering</w:t>
      </w:r>
      <w:r>
        <w:rPr>
          <w:rFonts w:ascii="Arial" w:hAnsi="Arial" w:cs="Arial"/>
          <w:sz w:val="20"/>
          <w:szCs w:val="20"/>
          <w:shd w:val="clear" w:color="auto" w:fill="FFFFFF"/>
          <w:lang w:val="en-US"/>
        </w:rPr>
        <w:t xml:space="preserve"> (pp. 39-49). Cambridge: Elsevier.</w:t>
      </w:r>
    </w:p>
    <w:p w14:paraId="5C90A245">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Gurikar, C., Shivaprasad, D. P., Sabillón, L., Gowda, N. A. N., &amp; Siliveru, K. (2023). </w:t>
      </w:r>
      <w:r>
        <w:rPr>
          <w:rFonts w:ascii="Arial" w:hAnsi="Arial" w:cs="Arial"/>
          <w:sz w:val="20"/>
          <w:szCs w:val="20"/>
          <w:shd w:val="clear" w:color="auto" w:fill="FFFFFF"/>
          <w:lang w:val="en-US"/>
        </w:rPr>
        <w:t xml:space="preserve">Impact of mycotoxins and their metabolites associated with food grains. </w:t>
      </w:r>
      <w:r>
        <w:rPr>
          <w:rFonts w:ascii="Arial" w:hAnsi="Arial" w:cs="Arial"/>
          <w:i/>
          <w:iCs/>
          <w:sz w:val="20"/>
          <w:szCs w:val="20"/>
          <w:shd w:val="clear" w:color="auto" w:fill="FFFFFF"/>
          <w:lang w:val="en-US"/>
        </w:rPr>
        <w:t xml:space="preserve">Grain </w:t>
      </w:r>
      <w:r>
        <w:rPr>
          <w:rFonts w:ascii="Arial" w:hAnsi="Arial" w:cs="Arial"/>
          <w:i/>
          <w:iCs/>
          <w:sz w:val="20"/>
          <w:szCs w:val="20"/>
          <w:shd w:val="clear" w:color="auto" w:fill="FFFFFF"/>
          <w:lang w:val="es-CR"/>
        </w:rPr>
        <w:t>&amp; Oil Science and Technology, 6</w:t>
      </w:r>
      <w:r>
        <w:rPr>
          <w:rFonts w:ascii="Arial" w:hAnsi="Arial" w:cs="Arial"/>
          <w:sz w:val="20"/>
          <w:szCs w:val="20"/>
          <w:shd w:val="clear" w:color="auto" w:fill="FFFFFF"/>
          <w:lang w:val="es-CR"/>
        </w:rPr>
        <w:t>(1), 1-9.</w:t>
      </w:r>
    </w:p>
    <w:p w14:paraId="33AE09C8">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Halawa, E. M., Fadel, M., Al-Rabia, M. W., Behairy, A., Nouh, N. A., Abdo, M., et al. </w:t>
      </w:r>
      <w:r>
        <w:rPr>
          <w:rFonts w:ascii="Arial" w:hAnsi="Arial" w:cs="Arial"/>
          <w:sz w:val="20"/>
          <w:szCs w:val="20"/>
          <w:shd w:val="clear" w:color="auto" w:fill="FFFFFF"/>
          <w:lang w:val="en-US"/>
        </w:rPr>
        <w:t>(2024). Antibiotic action and resistance: updated review of mechanisms, spread, influencing factors, and alternative approaches for combating resistance.</w:t>
      </w:r>
      <w:r>
        <w:rPr>
          <w:rFonts w:ascii="Arial" w:hAnsi="Arial" w:cs="Arial"/>
          <w:sz w:val="20"/>
          <w:szCs w:val="20"/>
          <w:lang w:val="en-US"/>
        </w:rPr>
        <w:t> </w:t>
      </w:r>
      <w:r>
        <w:rPr>
          <w:rFonts w:ascii="Arial" w:hAnsi="Arial" w:cs="Arial"/>
          <w:i/>
          <w:iCs/>
          <w:sz w:val="20"/>
          <w:szCs w:val="20"/>
          <w:shd w:val="clear" w:color="auto" w:fill="FFFFFF"/>
          <w:lang w:val="en-US"/>
        </w:rPr>
        <w:t>Frontiers in Pharmacology,</w:t>
      </w:r>
      <w:r>
        <w:rPr>
          <w:rFonts w:ascii="Arial" w:hAnsi="Arial" w:cs="Arial"/>
          <w:i/>
          <w:iCs/>
          <w:sz w:val="20"/>
          <w:szCs w:val="20"/>
          <w:lang w:val="en-US"/>
        </w:rPr>
        <w:t> </w:t>
      </w:r>
      <w:r>
        <w:rPr>
          <w:rFonts w:ascii="Arial" w:hAnsi="Arial" w:cs="Arial"/>
          <w:i/>
          <w:iCs/>
          <w:sz w:val="20"/>
          <w:szCs w:val="20"/>
          <w:shd w:val="clear" w:color="auto" w:fill="FFFFFF"/>
          <w:lang w:val="en-US"/>
        </w:rPr>
        <w:t>14</w:t>
      </w:r>
      <w:r>
        <w:rPr>
          <w:rFonts w:ascii="Arial" w:hAnsi="Arial" w:cs="Arial"/>
          <w:sz w:val="20"/>
          <w:szCs w:val="20"/>
          <w:shd w:val="clear" w:color="auto" w:fill="FFFFFF"/>
          <w:lang w:val="en-US"/>
        </w:rPr>
        <w:t>, 1305294.</w:t>
      </w:r>
    </w:p>
    <w:p w14:paraId="36BA19E5">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Hashem, A. H., Attia, M. S., Kandil, E. K., Fawzi, M. M., Abdelrahman, A. S., Khader, M. S., et al. (2023). Correction to: Bioactive compounds and biomedical applications of endophytic fungi: a recent review.</w:t>
      </w:r>
      <w:r>
        <w:rPr>
          <w:rFonts w:ascii="Arial" w:hAnsi="Arial" w:cs="Arial"/>
          <w:sz w:val="20"/>
          <w:szCs w:val="20"/>
          <w:lang w:val="en-US"/>
        </w:rPr>
        <w:t> </w:t>
      </w:r>
      <w:r>
        <w:rPr>
          <w:rFonts w:ascii="Arial" w:hAnsi="Arial" w:cs="Arial"/>
          <w:i/>
          <w:iCs/>
          <w:sz w:val="20"/>
          <w:szCs w:val="20"/>
          <w:shd w:val="clear" w:color="auto" w:fill="FFFFFF"/>
          <w:lang w:val="en-US"/>
        </w:rPr>
        <w:t>Microbial Cell Factories,</w:t>
      </w:r>
      <w:r>
        <w:rPr>
          <w:rFonts w:ascii="Arial" w:hAnsi="Arial" w:cs="Arial"/>
          <w:i/>
          <w:iCs/>
          <w:sz w:val="20"/>
          <w:szCs w:val="20"/>
          <w:lang w:val="en-US"/>
        </w:rPr>
        <w:t> </w:t>
      </w:r>
      <w:r>
        <w:rPr>
          <w:rFonts w:ascii="Arial" w:hAnsi="Arial" w:cs="Arial"/>
          <w:i/>
          <w:iCs/>
          <w:sz w:val="20"/>
          <w:szCs w:val="20"/>
          <w:shd w:val="clear" w:color="auto" w:fill="FFFFFF"/>
          <w:lang w:val="en-US"/>
        </w:rPr>
        <w:t>22</w:t>
      </w:r>
      <w:r>
        <w:rPr>
          <w:rFonts w:ascii="Arial" w:hAnsi="Arial" w:cs="Arial"/>
          <w:sz w:val="20"/>
          <w:szCs w:val="20"/>
          <w:shd w:val="clear" w:color="auto" w:fill="FFFFFF"/>
          <w:lang w:val="en-US"/>
        </w:rPr>
        <w:t>(1), 122.</w:t>
      </w:r>
    </w:p>
    <w:p w14:paraId="1C8030AC">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Hyde, K. D., Baldrian, P., Chen, Y., Chethana, K. W. T., De Hoog, S., Doilom, M.,</w:t>
      </w:r>
      <w:r>
        <w:rPr>
          <w:rFonts w:ascii="Arial" w:hAnsi="Arial" w:cs="Arial"/>
          <w:sz w:val="20"/>
          <w:szCs w:val="20"/>
          <w:lang w:val="en-US"/>
        </w:rPr>
        <w:t> </w:t>
      </w:r>
      <w:r>
        <w:rPr>
          <w:rFonts w:ascii="Arial" w:hAnsi="Arial" w:cs="Arial"/>
          <w:sz w:val="20"/>
          <w:szCs w:val="20"/>
          <w:shd w:val="clear" w:color="auto" w:fill="FFFFFF"/>
          <w:lang w:val="en-US"/>
        </w:rPr>
        <w:t>et al.</w:t>
      </w:r>
      <w:r>
        <w:rPr>
          <w:rFonts w:ascii="Arial" w:hAnsi="Arial" w:cs="Arial"/>
          <w:sz w:val="20"/>
          <w:szCs w:val="20"/>
          <w:lang w:val="en-US"/>
        </w:rPr>
        <w:t xml:space="preserve"> (2024). </w:t>
      </w:r>
      <w:r>
        <w:rPr>
          <w:rFonts w:ascii="Arial" w:hAnsi="Arial" w:cs="Arial"/>
          <w:sz w:val="20"/>
          <w:szCs w:val="20"/>
          <w:shd w:val="clear" w:color="auto" w:fill="FFFFFF"/>
          <w:lang w:val="en-US"/>
        </w:rPr>
        <w:t>Current trends, limitations and future research in the fungi?</w:t>
      </w:r>
      <w:r>
        <w:rPr>
          <w:rFonts w:ascii="Arial" w:hAnsi="Arial" w:cs="Arial"/>
          <w:sz w:val="20"/>
          <w:szCs w:val="20"/>
          <w:lang w:val="en-US"/>
        </w:rPr>
        <w:t> </w:t>
      </w:r>
      <w:r>
        <w:rPr>
          <w:rFonts w:ascii="Arial" w:hAnsi="Arial" w:cs="Arial"/>
          <w:i/>
          <w:iCs/>
          <w:sz w:val="20"/>
          <w:szCs w:val="20"/>
          <w:shd w:val="clear" w:color="auto" w:fill="FFFFFF"/>
          <w:lang w:val="en-US"/>
        </w:rPr>
        <w:t>Fungal Diversity,</w:t>
      </w:r>
      <w:r>
        <w:rPr>
          <w:rFonts w:ascii="Arial" w:hAnsi="Arial" w:cs="Arial"/>
          <w:i/>
          <w:iCs/>
          <w:sz w:val="20"/>
          <w:szCs w:val="20"/>
          <w:lang w:val="en-US"/>
        </w:rPr>
        <w:t> </w:t>
      </w:r>
      <w:r>
        <w:rPr>
          <w:rFonts w:ascii="Arial" w:hAnsi="Arial" w:cs="Arial"/>
          <w:i/>
          <w:iCs/>
          <w:sz w:val="20"/>
          <w:szCs w:val="20"/>
          <w:shd w:val="clear" w:color="auto" w:fill="FFFFFF"/>
          <w:lang w:val="en-US"/>
        </w:rPr>
        <w:t>125</w:t>
      </w:r>
      <w:r>
        <w:rPr>
          <w:rFonts w:ascii="Arial" w:hAnsi="Arial" w:cs="Arial"/>
          <w:sz w:val="20"/>
          <w:szCs w:val="20"/>
          <w:shd w:val="clear" w:color="auto" w:fill="FFFFFF"/>
          <w:lang w:val="en-US"/>
        </w:rPr>
        <w:t>, 1-71.</w:t>
      </w:r>
    </w:p>
    <w:p w14:paraId="7CD7FF16">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Jayasekara, L. A. C. B., Poonsawad, A., Watchaputi, K., Wattanachaisaereekul, S., &amp; Soontorngun, N. (2022). Media optimization of antimicrobial activity production and beta-glucan content of endophytic fungi</w:t>
      </w:r>
      <w:r>
        <w:rPr>
          <w:rFonts w:ascii="Arial" w:hAnsi="Arial" w:cs="Arial"/>
          <w:sz w:val="20"/>
          <w:szCs w:val="20"/>
          <w:lang w:val="en-US"/>
        </w:rPr>
        <w:t> </w:t>
      </w:r>
      <w:r>
        <w:rPr>
          <w:rFonts w:ascii="Arial" w:hAnsi="Arial" w:cs="Arial"/>
          <w:i/>
          <w:iCs/>
          <w:sz w:val="20"/>
          <w:szCs w:val="20"/>
          <w:shd w:val="clear" w:color="auto" w:fill="FFFFFF"/>
          <w:lang w:val="en-US"/>
        </w:rPr>
        <w:t>Xylaria</w:t>
      </w:r>
      <w:r>
        <w:rPr>
          <w:rFonts w:ascii="Arial" w:hAnsi="Arial" w:cs="Arial"/>
          <w:sz w:val="20"/>
          <w:szCs w:val="20"/>
          <w:lang w:val="en-US"/>
        </w:rPr>
        <w:t> </w:t>
      </w:r>
      <w:r>
        <w:rPr>
          <w:rFonts w:ascii="Arial" w:hAnsi="Arial" w:cs="Arial"/>
          <w:sz w:val="20"/>
          <w:szCs w:val="20"/>
          <w:shd w:val="clear" w:color="auto" w:fill="FFFFFF"/>
          <w:lang w:val="en-US"/>
        </w:rPr>
        <w:t>sp. BCC 1067.</w:t>
      </w:r>
      <w:r>
        <w:rPr>
          <w:rFonts w:ascii="Arial" w:hAnsi="Arial" w:cs="Arial"/>
          <w:sz w:val="20"/>
          <w:szCs w:val="20"/>
          <w:lang w:val="en-US"/>
        </w:rPr>
        <w:t> </w:t>
      </w:r>
      <w:r>
        <w:rPr>
          <w:rFonts w:ascii="Arial" w:hAnsi="Arial" w:cs="Arial"/>
          <w:i/>
          <w:iCs/>
          <w:sz w:val="20"/>
          <w:szCs w:val="20"/>
          <w:shd w:val="clear" w:color="auto" w:fill="FFFFFF"/>
          <w:lang w:val="en-US"/>
        </w:rPr>
        <w:t>Biotechnology Reports,</w:t>
      </w:r>
      <w:r>
        <w:rPr>
          <w:rFonts w:ascii="Arial" w:hAnsi="Arial" w:cs="Arial"/>
          <w:i/>
          <w:iCs/>
          <w:sz w:val="20"/>
          <w:szCs w:val="20"/>
          <w:lang w:val="en-US"/>
        </w:rPr>
        <w:t> </w:t>
      </w:r>
      <w:r>
        <w:rPr>
          <w:rFonts w:ascii="Arial" w:hAnsi="Arial" w:cs="Arial"/>
          <w:i/>
          <w:iCs/>
          <w:sz w:val="20"/>
          <w:szCs w:val="20"/>
          <w:shd w:val="clear" w:color="auto" w:fill="FFFFFF"/>
          <w:lang w:val="en-US"/>
        </w:rPr>
        <w:t>35</w:t>
      </w:r>
      <w:r>
        <w:rPr>
          <w:rFonts w:ascii="Arial" w:hAnsi="Arial" w:cs="Arial"/>
          <w:sz w:val="20"/>
          <w:szCs w:val="20"/>
          <w:shd w:val="clear" w:color="auto" w:fill="FFFFFF"/>
          <w:lang w:val="en-US"/>
        </w:rPr>
        <w:t>, e00742.</w:t>
      </w:r>
    </w:p>
    <w:p w14:paraId="0561EF93">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Joshi, Y., Bansal, P., Yadav, A. L. (2024). </w:t>
      </w:r>
      <w:r>
        <w:rPr>
          <w:rFonts w:ascii="Arial" w:hAnsi="Arial" w:cs="Arial"/>
          <w:sz w:val="20"/>
          <w:szCs w:val="20"/>
          <w:shd w:val="clear" w:color="auto" w:fill="FFFFFF"/>
          <w:lang w:val="en-US"/>
        </w:rPr>
        <w:t xml:space="preserve">Cycadales' defense against insect and mammalian herbivory: Do endophytic fungi have to say something? - A hypothesis. </w:t>
      </w:r>
      <w:r>
        <w:rPr>
          <w:rFonts w:ascii="Arial" w:hAnsi="Arial" w:cs="Arial"/>
          <w:i/>
          <w:iCs/>
          <w:sz w:val="20"/>
          <w:szCs w:val="20"/>
          <w:shd w:val="clear" w:color="auto" w:fill="FFFFFF"/>
          <w:lang w:val="en-US"/>
        </w:rPr>
        <w:t>Fungal Biology Reviews, 50</w:t>
      </w:r>
      <w:r>
        <w:rPr>
          <w:rFonts w:ascii="Arial" w:hAnsi="Arial" w:cs="Arial"/>
          <w:sz w:val="20"/>
          <w:szCs w:val="20"/>
          <w:shd w:val="clear" w:color="auto" w:fill="FFFFFF"/>
          <w:lang w:val="en-US"/>
        </w:rPr>
        <w:t>, 100393.</w:t>
      </w:r>
    </w:p>
    <w:p w14:paraId="19308231">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Jozala, A. F., Geraldes, D. C., Tundisi, L. L., Feitosa, V. A., Breyer, C. A., Cardoso, S. L., et al. </w:t>
      </w:r>
      <w:r>
        <w:rPr>
          <w:rFonts w:ascii="Arial" w:hAnsi="Arial" w:cs="Arial"/>
          <w:sz w:val="20"/>
          <w:szCs w:val="20"/>
          <w:shd w:val="clear" w:color="auto" w:fill="FFFFFF"/>
          <w:lang w:val="en-US"/>
        </w:rPr>
        <w:t>(2016). Biopharmaceuticals from microorganisms: from production to purification.</w:t>
      </w:r>
      <w:r>
        <w:rPr>
          <w:rFonts w:ascii="Arial" w:hAnsi="Arial" w:cs="Arial"/>
          <w:sz w:val="20"/>
          <w:szCs w:val="20"/>
          <w:lang w:val="en-US"/>
        </w:rPr>
        <w:t> </w:t>
      </w:r>
      <w:r>
        <w:rPr>
          <w:rFonts w:ascii="Arial" w:hAnsi="Arial" w:cs="Arial"/>
          <w:i/>
          <w:iCs/>
          <w:sz w:val="20"/>
          <w:szCs w:val="20"/>
          <w:shd w:val="clear" w:color="auto" w:fill="FFFFFF"/>
          <w:lang w:val="en-US"/>
        </w:rPr>
        <w:t>Brazilian Journal of Microbiology,</w:t>
      </w:r>
      <w:r>
        <w:rPr>
          <w:rFonts w:ascii="Arial" w:hAnsi="Arial" w:cs="Arial"/>
          <w:i/>
          <w:iCs/>
          <w:sz w:val="20"/>
          <w:szCs w:val="20"/>
          <w:lang w:val="en-US"/>
        </w:rPr>
        <w:t> </w:t>
      </w:r>
      <w:r>
        <w:rPr>
          <w:rFonts w:ascii="Arial" w:hAnsi="Arial" w:cs="Arial"/>
          <w:i/>
          <w:iCs/>
          <w:sz w:val="20"/>
          <w:szCs w:val="20"/>
          <w:shd w:val="clear" w:color="auto" w:fill="FFFFFF"/>
          <w:lang w:val="en-US"/>
        </w:rPr>
        <w:t>47 Suppl 1</w:t>
      </w:r>
      <w:r>
        <w:rPr>
          <w:rFonts w:ascii="Arial" w:hAnsi="Arial" w:cs="Arial"/>
          <w:sz w:val="20"/>
          <w:szCs w:val="20"/>
          <w:shd w:val="clear" w:color="auto" w:fill="FFFFFF"/>
          <w:lang w:val="en-US"/>
        </w:rPr>
        <w:t>(Suppl 1), 51-63.</w:t>
      </w:r>
    </w:p>
    <w:p w14:paraId="74FF5695">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Karwowska E. (2024). Antibiotic Resistance in the Farming Environment. </w:t>
      </w:r>
      <w:r>
        <w:rPr>
          <w:rFonts w:ascii="Arial" w:hAnsi="Arial" w:cs="Arial"/>
          <w:i/>
          <w:iCs/>
          <w:sz w:val="20"/>
          <w:szCs w:val="20"/>
          <w:shd w:val="clear" w:color="auto" w:fill="FFFFFF"/>
          <w:lang w:val="en-US"/>
        </w:rPr>
        <w:t>Applied Sciences, 14</w:t>
      </w:r>
      <w:r>
        <w:rPr>
          <w:rFonts w:ascii="Arial" w:hAnsi="Arial" w:cs="Arial"/>
          <w:sz w:val="20"/>
          <w:szCs w:val="20"/>
          <w:shd w:val="clear" w:color="auto" w:fill="FFFFFF"/>
          <w:lang w:val="en-US"/>
        </w:rPr>
        <w:t>, 5776.</w:t>
      </w:r>
    </w:p>
    <w:p w14:paraId="02A98898">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Keller, N. P. (2019). Fungal secondary metabolism: regulation, function and drug discovery.</w:t>
      </w:r>
      <w:r>
        <w:rPr>
          <w:rFonts w:ascii="Arial" w:hAnsi="Arial" w:cs="Arial"/>
          <w:sz w:val="20"/>
          <w:szCs w:val="20"/>
          <w:lang w:val="en-US"/>
        </w:rPr>
        <w:t> </w:t>
      </w:r>
      <w:r>
        <w:rPr>
          <w:rFonts w:ascii="Arial" w:hAnsi="Arial" w:cs="Arial"/>
          <w:i/>
          <w:iCs/>
          <w:sz w:val="20"/>
          <w:szCs w:val="20"/>
          <w:shd w:val="clear" w:color="auto" w:fill="FFFFFF"/>
          <w:lang w:val="en-US"/>
        </w:rPr>
        <w:t>Nature Reviews. Microbiology,</w:t>
      </w:r>
      <w:r>
        <w:rPr>
          <w:rFonts w:ascii="Arial" w:hAnsi="Arial" w:cs="Arial"/>
          <w:i/>
          <w:iCs/>
          <w:sz w:val="20"/>
          <w:szCs w:val="20"/>
          <w:lang w:val="en-US"/>
        </w:rPr>
        <w:t> </w:t>
      </w:r>
      <w:r>
        <w:rPr>
          <w:rFonts w:ascii="Arial" w:hAnsi="Arial" w:cs="Arial"/>
          <w:i/>
          <w:iCs/>
          <w:sz w:val="20"/>
          <w:szCs w:val="20"/>
          <w:shd w:val="clear" w:color="auto" w:fill="FFFFFF"/>
          <w:lang w:val="en-US"/>
        </w:rPr>
        <w:t>17</w:t>
      </w:r>
      <w:r>
        <w:rPr>
          <w:rFonts w:ascii="Arial" w:hAnsi="Arial" w:cs="Arial"/>
          <w:sz w:val="20"/>
          <w:szCs w:val="20"/>
          <w:shd w:val="clear" w:color="auto" w:fill="FFFFFF"/>
          <w:lang w:val="en-US"/>
        </w:rPr>
        <w:t>(3), 167-180.</w:t>
      </w:r>
    </w:p>
    <w:p w14:paraId="3CE9E970">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Khan, M. I. H., Sohrab, M. H., Rony, S. R., Tareq, F. S., Hasan, C. M., &amp; Mazid, M. A. (2016). Cytotoxic and antibacterial naphthoquinones from an endophytic fungus,</w:t>
      </w:r>
      <w:r>
        <w:rPr>
          <w:rFonts w:ascii="Arial" w:hAnsi="Arial" w:cs="Arial"/>
          <w:sz w:val="20"/>
          <w:szCs w:val="20"/>
          <w:lang w:val="en-US"/>
        </w:rPr>
        <w:t> </w:t>
      </w:r>
      <w:r>
        <w:rPr>
          <w:rFonts w:ascii="Arial" w:hAnsi="Arial" w:cs="Arial"/>
          <w:i/>
          <w:iCs/>
          <w:sz w:val="20"/>
          <w:szCs w:val="20"/>
          <w:shd w:val="clear" w:color="auto" w:fill="FFFFFF"/>
          <w:lang w:val="en-US"/>
        </w:rPr>
        <w:t>Cladosporium</w:t>
      </w:r>
      <w:r>
        <w:rPr>
          <w:rFonts w:ascii="Arial" w:hAnsi="Arial" w:cs="Arial"/>
          <w:sz w:val="20"/>
          <w:szCs w:val="20"/>
          <w:lang w:val="en-US"/>
        </w:rPr>
        <w:t> </w:t>
      </w:r>
      <w:r>
        <w:rPr>
          <w:rFonts w:ascii="Arial" w:hAnsi="Arial" w:cs="Arial"/>
          <w:sz w:val="20"/>
          <w:szCs w:val="20"/>
          <w:shd w:val="clear" w:color="auto" w:fill="FFFFFF"/>
          <w:lang w:val="en-US"/>
        </w:rPr>
        <w:t>sp.</w:t>
      </w:r>
      <w:r>
        <w:rPr>
          <w:rFonts w:ascii="Arial" w:hAnsi="Arial" w:cs="Arial"/>
          <w:sz w:val="20"/>
          <w:szCs w:val="20"/>
          <w:lang w:val="en-US"/>
        </w:rPr>
        <w:t> </w:t>
      </w:r>
      <w:r>
        <w:rPr>
          <w:rFonts w:ascii="Arial" w:hAnsi="Arial" w:cs="Arial"/>
          <w:i/>
          <w:iCs/>
          <w:sz w:val="20"/>
          <w:szCs w:val="20"/>
          <w:shd w:val="clear" w:color="auto" w:fill="FFFFFF"/>
          <w:lang w:val="en-US"/>
        </w:rPr>
        <w:t>Toxicology Reports,</w:t>
      </w:r>
      <w:r>
        <w:rPr>
          <w:rFonts w:ascii="Arial" w:hAnsi="Arial" w:cs="Arial"/>
          <w:i/>
          <w:iCs/>
          <w:sz w:val="20"/>
          <w:szCs w:val="20"/>
          <w:lang w:val="en-US"/>
        </w:rPr>
        <w:t> </w:t>
      </w:r>
      <w:r>
        <w:rPr>
          <w:rFonts w:ascii="Arial" w:hAnsi="Arial" w:cs="Arial"/>
          <w:i/>
          <w:iCs/>
          <w:sz w:val="20"/>
          <w:szCs w:val="20"/>
          <w:shd w:val="clear" w:color="auto" w:fill="FFFFFF"/>
          <w:lang w:val="en-US"/>
        </w:rPr>
        <w:t>3</w:t>
      </w:r>
      <w:r>
        <w:rPr>
          <w:rFonts w:ascii="Arial" w:hAnsi="Arial" w:cs="Arial"/>
          <w:sz w:val="20"/>
          <w:szCs w:val="20"/>
          <w:shd w:val="clear" w:color="auto" w:fill="FFFFFF"/>
          <w:lang w:val="en-US"/>
        </w:rPr>
        <w:t>, 861-865.</w:t>
      </w:r>
    </w:p>
    <w:p w14:paraId="74AD4CB2">
      <w:pPr>
        <w:pStyle w:val="66"/>
        <w:numPr>
          <w:ilvl w:val="0"/>
          <w:numId w:val="2"/>
        </w:numPr>
        <w:tabs>
          <w:tab w:val="center" w:pos="142"/>
        </w:tabs>
        <w:ind w:left="426" w:right="0" w:hanging="426"/>
        <w:rPr>
          <w:rFonts w:ascii="Arial" w:hAnsi="Arial" w:cs="Arial"/>
          <w:sz w:val="20"/>
          <w:szCs w:val="20"/>
          <w:lang w:val="en-US"/>
        </w:rPr>
      </w:pPr>
      <w:r>
        <w:rPr>
          <w:rFonts w:ascii="Arial" w:hAnsi="Arial" w:cs="Arial" w:eastAsiaTheme="minorHAnsi"/>
          <w:sz w:val="20"/>
          <w:szCs w:val="20"/>
          <w:lang w:val="en-US" w:eastAsia="en-US"/>
        </w:rPr>
        <w:t xml:space="preserve">Kumar, G., Chandra, P., </w:t>
      </w:r>
      <w:r>
        <w:rPr>
          <w:rFonts w:ascii="Arial" w:hAnsi="Arial" w:cs="Arial"/>
          <w:sz w:val="20"/>
          <w:szCs w:val="20"/>
          <w:shd w:val="clear" w:color="auto" w:fill="FFFFFF"/>
          <w:lang w:val="en-US"/>
        </w:rPr>
        <w:t>&amp; Choudhary, M. (2017).</w:t>
      </w:r>
      <w:r>
        <w:rPr>
          <w:rFonts w:ascii="Arial" w:hAnsi="Arial" w:cs="Arial" w:eastAsiaTheme="minorHAnsi"/>
          <w:sz w:val="20"/>
          <w:szCs w:val="20"/>
          <w:lang w:val="en-US" w:eastAsia="en-US"/>
        </w:rPr>
        <w:t xml:space="preserve"> Endophytic Fungi: A Potential Source of Bioactive Compounds. </w:t>
      </w:r>
      <w:r>
        <w:rPr>
          <w:rFonts w:ascii="Arial" w:hAnsi="Arial" w:cs="Arial" w:eastAsiaTheme="minorHAnsi"/>
          <w:i/>
          <w:iCs/>
          <w:sz w:val="20"/>
          <w:szCs w:val="20"/>
          <w:lang w:val="en-US" w:eastAsia="en-US"/>
        </w:rPr>
        <w:t>Chemical Science Review and Letters, 6</w:t>
      </w:r>
      <w:r>
        <w:rPr>
          <w:rFonts w:ascii="Arial" w:hAnsi="Arial" w:cs="Arial" w:eastAsiaTheme="minorHAnsi"/>
          <w:sz w:val="20"/>
          <w:szCs w:val="20"/>
          <w:lang w:val="en-US" w:eastAsia="en-US"/>
        </w:rPr>
        <w:t>(24), 2373-2381.</w:t>
      </w:r>
    </w:p>
    <w:p w14:paraId="376445CC">
      <w:pPr>
        <w:pStyle w:val="66"/>
        <w:numPr>
          <w:ilvl w:val="0"/>
          <w:numId w:val="2"/>
        </w:numPr>
        <w:tabs>
          <w:tab w:val="center" w:pos="142"/>
        </w:tabs>
        <w:ind w:left="426" w:right="0" w:hanging="426"/>
        <w:rPr>
          <w:rFonts w:ascii="Arial" w:hAnsi="Arial" w:cs="Arial"/>
          <w:sz w:val="20"/>
          <w:szCs w:val="20"/>
          <w:lang w:val="en-US"/>
        </w:rPr>
      </w:pPr>
      <w:r>
        <w:rPr>
          <w:rFonts w:ascii="Arial" w:hAnsi="Arial" w:cs="Arial" w:eastAsiaTheme="minorHAnsi"/>
          <w:sz w:val="20"/>
          <w:szCs w:val="20"/>
          <w:lang w:val="en-US" w:eastAsia="en-US"/>
        </w:rPr>
        <w:t xml:space="preserve">Kumar, V., </w:t>
      </w:r>
      <w:r>
        <w:rPr>
          <w:rFonts w:ascii="Arial" w:hAnsi="Arial" w:cs="Arial"/>
          <w:sz w:val="20"/>
          <w:szCs w:val="20"/>
          <w:shd w:val="clear" w:color="auto" w:fill="FFFFFF"/>
          <w:lang w:val="en-US"/>
        </w:rPr>
        <w:t xml:space="preserve">&amp; Prasher, I. B. (2022). Antimicrobial potential of endophytic fungi isolates from </w:t>
      </w:r>
      <w:r>
        <w:rPr>
          <w:rFonts w:ascii="Arial" w:hAnsi="Arial" w:cs="Arial"/>
          <w:i/>
          <w:iCs/>
          <w:sz w:val="20"/>
          <w:szCs w:val="20"/>
          <w:shd w:val="clear" w:color="auto" w:fill="FFFFFF"/>
          <w:lang w:val="en-US"/>
        </w:rPr>
        <w:t xml:space="preserve">Dillenia indica </w:t>
      </w:r>
      <w:r>
        <w:rPr>
          <w:rFonts w:ascii="Arial" w:hAnsi="Arial" w:cs="Arial"/>
          <w:sz w:val="20"/>
          <w:szCs w:val="20"/>
          <w:shd w:val="clear" w:color="auto" w:fill="FFFFFF"/>
          <w:lang w:val="en-US"/>
        </w:rPr>
        <w:t xml:space="preserve">L. and identification of bioactive molecules produced from </w:t>
      </w:r>
      <w:r>
        <w:rPr>
          <w:rFonts w:ascii="Arial" w:hAnsi="Arial" w:cs="Arial"/>
          <w:i/>
          <w:iCs/>
          <w:sz w:val="20"/>
          <w:szCs w:val="20"/>
          <w:shd w:val="clear" w:color="auto" w:fill="FFFFFF"/>
          <w:lang w:val="en-US"/>
        </w:rPr>
        <w:t>Fomitopsis meliae</w:t>
      </w:r>
      <w:r>
        <w:rPr>
          <w:rFonts w:ascii="Arial" w:hAnsi="Arial" w:cs="Arial"/>
          <w:sz w:val="20"/>
          <w:szCs w:val="20"/>
          <w:shd w:val="clear" w:color="auto" w:fill="FFFFFF"/>
          <w:lang w:val="en-US"/>
        </w:rPr>
        <w:t xml:space="preserve"> (Undrew.) Murril. </w:t>
      </w:r>
      <w:r>
        <w:rPr>
          <w:rFonts w:ascii="Arial" w:hAnsi="Arial" w:cs="Arial"/>
          <w:i/>
          <w:iCs/>
          <w:sz w:val="20"/>
          <w:szCs w:val="20"/>
          <w:shd w:val="clear" w:color="auto" w:fill="FFFFFF"/>
          <w:lang w:val="en-US"/>
        </w:rPr>
        <w:t>Natural Product Research, 36</w:t>
      </w:r>
      <w:r>
        <w:rPr>
          <w:rFonts w:ascii="Arial" w:hAnsi="Arial" w:cs="Arial"/>
          <w:sz w:val="20"/>
          <w:szCs w:val="20"/>
          <w:shd w:val="clear" w:color="auto" w:fill="FFFFFF"/>
          <w:lang w:val="en-US"/>
        </w:rPr>
        <w:t>(23), 6064-6068.</w:t>
      </w:r>
    </w:p>
    <w:p w14:paraId="1CD663A0">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Kumari, P., Deepa, N., Trivedi, P. K., Singh, B. K., Srivastava, V., &amp; Singh, A. (2023). Plants and endophytes interaction: a "secret wedlock" for sustainable biosynthesis of pharmaceutically important secondary metabolites.</w:t>
      </w:r>
      <w:r>
        <w:rPr>
          <w:rFonts w:ascii="Arial" w:hAnsi="Arial" w:cs="Arial"/>
          <w:sz w:val="20"/>
          <w:szCs w:val="20"/>
          <w:lang w:val="en-US"/>
        </w:rPr>
        <w:t> </w:t>
      </w:r>
      <w:r>
        <w:rPr>
          <w:rFonts w:ascii="Arial" w:hAnsi="Arial" w:cs="Arial"/>
          <w:i/>
          <w:iCs/>
          <w:sz w:val="20"/>
          <w:szCs w:val="20"/>
          <w:shd w:val="clear" w:color="auto" w:fill="FFFFFF"/>
          <w:lang w:val="en-US"/>
        </w:rPr>
        <w:t>Microbial Cell Factories,</w:t>
      </w:r>
      <w:r>
        <w:rPr>
          <w:rFonts w:ascii="Arial" w:hAnsi="Arial" w:cs="Arial"/>
          <w:i/>
          <w:iCs/>
          <w:sz w:val="20"/>
          <w:szCs w:val="20"/>
          <w:lang w:val="en-US"/>
        </w:rPr>
        <w:t> </w:t>
      </w:r>
      <w:r>
        <w:rPr>
          <w:rFonts w:ascii="Arial" w:hAnsi="Arial" w:cs="Arial"/>
          <w:i/>
          <w:iCs/>
          <w:sz w:val="20"/>
          <w:szCs w:val="20"/>
          <w:shd w:val="clear" w:color="auto" w:fill="FFFFFF"/>
          <w:lang w:val="en-US"/>
        </w:rPr>
        <w:t>22</w:t>
      </w:r>
      <w:r>
        <w:rPr>
          <w:rFonts w:ascii="Arial" w:hAnsi="Arial" w:cs="Arial"/>
          <w:sz w:val="20"/>
          <w:szCs w:val="20"/>
          <w:shd w:val="clear" w:color="auto" w:fill="FFFFFF"/>
          <w:lang w:val="en-US"/>
        </w:rPr>
        <w:t>(1), 226.</w:t>
      </w:r>
    </w:p>
    <w:p w14:paraId="67B8B3A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Larsson, D. G. J., &amp; Flach, C. F. (2022). Antibiotic resistance in the environment.</w:t>
      </w:r>
      <w:r>
        <w:rPr>
          <w:rFonts w:ascii="Arial" w:hAnsi="Arial" w:cs="Arial"/>
          <w:sz w:val="20"/>
          <w:szCs w:val="20"/>
          <w:lang w:val="en-US"/>
        </w:rPr>
        <w:t> </w:t>
      </w:r>
      <w:r>
        <w:rPr>
          <w:rFonts w:ascii="Arial" w:hAnsi="Arial" w:cs="Arial"/>
          <w:i/>
          <w:iCs/>
          <w:sz w:val="20"/>
          <w:szCs w:val="20"/>
          <w:shd w:val="clear" w:color="auto" w:fill="FFFFFF"/>
          <w:lang w:val="es-CR"/>
        </w:rPr>
        <w:t>Nature Reviews. Microbiology,</w:t>
      </w:r>
      <w:r>
        <w:rPr>
          <w:rFonts w:ascii="Arial" w:hAnsi="Arial" w:cs="Arial"/>
          <w:i/>
          <w:iCs/>
          <w:sz w:val="20"/>
          <w:szCs w:val="20"/>
          <w:lang w:val="es-CR"/>
        </w:rPr>
        <w:t> </w:t>
      </w:r>
      <w:r>
        <w:rPr>
          <w:rFonts w:ascii="Arial" w:hAnsi="Arial" w:cs="Arial"/>
          <w:i/>
          <w:iCs/>
          <w:sz w:val="20"/>
          <w:szCs w:val="20"/>
          <w:shd w:val="clear" w:color="auto" w:fill="FFFFFF"/>
          <w:lang w:val="es-CR"/>
        </w:rPr>
        <w:t>20</w:t>
      </w:r>
      <w:r>
        <w:rPr>
          <w:rFonts w:ascii="Arial" w:hAnsi="Arial" w:cs="Arial"/>
          <w:sz w:val="20"/>
          <w:szCs w:val="20"/>
          <w:shd w:val="clear" w:color="auto" w:fill="FFFFFF"/>
          <w:lang w:val="es-CR"/>
        </w:rPr>
        <w:t>(5), 257-269.</w:t>
      </w:r>
    </w:p>
    <w:p w14:paraId="33D13FA0">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lang w:val="es-CR"/>
        </w:rPr>
        <w:t xml:space="preserve">Li, Q. X., Lin, F. C., </w:t>
      </w:r>
      <w:r>
        <w:rPr>
          <w:rFonts w:ascii="Arial" w:hAnsi="Arial" w:cs="Arial"/>
          <w:sz w:val="20"/>
          <w:szCs w:val="20"/>
          <w:shd w:val="clear" w:color="auto" w:fill="FFFFFF"/>
          <w:lang w:val="es-CR"/>
        </w:rPr>
        <w:t>&amp; Su, Z. Z. (2025).</w:t>
      </w:r>
      <w:r>
        <w:rPr>
          <w:rFonts w:ascii="Arial" w:hAnsi="Arial" w:cs="Arial"/>
          <w:sz w:val="20"/>
          <w:szCs w:val="20"/>
          <w:lang w:val="es-CR"/>
        </w:rPr>
        <w:t xml:space="preserve"> </w:t>
      </w:r>
      <w:r>
        <w:rPr>
          <w:rFonts w:ascii="Arial" w:hAnsi="Arial" w:cs="Arial"/>
          <w:sz w:val="20"/>
          <w:szCs w:val="20"/>
          <w:lang w:val="en-US"/>
        </w:rPr>
        <w:t xml:space="preserve">Endophytic fungi—Big player in plant-microbe symbiosis. </w:t>
      </w:r>
      <w:r>
        <w:rPr>
          <w:rFonts w:ascii="Arial" w:hAnsi="Arial" w:cs="Arial"/>
          <w:i/>
          <w:iCs/>
          <w:sz w:val="20"/>
          <w:szCs w:val="20"/>
          <w:lang w:val="en-US"/>
        </w:rPr>
        <w:t>Current Plant Biology, 42</w:t>
      </w:r>
      <w:r>
        <w:rPr>
          <w:rFonts w:ascii="Arial" w:hAnsi="Arial" w:cs="Arial"/>
          <w:sz w:val="20"/>
          <w:szCs w:val="20"/>
          <w:lang w:val="en-US"/>
        </w:rPr>
        <w:t>, 100481.</w:t>
      </w:r>
    </w:p>
    <w:p w14:paraId="7D829FCF">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Liang, H., &amp; Yan, J. (2023). Infection and Sepsis. In Z. Wang &amp; J. Jiang (Eds.), </w:t>
      </w:r>
      <w:r>
        <w:rPr>
          <w:rFonts w:ascii="Arial" w:hAnsi="Arial" w:cs="Arial"/>
          <w:i/>
          <w:iCs/>
          <w:sz w:val="20"/>
          <w:szCs w:val="20"/>
          <w:shd w:val="clear" w:color="auto" w:fill="FFFFFF"/>
          <w:lang w:val="en-US"/>
        </w:rPr>
        <w:t>Explosive Blast Injuries</w:t>
      </w:r>
      <w:r>
        <w:rPr>
          <w:rFonts w:ascii="Arial" w:hAnsi="Arial" w:cs="Arial"/>
          <w:sz w:val="20"/>
          <w:szCs w:val="20"/>
          <w:shd w:val="clear" w:color="auto" w:fill="FFFFFF"/>
          <w:lang w:val="en-US"/>
        </w:rPr>
        <w:t>. Singapore: Springer.</w:t>
      </w:r>
    </w:p>
    <w:p w14:paraId="1739BB5E">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Makhwitine, J. P., Kumalo, H. M., Ndlovu, S. I., &amp; Mkhwanazi, N. P. (2023). Epigenetic Induction of Secondary Metabolites Production in Endophytic Fungi</w:t>
      </w:r>
      <w:r>
        <w:rPr>
          <w:rFonts w:ascii="Arial" w:hAnsi="Arial" w:cs="Arial"/>
          <w:sz w:val="20"/>
          <w:szCs w:val="20"/>
          <w:lang w:val="en-US"/>
        </w:rPr>
        <w:t> </w:t>
      </w:r>
      <w:r>
        <w:rPr>
          <w:rFonts w:ascii="Arial" w:hAnsi="Arial" w:cs="Arial"/>
          <w:i/>
          <w:iCs/>
          <w:sz w:val="20"/>
          <w:szCs w:val="20"/>
          <w:shd w:val="clear" w:color="auto" w:fill="FFFFFF"/>
          <w:lang w:val="en-US"/>
        </w:rPr>
        <w:t>Penicillium chrysogenum</w:t>
      </w:r>
      <w:r>
        <w:rPr>
          <w:rFonts w:ascii="Arial" w:hAnsi="Arial" w:cs="Arial"/>
          <w:sz w:val="20"/>
          <w:szCs w:val="20"/>
          <w:lang w:val="en-US"/>
        </w:rPr>
        <w:t> </w:t>
      </w:r>
      <w:r>
        <w:rPr>
          <w:rFonts w:ascii="Arial" w:hAnsi="Arial" w:cs="Arial"/>
          <w:sz w:val="20"/>
          <w:szCs w:val="20"/>
          <w:shd w:val="clear" w:color="auto" w:fill="FFFFFF"/>
          <w:lang w:val="en-US"/>
        </w:rPr>
        <w:t>and GC-MS Analysis of Crude Metabolites with Anti-HIV-1 Activity.</w:t>
      </w:r>
      <w:r>
        <w:rPr>
          <w:rFonts w:ascii="Arial" w:hAnsi="Arial" w:cs="Arial"/>
          <w:sz w:val="20"/>
          <w:szCs w:val="20"/>
          <w:lang w:val="en-US"/>
        </w:rPr>
        <w:t> </w:t>
      </w:r>
      <w:r>
        <w:rPr>
          <w:rFonts w:ascii="Arial" w:hAnsi="Arial" w:cs="Arial"/>
          <w:i/>
          <w:iCs/>
          <w:sz w:val="20"/>
          <w:szCs w:val="20"/>
          <w:shd w:val="clear" w:color="auto" w:fill="FFFFFF"/>
          <w:lang w:val="en-US"/>
        </w:rPr>
        <w:t>Microorganisms,</w:t>
      </w:r>
      <w:r>
        <w:rPr>
          <w:rFonts w:ascii="Arial" w:hAnsi="Arial" w:cs="Arial"/>
          <w:i/>
          <w:iCs/>
          <w:sz w:val="20"/>
          <w:szCs w:val="20"/>
          <w:lang w:val="en-US"/>
        </w:rPr>
        <w:t> </w:t>
      </w:r>
      <w:r>
        <w:rPr>
          <w:rFonts w:ascii="Arial" w:hAnsi="Arial" w:cs="Arial"/>
          <w:i/>
          <w:iCs/>
          <w:sz w:val="20"/>
          <w:szCs w:val="20"/>
          <w:shd w:val="clear" w:color="auto" w:fill="FFFFFF"/>
          <w:lang w:val="en-US"/>
        </w:rPr>
        <w:t>11</w:t>
      </w:r>
      <w:r>
        <w:rPr>
          <w:rFonts w:ascii="Arial" w:hAnsi="Arial" w:cs="Arial"/>
          <w:sz w:val="20"/>
          <w:szCs w:val="20"/>
          <w:shd w:val="clear" w:color="auto" w:fill="FFFFFF"/>
          <w:lang w:val="en-US"/>
        </w:rPr>
        <w:t>(6), 1404.</w:t>
      </w:r>
    </w:p>
    <w:p w14:paraId="1CD5BFAB">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Marmann, A., Aly, A. H., Lin, W., Wang, B., &amp; Proksch, P. (2014). Co-Cultivation–A Powerful Emerging Tool for Enhancing the Chemical Diversity of Microorganisms.</w:t>
      </w:r>
      <w:r>
        <w:rPr>
          <w:rFonts w:ascii="Arial" w:hAnsi="Arial" w:cs="Arial"/>
          <w:sz w:val="20"/>
          <w:szCs w:val="20"/>
          <w:lang w:val="en-US"/>
        </w:rPr>
        <w:t> </w:t>
      </w:r>
      <w:r>
        <w:rPr>
          <w:rFonts w:ascii="Arial" w:hAnsi="Arial" w:cs="Arial"/>
          <w:i/>
          <w:iCs/>
          <w:sz w:val="20"/>
          <w:szCs w:val="20"/>
          <w:shd w:val="clear" w:color="auto" w:fill="FFFFFF"/>
          <w:lang w:val="en-US"/>
        </w:rPr>
        <w:t>Marine Drugs,</w:t>
      </w:r>
      <w:r>
        <w:rPr>
          <w:rFonts w:ascii="Arial" w:hAnsi="Arial" w:cs="Arial"/>
          <w:i/>
          <w:iCs/>
          <w:sz w:val="20"/>
          <w:szCs w:val="20"/>
          <w:lang w:val="en-US"/>
        </w:rPr>
        <w:t> </w:t>
      </w:r>
      <w:r>
        <w:rPr>
          <w:rFonts w:ascii="Arial" w:hAnsi="Arial" w:cs="Arial"/>
          <w:i/>
          <w:iCs/>
          <w:sz w:val="20"/>
          <w:szCs w:val="20"/>
          <w:shd w:val="clear" w:color="auto" w:fill="FFFFFF"/>
          <w:lang w:val="en-US"/>
        </w:rPr>
        <w:t>12</w:t>
      </w:r>
      <w:r>
        <w:rPr>
          <w:rFonts w:ascii="Arial" w:hAnsi="Arial" w:cs="Arial"/>
          <w:sz w:val="20"/>
          <w:szCs w:val="20"/>
          <w:shd w:val="clear" w:color="auto" w:fill="FFFFFF"/>
          <w:lang w:val="en-US"/>
        </w:rPr>
        <w:t>(2), 1043-1065.</w:t>
      </w:r>
    </w:p>
    <w:p w14:paraId="4F26D7A4">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Mo, Y., Oonsivilai, M., Lim, C., Niehus, R., &amp; Cooper, B. S. (2023). Implications of reducing antibiotic treatment duration for antimicrobial resistance in hospital settings: A modelling study and meta-analysis.</w:t>
      </w:r>
      <w:r>
        <w:rPr>
          <w:rFonts w:ascii="Arial" w:hAnsi="Arial" w:cs="Arial"/>
          <w:sz w:val="20"/>
          <w:szCs w:val="20"/>
          <w:lang w:val="en-US"/>
        </w:rPr>
        <w:t> </w:t>
      </w:r>
      <w:r>
        <w:rPr>
          <w:rFonts w:ascii="Arial" w:hAnsi="Arial" w:cs="Arial"/>
          <w:i/>
          <w:iCs/>
          <w:sz w:val="20"/>
          <w:szCs w:val="20"/>
          <w:shd w:val="clear" w:color="auto" w:fill="FFFFFF"/>
          <w:lang w:val="en-US"/>
        </w:rPr>
        <w:t>PLoS Medicine,</w:t>
      </w:r>
      <w:r>
        <w:rPr>
          <w:rFonts w:ascii="Arial" w:hAnsi="Arial" w:cs="Arial"/>
          <w:i/>
          <w:iCs/>
          <w:sz w:val="20"/>
          <w:szCs w:val="20"/>
          <w:lang w:val="en-US"/>
        </w:rPr>
        <w:t> </w:t>
      </w:r>
      <w:r>
        <w:rPr>
          <w:rFonts w:ascii="Arial" w:hAnsi="Arial" w:cs="Arial"/>
          <w:i/>
          <w:iCs/>
          <w:sz w:val="20"/>
          <w:szCs w:val="20"/>
          <w:shd w:val="clear" w:color="auto" w:fill="FFFFFF"/>
          <w:lang w:val="en-US"/>
        </w:rPr>
        <w:t>20</w:t>
      </w:r>
      <w:r>
        <w:rPr>
          <w:rFonts w:ascii="Arial" w:hAnsi="Arial" w:cs="Arial"/>
          <w:sz w:val="20"/>
          <w:szCs w:val="20"/>
          <w:shd w:val="clear" w:color="auto" w:fill="FFFFFF"/>
          <w:lang w:val="en-US"/>
        </w:rPr>
        <w:t>(6), e1004013.</w:t>
      </w:r>
    </w:p>
    <w:p w14:paraId="202B8439">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s-CR"/>
        </w:rPr>
        <w:t xml:space="preserve">Mosquera, W. G., Criado, L. Y., &amp; Guerra, B. E. (2020). Actividad antimicrobiana de hongos endófitos de las plantas medicinales </w:t>
      </w:r>
      <w:r>
        <w:rPr>
          <w:rFonts w:ascii="Arial" w:hAnsi="Arial" w:cs="Arial"/>
          <w:i/>
          <w:iCs/>
          <w:sz w:val="20"/>
          <w:szCs w:val="20"/>
          <w:shd w:val="clear" w:color="auto" w:fill="FFFFFF"/>
          <w:lang w:val="es-CR"/>
        </w:rPr>
        <w:t>Mammea americana</w:t>
      </w:r>
      <w:r>
        <w:rPr>
          <w:rFonts w:ascii="Arial" w:hAnsi="Arial" w:cs="Arial"/>
          <w:sz w:val="20"/>
          <w:szCs w:val="20"/>
          <w:shd w:val="clear" w:color="auto" w:fill="FFFFFF"/>
          <w:lang w:val="es-CR"/>
        </w:rPr>
        <w:t xml:space="preserve"> (Calophyllaceae) y </w:t>
      </w:r>
      <w:r>
        <w:rPr>
          <w:rFonts w:ascii="Arial" w:hAnsi="Arial" w:cs="Arial"/>
          <w:i/>
          <w:iCs/>
          <w:sz w:val="20"/>
          <w:szCs w:val="20"/>
          <w:shd w:val="clear" w:color="auto" w:fill="FFFFFF"/>
          <w:lang w:val="es-CR"/>
        </w:rPr>
        <w:t>Moringa oleifera</w:t>
      </w:r>
      <w:r>
        <w:rPr>
          <w:rFonts w:ascii="Arial" w:hAnsi="Arial" w:cs="Arial"/>
          <w:sz w:val="20"/>
          <w:szCs w:val="20"/>
          <w:shd w:val="clear" w:color="auto" w:fill="FFFFFF"/>
          <w:lang w:val="es-CR"/>
        </w:rPr>
        <w:t xml:space="preserve"> (Moringaceae). </w:t>
      </w:r>
      <w:r>
        <w:rPr>
          <w:rFonts w:ascii="Arial" w:hAnsi="Arial" w:cs="Arial"/>
          <w:i/>
          <w:iCs/>
          <w:sz w:val="20"/>
          <w:szCs w:val="20"/>
          <w:shd w:val="clear" w:color="auto" w:fill="FFFFFF"/>
          <w:lang w:val="es-CR"/>
        </w:rPr>
        <w:t>Biomédica, 40</w:t>
      </w:r>
      <w:r>
        <w:rPr>
          <w:rFonts w:ascii="Arial" w:hAnsi="Arial" w:cs="Arial"/>
          <w:sz w:val="20"/>
          <w:szCs w:val="20"/>
          <w:shd w:val="clear" w:color="auto" w:fill="FFFFFF"/>
          <w:lang w:val="es-CR"/>
        </w:rPr>
        <w:t>, 55-71.</w:t>
      </w:r>
    </w:p>
    <w:p w14:paraId="407C49C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National Foundation for Infectious Diseases. (2024). </w:t>
      </w:r>
      <w:r>
        <w:rPr>
          <w:rFonts w:ascii="Arial" w:hAnsi="Arial" w:cs="Arial"/>
          <w:i/>
          <w:iCs/>
          <w:sz w:val="20"/>
          <w:szCs w:val="20"/>
          <w:shd w:val="clear" w:color="auto" w:fill="FFFFFF"/>
          <w:lang w:val="en-US"/>
        </w:rPr>
        <w:t>What Is an Antiviral?</w:t>
      </w:r>
      <w:r>
        <w:rPr>
          <w:rFonts w:ascii="Arial" w:hAnsi="Arial" w:cs="Arial"/>
          <w:sz w:val="20"/>
          <w:szCs w:val="20"/>
          <w:shd w:val="clear" w:color="auto" w:fill="FFFFFF"/>
          <w:lang w:val="en-US"/>
        </w:rPr>
        <w:t xml:space="preserve"> https://www.nfid.org/resource/what-is-an-antiviral/</w:t>
      </w:r>
    </w:p>
    <w:p w14:paraId="7B277E01">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Ogbe, A. A., Finnie, J. F., &amp; Van Staden, J. (2020). </w:t>
      </w:r>
      <w:r>
        <w:rPr>
          <w:rFonts w:ascii="Arial" w:hAnsi="Arial" w:cs="Arial"/>
          <w:sz w:val="20"/>
          <w:szCs w:val="20"/>
          <w:shd w:val="clear" w:color="auto" w:fill="FFFFFF"/>
          <w:lang w:val="en-US"/>
        </w:rPr>
        <w:t>The role of endophytes in secondary metabolites accumulation in medicinal plants under abiotic stress. South African Journal of Botany, 134, 126-134.</w:t>
      </w:r>
    </w:p>
    <w:p w14:paraId="3519F256">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Omomowo, I. O., Amao, J. A., Abubakar, A., Ogundola, A. F., Ezediuno, L. O., &amp; Bamigboye, C. O. (2023). </w:t>
      </w:r>
      <w:r>
        <w:rPr>
          <w:rFonts w:ascii="Arial" w:hAnsi="Arial" w:cs="Arial"/>
          <w:sz w:val="20"/>
          <w:szCs w:val="20"/>
          <w:shd w:val="clear" w:color="auto" w:fill="FFFFFF"/>
          <w:lang w:val="en-US"/>
        </w:rPr>
        <w:t xml:space="preserve">A review on the trends of endophytic fungi bioactivities. </w:t>
      </w:r>
      <w:r>
        <w:rPr>
          <w:rFonts w:ascii="Arial" w:hAnsi="Arial" w:cs="Arial"/>
          <w:i/>
          <w:iCs/>
          <w:sz w:val="20"/>
          <w:szCs w:val="20"/>
          <w:shd w:val="clear" w:color="auto" w:fill="FFFFFF"/>
          <w:lang w:val="en-US"/>
        </w:rPr>
        <w:t>Scientific African, 20</w:t>
      </w:r>
      <w:r>
        <w:rPr>
          <w:rFonts w:ascii="Arial" w:hAnsi="Arial" w:cs="Arial"/>
          <w:sz w:val="20"/>
          <w:szCs w:val="20"/>
          <w:shd w:val="clear" w:color="auto" w:fill="FFFFFF"/>
          <w:lang w:val="en-US"/>
        </w:rPr>
        <w:t>, e01594.</w:t>
      </w:r>
    </w:p>
    <w:p w14:paraId="3F729E64">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Otaigbe I. I. (2025). Mitigating inequitable access to appropriate antibiotics in low- and middle-income countries.</w:t>
      </w:r>
      <w:r>
        <w:rPr>
          <w:rFonts w:ascii="Arial" w:hAnsi="Arial" w:cs="Arial"/>
          <w:sz w:val="20"/>
          <w:szCs w:val="20"/>
          <w:lang w:val="en-US"/>
        </w:rPr>
        <w:t> </w:t>
      </w:r>
      <w:r>
        <w:rPr>
          <w:rFonts w:ascii="Arial" w:hAnsi="Arial" w:cs="Arial"/>
          <w:i/>
          <w:iCs/>
          <w:sz w:val="20"/>
          <w:szCs w:val="20"/>
          <w:shd w:val="clear" w:color="auto" w:fill="FFFFFF"/>
          <w:lang w:val="en-US"/>
        </w:rPr>
        <w:t>JAC-Antimicrobial Resistance,</w:t>
      </w:r>
      <w:r>
        <w:rPr>
          <w:rFonts w:ascii="Arial" w:hAnsi="Arial" w:cs="Arial"/>
          <w:i/>
          <w:iCs/>
          <w:sz w:val="20"/>
          <w:szCs w:val="20"/>
          <w:lang w:val="en-US"/>
        </w:rPr>
        <w:t> </w:t>
      </w:r>
      <w:r>
        <w:rPr>
          <w:rFonts w:ascii="Arial" w:hAnsi="Arial" w:cs="Arial"/>
          <w:i/>
          <w:iCs/>
          <w:sz w:val="20"/>
          <w:szCs w:val="20"/>
          <w:shd w:val="clear" w:color="auto" w:fill="FFFFFF"/>
          <w:lang w:val="en-US"/>
        </w:rPr>
        <w:t>7</w:t>
      </w:r>
      <w:r>
        <w:rPr>
          <w:rFonts w:ascii="Arial" w:hAnsi="Arial" w:cs="Arial"/>
          <w:sz w:val="20"/>
          <w:szCs w:val="20"/>
          <w:shd w:val="clear" w:color="auto" w:fill="FFFFFF"/>
          <w:lang w:val="en-US"/>
        </w:rPr>
        <w:t>(2), dlaf061.</w:t>
      </w:r>
    </w:p>
    <w:p w14:paraId="2B33314E">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Pan American Health Organization. (2025). </w:t>
      </w:r>
      <w:r>
        <w:rPr>
          <w:rFonts w:ascii="Arial" w:hAnsi="Arial" w:cs="Arial"/>
          <w:i/>
          <w:iCs/>
          <w:sz w:val="20"/>
          <w:szCs w:val="20"/>
          <w:shd w:val="clear" w:color="auto" w:fill="FFFFFF"/>
          <w:lang w:val="en-US"/>
        </w:rPr>
        <w:t>Tuberculosis</w:t>
      </w:r>
      <w:r>
        <w:rPr>
          <w:rFonts w:ascii="Arial" w:hAnsi="Arial" w:cs="Arial"/>
          <w:sz w:val="20"/>
          <w:szCs w:val="20"/>
          <w:shd w:val="clear" w:color="auto" w:fill="FFFFFF"/>
          <w:lang w:val="en-US"/>
        </w:rPr>
        <w:t>. https://www.paho.org/en/topics/tuberculosis</w:t>
      </w:r>
    </w:p>
    <w:p w14:paraId="65F7420B">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Parmar, M., &amp; Patel, P. (2025). </w:t>
      </w:r>
      <w:r>
        <w:rPr>
          <w:rFonts w:ascii="Arial" w:hAnsi="Arial" w:cs="Arial"/>
          <w:i/>
          <w:iCs/>
          <w:sz w:val="20"/>
          <w:szCs w:val="20"/>
          <w:shd w:val="clear" w:color="auto" w:fill="FFFFFF"/>
          <w:lang w:val="en-US"/>
        </w:rPr>
        <w:t>Doxycycline Hyclate</w:t>
      </w:r>
      <w:r>
        <w:rPr>
          <w:rFonts w:ascii="Arial" w:hAnsi="Arial" w:cs="Arial"/>
          <w:sz w:val="20"/>
          <w:szCs w:val="20"/>
          <w:shd w:val="clear" w:color="auto" w:fill="FFFFFF"/>
          <w:lang w:val="en-US"/>
        </w:rPr>
        <w:t>. https://www.ncbi.nlm.nih.gov/books/NBK555888/</w:t>
      </w:r>
    </w:p>
    <w:p w14:paraId="59AD8F7D">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n-US"/>
        </w:rPr>
        <w:t>Prajapati, C., Rai, S. N., Singh, A. K., Chopade, B. A., Singh, Y., Singh, S. K., et al. (2025). An Update of Fungal Endophyte Diversity and Strategies for Augmenting Therapeutic Potential of their Potent Metabolites: Recent Advancement.</w:t>
      </w:r>
      <w:r>
        <w:rPr>
          <w:rFonts w:ascii="Arial" w:hAnsi="Arial" w:cs="Arial"/>
          <w:sz w:val="20"/>
          <w:szCs w:val="20"/>
          <w:lang w:val="en-US"/>
        </w:rPr>
        <w:t> </w:t>
      </w:r>
      <w:r>
        <w:rPr>
          <w:rFonts w:ascii="Arial" w:hAnsi="Arial" w:cs="Arial"/>
          <w:i/>
          <w:iCs/>
          <w:sz w:val="20"/>
          <w:szCs w:val="20"/>
          <w:shd w:val="clear" w:color="auto" w:fill="FFFFFF"/>
          <w:lang w:val="es-CR"/>
        </w:rPr>
        <w:t>Applied Biochemistry and Biotechnology,</w:t>
      </w:r>
      <w:r>
        <w:rPr>
          <w:rFonts w:ascii="Arial" w:hAnsi="Arial" w:cs="Arial"/>
          <w:i/>
          <w:iCs/>
          <w:sz w:val="20"/>
          <w:szCs w:val="20"/>
          <w:lang w:val="es-CR"/>
        </w:rPr>
        <w:t> </w:t>
      </w:r>
      <w:r>
        <w:rPr>
          <w:rFonts w:ascii="Arial" w:hAnsi="Arial" w:cs="Arial"/>
          <w:i/>
          <w:iCs/>
          <w:sz w:val="20"/>
          <w:szCs w:val="20"/>
          <w:shd w:val="clear" w:color="auto" w:fill="FFFFFF"/>
          <w:lang w:val="es-CR"/>
        </w:rPr>
        <w:t>197</w:t>
      </w:r>
      <w:r>
        <w:rPr>
          <w:rFonts w:ascii="Arial" w:hAnsi="Arial" w:cs="Arial"/>
          <w:sz w:val="20"/>
          <w:szCs w:val="20"/>
          <w:shd w:val="clear" w:color="auto" w:fill="FFFFFF"/>
          <w:lang w:val="es-CR"/>
        </w:rPr>
        <w:t>(5), 2799-2866.</w:t>
      </w:r>
    </w:p>
    <w:p w14:paraId="7266930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Puri, V., Nagpal, M., Singh, I., Singh, M., Dhingra, G. A., Huanbutta, K., et al. (2022). A Comprehensive Review on Nutraceuticals: Therapy Support and Formulation Challenges.</w:t>
      </w:r>
      <w:r>
        <w:rPr>
          <w:rFonts w:ascii="Arial" w:hAnsi="Arial" w:cs="Arial"/>
          <w:sz w:val="20"/>
          <w:szCs w:val="20"/>
          <w:lang w:val="en-US"/>
        </w:rPr>
        <w:t> </w:t>
      </w:r>
      <w:r>
        <w:rPr>
          <w:rFonts w:ascii="Arial" w:hAnsi="Arial" w:cs="Arial"/>
          <w:i/>
          <w:iCs/>
          <w:sz w:val="20"/>
          <w:szCs w:val="20"/>
          <w:shd w:val="clear" w:color="auto" w:fill="FFFFFF"/>
          <w:lang w:val="en-US"/>
        </w:rPr>
        <w:t>Nutrients,</w:t>
      </w:r>
      <w:r>
        <w:rPr>
          <w:rFonts w:ascii="Arial" w:hAnsi="Arial" w:cs="Arial"/>
          <w:i/>
          <w:iCs/>
          <w:sz w:val="20"/>
          <w:szCs w:val="20"/>
          <w:lang w:val="en-US"/>
        </w:rPr>
        <w:t> </w:t>
      </w:r>
      <w:r>
        <w:rPr>
          <w:rFonts w:ascii="Arial" w:hAnsi="Arial" w:cs="Arial"/>
          <w:i/>
          <w:iCs/>
          <w:sz w:val="20"/>
          <w:szCs w:val="20"/>
          <w:shd w:val="clear" w:color="auto" w:fill="FFFFFF"/>
          <w:lang w:val="en-US"/>
        </w:rPr>
        <w:t>14</w:t>
      </w:r>
      <w:r>
        <w:rPr>
          <w:rFonts w:ascii="Arial" w:hAnsi="Arial" w:cs="Arial"/>
          <w:sz w:val="20"/>
          <w:szCs w:val="20"/>
          <w:shd w:val="clear" w:color="auto" w:fill="FFFFFF"/>
          <w:lang w:val="en-US"/>
        </w:rPr>
        <w:t>(21), 4637.</w:t>
      </w:r>
    </w:p>
    <w:p w14:paraId="6423BE4C">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Purssell E. (2019). </w:t>
      </w:r>
      <w:r>
        <w:rPr>
          <w:rFonts w:ascii="Arial" w:hAnsi="Arial" w:cs="Arial"/>
          <w:i/>
          <w:iCs/>
          <w:sz w:val="20"/>
          <w:szCs w:val="20"/>
          <w:shd w:val="clear" w:color="auto" w:fill="FFFFFF"/>
          <w:lang w:val="en-US"/>
        </w:rPr>
        <w:t>Antimicrobials.</w:t>
      </w:r>
      <w:r>
        <w:rPr>
          <w:rFonts w:ascii="Arial" w:hAnsi="Arial" w:cs="Arial"/>
          <w:i/>
          <w:iCs/>
          <w:sz w:val="20"/>
          <w:szCs w:val="20"/>
          <w:lang w:val="en-US"/>
        </w:rPr>
        <w:t> </w:t>
      </w:r>
      <w:r>
        <w:rPr>
          <w:rFonts w:ascii="Arial" w:hAnsi="Arial" w:cs="Arial"/>
          <w:i/>
          <w:iCs/>
          <w:sz w:val="20"/>
          <w:szCs w:val="20"/>
          <w:shd w:val="clear" w:color="auto" w:fill="FFFFFF"/>
          <w:lang w:val="en-US"/>
        </w:rPr>
        <w:t>Understanding Pharmacology in Nursing Practice</w:t>
      </w:r>
      <w:r>
        <w:rPr>
          <w:rFonts w:ascii="Arial" w:hAnsi="Arial" w:cs="Arial"/>
          <w:sz w:val="20"/>
          <w:szCs w:val="20"/>
          <w:shd w:val="clear" w:color="auto" w:fill="FFFFFF"/>
          <w:lang w:val="en-US"/>
        </w:rPr>
        <w:t>, 147-165.</w:t>
      </w:r>
    </w:p>
    <w:p w14:paraId="4A485761">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Ran, X., Zhang, G., Li, S., &amp; Wang, J. (2017). Characterization and antitumor activity of camptothecin from endophytic fungus </w:t>
      </w:r>
      <w:r>
        <w:rPr>
          <w:rFonts w:ascii="Arial" w:hAnsi="Arial" w:cs="Arial"/>
          <w:i/>
          <w:iCs/>
          <w:sz w:val="20"/>
          <w:szCs w:val="20"/>
          <w:shd w:val="clear" w:color="auto" w:fill="FFFFFF"/>
          <w:lang w:val="en-US"/>
        </w:rPr>
        <w:t>Fusarium solani</w:t>
      </w:r>
      <w:r>
        <w:rPr>
          <w:rFonts w:ascii="Arial" w:hAnsi="Arial" w:cs="Arial"/>
          <w:sz w:val="20"/>
          <w:szCs w:val="20"/>
          <w:lang w:val="en-US"/>
        </w:rPr>
        <w:t> </w:t>
      </w:r>
      <w:r>
        <w:rPr>
          <w:rFonts w:ascii="Arial" w:hAnsi="Arial" w:cs="Arial"/>
          <w:sz w:val="20"/>
          <w:szCs w:val="20"/>
          <w:shd w:val="clear" w:color="auto" w:fill="FFFFFF"/>
          <w:lang w:val="en-US"/>
        </w:rPr>
        <w:t xml:space="preserve">isolated from </w:t>
      </w:r>
      <w:r>
        <w:rPr>
          <w:rFonts w:ascii="Arial" w:hAnsi="Arial" w:cs="Arial"/>
          <w:i/>
          <w:iCs/>
          <w:sz w:val="20"/>
          <w:szCs w:val="20"/>
          <w:shd w:val="clear" w:color="auto" w:fill="FFFFFF"/>
          <w:lang w:val="en-US"/>
        </w:rPr>
        <w:t>Camptotheca acuminate</w:t>
      </w:r>
      <w:r>
        <w:rPr>
          <w:rFonts w:ascii="Arial" w:hAnsi="Arial" w:cs="Arial"/>
          <w:sz w:val="20"/>
          <w:szCs w:val="20"/>
          <w:shd w:val="clear" w:color="auto" w:fill="FFFFFF"/>
          <w:lang w:val="en-US"/>
        </w:rPr>
        <w:t>.</w:t>
      </w:r>
      <w:r>
        <w:rPr>
          <w:rFonts w:ascii="Arial" w:hAnsi="Arial" w:cs="Arial"/>
          <w:sz w:val="20"/>
          <w:szCs w:val="20"/>
          <w:lang w:val="en-US"/>
        </w:rPr>
        <w:t> </w:t>
      </w:r>
      <w:r>
        <w:rPr>
          <w:rFonts w:ascii="Arial" w:hAnsi="Arial" w:cs="Arial"/>
          <w:i/>
          <w:iCs/>
          <w:sz w:val="20"/>
          <w:szCs w:val="20"/>
          <w:shd w:val="clear" w:color="auto" w:fill="FFFFFF"/>
          <w:lang w:val="en-US"/>
        </w:rPr>
        <w:t>African Health Sciences,</w:t>
      </w:r>
      <w:r>
        <w:rPr>
          <w:rFonts w:ascii="Arial" w:hAnsi="Arial" w:cs="Arial"/>
          <w:i/>
          <w:iCs/>
          <w:sz w:val="20"/>
          <w:szCs w:val="20"/>
          <w:lang w:val="en-US"/>
        </w:rPr>
        <w:t> </w:t>
      </w:r>
      <w:r>
        <w:rPr>
          <w:rFonts w:ascii="Arial" w:hAnsi="Arial" w:cs="Arial"/>
          <w:i/>
          <w:iCs/>
          <w:sz w:val="20"/>
          <w:szCs w:val="20"/>
          <w:shd w:val="clear" w:color="auto" w:fill="FFFFFF"/>
          <w:lang w:val="en-US"/>
        </w:rPr>
        <w:t>17</w:t>
      </w:r>
      <w:r>
        <w:rPr>
          <w:rFonts w:ascii="Arial" w:hAnsi="Arial" w:cs="Arial"/>
          <w:sz w:val="20"/>
          <w:szCs w:val="20"/>
          <w:shd w:val="clear" w:color="auto" w:fill="FFFFFF"/>
          <w:lang w:val="en-US"/>
        </w:rPr>
        <w:t>(2), 566-574.</w:t>
      </w:r>
    </w:p>
    <w:p w14:paraId="544D020C">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n-US"/>
        </w:rPr>
        <w:t>Regen S. L. (2020). Membrane-Disrupting Molecules as Therapeutic Agents: A Cautionary Note.</w:t>
      </w:r>
      <w:r>
        <w:rPr>
          <w:rFonts w:ascii="Arial" w:hAnsi="Arial" w:cs="Arial"/>
          <w:sz w:val="20"/>
          <w:szCs w:val="20"/>
          <w:lang w:val="en-US"/>
        </w:rPr>
        <w:t> </w:t>
      </w:r>
      <w:r>
        <w:rPr>
          <w:rFonts w:ascii="Arial" w:hAnsi="Arial" w:cs="Arial"/>
          <w:i/>
          <w:iCs/>
          <w:sz w:val="20"/>
          <w:szCs w:val="20"/>
          <w:shd w:val="clear" w:color="auto" w:fill="FFFFFF"/>
          <w:lang w:val="es-CR"/>
        </w:rPr>
        <w:t>JACS Au,</w:t>
      </w:r>
      <w:r>
        <w:rPr>
          <w:rFonts w:ascii="Arial" w:hAnsi="Arial" w:cs="Arial"/>
          <w:i/>
          <w:iCs/>
          <w:sz w:val="20"/>
          <w:szCs w:val="20"/>
          <w:lang w:val="es-CR"/>
        </w:rPr>
        <w:t> </w:t>
      </w:r>
      <w:r>
        <w:rPr>
          <w:rFonts w:ascii="Arial" w:hAnsi="Arial" w:cs="Arial"/>
          <w:i/>
          <w:iCs/>
          <w:sz w:val="20"/>
          <w:szCs w:val="20"/>
          <w:shd w:val="clear" w:color="auto" w:fill="FFFFFF"/>
          <w:lang w:val="es-CR"/>
        </w:rPr>
        <w:t>1</w:t>
      </w:r>
      <w:r>
        <w:rPr>
          <w:rFonts w:ascii="Arial" w:hAnsi="Arial" w:cs="Arial"/>
          <w:sz w:val="20"/>
          <w:szCs w:val="20"/>
          <w:shd w:val="clear" w:color="auto" w:fill="FFFFFF"/>
          <w:lang w:val="es-CR"/>
        </w:rPr>
        <w:t>(1), 3-7.</w:t>
      </w:r>
    </w:p>
    <w:p w14:paraId="29547016">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Reshi, Z. A., Ahmad, W., Lukatkin, A. S., &amp; Javed, S. B. (2023). From Nature to Lab: A Review of Secondary Metabolite Biosynthetic Pathways, Environmental Influences, and In Vitro Approaches.</w:t>
      </w:r>
      <w:r>
        <w:rPr>
          <w:rFonts w:ascii="Arial" w:hAnsi="Arial" w:cs="Arial"/>
          <w:sz w:val="20"/>
          <w:szCs w:val="20"/>
          <w:lang w:val="en-US"/>
        </w:rPr>
        <w:t> </w:t>
      </w:r>
      <w:r>
        <w:rPr>
          <w:rFonts w:ascii="Arial" w:hAnsi="Arial" w:cs="Arial"/>
          <w:i/>
          <w:iCs/>
          <w:sz w:val="20"/>
          <w:szCs w:val="20"/>
          <w:shd w:val="clear" w:color="auto" w:fill="FFFFFF"/>
          <w:lang w:val="en-US"/>
        </w:rPr>
        <w:t>Metabolites,</w:t>
      </w:r>
      <w:r>
        <w:rPr>
          <w:rFonts w:ascii="Arial" w:hAnsi="Arial" w:cs="Arial"/>
          <w:i/>
          <w:iCs/>
          <w:sz w:val="20"/>
          <w:szCs w:val="20"/>
          <w:lang w:val="en-US"/>
        </w:rPr>
        <w:t> </w:t>
      </w:r>
      <w:r>
        <w:rPr>
          <w:rFonts w:ascii="Arial" w:hAnsi="Arial" w:cs="Arial"/>
          <w:i/>
          <w:iCs/>
          <w:sz w:val="20"/>
          <w:szCs w:val="20"/>
          <w:shd w:val="clear" w:color="auto" w:fill="FFFFFF"/>
          <w:lang w:val="en-US"/>
        </w:rPr>
        <w:t>13</w:t>
      </w:r>
      <w:r>
        <w:rPr>
          <w:rFonts w:ascii="Arial" w:hAnsi="Arial" w:cs="Arial"/>
          <w:sz w:val="20"/>
          <w:szCs w:val="20"/>
          <w:shd w:val="clear" w:color="auto" w:fill="FFFFFF"/>
          <w:lang w:val="en-US"/>
        </w:rPr>
        <w:t>(8), 895.</w:t>
      </w:r>
    </w:p>
    <w:p w14:paraId="275CBAC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Rossetto, D., Avvakumov, N., &amp; Côté, J. (2012). Histone phosphorylation: a chromatin modification involved in diverse nuclear events.</w:t>
      </w:r>
      <w:r>
        <w:rPr>
          <w:rFonts w:ascii="Arial" w:hAnsi="Arial" w:cs="Arial"/>
          <w:sz w:val="20"/>
          <w:szCs w:val="20"/>
          <w:lang w:val="en-US"/>
        </w:rPr>
        <w:t> </w:t>
      </w:r>
      <w:r>
        <w:rPr>
          <w:rFonts w:ascii="Arial" w:hAnsi="Arial" w:cs="Arial"/>
          <w:i/>
          <w:iCs/>
          <w:sz w:val="20"/>
          <w:szCs w:val="20"/>
          <w:shd w:val="clear" w:color="auto" w:fill="FFFFFF"/>
          <w:lang w:val="en-US"/>
        </w:rPr>
        <w:t>Epigenetics,</w:t>
      </w:r>
      <w:r>
        <w:rPr>
          <w:rFonts w:ascii="Arial" w:hAnsi="Arial" w:cs="Arial"/>
          <w:i/>
          <w:iCs/>
          <w:sz w:val="20"/>
          <w:szCs w:val="20"/>
          <w:lang w:val="en-US"/>
        </w:rPr>
        <w:t> </w:t>
      </w:r>
      <w:r>
        <w:rPr>
          <w:rFonts w:ascii="Arial" w:hAnsi="Arial" w:cs="Arial"/>
          <w:i/>
          <w:iCs/>
          <w:sz w:val="20"/>
          <w:szCs w:val="20"/>
          <w:shd w:val="clear" w:color="auto" w:fill="FFFFFF"/>
          <w:lang w:val="en-US"/>
        </w:rPr>
        <w:t>7</w:t>
      </w:r>
      <w:r>
        <w:rPr>
          <w:rFonts w:ascii="Arial" w:hAnsi="Arial" w:cs="Arial"/>
          <w:sz w:val="20"/>
          <w:szCs w:val="20"/>
          <w:shd w:val="clear" w:color="auto" w:fill="FFFFFF"/>
          <w:lang w:val="en-US"/>
        </w:rPr>
        <w:t>(10), 1098-1108.</w:t>
      </w:r>
    </w:p>
    <w:p w14:paraId="2B766CBD">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Saini, L. S., Patel, S., Gaur, A., Warghane, P., Saini, R., &amp; Warghane, A. (2024). Endophytic Fungi: Symbiotic Bioresource for Production of Plant Secondary Metabolites. In B. P. Singh, A. M. Abdel-Azeem, V. Gautam, G. Singh &amp; S. K. Singh (Eds.),</w:t>
      </w:r>
      <w:r>
        <w:rPr>
          <w:rFonts w:ascii="Arial" w:hAnsi="Arial" w:cs="Arial"/>
          <w:i/>
          <w:iCs/>
          <w:sz w:val="20"/>
          <w:szCs w:val="20"/>
          <w:shd w:val="clear" w:color="auto" w:fill="FFFFFF"/>
          <w:lang w:val="en-US"/>
        </w:rPr>
        <w:t xml:space="preserve"> Endophytic Fungi: The Hidden Sustainable Jewels for the Pharmaceutical and Agricultural Industries</w:t>
      </w:r>
      <w:r>
        <w:rPr>
          <w:rFonts w:ascii="Arial" w:hAnsi="Arial" w:cs="Arial"/>
          <w:sz w:val="20"/>
          <w:szCs w:val="20"/>
          <w:shd w:val="clear" w:color="auto" w:fill="FFFFFF"/>
          <w:lang w:val="en-US"/>
        </w:rPr>
        <w:t xml:space="preserve"> (pp. 1-25). Cham: Springer.</w:t>
      </w:r>
    </w:p>
    <w:p w14:paraId="79365F94">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Sasaki, I., Kato, T., Kanazawa, N., &amp; Kaisho, T. (2024). Autoinflammatory Diseases Due to Defects in Degradation or Transport of Intracellular Proteins. In M. Matsumoto (Ed.), </w:t>
      </w:r>
      <w:r>
        <w:rPr>
          <w:rFonts w:ascii="Arial" w:hAnsi="Arial" w:cs="Arial"/>
          <w:i/>
          <w:iCs/>
          <w:sz w:val="20"/>
          <w:szCs w:val="20"/>
          <w:shd w:val="clear" w:color="auto" w:fill="FFFFFF"/>
          <w:lang w:val="en-US"/>
        </w:rPr>
        <w:t>Basic Immunology and Its Clinical Application</w:t>
      </w:r>
      <w:r>
        <w:rPr>
          <w:rFonts w:ascii="Arial" w:hAnsi="Arial" w:cs="Arial"/>
          <w:sz w:val="20"/>
          <w:szCs w:val="20"/>
          <w:shd w:val="clear" w:color="auto" w:fill="FFFFFF"/>
          <w:lang w:val="en-US"/>
        </w:rPr>
        <w:t>. Singapore: Springer.</w:t>
      </w:r>
    </w:p>
    <w:p w14:paraId="35FDB790">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n-US"/>
        </w:rPr>
        <w:t xml:space="preserve">Shimoyama, T., Miyoshi, M., Nehira, T., Motojima, A., Oikawa, T., Laurence, O., et al. (2018). Two new secondary metabolites from a fungus of the genus </w:t>
      </w:r>
      <w:r>
        <w:rPr>
          <w:rFonts w:ascii="Arial" w:hAnsi="Arial" w:cs="Arial"/>
          <w:i/>
          <w:iCs/>
          <w:sz w:val="20"/>
          <w:szCs w:val="20"/>
          <w:shd w:val="clear" w:color="auto" w:fill="FFFFFF"/>
          <w:lang w:val="en-US"/>
        </w:rPr>
        <w:t>Robillarda</w:t>
      </w:r>
      <w:r>
        <w:rPr>
          <w:rFonts w:ascii="Arial" w:hAnsi="Arial" w:cs="Arial"/>
          <w:sz w:val="20"/>
          <w:szCs w:val="20"/>
          <w:shd w:val="clear" w:color="auto" w:fill="FFFFFF"/>
          <w:lang w:val="en-US"/>
        </w:rPr>
        <w:t>.</w:t>
      </w:r>
      <w:r>
        <w:rPr>
          <w:rFonts w:ascii="Arial" w:hAnsi="Arial" w:cs="Arial"/>
          <w:sz w:val="20"/>
          <w:szCs w:val="20"/>
          <w:lang w:val="en-US"/>
        </w:rPr>
        <w:t> </w:t>
      </w:r>
      <w:r>
        <w:rPr>
          <w:rFonts w:ascii="Arial" w:hAnsi="Arial" w:cs="Arial"/>
          <w:i/>
          <w:iCs/>
          <w:sz w:val="20"/>
          <w:szCs w:val="20"/>
          <w:shd w:val="clear" w:color="auto" w:fill="FFFFFF"/>
          <w:lang w:val="es-CR"/>
        </w:rPr>
        <w:t>The Journal of Antibiotics,</w:t>
      </w:r>
      <w:r>
        <w:rPr>
          <w:rFonts w:ascii="Arial" w:hAnsi="Arial" w:cs="Arial"/>
          <w:i/>
          <w:iCs/>
          <w:sz w:val="20"/>
          <w:szCs w:val="20"/>
          <w:lang w:val="es-CR"/>
        </w:rPr>
        <w:t> </w:t>
      </w:r>
      <w:r>
        <w:rPr>
          <w:rFonts w:ascii="Arial" w:hAnsi="Arial" w:cs="Arial"/>
          <w:i/>
          <w:iCs/>
          <w:sz w:val="20"/>
          <w:szCs w:val="20"/>
          <w:shd w:val="clear" w:color="auto" w:fill="FFFFFF"/>
          <w:lang w:val="es-CR"/>
        </w:rPr>
        <w:t>71</w:t>
      </w:r>
      <w:r>
        <w:rPr>
          <w:rFonts w:ascii="Arial" w:hAnsi="Arial" w:cs="Arial"/>
          <w:sz w:val="20"/>
          <w:szCs w:val="20"/>
          <w:shd w:val="clear" w:color="auto" w:fill="FFFFFF"/>
          <w:lang w:val="es-CR"/>
        </w:rPr>
        <w:t>(4), 432-437.</w:t>
      </w:r>
    </w:p>
    <w:p w14:paraId="6177E075">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Singh, N. K., Baranwal, J., Pati, S., Barse, B., Khan, R. H., &amp; Kumar, A. (2023). Application of plant products in the synthesis and functionalisation of biopolymers.</w:t>
      </w:r>
      <w:r>
        <w:rPr>
          <w:rFonts w:ascii="Arial" w:hAnsi="Arial" w:cs="Arial"/>
          <w:sz w:val="20"/>
          <w:szCs w:val="20"/>
          <w:lang w:val="en-US"/>
        </w:rPr>
        <w:t> </w:t>
      </w:r>
      <w:r>
        <w:rPr>
          <w:rFonts w:ascii="Arial" w:hAnsi="Arial" w:cs="Arial"/>
          <w:i/>
          <w:iCs/>
          <w:sz w:val="20"/>
          <w:szCs w:val="20"/>
          <w:shd w:val="clear" w:color="auto" w:fill="FFFFFF"/>
          <w:lang w:val="en-US"/>
        </w:rPr>
        <w:t>International Journal of Biological Macromolecules,</w:t>
      </w:r>
      <w:r>
        <w:rPr>
          <w:rFonts w:ascii="Arial" w:hAnsi="Arial" w:cs="Arial"/>
          <w:i/>
          <w:iCs/>
          <w:sz w:val="20"/>
          <w:szCs w:val="20"/>
          <w:lang w:val="en-US"/>
        </w:rPr>
        <w:t> </w:t>
      </w:r>
      <w:r>
        <w:rPr>
          <w:rFonts w:ascii="Arial" w:hAnsi="Arial" w:cs="Arial"/>
          <w:i/>
          <w:iCs/>
          <w:sz w:val="20"/>
          <w:szCs w:val="20"/>
          <w:shd w:val="clear" w:color="auto" w:fill="FFFFFF"/>
          <w:lang w:val="en-US"/>
        </w:rPr>
        <w:t>237</w:t>
      </w:r>
      <w:r>
        <w:rPr>
          <w:rFonts w:ascii="Arial" w:hAnsi="Arial" w:cs="Arial"/>
          <w:sz w:val="20"/>
          <w:szCs w:val="20"/>
          <w:shd w:val="clear" w:color="auto" w:fill="FFFFFF"/>
          <w:lang w:val="en-US"/>
        </w:rPr>
        <w:t>, 124174.</w:t>
      </w:r>
    </w:p>
    <w:p w14:paraId="4EEADDD7">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Singh, S. P., Qureshi, A., &amp; Hassan, W. (2021). Mechanisms of Action by Antimicrobial Agents: A Review.</w:t>
      </w:r>
      <w:r>
        <w:rPr>
          <w:rFonts w:ascii="Arial" w:hAnsi="Arial" w:cs="Arial"/>
          <w:sz w:val="20"/>
          <w:szCs w:val="20"/>
          <w:lang w:val="en-US"/>
        </w:rPr>
        <w:t> </w:t>
      </w:r>
      <w:r>
        <w:rPr>
          <w:rFonts w:ascii="Arial" w:hAnsi="Arial" w:cs="Arial"/>
          <w:i/>
          <w:iCs/>
          <w:sz w:val="20"/>
          <w:szCs w:val="20"/>
          <w:shd w:val="clear" w:color="auto" w:fill="FFFFFF"/>
          <w:lang w:val="en-US"/>
        </w:rPr>
        <w:t>McGill Journal of Medicine,</w:t>
      </w:r>
      <w:r>
        <w:rPr>
          <w:rFonts w:ascii="Arial" w:hAnsi="Arial" w:cs="Arial"/>
          <w:i/>
          <w:iCs/>
          <w:sz w:val="20"/>
          <w:szCs w:val="20"/>
          <w:lang w:val="en-US"/>
        </w:rPr>
        <w:t> </w:t>
      </w:r>
      <w:r>
        <w:rPr>
          <w:rFonts w:ascii="Arial" w:hAnsi="Arial" w:cs="Arial"/>
          <w:i/>
          <w:iCs/>
          <w:sz w:val="20"/>
          <w:szCs w:val="20"/>
          <w:shd w:val="clear" w:color="auto" w:fill="FFFFFF"/>
          <w:lang w:val="en-US"/>
        </w:rPr>
        <w:t>19</w:t>
      </w:r>
      <w:r>
        <w:rPr>
          <w:rFonts w:ascii="Arial" w:hAnsi="Arial" w:cs="Arial"/>
          <w:sz w:val="20"/>
          <w:szCs w:val="20"/>
          <w:shd w:val="clear" w:color="auto" w:fill="FFFFFF"/>
          <w:lang w:val="en-US"/>
        </w:rPr>
        <w:t>(1).</w:t>
      </w:r>
    </w:p>
    <w:p w14:paraId="234D6C2E">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Singh, V., Haque, S., Niwas, R., Srivastava, A., Pasupuleti, M., &amp; Tripathi, C. K. (2017). </w:t>
      </w:r>
      <w:r>
        <w:rPr>
          <w:rFonts w:ascii="Arial" w:hAnsi="Arial" w:cs="Arial"/>
          <w:sz w:val="20"/>
          <w:szCs w:val="20"/>
          <w:shd w:val="clear" w:color="auto" w:fill="FFFFFF"/>
          <w:lang w:val="en-US"/>
        </w:rPr>
        <w:t>Strategies for Fermentation Medium Optimization: An In-Depth Review.</w:t>
      </w:r>
      <w:r>
        <w:rPr>
          <w:rFonts w:ascii="Arial" w:hAnsi="Arial" w:cs="Arial"/>
          <w:sz w:val="20"/>
          <w:szCs w:val="20"/>
          <w:lang w:val="en-US"/>
        </w:rPr>
        <w:t> </w:t>
      </w:r>
      <w:r>
        <w:rPr>
          <w:rFonts w:ascii="Arial" w:hAnsi="Arial" w:cs="Arial"/>
          <w:i/>
          <w:iCs/>
          <w:sz w:val="20"/>
          <w:szCs w:val="20"/>
          <w:shd w:val="clear" w:color="auto" w:fill="FFFFFF"/>
          <w:lang w:val="en-US"/>
        </w:rPr>
        <w:t>Frontiers in Microbiology,</w:t>
      </w:r>
      <w:r>
        <w:rPr>
          <w:rFonts w:ascii="Arial" w:hAnsi="Arial" w:cs="Arial"/>
          <w:i/>
          <w:iCs/>
          <w:sz w:val="20"/>
          <w:szCs w:val="20"/>
          <w:lang w:val="en-US"/>
        </w:rPr>
        <w:t> </w:t>
      </w:r>
      <w:r>
        <w:rPr>
          <w:rFonts w:ascii="Arial" w:hAnsi="Arial" w:cs="Arial"/>
          <w:i/>
          <w:iCs/>
          <w:sz w:val="20"/>
          <w:szCs w:val="20"/>
          <w:shd w:val="clear" w:color="auto" w:fill="FFFFFF"/>
          <w:lang w:val="en-US"/>
        </w:rPr>
        <w:t>7</w:t>
      </w:r>
      <w:r>
        <w:rPr>
          <w:rFonts w:ascii="Arial" w:hAnsi="Arial" w:cs="Arial"/>
          <w:sz w:val="20"/>
          <w:szCs w:val="20"/>
          <w:shd w:val="clear" w:color="auto" w:fill="FFFFFF"/>
          <w:lang w:val="en-US"/>
        </w:rPr>
        <w:t>, 2087.</w:t>
      </w:r>
    </w:p>
    <w:p w14:paraId="6C3BE9D7">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n-US"/>
        </w:rPr>
        <w:t>Singh, V. K., &amp; Kumar, A. (2023). Secondary metabolites from endophytic fungi: Production, methods of analysis, and diverse pharmaceutical potential.</w:t>
      </w:r>
      <w:r>
        <w:rPr>
          <w:rFonts w:ascii="Arial" w:hAnsi="Arial" w:cs="Arial"/>
          <w:sz w:val="20"/>
          <w:szCs w:val="20"/>
          <w:lang w:val="en-US"/>
        </w:rPr>
        <w:t> </w:t>
      </w:r>
      <w:r>
        <w:rPr>
          <w:rFonts w:ascii="Arial" w:hAnsi="Arial" w:cs="Arial"/>
          <w:i/>
          <w:iCs/>
          <w:sz w:val="20"/>
          <w:szCs w:val="20"/>
          <w:shd w:val="clear" w:color="auto" w:fill="FFFFFF"/>
          <w:lang w:val="es-CR"/>
        </w:rPr>
        <w:t>Symbiosis, 90</w:t>
      </w:r>
      <w:r>
        <w:rPr>
          <w:rFonts w:ascii="Arial" w:hAnsi="Arial" w:cs="Arial"/>
          <w:sz w:val="20"/>
          <w:szCs w:val="20"/>
          <w:shd w:val="clear" w:color="auto" w:fill="FFFFFF"/>
          <w:lang w:val="es-CR"/>
        </w:rPr>
        <w:t>, 111-125.</w:t>
      </w:r>
    </w:p>
    <w:p w14:paraId="5186C1BC">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Takahashi, J. A., Marques, J. G. S., Ferreira, M. R., Santos, T. P., &amp; Rosário, G. O. C. (2024). </w:t>
      </w:r>
      <w:r>
        <w:rPr>
          <w:rFonts w:ascii="Arial" w:hAnsi="Arial" w:cs="Arial"/>
          <w:sz w:val="20"/>
          <w:szCs w:val="20"/>
          <w:shd w:val="clear" w:color="auto" w:fill="FFFFFF"/>
          <w:lang w:val="en-US"/>
        </w:rPr>
        <w:t xml:space="preserve">Recent Advances in Pharmaceutically Important Compounds from Endophytic Fungi. In S. K. Deshmukh, J. A. Takahashi &amp; S. Saxena (Eds.), </w:t>
      </w:r>
      <w:r>
        <w:rPr>
          <w:rFonts w:ascii="Arial" w:hAnsi="Arial" w:cs="Arial"/>
          <w:i/>
          <w:iCs/>
          <w:sz w:val="20"/>
          <w:szCs w:val="20"/>
          <w:shd w:val="clear" w:color="auto" w:fill="FFFFFF"/>
          <w:lang w:val="en-US"/>
        </w:rPr>
        <w:t>Fungi Bioactive Metabolites</w:t>
      </w:r>
      <w:r>
        <w:rPr>
          <w:rFonts w:ascii="Arial" w:hAnsi="Arial" w:cs="Arial"/>
          <w:sz w:val="20"/>
          <w:szCs w:val="20"/>
          <w:shd w:val="clear" w:color="auto" w:fill="FFFFFF"/>
          <w:lang w:val="en-US"/>
        </w:rPr>
        <w:t>. Singapore: Springer.</w:t>
      </w:r>
    </w:p>
    <w:p w14:paraId="39C3210A">
      <w:pPr>
        <w:pStyle w:val="66"/>
        <w:numPr>
          <w:ilvl w:val="0"/>
          <w:numId w:val="2"/>
        </w:numPr>
        <w:tabs>
          <w:tab w:val="center" w:pos="142"/>
        </w:tabs>
        <w:ind w:left="426" w:right="0" w:hanging="426"/>
        <w:rPr>
          <w:rFonts w:ascii="Arial" w:hAnsi="Arial" w:cs="Arial"/>
          <w:b/>
          <w:sz w:val="20"/>
          <w:szCs w:val="20"/>
          <w:lang w:val="en-US"/>
        </w:rPr>
      </w:pPr>
      <w:r>
        <w:rPr>
          <w:rFonts w:ascii="Arial" w:hAnsi="Arial" w:cs="Arial"/>
          <w:sz w:val="20"/>
          <w:szCs w:val="20"/>
          <w:shd w:val="clear" w:color="auto" w:fill="FFFFFF"/>
          <w:lang w:val="en-US"/>
        </w:rPr>
        <w:t>Tang, K. W. K., Millar, B. C., &amp; Moore, J. E. (2023). Antimicrobial Resistance (AMR).</w:t>
      </w:r>
      <w:r>
        <w:rPr>
          <w:rStyle w:val="68"/>
          <w:rFonts w:ascii="Arial" w:hAnsi="Arial" w:cs="Arial"/>
          <w:sz w:val="20"/>
          <w:szCs w:val="20"/>
          <w:shd w:val="clear" w:color="auto" w:fill="FFFFFF"/>
          <w:lang w:val="en-US"/>
        </w:rPr>
        <w:t> </w:t>
      </w:r>
      <w:r>
        <w:rPr>
          <w:rFonts w:ascii="Arial" w:hAnsi="Arial" w:cs="Arial"/>
          <w:i/>
          <w:iCs/>
          <w:sz w:val="20"/>
          <w:szCs w:val="20"/>
          <w:lang w:val="en-US"/>
        </w:rPr>
        <w:t>British Journal of Biomedical Science</w:t>
      </w:r>
      <w:r>
        <w:rPr>
          <w:rFonts w:ascii="Arial" w:hAnsi="Arial" w:cs="Arial"/>
          <w:i/>
          <w:iCs/>
          <w:sz w:val="20"/>
          <w:szCs w:val="20"/>
          <w:shd w:val="clear" w:color="auto" w:fill="FFFFFF"/>
          <w:lang w:val="en-US"/>
        </w:rPr>
        <w:t>,</w:t>
      </w:r>
      <w:r>
        <w:rPr>
          <w:rStyle w:val="68"/>
          <w:rFonts w:ascii="Arial" w:hAnsi="Arial" w:cs="Arial"/>
          <w:i/>
          <w:iCs/>
          <w:sz w:val="20"/>
          <w:szCs w:val="20"/>
          <w:shd w:val="clear" w:color="auto" w:fill="FFFFFF"/>
          <w:lang w:val="en-US"/>
        </w:rPr>
        <w:t> </w:t>
      </w:r>
      <w:r>
        <w:rPr>
          <w:rFonts w:ascii="Arial" w:hAnsi="Arial" w:cs="Arial"/>
          <w:i/>
          <w:iCs/>
          <w:sz w:val="20"/>
          <w:szCs w:val="20"/>
          <w:lang w:val="en-US"/>
        </w:rPr>
        <w:t>80</w:t>
      </w:r>
      <w:r>
        <w:rPr>
          <w:rFonts w:ascii="Arial" w:hAnsi="Arial" w:cs="Arial"/>
          <w:sz w:val="20"/>
          <w:szCs w:val="20"/>
          <w:shd w:val="clear" w:color="auto" w:fill="FFFFFF"/>
          <w:lang w:val="en-US"/>
        </w:rPr>
        <w:t>, 11387.</w:t>
      </w:r>
    </w:p>
    <w:p w14:paraId="0DD74B03">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Tironi, L. S., Carletto, L. B., Silva, E. O., Schripsema, J., &amp; Luiz, J. H. H. (2024). </w:t>
      </w:r>
      <w:r>
        <w:rPr>
          <w:rFonts w:ascii="Arial" w:hAnsi="Arial" w:cs="Arial"/>
          <w:sz w:val="20"/>
          <w:szCs w:val="20"/>
          <w:shd w:val="clear" w:color="auto" w:fill="FFFFFF"/>
          <w:lang w:val="en-US"/>
        </w:rPr>
        <w:t>Endophytic Fungi Co-Culture: An Alternative Source of Antimicrobial Substances.</w:t>
      </w:r>
      <w:r>
        <w:rPr>
          <w:rFonts w:ascii="Arial" w:hAnsi="Arial" w:cs="Arial"/>
          <w:sz w:val="20"/>
          <w:szCs w:val="20"/>
          <w:lang w:val="en-US"/>
        </w:rPr>
        <w:t> </w:t>
      </w:r>
      <w:r>
        <w:rPr>
          <w:rFonts w:ascii="Arial" w:hAnsi="Arial" w:cs="Arial"/>
          <w:i/>
          <w:iCs/>
          <w:sz w:val="20"/>
          <w:szCs w:val="20"/>
          <w:shd w:val="clear" w:color="auto" w:fill="FFFFFF"/>
          <w:lang w:val="en-US"/>
        </w:rPr>
        <w:t>Microorganisms,</w:t>
      </w:r>
      <w:r>
        <w:rPr>
          <w:rFonts w:ascii="Arial" w:hAnsi="Arial" w:cs="Arial"/>
          <w:i/>
          <w:iCs/>
          <w:sz w:val="20"/>
          <w:szCs w:val="20"/>
          <w:lang w:val="en-US"/>
        </w:rPr>
        <w:t> </w:t>
      </w:r>
      <w:r>
        <w:rPr>
          <w:rFonts w:ascii="Arial" w:hAnsi="Arial" w:cs="Arial"/>
          <w:i/>
          <w:iCs/>
          <w:sz w:val="20"/>
          <w:szCs w:val="20"/>
          <w:shd w:val="clear" w:color="auto" w:fill="FFFFFF"/>
          <w:lang w:val="en-US"/>
        </w:rPr>
        <w:t>12</w:t>
      </w:r>
      <w:r>
        <w:rPr>
          <w:rFonts w:ascii="Arial" w:hAnsi="Arial" w:cs="Arial"/>
          <w:sz w:val="20"/>
          <w:szCs w:val="20"/>
          <w:shd w:val="clear" w:color="auto" w:fill="FFFFFF"/>
          <w:lang w:val="en-US"/>
        </w:rPr>
        <w:t>(12), 2413.</w:t>
      </w:r>
    </w:p>
    <w:p w14:paraId="1765656B">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Tiwari, P., &amp; Bae, H. (2022). Endophytic Fungi: Key Insights, Emerging Prospects, and Challenges in Natural Product Drug Discovery.</w:t>
      </w:r>
      <w:r>
        <w:rPr>
          <w:rFonts w:ascii="Arial" w:hAnsi="Arial" w:cs="Arial"/>
          <w:sz w:val="20"/>
          <w:szCs w:val="20"/>
          <w:lang w:val="en-US"/>
        </w:rPr>
        <w:t> </w:t>
      </w:r>
      <w:r>
        <w:rPr>
          <w:rFonts w:ascii="Arial" w:hAnsi="Arial" w:cs="Arial"/>
          <w:i/>
          <w:iCs/>
          <w:sz w:val="20"/>
          <w:szCs w:val="20"/>
          <w:shd w:val="clear" w:color="auto" w:fill="FFFFFF"/>
          <w:lang w:val="en-US"/>
        </w:rPr>
        <w:t>Microorganisms,</w:t>
      </w:r>
      <w:r>
        <w:rPr>
          <w:rFonts w:ascii="Arial" w:hAnsi="Arial" w:cs="Arial"/>
          <w:i/>
          <w:iCs/>
          <w:sz w:val="20"/>
          <w:szCs w:val="20"/>
          <w:lang w:val="en-US"/>
        </w:rPr>
        <w:t> </w:t>
      </w:r>
      <w:r>
        <w:rPr>
          <w:rFonts w:ascii="Arial" w:hAnsi="Arial" w:cs="Arial"/>
          <w:i/>
          <w:iCs/>
          <w:sz w:val="20"/>
          <w:szCs w:val="20"/>
          <w:shd w:val="clear" w:color="auto" w:fill="FFFFFF"/>
          <w:lang w:val="en-US"/>
        </w:rPr>
        <w:t>10</w:t>
      </w:r>
      <w:r>
        <w:rPr>
          <w:rFonts w:ascii="Arial" w:hAnsi="Arial" w:cs="Arial"/>
          <w:sz w:val="20"/>
          <w:szCs w:val="20"/>
          <w:shd w:val="clear" w:color="auto" w:fill="FFFFFF"/>
          <w:lang w:val="en-US"/>
        </w:rPr>
        <w:t>(2), 360.</w:t>
      </w:r>
    </w:p>
    <w:p w14:paraId="27F07D9C">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Twaij, B. M., &amp; Hasan, M. N. (2022). </w:t>
      </w:r>
      <w:r>
        <w:rPr>
          <w:rFonts w:ascii="Arial" w:hAnsi="Arial" w:cs="Arial"/>
          <w:sz w:val="20"/>
          <w:szCs w:val="20"/>
          <w:shd w:val="clear" w:color="auto" w:fill="FFFFFF"/>
          <w:lang w:val="en-US"/>
        </w:rPr>
        <w:t>Bioactive Secondary Metabolites from Plant Sources: Types, Synthesis, and Their Therapeutic Uses</w:t>
      </w:r>
      <w:r>
        <w:rPr>
          <w:rFonts w:ascii="Arial" w:hAnsi="Arial" w:cs="Arial"/>
          <w:i/>
          <w:iCs/>
          <w:sz w:val="20"/>
          <w:szCs w:val="20"/>
          <w:shd w:val="clear" w:color="auto" w:fill="FFFFFF"/>
          <w:lang w:val="en-US"/>
        </w:rPr>
        <w:t>. International Journal of Plant Biology, 13</w:t>
      </w:r>
      <w:r>
        <w:rPr>
          <w:rFonts w:ascii="Arial" w:hAnsi="Arial" w:cs="Arial"/>
          <w:sz w:val="20"/>
          <w:szCs w:val="20"/>
          <w:shd w:val="clear" w:color="auto" w:fill="FFFFFF"/>
          <w:lang w:val="en-US"/>
        </w:rPr>
        <w:t>, 4-14.</w:t>
      </w:r>
    </w:p>
    <w:p w14:paraId="500F84F1">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United States Food &amp; Drug Administration. (2018). </w:t>
      </w:r>
      <w:r>
        <w:rPr>
          <w:rFonts w:ascii="Arial" w:hAnsi="Arial" w:cs="Arial"/>
          <w:i/>
          <w:iCs/>
          <w:sz w:val="20"/>
          <w:szCs w:val="20"/>
          <w:shd w:val="clear" w:color="auto" w:fill="FFFFFF"/>
          <w:lang w:val="en-US"/>
        </w:rPr>
        <w:t>What Are “Biologics” Questions and Answers</w:t>
      </w:r>
      <w:r>
        <w:rPr>
          <w:rFonts w:ascii="Arial" w:hAnsi="Arial" w:cs="Arial"/>
          <w:sz w:val="20"/>
          <w:szCs w:val="20"/>
          <w:shd w:val="clear" w:color="auto" w:fill="FFFFFF"/>
          <w:lang w:val="en-US"/>
        </w:rPr>
        <w:t>. https://www.fda.gov/about-fda/center-biologics-evaluation-and-research-cber/what-are-biologics-questions-and-answers</w:t>
      </w:r>
    </w:p>
    <w:p w14:paraId="7E6BDF06">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Van de Wall, G., Van Hattem, A., Timmermans, J., Ritskes-Hoitinga, M., Bleich, A., &amp; Leenaars, C. (2023). Comparing Translational Success Rates Across Medical Research Fields - A Combined Analysis of Literature and Clinical Trial Data.</w:t>
      </w:r>
      <w:r>
        <w:rPr>
          <w:rFonts w:ascii="Arial" w:hAnsi="Arial" w:cs="Arial"/>
          <w:sz w:val="20"/>
          <w:szCs w:val="20"/>
          <w:lang w:val="en-US"/>
        </w:rPr>
        <w:t> </w:t>
      </w:r>
      <w:r>
        <w:rPr>
          <w:rFonts w:ascii="Arial" w:hAnsi="Arial" w:cs="Arial"/>
          <w:i/>
          <w:iCs/>
          <w:sz w:val="20"/>
          <w:szCs w:val="20"/>
          <w:shd w:val="clear" w:color="auto" w:fill="FFFFFF"/>
          <w:lang w:val="en-US"/>
        </w:rPr>
        <w:t>ALTEX,</w:t>
      </w:r>
      <w:r>
        <w:rPr>
          <w:rFonts w:ascii="Arial" w:hAnsi="Arial" w:cs="Arial"/>
          <w:i/>
          <w:iCs/>
          <w:sz w:val="20"/>
          <w:szCs w:val="20"/>
          <w:lang w:val="en-US"/>
        </w:rPr>
        <w:t> </w:t>
      </w:r>
      <w:r>
        <w:rPr>
          <w:rFonts w:ascii="Arial" w:hAnsi="Arial" w:cs="Arial"/>
          <w:i/>
          <w:iCs/>
          <w:sz w:val="20"/>
          <w:szCs w:val="20"/>
          <w:shd w:val="clear" w:color="auto" w:fill="FFFFFF"/>
          <w:lang w:val="en-US"/>
        </w:rPr>
        <w:t>40</w:t>
      </w:r>
      <w:r>
        <w:rPr>
          <w:rFonts w:ascii="Arial" w:hAnsi="Arial" w:cs="Arial"/>
          <w:sz w:val="20"/>
          <w:szCs w:val="20"/>
          <w:shd w:val="clear" w:color="auto" w:fill="FFFFFF"/>
          <w:lang w:val="en-US"/>
        </w:rPr>
        <w:t>(4), 584-594.</w:t>
      </w:r>
    </w:p>
    <w:p w14:paraId="0B57E258">
      <w:pPr>
        <w:pStyle w:val="66"/>
        <w:numPr>
          <w:ilvl w:val="0"/>
          <w:numId w:val="2"/>
        </w:numPr>
        <w:tabs>
          <w:tab w:val="center" w:pos="142"/>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s-CR"/>
        </w:rPr>
        <w:t xml:space="preserve">Vasundhara, M., Kumar, A., &amp; Reddy, M. S. (2016). </w:t>
      </w:r>
      <w:r>
        <w:rPr>
          <w:rFonts w:ascii="Arial" w:hAnsi="Arial" w:cs="Arial"/>
          <w:sz w:val="20"/>
          <w:szCs w:val="20"/>
          <w:shd w:val="clear" w:color="auto" w:fill="FFFFFF"/>
          <w:lang w:val="en-US"/>
        </w:rPr>
        <w:t>Molecular Approaches to Screen Bioactive Compounds from Endophytic Fungi.</w:t>
      </w:r>
      <w:r>
        <w:rPr>
          <w:rFonts w:ascii="Arial" w:hAnsi="Arial" w:cs="Arial"/>
          <w:sz w:val="20"/>
          <w:szCs w:val="20"/>
          <w:lang w:val="en-US"/>
        </w:rPr>
        <w:t> </w:t>
      </w:r>
      <w:r>
        <w:rPr>
          <w:rFonts w:ascii="Arial" w:hAnsi="Arial" w:cs="Arial"/>
          <w:i/>
          <w:iCs/>
          <w:sz w:val="20"/>
          <w:szCs w:val="20"/>
          <w:shd w:val="clear" w:color="auto" w:fill="FFFFFF"/>
          <w:lang w:val="es-CR"/>
        </w:rPr>
        <w:t>Frontiers in Microbiology,</w:t>
      </w:r>
      <w:r>
        <w:rPr>
          <w:rFonts w:ascii="Arial" w:hAnsi="Arial" w:cs="Arial"/>
          <w:i/>
          <w:iCs/>
          <w:sz w:val="20"/>
          <w:szCs w:val="20"/>
          <w:lang w:val="es-CR"/>
        </w:rPr>
        <w:t> </w:t>
      </w:r>
      <w:r>
        <w:rPr>
          <w:rFonts w:ascii="Arial" w:hAnsi="Arial" w:cs="Arial"/>
          <w:i/>
          <w:iCs/>
          <w:sz w:val="20"/>
          <w:szCs w:val="20"/>
          <w:shd w:val="clear" w:color="auto" w:fill="FFFFFF"/>
          <w:lang w:val="es-CR"/>
        </w:rPr>
        <w:t>7</w:t>
      </w:r>
      <w:r>
        <w:rPr>
          <w:rFonts w:ascii="Arial" w:hAnsi="Arial" w:cs="Arial"/>
          <w:sz w:val="20"/>
          <w:szCs w:val="20"/>
          <w:shd w:val="clear" w:color="auto" w:fill="FFFFFF"/>
          <w:lang w:val="es-CR"/>
        </w:rPr>
        <w:t>, 1774.</w:t>
      </w:r>
    </w:p>
    <w:p w14:paraId="4592F281">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Veiko, A. G., Olchowik-Grabarek, E., Sekowski, S., Roszkowska, A., Lapshina, E. A., Dobrzynska, I., et al. </w:t>
      </w:r>
      <w:r>
        <w:rPr>
          <w:rFonts w:ascii="Arial" w:hAnsi="Arial" w:cs="Arial"/>
          <w:sz w:val="20"/>
          <w:szCs w:val="20"/>
          <w:shd w:val="clear" w:color="auto" w:fill="FFFFFF"/>
          <w:lang w:val="en-US"/>
        </w:rPr>
        <w:t>(2023). Antimicrobial Activity of Quercetin, Naringenin and Catechin: Flavonoids Inhibit</w:t>
      </w:r>
      <w:r>
        <w:rPr>
          <w:rFonts w:ascii="Arial" w:hAnsi="Arial" w:cs="Arial"/>
          <w:sz w:val="20"/>
          <w:szCs w:val="20"/>
          <w:lang w:val="en-US"/>
        </w:rPr>
        <w:t> </w:t>
      </w:r>
      <w:r>
        <w:rPr>
          <w:rFonts w:ascii="Arial" w:hAnsi="Arial" w:cs="Arial"/>
          <w:i/>
          <w:iCs/>
          <w:sz w:val="20"/>
          <w:szCs w:val="20"/>
          <w:shd w:val="clear" w:color="auto" w:fill="FFFFFF"/>
          <w:lang w:val="en-US"/>
        </w:rPr>
        <w:t>Staphylococcus aureus</w:t>
      </w:r>
      <w:r>
        <w:rPr>
          <w:rFonts w:ascii="Arial" w:hAnsi="Arial" w:cs="Arial"/>
          <w:sz w:val="20"/>
          <w:szCs w:val="20"/>
          <w:shd w:val="clear" w:color="auto" w:fill="FFFFFF"/>
          <w:lang w:val="en-US"/>
        </w:rPr>
        <w:t>-Induced Hemolysis and Modify Membranes of Bacteria and Erythrocytes.</w:t>
      </w:r>
      <w:r>
        <w:rPr>
          <w:rFonts w:ascii="Arial" w:hAnsi="Arial" w:cs="Arial"/>
          <w:sz w:val="20"/>
          <w:szCs w:val="20"/>
          <w:lang w:val="en-US"/>
        </w:rPr>
        <w:t> </w:t>
      </w:r>
      <w:r>
        <w:rPr>
          <w:rFonts w:ascii="Arial" w:hAnsi="Arial" w:cs="Arial"/>
          <w:i/>
          <w:iCs/>
          <w:sz w:val="20"/>
          <w:szCs w:val="20"/>
          <w:shd w:val="clear" w:color="auto" w:fill="FFFFFF"/>
          <w:lang w:val="en-US"/>
        </w:rPr>
        <w:t>Molecules, 28</w:t>
      </w:r>
      <w:r>
        <w:rPr>
          <w:rFonts w:ascii="Arial" w:hAnsi="Arial" w:cs="Arial"/>
          <w:sz w:val="20"/>
          <w:szCs w:val="20"/>
          <w:shd w:val="clear" w:color="auto" w:fill="FFFFFF"/>
          <w:lang w:val="en-US"/>
        </w:rPr>
        <w:t>(3), 1252.</w:t>
      </w:r>
    </w:p>
    <w:p w14:paraId="316E22F8">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Ventola C. L. (2015). The Antibiotic Resistance Crisis: Part 1: Causes and Threats.</w:t>
      </w:r>
      <w:r>
        <w:rPr>
          <w:rFonts w:ascii="Arial" w:hAnsi="Arial" w:cs="Arial"/>
          <w:sz w:val="20"/>
          <w:szCs w:val="20"/>
          <w:lang w:val="en-US"/>
        </w:rPr>
        <w:t> </w:t>
      </w:r>
      <w:r>
        <w:rPr>
          <w:rFonts w:ascii="Arial" w:hAnsi="Arial" w:cs="Arial"/>
          <w:i/>
          <w:iCs/>
          <w:sz w:val="20"/>
          <w:szCs w:val="20"/>
          <w:shd w:val="clear" w:color="auto" w:fill="FFFFFF"/>
          <w:lang w:val="en-US"/>
        </w:rPr>
        <w:t>P &amp; T,</w:t>
      </w:r>
      <w:r>
        <w:rPr>
          <w:rFonts w:ascii="Arial" w:hAnsi="Arial" w:cs="Arial"/>
          <w:i/>
          <w:iCs/>
          <w:sz w:val="20"/>
          <w:szCs w:val="20"/>
          <w:lang w:val="en-US"/>
        </w:rPr>
        <w:t> </w:t>
      </w:r>
      <w:r>
        <w:rPr>
          <w:rFonts w:ascii="Arial" w:hAnsi="Arial" w:cs="Arial"/>
          <w:i/>
          <w:iCs/>
          <w:sz w:val="20"/>
          <w:szCs w:val="20"/>
          <w:shd w:val="clear" w:color="auto" w:fill="FFFFFF"/>
          <w:lang w:val="en-US"/>
        </w:rPr>
        <w:t>40</w:t>
      </w:r>
      <w:r>
        <w:rPr>
          <w:rFonts w:ascii="Arial" w:hAnsi="Arial" w:cs="Arial"/>
          <w:sz w:val="20"/>
          <w:szCs w:val="20"/>
          <w:shd w:val="clear" w:color="auto" w:fill="FFFFFF"/>
          <w:lang w:val="en-US"/>
        </w:rPr>
        <w:t>(4), 277-283.</w:t>
      </w:r>
    </w:p>
    <w:p w14:paraId="69405158">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Verma, A., Tiwari, H., Singh, S., Gupta, P., Rai, N., Kumar Singh, S. et al. (2023). Epigenetic manipulation for secondary metabolite activation in endophytic fungi: current progress and future directions. </w:t>
      </w:r>
      <w:r>
        <w:rPr>
          <w:rFonts w:ascii="Arial" w:hAnsi="Arial" w:cs="Arial"/>
          <w:i/>
          <w:iCs/>
          <w:sz w:val="20"/>
          <w:szCs w:val="20"/>
          <w:shd w:val="clear" w:color="auto" w:fill="FFFFFF"/>
          <w:lang w:val="en-US"/>
        </w:rPr>
        <w:t>Mycology, 14</w:t>
      </w:r>
      <w:r>
        <w:rPr>
          <w:rFonts w:ascii="Arial" w:hAnsi="Arial" w:cs="Arial"/>
          <w:sz w:val="20"/>
          <w:szCs w:val="20"/>
          <w:shd w:val="clear" w:color="auto" w:fill="FFFFFF"/>
          <w:lang w:val="en-US"/>
        </w:rPr>
        <w:t>(4), 275-291.</w:t>
      </w:r>
    </w:p>
    <w:p w14:paraId="637D8139">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 xml:space="preserve">Verma, V., Batta, A., Singh, H. B., Srivastava, A., Garg, S. K., Singh, V. P., et al. </w:t>
      </w:r>
      <w:r>
        <w:rPr>
          <w:rFonts w:ascii="Arial" w:hAnsi="Arial" w:cs="Arial"/>
          <w:sz w:val="20"/>
          <w:szCs w:val="20"/>
          <w:shd w:val="clear" w:color="auto" w:fill="FFFFFF"/>
          <w:lang w:val="en-US"/>
        </w:rPr>
        <w:t>(2023). Bioengineering of fungal endophytes through the CRISPR/Cas9 system.</w:t>
      </w:r>
      <w:r>
        <w:rPr>
          <w:rFonts w:ascii="Arial" w:hAnsi="Arial" w:cs="Arial"/>
          <w:sz w:val="20"/>
          <w:szCs w:val="20"/>
          <w:lang w:val="en-US"/>
        </w:rPr>
        <w:t> </w:t>
      </w:r>
      <w:r>
        <w:rPr>
          <w:rFonts w:ascii="Arial" w:hAnsi="Arial" w:cs="Arial"/>
          <w:i/>
          <w:iCs/>
          <w:sz w:val="20"/>
          <w:szCs w:val="20"/>
          <w:shd w:val="clear" w:color="auto" w:fill="FFFFFF"/>
          <w:lang w:val="en-US"/>
        </w:rPr>
        <w:t>Frontiers in Microbiology,</w:t>
      </w:r>
      <w:r>
        <w:rPr>
          <w:rFonts w:ascii="Arial" w:hAnsi="Arial" w:cs="Arial"/>
          <w:i/>
          <w:iCs/>
          <w:sz w:val="20"/>
          <w:szCs w:val="20"/>
          <w:lang w:val="en-US"/>
        </w:rPr>
        <w:t> </w:t>
      </w:r>
      <w:r>
        <w:rPr>
          <w:rFonts w:ascii="Arial" w:hAnsi="Arial" w:cs="Arial"/>
          <w:i/>
          <w:iCs/>
          <w:sz w:val="20"/>
          <w:szCs w:val="20"/>
          <w:shd w:val="clear" w:color="auto" w:fill="FFFFFF"/>
          <w:lang w:val="en-US"/>
        </w:rPr>
        <w:t>14,</w:t>
      </w:r>
      <w:r>
        <w:rPr>
          <w:rFonts w:ascii="Arial" w:hAnsi="Arial" w:cs="Arial"/>
          <w:sz w:val="20"/>
          <w:szCs w:val="20"/>
          <w:shd w:val="clear" w:color="auto" w:fill="FFFFFF"/>
          <w:lang w:val="en-US"/>
        </w:rPr>
        <w:t xml:space="preserve"> 1146650.</w:t>
      </w:r>
    </w:p>
    <w:p w14:paraId="60D342E5">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Wang, X., Yu, D., &amp; Chen, L. (2023). Antimicrobial resistance and mechanisms of epigenetic regulation.</w:t>
      </w:r>
      <w:r>
        <w:rPr>
          <w:rFonts w:ascii="Arial" w:hAnsi="Arial" w:cs="Arial"/>
          <w:sz w:val="20"/>
          <w:szCs w:val="20"/>
          <w:lang w:val="en-US"/>
        </w:rPr>
        <w:t> </w:t>
      </w:r>
      <w:r>
        <w:rPr>
          <w:rFonts w:ascii="Arial" w:hAnsi="Arial" w:cs="Arial"/>
          <w:i/>
          <w:iCs/>
          <w:sz w:val="20"/>
          <w:szCs w:val="20"/>
          <w:shd w:val="clear" w:color="auto" w:fill="FFFFFF"/>
          <w:lang w:val="en-US"/>
        </w:rPr>
        <w:t>Frontiers in Cellular and Infection Microbiology,</w:t>
      </w:r>
      <w:r>
        <w:rPr>
          <w:rFonts w:ascii="Arial" w:hAnsi="Arial" w:cs="Arial"/>
          <w:i/>
          <w:iCs/>
          <w:sz w:val="20"/>
          <w:szCs w:val="20"/>
          <w:lang w:val="en-US"/>
        </w:rPr>
        <w:t> </w:t>
      </w:r>
      <w:r>
        <w:rPr>
          <w:rFonts w:ascii="Arial" w:hAnsi="Arial" w:cs="Arial"/>
          <w:i/>
          <w:iCs/>
          <w:sz w:val="20"/>
          <w:szCs w:val="20"/>
          <w:shd w:val="clear" w:color="auto" w:fill="FFFFFF"/>
          <w:lang w:val="en-US"/>
        </w:rPr>
        <w:t>13</w:t>
      </w:r>
      <w:r>
        <w:rPr>
          <w:rFonts w:ascii="Arial" w:hAnsi="Arial" w:cs="Arial"/>
          <w:sz w:val="20"/>
          <w:szCs w:val="20"/>
          <w:shd w:val="clear" w:color="auto" w:fill="FFFFFF"/>
          <w:lang w:val="en-US"/>
        </w:rPr>
        <w:t xml:space="preserve">, 1199646. </w:t>
      </w:r>
    </w:p>
    <w:p w14:paraId="23BA2735">
      <w:pPr>
        <w:pStyle w:val="66"/>
        <w:numPr>
          <w:ilvl w:val="0"/>
          <w:numId w:val="2"/>
        </w:numPr>
        <w:tabs>
          <w:tab w:val="center" w:pos="142"/>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Wawrosch, C., &amp; Zotchev, S. B. (2021). Production of bioactive plant secondary metabolites through in vitro technologies–status and outlook</w:t>
      </w:r>
      <w:r>
        <w:rPr>
          <w:rFonts w:ascii="Arial" w:hAnsi="Arial" w:cs="Arial"/>
          <w:i/>
          <w:iCs/>
          <w:sz w:val="20"/>
          <w:szCs w:val="20"/>
          <w:shd w:val="clear" w:color="auto" w:fill="FFFFFF"/>
          <w:lang w:val="en-US"/>
        </w:rPr>
        <w:t>.</w:t>
      </w:r>
      <w:r>
        <w:rPr>
          <w:rFonts w:ascii="Arial" w:hAnsi="Arial" w:cs="Arial"/>
          <w:i/>
          <w:iCs/>
          <w:sz w:val="20"/>
          <w:szCs w:val="20"/>
          <w:lang w:val="en-US"/>
        </w:rPr>
        <w:t> </w:t>
      </w:r>
      <w:r>
        <w:rPr>
          <w:rFonts w:ascii="Arial" w:hAnsi="Arial" w:cs="Arial"/>
          <w:i/>
          <w:iCs/>
          <w:sz w:val="20"/>
          <w:szCs w:val="20"/>
          <w:shd w:val="clear" w:color="auto" w:fill="FFFFFF"/>
          <w:lang w:val="en-US"/>
        </w:rPr>
        <w:t>Applied Microbiology and Biotechnology,</w:t>
      </w:r>
      <w:r>
        <w:rPr>
          <w:rFonts w:ascii="Arial" w:hAnsi="Arial" w:cs="Arial"/>
          <w:i/>
          <w:iCs/>
          <w:sz w:val="20"/>
          <w:szCs w:val="20"/>
          <w:lang w:val="en-US"/>
        </w:rPr>
        <w:t> </w:t>
      </w:r>
      <w:r>
        <w:rPr>
          <w:rFonts w:ascii="Arial" w:hAnsi="Arial" w:cs="Arial"/>
          <w:i/>
          <w:iCs/>
          <w:sz w:val="20"/>
          <w:szCs w:val="20"/>
          <w:shd w:val="clear" w:color="auto" w:fill="FFFFFF"/>
          <w:lang w:val="en-US"/>
        </w:rPr>
        <w:t>105</w:t>
      </w:r>
      <w:r>
        <w:rPr>
          <w:rFonts w:ascii="Arial" w:hAnsi="Arial" w:cs="Arial"/>
          <w:sz w:val="20"/>
          <w:szCs w:val="20"/>
          <w:shd w:val="clear" w:color="auto" w:fill="FFFFFF"/>
          <w:lang w:val="en-US"/>
        </w:rPr>
        <w:t>(18), 6649-6668.</w:t>
      </w:r>
    </w:p>
    <w:p w14:paraId="377ED1D4">
      <w:pPr>
        <w:pStyle w:val="66"/>
        <w:numPr>
          <w:ilvl w:val="0"/>
          <w:numId w:val="2"/>
        </w:numPr>
        <w:tabs>
          <w:tab w:val="center" w:pos="142"/>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Wen, J., Okyere, S. K., Wang, S., Wang, J., Xie, L., Ran, Y., et al. (2022). Endophytic Fungi: An Effective Alternative Source of Plant-Derived Bioactive Compounds for Pharmacological Studies.</w:t>
      </w:r>
      <w:r>
        <w:rPr>
          <w:rFonts w:ascii="Arial" w:hAnsi="Arial" w:cs="Arial"/>
          <w:sz w:val="20"/>
          <w:szCs w:val="20"/>
          <w:lang w:val="en-US"/>
        </w:rPr>
        <w:t> </w:t>
      </w:r>
      <w:r>
        <w:rPr>
          <w:rFonts w:ascii="Arial" w:hAnsi="Arial" w:cs="Arial"/>
          <w:i/>
          <w:iCs/>
          <w:sz w:val="20"/>
          <w:szCs w:val="20"/>
          <w:shd w:val="clear" w:color="auto" w:fill="FFFFFF"/>
          <w:lang w:val="en-US"/>
        </w:rPr>
        <w:t>Journal of Fungi,</w:t>
      </w:r>
      <w:r>
        <w:rPr>
          <w:rFonts w:ascii="Arial" w:hAnsi="Arial" w:cs="Arial"/>
          <w:i/>
          <w:iCs/>
          <w:sz w:val="20"/>
          <w:szCs w:val="20"/>
          <w:lang w:val="en-US"/>
        </w:rPr>
        <w:t> </w:t>
      </w:r>
      <w:r>
        <w:rPr>
          <w:rFonts w:ascii="Arial" w:hAnsi="Arial" w:cs="Arial"/>
          <w:i/>
          <w:iCs/>
          <w:sz w:val="20"/>
          <w:szCs w:val="20"/>
          <w:shd w:val="clear" w:color="auto" w:fill="FFFFFF"/>
          <w:lang w:val="en-US"/>
        </w:rPr>
        <w:t>8</w:t>
      </w:r>
      <w:r>
        <w:rPr>
          <w:rFonts w:ascii="Arial" w:hAnsi="Arial" w:cs="Arial"/>
          <w:sz w:val="20"/>
          <w:szCs w:val="20"/>
          <w:shd w:val="clear" w:color="auto" w:fill="FFFFFF"/>
          <w:lang w:val="en-US"/>
        </w:rPr>
        <w:t>(2), 205.</w:t>
      </w:r>
    </w:p>
    <w:p w14:paraId="174486FD">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Wickell, D. A., &amp; Li, F. W. (2020). On the evolutionary significance of horizontal gene transfers in plants.</w:t>
      </w:r>
      <w:r>
        <w:rPr>
          <w:rFonts w:ascii="Arial" w:hAnsi="Arial" w:cs="Arial"/>
          <w:sz w:val="20"/>
          <w:szCs w:val="20"/>
          <w:lang w:val="en-US"/>
        </w:rPr>
        <w:t> </w:t>
      </w:r>
      <w:r>
        <w:rPr>
          <w:rFonts w:ascii="Arial" w:hAnsi="Arial" w:cs="Arial"/>
          <w:i/>
          <w:iCs/>
          <w:sz w:val="20"/>
          <w:szCs w:val="20"/>
          <w:shd w:val="clear" w:color="auto" w:fill="FFFFFF"/>
          <w:lang w:val="en-US"/>
        </w:rPr>
        <w:t>The New Phytologist,</w:t>
      </w:r>
      <w:r>
        <w:rPr>
          <w:rFonts w:ascii="Arial" w:hAnsi="Arial" w:cs="Arial"/>
          <w:i/>
          <w:iCs/>
          <w:sz w:val="20"/>
          <w:szCs w:val="20"/>
          <w:lang w:val="en-US"/>
        </w:rPr>
        <w:t> </w:t>
      </w:r>
      <w:r>
        <w:rPr>
          <w:rFonts w:ascii="Arial" w:hAnsi="Arial" w:cs="Arial"/>
          <w:i/>
          <w:iCs/>
          <w:sz w:val="20"/>
          <w:szCs w:val="20"/>
          <w:shd w:val="clear" w:color="auto" w:fill="FFFFFF"/>
          <w:lang w:val="en-US"/>
        </w:rPr>
        <w:t>225</w:t>
      </w:r>
      <w:r>
        <w:rPr>
          <w:rFonts w:ascii="Arial" w:hAnsi="Arial" w:cs="Arial"/>
          <w:sz w:val="20"/>
          <w:szCs w:val="20"/>
          <w:shd w:val="clear" w:color="auto" w:fill="FFFFFF"/>
          <w:lang w:val="en-US"/>
        </w:rPr>
        <w:t>(1), 113-117.</w:t>
      </w:r>
    </w:p>
    <w:p w14:paraId="3AFB4AA3">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World Health Organization. (2017). </w:t>
      </w:r>
      <w:r>
        <w:rPr>
          <w:rFonts w:ascii="Arial" w:hAnsi="Arial" w:cs="Arial"/>
          <w:i/>
          <w:iCs/>
          <w:sz w:val="20"/>
          <w:szCs w:val="20"/>
          <w:shd w:val="clear" w:color="auto" w:fill="FFFFFF"/>
          <w:lang w:val="en-US"/>
        </w:rPr>
        <w:t>WHO Guidelines on Use of Medically Important Antimicrobials in Food-Producing Animals</w:t>
      </w:r>
      <w:r>
        <w:rPr>
          <w:rFonts w:ascii="Arial" w:hAnsi="Arial" w:cs="Arial"/>
          <w:sz w:val="20"/>
          <w:szCs w:val="20"/>
          <w:shd w:val="clear" w:color="auto" w:fill="FFFFFF"/>
          <w:lang w:val="en-US"/>
        </w:rPr>
        <w:t>. Geneva: World Health Organization.</w:t>
      </w:r>
    </w:p>
    <w:p w14:paraId="556B27EE">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World Health Organization. (2025). </w:t>
      </w:r>
      <w:r>
        <w:rPr>
          <w:rFonts w:ascii="Arial" w:hAnsi="Arial" w:cs="Arial"/>
          <w:i/>
          <w:iCs/>
          <w:sz w:val="20"/>
          <w:szCs w:val="20"/>
          <w:shd w:val="clear" w:color="auto" w:fill="FFFFFF"/>
          <w:lang w:val="en-US"/>
        </w:rPr>
        <w:t>Antimicrobial resistance</w:t>
      </w:r>
      <w:r>
        <w:rPr>
          <w:rFonts w:ascii="Arial" w:hAnsi="Arial" w:cs="Arial"/>
          <w:sz w:val="20"/>
          <w:szCs w:val="20"/>
          <w:shd w:val="clear" w:color="auto" w:fill="FFFFFF"/>
          <w:lang w:val="en-US"/>
        </w:rPr>
        <w:t>. https://www.who.int/en/health-topics/antimicrobial-resistance</w:t>
      </w:r>
    </w:p>
    <w:p w14:paraId="0AE7B1B4">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Xie, F., Zi, Z. F., Wang, W. J., Xia, D. D., Geng, Y., Xie, S. J., et al. (2025). Phthalate-related metabolites from an endophytic </w:t>
      </w:r>
      <w:r>
        <w:rPr>
          <w:rFonts w:ascii="Arial" w:hAnsi="Arial" w:cs="Arial"/>
          <w:i/>
          <w:iCs/>
          <w:sz w:val="20"/>
          <w:szCs w:val="20"/>
          <w:shd w:val="clear" w:color="auto" w:fill="FFFFFF"/>
          <w:lang w:val="en-US"/>
        </w:rPr>
        <w:t>Alternaria</w:t>
      </w:r>
      <w:r>
        <w:rPr>
          <w:rFonts w:ascii="Arial" w:hAnsi="Arial" w:cs="Arial"/>
          <w:sz w:val="20"/>
          <w:szCs w:val="20"/>
          <w:shd w:val="clear" w:color="auto" w:fill="FFFFFF"/>
          <w:lang w:val="en-US"/>
        </w:rPr>
        <w:t xml:space="preserve"> sp. YUD24001 associated with </w:t>
      </w:r>
      <w:r>
        <w:rPr>
          <w:rFonts w:ascii="Arial" w:hAnsi="Arial" w:cs="Arial"/>
          <w:i/>
          <w:iCs/>
          <w:sz w:val="20"/>
          <w:szCs w:val="20"/>
          <w:shd w:val="clear" w:color="auto" w:fill="FFFFFF"/>
          <w:lang w:val="en-US"/>
        </w:rPr>
        <w:t>Aconitum hemsleyanum</w:t>
      </w:r>
      <w:r>
        <w:rPr>
          <w:rFonts w:ascii="Arial" w:hAnsi="Arial" w:cs="Arial"/>
          <w:sz w:val="20"/>
          <w:szCs w:val="20"/>
          <w:shd w:val="clear" w:color="auto" w:fill="FFFFFF"/>
          <w:lang w:val="en-US"/>
        </w:rPr>
        <w:t>.</w:t>
      </w:r>
      <w:r>
        <w:rPr>
          <w:rFonts w:ascii="Arial" w:hAnsi="Arial" w:cs="Arial"/>
          <w:sz w:val="20"/>
          <w:szCs w:val="20"/>
          <w:lang w:val="en-US"/>
        </w:rPr>
        <w:t> </w:t>
      </w:r>
      <w:r>
        <w:rPr>
          <w:rFonts w:ascii="Arial" w:hAnsi="Arial" w:cs="Arial"/>
          <w:i/>
          <w:iCs/>
          <w:sz w:val="20"/>
          <w:szCs w:val="20"/>
          <w:shd w:val="clear" w:color="auto" w:fill="FFFFFF"/>
          <w:lang w:val="en-US"/>
        </w:rPr>
        <w:t>Phytochemistry,</w:t>
      </w:r>
      <w:r>
        <w:rPr>
          <w:rFonts w:ascii="Arial" w:hAnsi="Arial" w:cs="Arial"/>
          <w:i/>
          <w:iCs/>
          <w:sz w:val="20"/>
          <w:szCs w:val="20"/>
          <w:lang w:val="en-US"/>
        </w:rPr>
        <w:t> </w:t>
      </w:r>
      <w:r>
        <w:rPr>
          <w:rFonts w:ascii="Arial" w:hAnsi="Arial" w:cs="Arial"/>
          <w:i/>
          <w:iCs/>
          <w:sz w:val="20"/>
          <w:szCs w:val="20"/>
          <w:shd w:val="clear" w:color="auto" w:fill="FFFFFF"/>
          <w:lang w:val="en-US"/>
        </w:rPr>
        <w:t>237</w:t>
      </w:r>
      <w:r>
        <w:rPr>
          <w:rFonts w:ascii="Arial" w:hAnsi="Arial" w:cs="Arial"/>
          <w:sz w:val="20"/>
          <w:szCs w:val="20"/>
          <w:shd w:val="clear" w:color="auto" w:fill="FFFFFF"/>
          <w:lang w:val="en-US"/>
        </w:rPr>
        <w:t>, 114536.</w:t>
      </w:r>
    </w:p>
    <w:p w14:paraId="7598EA81">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Xuan, J., Feng, W., Wang, J., Wang, R., Zhang, B., Bo, L., et al. (2023). Antimicrobial peptides for combating drug-resistant bacterial infections.</w:t>
      </w:r>
      <w:r>
        <w:rPr>
          <w:rFonts w:ascii="Arial" w:hAnsi="Arial" w:cs="Arial"/>
          <w:sz w:val="20"/>
          <w:szCs w:val="20"/>
          <w:lang w:val="en-US"/>
        </w:rPr>
        <w:t> </w:t>
      </w:r>
      <w:r>
        <w:rPr>
          <w:rFonts w:ascii="Arial" w:hAnsi="Arial" w:cs="Arial"/>
          <w:i/>
          <w:iCs/>
          <w:sz w:val="20"/>
          <w:szCs w:val="20"/>
          <w:shd w:val="clear" w:color="auto" w:fill="FFFFFF"/>
          <w:lang w:val="en-US"/>
        </w:rPr>
        <w:t>Drug Resistance Updates,</w:t>
      </w:r>
      <w:r>
        <w:rPr>
          <w:rFonts w:ascii="Arial" w:hAnsi="Arial" w:cs="Arial"/>
          <w:i/>
          <w:iCs/>
          <w:sz w:val="20"/>
          <w:szCs w:val="20"/>
          <w:lang w:val="en-US"/>
        </w:rPr>
        <w:t> </w:t>
      </w:r>
      <w:r>
        <w:rPr>
          <w:rFonts w:ascii="Arial" w:hAnsi="Arial" w:cs="Arial"/>
          <w:i/>
          <w:iCs/>
          <w:sz w:val="20"/>
          <w:szCs w:val="20"/>
          <w:shd w:val="clear" w:color="auto" w:fill="FFFFFF"/>
          <w:lang w:val="en-US"/>
        </w:rPr>
        <w:t xml:space="preserve">68, </w:t>
      </w:r>
      <w:r>
        <w:rPr>
          <w:rFonts w:ascii="Arial" w:hAnsi="Arial" w:cs="Arial"/>
          <w:sz w:val="20"/>
          <w:szCs w:val="20"/>
          <w:shd w:val="clear" w:color="auto" w:fill="FFFFFF"/>
          <w:lang w:val="en-US"/>
        </w:rPr>
        <w:t>100954.</w:t>
      </w:r>
    </w:p>
    <w:p w14:paraId="066945D6">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Xu, F., Wang, S., Li, Y., Zheng, M., Xi, X., Cao, H., et al. (2018). Yield enhancement strategies of rare pharmaceutical metabolites from endophytes.</w:t>
      </w:r>
      <w:r>
        <w:rPr>
          <w:rFonts w:ascii="Arial" w:hAnsi="Arial" w:cs="Arial"/>
          <w:sz w:val="20"/>
          <w:szCs w:val="20"/>
          <w:lang w:val="en-US"/>
        </w:rPr>
        <w:t> </w:t>
      </w:r>
      <w:r>
        <w:rPr>
          <w:rFonts w:ascii="Arial" w:hAnsi="Arial" w:cs="Arial"/>
          <w:i/>
          <w:iCs/>
          <w:sz w:val="20"/>
          <w:szCs w:val="20"/>
          <w:shd w:val="clear" w:color="auto" w:fill="FFFFFF"/>
          <w:lang w:val="en-US"/>
        </w:rPr>
        <w:t>Biotechnology Letters,</w:t>
      </w:r>
      <w:r>
        <w:rPr>
          <w:rFonts w:ascii="Arial" w:hAnsi="Arial" w:cs="Arial"/>
          <w:i/>
          <w:iCs/>
          <w:sz w:val="20"/>
          <w:szCs w:val="20"/>
          <w:lang w:val="en-US"/>
        </w:rPr>
        <w:t> </w:t>
      </w:r>
      <w:r>
        <w:rPr>
          <w:rFonts w:ascii="Arial" w:hAnsi="Arial" w:cs="Arial"/>
          <w:i/>
          <w:iCs/>
          <w:sz w:val="20"/>
          <w:szCs w:val="20"/>
          <w:shd w:val="clear" w:color="auto" w:fill="FFFFFF"/>
          <w:lang w:val="en-US"/>
        </w:rPr>
        <w:t>40</w:t>
      </w:r>
      <w:r>
        <w:rPr>
          <w:rFonts w:ascii="Arial" w:hAnsi="Arial" w:cs="Arial"/>
          <w:sz w:val="20"/>
          <w:szCs w:val="20"/>
          <w:shd w:val="clear" w:color="auto" w:fill="FFFFFF"/>
          <w:lang w:val="en-US"/>
        </w:rPr>
        <w:t>(5), 797-807.</w:t>
      </w:r>
    </w:p>
    <w:p w14:paraId="0FA8D6AC">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 xml:space="preserve">Yang, Q., Wu, M., Zhu, Y. L., Yang, Y. Q., Mei, Y. Z., &amp; Dai, C. C. (2021). The disruption of the MAPKK gene triggering the synthesis of flavonoids in endophytic fungus </w:t>
      </w:r>
      <w:r>
        <w:rPr>
          <w:rFonts w:ascii="Arial" w:hAnsi="Arial" w:cs="Arial"/>
          <w:i/>
          <w:iCs/>
          <w:sz w:val="20"/>
          <w:szCs w:val="20"/>
          <w:shd w:val="clear" w:color="auto" w:fill="FFFFFF"/>
          <w:lang w:val="en-US"/>
        </w:rPr>
        <w:t>Phomopsis liquidambaris</w:t>
      </w:r>
      <w:r>
        <w:rPr>
          <w:rFonts w:ascii="Arial" w:hAnsi="Arial" w:cs="Arial"/>
          <w:sz w:val="20"/>
          <w:szCs w:val="20"/>
          <w:shd w:val="clear" w:color="auto" w:fill="FFFFFF"/>
          <w:lang w:val="en-US"/>
        </w:rPr>
        <w:t>.</w:t>
      </w:r>
      <w:r>
        <w:rPr>
          <w:rFonts w:ascii="Arial" w:hAnsi="Arial" w:cs="Arial"/>
          <w:sz w:val="20"/>
          <w:szCs w:val="20"/>
          <w:lang w:val="en-US"/>
        </w:rPr>
        <w:t> </w:t>
      </w:r>
      <w:r>
        <w:rPr>
          <w:rFonts w:ascii="Arial" w:hAnsi="Arial" w:cs="Arial"/>
          <w:i/>
          <w:iCs/>
          <w:sz w:val="20"/>
          <w:szCs w:val="20"/>
          <w:shd w:val="clear" w:color="auto" w:fill="FFFFFF"/>
          <w:lang w:val="en-US"/>
        </w:rPr>
        <w:t>Biotechnology Letters,</w:t>
      </w:r>
      <w:r>
        <w:rPr>
          <w:rFonts w:ascii="Arial" w:hAnsi="Arial" w:cs="Arial"/>
          <w:i/>
          <w:iCs/>
          <w:sz w:val="20"/>
          <w:szCs w:val="20"/>
          <w:lang w:val="en-US"/>
        </w:rPr>
        <w:t> </w:t>
      </w:r>
      <w:r>
        <w:rPr>
          <w:rFonts w:ascii="Arial" w:hAnsi="Arial" w:cs="Arial"/>
          <w:i/>
          <w:iCs/>
          <w:sz w:val="20"/>
          <w:szCs w:val="20"/>
          <w:shd w:val="clear" w:color="auto" w:fill="FFFFFF"/>
          <w:lang w:val="en-US"/>
        </w:rPr>
        <w:t>43</w:t>
      </w:r>
      <w:r>
        <w:rPr>
          <w:rFonts w:ascii="Arial" w:hAnsi="Arial" w:cs="Arial"/>
          <w:sz w:val="20"/>
          <w:szCs w:val="20"/>
          <w:shd w:val="clear" w:color="auto" w:fill="FFFFFF"/>
          <w:lang w:val="en-US"/>
        </w:rPr>
        <w:t>(1), 119-132.</w:t>
      </w:r>
    </w:p>
    <w:p w14:paraId="5B40333D">
      <w:pPr>
        <w:pStyle w:val="66"/>
        <w:numPr>
          <w:ilvl w:val="0"/>
          <w:numId w:val="2"/>
        </w:numPr>
        <w:tabs>
          <w:tab w:val="center" w:pos="426"/>
        </w:tabs>
        <w:ind w:left="426" w:right="0" w:hanging="426"/>
        <w:rPr>
          <w:rFonts w:ascii="Arial" w:hAnsi="Arial" w:cs="Arial"/>
          <w:sz w:val="20"/>
          <w:szCs w:val="20"/>
          <w:shd w:val="clear" w:color="auto" w:fill="FFFFFF"/>
          <w:lang w:val="es-CR"/>
        </w:rPr>
      </w:pPr>
      <w:r>
        <w:rPr>
          <w:rFonts w:ascii="Arial" w:hAnsi="Arial" w:cs="Arial"/>
          <w:sz w:val="20"/>
          <w:szCs w:val="20"/>
          <w:shd w:val="clear" w:color="auto" w:fill="FFFFFF"/>
          <w:lang w:val="es-CR"/>
        </w:rPr>
        <w:t xml:space="preserve">Yu, W., Pei, R., Zhang, Y., Tu, Y., &amp; He, B. (2023). </w:t>
      </w:r>
      <w:r>
        <w:rPr>
          <w:rFonts w:ascii="Arial" w:hAnsi="Arial" w:cs="Arial"/>
          <w:sz w:val="20"/>
          <w:szCs w:val="20"/>
          <w:shd w:val="clear" w:color="auto" w:fill="FFFFFF"/>
          <w:lang w:val="en-US"/>
        </w:rPr>
        <w:t>Light regulation of secondary metabolism in fungi.</w:t>
      </w:r>
      <w:r>
        <w:rPr>
          <w:rFonts w:ascii="Arial" w:hAnsi="Arial" w:cs="Arial"/>
          <w:sz w:val="20"/>
          <w:szCs w:val="20"/>
          <w:lang w:val="en-US"/>
        </w:rPr>
        <w:t> </w:t>
      </w:r>
      <w:r>
        <w:rPr>
          <w:rFonts w:ascii="Arial" w:hAnsi="Arial" w:cs="Arial"/>
          <w:i/>
          <w:iCs/>
          <w:sz w:val="20"/>
          <w:szCs w:val="20"/>
          <w:shd w:val="clear" w:color="auto" w:fill="FFFFFF"/>
          <w:lang w:val="es-CR"/>
        </w:rPr>
        <w:t>Journal of Biological Engineering,</w:t>
      </w:r>
      <w:r>
        <w:rPr>
          <w:rFonts w:ascii="Arial" w:hAnsi="Arial" w:cs="Arial"/>
          <w:i/>
          <w:iCs/>
          <w:sz w:val="20"/>
          <w:szCs w:val="20"/>
          <w:lang w:val="es-CR"/>
        </w:rPr>
        <w:t> </w:t>
      </w:r>
      <w:r>
        <w:rPr>
          <w:rFonts w:ascii="Arial" w:hAnsi="Arial" w:cs="Arial"/>
          <w:i/>
          <w:iCs/>
          <w:sz w:val="20"/>
          <w:szCs w:val="20"/>
          <w:shd w:val="clear" w:color="auto" w:fill="FFFFFF"/>
          <w:lang w:val="es-CR"/>
        </w:rPr>
        <w:t>17</w:t>
      </w:r>
      <w:r>
        <w:rPr>
          <w:rFonts w:ascii="Arial" w:hAnsi="Arial" w:cs="Arial"/>
          <w:sz w:val="20"/>
          <w:szCs w:val="20"/>
          <w:shd w:val="clear" w:color="auto" w:fill="FFFFFF"/>
          <w:lang w:val="es-CR"/>
        </w:rPr>
        <w:t>(1), 57.</w:t>
      </w:r>
    </w:p>
    <w:p w14:paraId="48FA9230">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s-CR"/>
        </w:rPr>
        <w:t>Zakariyah, R.F., Ajijolakewu, K.A., Ayodele, A.J., Folami</w:t>
      </w:r>
      <w:r>
        <w:rPr>
          <w:rFonts w:ascii="Cambria Math" w:hAnsi="Cambria Math" w:cs="Cambria Math"/>
          <w:sz w:val="20"/>
          <w:szCs w:val="20"/>
          <w:shd w:val="clear" w:color="auto" w:fill="FFFFFF"/>
          <w:lang w:val="es-CR"/>
        </w:rPr>
        <w:t>‑</w:t>
      </w:r>
      <w:r>
        <w:rPr>
          <w:rFonts w:ascii="Arial" w:hAnsi="Arial" w:cs="Arial"/>
          <w:sz w:val="20"/>
          <w:szCs w:val="20"/>
          <w:shd w:val="clear" w:color="auto" w:fill="FFFFFF"/>
          <w:lang w:val="es-CR"/>
        </w:rPr>
        <w:t>A, B. I., Samuel, E. P., Otuoze, S. O., et al. </w:t>
      </w:r>
      <w:r>
        <w:rPr>
          <w:rFonts w:ascii="Arial" w:hAnsi="Arial" w:cs="Arial"/>
          <w:sz w:val="20"/>
          <w:szCs w:val="20"/>
          <w:shd w:val="clear" w:color="auto" w:fill="FFFFFF"/>
          <w:lang w:val="en-US"/>
        </w:rPr>
        <w:t>(2024). Progress in endophytic fungi secondary metabolites: biosynthetic gene cluster reactivation and advances in metabolomics. </w:t>
      </w:r>
      <w:r>
        <w:rPr>
          <w:rFonts w:ascii="Arial" w:hAnsi="Arial" w:cs="Arial"/>
          <w:i/>
          <w:iCs/>
          <w:sz w:val="20"/>
          <w:szCs w:val="20"/>
          <w:shd w:val="clear" w:color="auto" w:fill="FFFFFF"/>
          <w:lang w:val="en-US"/>
        </w:rPr>
        <w:t>Bulletin of the National Research Centre, 48</w:t>
      </w:r>
      <w:r>
        <w:rPr>
          <w:rFonts w:ascii="Arial" w:hAnsi="Arial" w:cs="Arial"/>
          <w:sz w:val="20"/>
          <w:szCs w:val="20"/>
          <w:shd w:val="clear" w:color="auto" w:fill="FFFFFF"/>
          <w:lang w:val="en-US"/>
        </w:rPr>
        <w:t>(44).</w:t>
      </w:r>
    </w:p>
    <w:p w14:paraId="4FC70BE9">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Zeng, D., Debabov, D., Hartsell, T. L., Cano, R. J., Adams, S., Schuyler, J. A., et al. (2016). Approved Glycopeptide Antibacterial Drugs: Mechanism of Action and Resistance.</w:t>
      </w:r>
      <w:r>
        <w:rPr>
          <w:rFonts w:ascii="Arial" w:hAnsi="Arial" w:cs="Arial"/>
          <w:sz w:val="20"/>
          <w:szCs w:val="20"/>
          <w:lang w:val="en-US"/>
        </w:rPr>
        <w:t> </w:t>
      </w:r>
      <w:r>
        <w:rPr>
          <w:rFonts w:ascii="Arial" w:hAnsi="Arial" w:cs="Arial"/>
          <w:i/>
          <w:iCs/>
          <w:sz w:val="20"/>
          <w:szCs w:val="20"/>
          <w:shd w:val="clear" w:color="auto" w:fill="FFFFFF"/>
          <w:lang w:val="en-US"/>
        </w:rPr>
        <w:t>Cold Spring Harbor Perspectives in Medicine,</w:t>
      </w:r>
      <w:r>
        <w:rPr>
          <w:rFonts w:ascii="Arial" w:hAnsi="Arial" w:cs="Arial"/>
          <w:i/>
          <w:iCs/>
          <w:sz w:val="20"/>
          <w:szCs w:val="20"/>
          <w:lang w:val="en-US"/>
        </w:rPr>
        <w:t> </w:t>
      </w:r>
      <w:r>
        <w:rPr>
          <w:rFonts w:ascii="Arial" w:hAnsi="Arial" w:cs="Arial"/>
          <w:i/>
          <w:iCs/>
          <w:sz w:val="20"/>
          <w:szCs w:val="20"/>
          <w:shd w:val="clear" w:color="auto" w:fill="FFFFFF"/>
          <w:lang w:val="en-US"/>
        </w:rPr>
        <w:t>6</w:t>
      </w:r>
      <w:r>
        <w:rPr>
          <w:rFonts w:ascii="Arial" w:hAnsi="Arial" w:cs="Arial"/>
          <w:sz w:val="20"/>
          <w:szCs w:val="20"/>
          <w:shd w:val="clear" w:color="auto" w:fill="FFFFFF"/>
          <w:lang w:val="en-US"/>
        </w:rPr>
        <w:t>(12), a026989.</w:t>
      </w:r>
    </w:p>
    <w:p w14:paraId="2220C6A2">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Zhang, D., Zheng, J., Chu, M., Feng, Y., &amp; Li, H. (2023). Secondary metabolites from the endophytic fungus </w:t>
      </w:r>
      <w:r>
        <w:rPr>
          <w:rFonts w:ascii="Arial" w:hAnsi="Arial" w:cs="Arial"/>
          <w:i/>
          <w:iCs/>
          <w:sz w:val="20"/>
          <w:szCs w:val="20"/>
          <w:shd w:val="clear" w:color="auto" w:fill="FFFFFF"/>
          <w:lang w:val="en-US"/>
        </w:rPr>
        <w:t>Cladosporium</w:t>
      </w:r>
      <w:r>
        <w:rPr>
          <w:rFonts w:ascii="Arial" w:hAnsi="Arial" w:cs="Arial"/>
          <w:sz w:val="20"/>
          <w:szCs w:val="20"/>
          <w:shd w:val="clear" w:color="auto" w:fill="FFFFFF"/>
          <w:lang w:val="en-US"/>
        </w:rPr>
        <w:t xml:space="preserve"> sp. ZLM-6. </w:t>
      </w:r>
      <w:r>
        <w:rPr>
          <w:rFonts w:ascii="Arial" w:hAnsi="Arial" w:cs="Arial"/>
          <w:i/>
          <w:iCs/>
          <w:sz w:val="20"/>
          <w:szCs w:val="20"/>
          <w:shd w:val="clear" w:color="auto" w:fill="FFFFFF"/>
          <w:lang w:val="en-US"/>
        </w:rPr>
        <w:t>Biochemical Systematics and Ecology, 111</w:t>
      </w:r>
      <w:r>
        <w:rPr>
          <w:rFonts w:ascii="Arial" w:hAnsi="Arial" w:cs="Arial"/>
          <w:sz w:val="20"/>
          <w:szCs w:val="20"/>
          <w:shd w:val="clear" w:color="auto" w:fill="FFFFFF"/>
          <w:lang w:val="en-US"/>
        </w:rPr>
        <w:t>, 104741.</w:t>
      </w:r>
    </w:p>
    <w:p w14:paraId="5E70F849">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Zhang, M. L., Li, H. B., &amp; Jin, Y. (2024). Application and perspective of CRISPR/Cas9 genome editing technology in human diseases modeling and gene therapy.</w:t>
      </w:r>
      <w:r>
        <w:rPr>
          <w:rFonts w:ascii="Arial" w:hAnsi="Arial" w:cs="Arial"/>
          <w:sz w:val="20"/>
          <w:szCs w:val="20"/>
          <w:lang w:val="en-US"/>
        </w:rPr>
        <w:t> </w:t>
      </w:r>
      <w:r>
        <w:rPr>
          <w:rFonts w:ascii="Arial" w:hAnsi="Arial" w:cs="Arial"/>
          <w:i/>
          <w:iCs/>
          <w:sz w:val="20"/>
          <w:szCs w:val="20"/>
          <w:shd w:val="clear" w:color="auto" w:fill="FFFFFF"/>
          <w:lang w:val="en-US"/>
        </w:rPr>
        <w:t>Frontiers in Genetics,</w:t>
      </w:r>
      <w:r>
        <w:rPr>
          <w:rFonts w:ascii="Arial" w:hAnsi="Arial" w:cs="Arial"/>
          <w:i/>
          <w:iCs/>
          <w:sz w:val="20"/>
          <w:szCs w:val="20"/>
          <w:lang w:val="en-US"/>
        </w:rPr>
        <w:t> </w:t>
      </w:r>
      <w:r>
        <w:rPr>
          <w:rFonts w:ascii="Arial" w:hAnsi="Arial" w:cs="Arial"/>
          <w:i/>
          <w:iCs/>
          <w:sz w:val="20"/>
          <w:szCs w:val="20"/>
          <w:shd w:val="clear" w:color="auto" w:fill="FFFFFF"/>
          <w:lang w:val="en-US"/>
        </w:rPr>
        <w:t>15</w:t>
      </w:r>
      <w:r>
        <w:rPr>
          <w:rFonts w:ascii="Arial" w:hAnsi="Arial" w:cs="Arial"/>
          <w:sz w:val="20"/>
          <w:szCs w:val="20"/>
          <w:shd w:val="clear" w:color="auto" w:fill="FFFFFF"/>
          <w:lang w:val="en-US"/>
        </w:rPr>
        <w:t>, 1364742.</w:t>
      </w:r>
    </w:p>
    <w:p w14:paraId="2EF1F4A4">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Zhao, M., Yuan, S., Li, Z., Liu, C., &amp; Zhang, R. (2024). Review of the Structural Characteristics and Biological Activities of</w:t>
      </w:r>
      <w:r>
        <w:rPr>
          <w:rFonts w:ascii="Arial" w:hAnsi="Arial" w:cs="Arial"/>
          <w:sz w:val="20"/>
          <w:szCs w:val="20"/>
          <w:lang w:val="en-US"/>
        </w:rPr>
        <w:t> </w:t>
      </w:r>
      <w:r>
        <w:rPr>
          <w:rFonts w:ascii="Arial" w:hAnsi="Arial" w:cs="Arial"/>
          <w:i/>
          <w:iCs/>
          <w:sz w:val="20"/>
          <w:szCs w:val="20"/>
          <w:shd w:val="clear" w:color="auto" w:fill="FFFFFF"/>
          <w:lang w:val="en-US"/>
        </w:rPr>
        <w:t>Tricholoma</w:t>
      </w:r>
      <w:r>
        <w:rPr>
          <w:rFonts w:ascii="Arial" w:hAnsi="Arial" w:cs="Arial"/>
          <w:i/>
          <w:iCs/>
          <w:sz w:val="20"/>
          <w:szCs w:val="20"/>
          <w:lang w:val="en-US"/>
        </w:rPr>
        <w:t> </w:t>
      </w:r>
      <w:r>
        <w:rPr>
          <w:rFonts w:ascii="Arial" w:hAnsi="Arial" w:cs="Arial"/>
          <w:sz w:val="20"/>
          <w:szCs w:val="20"/>
          <w:shd w:val="clear" w:color="auto" w:fill="FFFFFF"/>
          <w:lang w:val="en-US"/>
        </w:rPr>
        <w:t>Secondary Metabolites (2018–2023).</w:t>
      </w:r>
      <w:r>
        <w:rPr>
          <w:rFonts w:ascii="Arial" w:hAnsi="Arial" w:cs="Arial"/>
          <w:sz w:val="20"/>
          <w:szCs w:val="20"/>
          <w:lang w:val="en-US"/>
        </w:rPr>
        <w:t> </w:t>
      </w:r>
      <w:r>
        <w:rPr>
          <w:rFonts w:ascii="Arial" w:hAnsi="Arial" w:cs="Arial"/>
          <w:i/>
          <w:iCs/>
          <w:sz w:val="20"/>
          <w:szCs w:val="20"/>
          <w:shd w:val="clear" w:color="auto" w:fill="FFFFFF"/>
          <w:lang w:val="en-US"/>
        </w:rPr>
        <w:t>Molecules,</w:t>
      </w:r>
      <w:r>
        <w:rPr>
          <w:rFonts w:ascii="Arial" w:hAnsi="Arial" w:cs="Arial"/>
          <w:i/>
          <w:iCs/>
          <w:sz w:val="20"/>
          <w:szCs w:val="20"/>
          <w:lang w:val="en-US"/>
        </w:rPr>
        <w:t> </w:t>
      </w:r>
      <w:r>
        <w:rPr>
          <w:rFonts w:ascii="Arial" w:hAnsi="Arial" w:cs="Arial"/>
          <w:i/>
          <w:iCs/>
          <w:sz w:val="20"/>
          <w:szCs w:val="20"/>
          <w:shd w:val="clear" w:color="auto" w:fill="FFFFFF"/>
          <w:lang w:val="en-US"/>
        </w:rPr>
        <w:t>29</w:t>
      </w:r>
      <w:r>
        <w:rPr>
          <w:rFonts w:ascii="Arial" w:hAnsi="Arial" w:cs="Arial"/>
          <w:sz w:val="20"/>
          <w:szCs w:val="20"/>
          <w:shd w:val="clear" w:color="auto" w:fill="FFFFFF"/>
          <w:lang w:val="en-US"/>
        </w:rPr>
        <w:t>(19), 4719.</w:t>
      </w:r>
    </w:p>
    <w:p w14:paraId="1343158B">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Zhao, S., Yin, R., Zhang, M.</w:t>
      </w:r>
      <w:r>
        <w:rPr>
          <w:rFonts w:ascii="Arial" w:hAnsi="Arial" w:cs="Arial"/>
          <w:sz w:val="20"/>
          <w:szCs w:val="20"/>
          <w:lang w:val="en-US"/>
        </w:rPr>
        <w:t xml:space="preserve">, Zhai, Z., Shen, Z., Mou, Y., </w:t>
      </w:r>
      <w:r>
        <w:rPr>
          <w:rFonts w:ascii="Arial" w:hAnsi="Arial" w:cs="Arial"/>
          <w:sz w:val="20"/>
          <w:szCs w:val="20"/>
          <w:shd w:val="clear" w:color="auto" w:fill="FFFFFF"/>
          <w:lang w:val="en-US"/>
        </w:rPr>
        <w:t>et al.</w:t>
      </w:r>
      <w:r>
        <w:rPr>
          <w:rFonts w:ascii="Arial" w:hAnsi="Arial" w:cs="Arial"/>
          <w:sz w:val="20"/>
          <w:szCs w:val="20"/>
          <w:lang w:val="en-US"/>
        </w:rPr>
        <w:t xml:space="preserve"> (2024). </w:t>
      </w:r>
      <w:r>
        <w:rPr>
          <w:rFonts w:ascii="Arial" w:hAnsi="Arial" w:cs="Arial"/>
          <w:sz w:val="20"/>
          <w:szCs w:val="20"/>
          <w:shd w:val="clear" w:color="auto" w:fill="FFFFFF"/>
          <w:lang w:val="en-US"/>
        </w:rPr>
        <w:t>Efficient gene editing in the slow-growing, non-sporulating, melanized, endophytic fungus</w:t>
      </w:r>
      <w:r>
        <w:rPr>
          <w:rFonts w:ascii="Arial" w:hAnsi="Arial" w:cs="Arial"/>
          <w:sz w:val="20"/>
          <w:szCs w:val="20"/>
          <w:lang w:val="en-US"/>
        </w:rPr>
        <w:t> </w:t>
      </w:r>
      <w:r>
        <w:rPr>
          <w:rFonts w:ascii="Arial" w:hAnsi="Arial" w:cs="Arial"/>
          <w:i/>
          <w:iCs/>
          <w:sz w:val="20"/>
          <w:szCs w:val="20"/>
          <w:shd w:val="clear" w:color="auto" w:fill="FFFFFF"/>
          <w:lang w:val="en-US"/>
        </w:rPr>
        <w:t>Berkleasmium</w:t>
      </w:r>
      <w:r>
        <w:rPr>
          <w:rFonts w:ascii="Arial" w:hAnsi="Arial" w:cs="Arial"/>
          <w:sz w:val="20"/>
          <w:szCs w:val="20"/>
          <w:lang w:val="en-US"/>
        </w:rPr>
        <w:t> </w:t>
      </w:r>
      <w:r>
        <w:rPr>
          <w:rFonts w:ascii="Arial" w:hAnsi="Arial" w:cs="Arial"/>
          <w:sz w:val="20"/>
          <w:szCs w:val="20"/>
          <w:shd w:val="clear" w:color="auto" w:fill="FFFFFF"/>
          <w:lang w:val="en-US"/>
        </w:rPr>
        <w:t>sp. Dzf12 using a CRISPR/Cas9 system.</w:t>
      </w:r>
      <w:r>
        <w:rPr>
          <w:rFonts w:ascii="Arial" w:hAnsi="Arial" w:cs="Arial"/>
          <w:sz w:val="20"/>
          <w:szCs w:val="20"/>
          <w:lang w:val="en-US"/>
        </w:rPr>
        <w:t> </w:t>
      </w:r>
      <w:r>
        <w:rPr>
          <w:rFonts w:ascii="Arial" w:hAnsi="Arial" w:cs="Arial"/>
          <w:i/>
          <w:iCs/>
          <w:sz w:val="20"/>
          <w:szCs w:val="20"/>
          <w:shd w:val="clear" w:color="auto" w:fill="FFFFFF"/>
          <w:lang w:val="en-US"/>
        </w:rPr>
        <w:t>World Journal of Microbiology &amp; Biotechnology, 40</w:t>
      </w:r>
      <w:r>
        <w:rPr>
          <w:rFonts w:ascii="Arial" w:hAnsi="Arial" w:cs="Arial"/>
          <w:sz w:val="20"/>
          <w:szCs w:val="20"/>
          <w:shd w:val="clear" w:color="auto" w:fill="FFFFFF"/>
          <w:lang w:val="en-US"/>
        </w:rPr>
        <w:t>, 176.</w:t>
      </w:r>
    </w:p>
    <w:p w14:paraId="0F9E206F">
      <w:pPr>
        <w:pStyle w:val="66"/>
        <w:numPr>
          <w:ilvl w:val="0"/>
          <w:numId w:val="2"/>
        </w:numPr>
        <w:tabs>
          <w:tab w:val="center" w:pos="426"/>
        </w:tabs>
        <w:ind w:left="426" w:right="0" w:hanging="426"/>
        <w:rPr>
          <w:rFonts w:ascii="Arial" w:hAnsi="Arial" w:cs="Arial"/>
          <w:sz w:val="20"/>
          <w:szCs w:val="20"/>
          <w:shd w:val="clear" w:color="auto" w:fill="FFFFFF"/>
          <w:lang w:val="en-US"/>
        </w:rPr>
      </w:pPr>
      <w:r>
        <w:rPr>
          <w:rFonts w:ascii="Arial" w:hAnsi="Arial" w:cs="Arial"/>
          <w:sz w:val="20"/>
          <w:szCs w:val="20"/>
          <w:shd w:val="clear" w:color="auto" w:fill="FFFFFF"/>
          <w:lang w:val="en-US"/>
        </w:rPr>
        <w:t>Zheng, R., Zhang, L., Parvin, R., Su, L., Chi, J., Shi, K., et al. (2023). Progress and Perspective of CRISPR-Cas9 Technology in Translational Medicine.</w:t>
      </w:r>
      <w:r>
        <w:rPr>
          <w:rFonts w:ascii="Arial" w:hAnsi="Arial" w:cs="Arial"/>
          <w:sz w:val="20"/>
          <w:szCs w:val="20"/>
          <w:lang w:val="en-US"/>
        </w:rPr>
        <w:t> </w:t>
      </w:r>
      <w:r>
        <w:rPr>
          <w:rFonts w:ascii="Arial" w:hAnsi="Arial" w:cs="Arial"/>
          <w:i/>
          <w:iCs/>
          <w:sz w:val="20"/>
          <w:szCs w:val="20"/>
          <w:shd w:val="clear" w:color="auto" w:fill="FFFFFF"/>
          <w:lang w:val="en-US"/>
        </w:rPr>
        <w:t>Advanced Science,</w:t>
      </w:r>
      <w:r>
        <w:rPr>
          <w:rFonts w:ascii="Arial" w:hAnsi="Arial" w:cs="Arial"/>
          <w:i/>
          <w:iCs/>
          <w:sz w:val="20"/>
          <w:szCs w:val="20"/>
          <w:lang w:val="en-US"/>
        </w:rPr>
        <w:t> </w:t>
      </w:r>
      <w:r>
        <w:rPr>
          <w:rFonts w:ascii="Arial" w:hAnsi="Arial" w:cs="Arial"/>
          <w:i/>
          <w:iCs/>
          <w:sz w:val="20"/>
          <w:szCs w:val="20"/>
          <w:shd w:val="clear" w:color="auto" w:fill="FFFFFF"/>
          <w:lang w:val="en-US"/>
        </w:rPr>
        <w:t>10</w:t>
      </w:r>
      <w:r>
        <w:rPr>
          <w:rFonts w:ascii="Arial" w:hAnsi="Arial" w:cs="Arial"/>
          <w:sz w:val="20"/>
          <w:szCs w:val="20"/>
          <w:shd w:val="clear" w:color="auto" w:fill="FFFFFF"/>
          <w:lang w:val="en-US"/>
        </w:rPr>
        <w:t>(25), e2300195.</w:t>
      </w:r>
    </w:p>
    <w:p w14:paraId="7A02F8CB">
      <w:pPr>
        <w:pStyle w:val="66"/>
        <w:numPr>
          <w:ilvl w:val="0"/>
          <w:numId w:val="2"/>
        </w:numPr>
        <w:tabs>
          <w:tab w:val="center" w:pos="426"/>
        </w:tabs>
        <w:ind w:left="426" w:right="0" w:hanging="426"/>
        <w:rPr>
          <w:rFonts w:ascii="Times New Roman" w:hAnsi="Times New Roman" w:cs="Times New Roman"/>
          <w:sz w:val="20"/>
          <w:szCs w:val="20"/>
          <w:shd w:val="clear" w:color="auto" w:fill="FFFFFF"/>
          <w:lang w:val="en-US"/>
        </w:rPr>
        <w:sectPr>
          <w:headerReference r:id="rId13" w:type="first"/>
          <w:headerReference r:id="rId11" w:type="default"/>
          <w:footerReference r:id="rId14" w:type="default"/>
          <w:headerReference r:id="rId12" w:type="even"/>
          <w:type w:val="continuous"/>
          <w:pgSz w:w="12240" w:h="15840"/>
          <w:pgMar w:top="1440" w:right="2016" w:bottom="2016" w:left="2016" w:header="720" w:footer="1123" w:gutter="0"/>
          <w:cols w:space="720" w:num="1"/>
          <w:docGrid w:linePitch="272" w:charSpace="0"/>
        </w:sectPr>
      </w:pPr>
      <w:r>
        <w:rPr>
          <w:rFonts w:ascii="Arial" w:hAnsi="Arial" w:cs="Arial"/>
          <w:sz w:val="20"/>
          <w:szCs w:val="20"/>
          <w:shd w:val="clear" w:color="auto" w:fill="FFFFFF"/>
          <w:lang w:val="en-US"/>
        </w:rPr>
        <w:t xml:space="preserve">Zheng, Y. K., Qiao, X. G., Miao, C. P., Liu, K., Chen, Y. W., Xu, L. H., et al. (2016). Diversity, distribution and biotechnological potential of endophytic fungi. </w:t>
      </w:r>
      <w:r>
        <w:rPr>
          <w:rFonts w:ascii="Arial" w:hAnsi="Arial" w:cs="Arial"/>
          <w:i/>
          <w:iCs/>
          <w:sz w:val="20"/>
          <w:szCs w:val="20"/>
          <w:shd w:val="clear" w:color="auto" w:fill="FFFFFF"/>
          <w:lang w:val="en-US"/>
        </w:rPr>
        <w:t>Annals of Microbiology, 66</w:t>
      </w:r>
      <w:r>
        <w:rPr>
          <w:rFonts w:ascii="Arial" w:hAnsi="Arial" w:cs="Arial"/>
          <w:sz w:val="20"/>
          <w:szCs w:val="20"/>
          <w:shd w:val="clear" w:color="auto" w:fill="FFFFFF"/>
          <w:lang w:val="en-US"/>
        </w:rPr>
        <w:t>, 529-542</w:t>
      </w:r>
      <w:r>
        <w:rPr>
          <w:rFonts w:ascii="Times New Roman" w:hAnsi="Times New Roman" w:cs="Times New Roman"/>
          <w:sz w:val="20"/>
          <w:szCs w:val="20"/>
          <w:shd w:val="clear" w:color="auto" w:fill="FFFFFF"/>
          <w:lang w:val="en-US"/>
        </w:rPr>
        <w:t>.</w:t>
      </w:r>
    </w:p>
    <w:p w14:paraId="5F0F6A9F">
      <w:pPr>
        <w:pStyle w:val="43"/>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PS_1761575685" w:date="2026-02-21T23:27:58Z" w:initials="">
    <w:p w14:paraId="69796ECD">
      <w:pPr>
        <w:pStyle w:val="11"/>
      </w:pPr>
      <w:r>
        <w:rPr>
          <w:rFonts w:hint="default"/>
          <w:lang w:val="en-GB"/>
        </w:rPr>
        <w:t>Please refer to author guidelines of the journal.</w:t>
      </w:r>
    </w:p>
  </w:comment>
  <w:comment w:id="1" w:author="WPS_1761575685" w:date="2026-02-21T23:27:03Z" w:initials="">
    <w:p w14:paraId="45E65C52">
      <w:pPr>
        <w:pStyle w:val="11"/>
        <w:rPr>
          <w:rFonts w:hint="default"/>
          <w:lang w:val="en-GB"/>
        </w:rPr>
      </w:pPr>
      <w:r>
        <w:rPr>
          <w:rFonts w:hint="default"/>
          <w:lang w:val="en-GB"/>
        </w:rPr>
        <w:t>All “</w:t>
      </w:r>
      <w:r>
        <w:rPr>
          <w:rFonts w:hint="default"/>
          <w:i/>
          <w:iCs/>
          <w:lang w:val="en-GB"/>
        </w:rPr>
        <w:t>et al.,</w:t>
      </w:r>
      <w:r>
        <w:rPr>
          <w:rFonts w:hint="default"/>
          <w:lang w:val="en-GB"/>
        </w:rPr>
        <w:t>” must be in italics. Do so thruogh out the manuscript.</w:t>
      </w:r>
    </w:p>
  </w:comment>
  <w:comment w:id="2" w:author="WPS_1761575685" w:date="2026-02-21T23:25:14Z" w:initials="">
    <w:p w14:paraId="5134288B">
      <w:pPr>
        <w:pStyle w:val="11"/>
        <w:rPr>
          <w:rFonts w:hint="default"/>
          <w:lang w:val="en-GB"/>
        </w:rPr>
      </w:pPr>
      <w:r>
        <w:rPr>
          <w:rFonts w:hint="default"/>
          <w:lang w:val="en-GB"/>
        </w:rPr>
        <w:t>Please refer to author guidelines of the journal. References must be listed at the end of the manuscript and numbered in the order that they appear in the text. Every reference referred in the text must also present in the reference list and vice versa.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9796ECD" w15:done="0"/>
  <w15:commentEx w15:paraId="45E65C52" w15:done="0"/>
  <w15:commentEx w15:paraId="5134288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1C21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EED6">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46ADF">
    <w:pPr>
      <w:pStyle w:val="14"/>
      <w:rPr>
        <w:rFonts w:ascii="Arial" w:hAnsi="Arial" w:cs="Arial"/>
        <w:sz w:val="16"/>
      </w:rPr>
    </w:pPr>
  </w:p>
  <w:p w14:paraId="60B4CF64">
    <w:pPr>
      <w:pStyle w:val="14"/>
      <w:jc w:val="center"/>
      <w:rPr>
        <w:rFonts w:ascii="Arial" w:hAnsi="Arial" w:cs="Arial"/>
        <w:sz w:val="16"/>
      </w:rPr>
    </w:pPr>
    <w:r>
      <w:rPr>
        <w:rFonts w:ascii="Arial" w:hAnsi="Arial" w:cs="Arial"/>
        <w:sz w:val="16"/>
      </w:rPr>
      <w:t>____________________________________________________________________________________________</w:t>
    </w:r>
  </w:p>
  <w:p w14:paraId="13851C21">
    <w:pPr>
      <w:pStyle w:val="14"/>
      <w:rPr>
        <w:rFonts w:ascii="Arial" w:hAnsi="Arial" w:cs="Arial"/>
        <w:sz w:val="16"/>
      </w:rPr>
    </w:pPr>
  </w:p>
  <w:p w14:paraId="7494C792">
    <w:pPr>
      <w:pStyle w:val="14"/>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C44E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20218">
    <w:pPr>
      <w:pStyle w:val="15"/>
    </w:pPr>
    <w:r>
      <w:pict>
        <v:shape id="_x0000_s2051" o:spid="_x0000_s2051" o:spt="136" type="#_x0000_t136" style="position:absolute;left:0pt;height:58.65pt;width:519.9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3DB2A">
    <w:pPr>
      <w:pStyle w:val="15"/>
    </w:pPr>
    <w:r>
      <w:pict>
        <v:shape id="_x0000_s2050" o:spid="_x0000_s2050" o:spt="136" type="#_x0000_t136" style="position:absolute;left:0pt;height:58.65pt;width:519.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E4E8F">
    <w:pPr>
      <w:ind w:left="2160"/>
      <w:jc w:val="center"/>
      <w:rPr>
        <w:rFonts w:ascii="Times New Roman" w:hAnsi="Times New Roman" w:eastAsia="Calibri"/>
        <w:i/>
        <w:sz w:val="18"/>
        <w:szCs w:val="22"/>
      </w:rPr>
    </w:pPr>
    <w:r>
      <w:pict>
        <v:shape id="PowerPlusWaterMarkObject" o:spid="_x0000_s2049" o:spt="136" type="#_x0000_t136" style="position:absolute;left:0pt;height:58.65pt;width:519.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2DA89F97">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8FF1CF4">
    <w:pPr>
      <w:jc w:val="center"/>
      <w:rPr>
        <w:rFonts w:ascii="Times New Roman" w:hAnsi="Times New Roman" w:eastAsia="Calibri"/>
        <w:i/>
        <w:sz w:val="18"/>
        <w:szCs w:val="22"/>
      </w:rPr>
    </w:pPr>
    <w:r>
      <w:rPr>
        <w:rFonts w:ascii="Times New Roman" w:hAnsi="Times New Roman" w:eastAsia="Calibri"/>
        <w:i/>
        <w:sz w:val="18"/>
        <w:szCs w:val="22"/>
      </w:rPr>
      <w:t>.</w:t>
    </w:r>
  </w:p>
  <w:p w14:paraId="2E067FDA">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4A63A569">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6BCD9777">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4938A6C4">
    <w:pPr>
      <w:pStyle w:val="1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0A014">
    <w:pPr>
      <w:pStyle w:val="15"/>
    </w:pPr>
    <w:r>
      <w:pict>
        <v:shape id="_x0000_s2054" o:spid="_x0000_s2054" o:spt="136" type="#_x0000_t136" style="position:absolute;left:0pt;height:58.65pt;width:519.9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4F1D4">
    <w:pPr>
      <w:pStyle w:val="15"/>
    </w:pPr>
    <w:r>
      <w:pict>
        <v:shape id="_x0000_s2053" o:spid="_x0000_s2053" o:spt="136" type="#_x0000_t136" style="position:absolute;left:0pt;height:58.65pt;width:519.9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B4D15">
    <w:pPr>
      <w:pStyle w:val="15"/>
    </w:pPr>
    <w:r>
      <w:pict>
        <v:shape id="_x0000_s2052" o:spid="_x0000_s2052" o:spt="136" type="#_x0000_t136" style="position:absolute;left:0pt;height:58.65pt;width:519.9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61CE0"/>
    <w:multiLevelType w:val="multilevel"/>
    <w:tmpl w:val="08D61CE0"/>
    <w:lvl w:ilvl="0" w:tentative="0">
      <w:start w:val="1"/>
      <w:numFmt w:val="decimal"/>
      <w:lvlText w:val="%1."/>
      <w:lvlJc w:val="left"/>
      <w:pPr>
        <w:ind w:left="5747" w:hanging="360"/>
      </w:pPr>
      <w:rPr>
        <w:rFonts w:hint="default" w:ascii="Arial" w:hAnsi="Arial" w:cs="Arial"/>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71604DCD"/>
    <w:multiLevelType w:val="singleLevel"/>
    <w:tmpl w:val="71604DCD"/>
    <w:lvl w:ilvl="0" w:tentative="0">
      <w:start w:val="1"/>
      <w:numFmt w:val="decimal"/>
      <w:pStyle w:val="35"/>
      <w:lvlText w:val="%1."/>
      <w:lvlJc w:val="left"/>
      <w:pPr>
        <w:tabs>
          <w:tab w:val="left" w:pos="360"/>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PS_1761575685">
    <w15:presenceInfo w15:providerId="WPS Office" w15:userId="31591833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oNotHyphenateCaps/>
  <w:drawingGridHorizontalSpacing w:val="100"/>
  <w:displayHorizontalDrawingGridEvery w:val="0"/>
  <w:displayVerticalDrawingGridEvery w:val="0"/>
  <w:noPunctuationKerning w:val="1"/>
  <w:characterSpacingControl w:val="doNotCompress"/>
  <w:hdrShapeDefaults>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26490"/>
    <w:rsid w:val="00030174"/>
    <w:rsid w:val="0004579C"/>
    <w:rsid w:val="000A47FA"/>
    <w:rsid w:val="000A65D3"/>
    <w:rsid w:val="000A7543"/>
    <w:rsid w:val="000B1E33"/>
    <w:rsid w:val="000B3B45"/>
    <w:rsid w:val="000B6A27"/>
    <w:rsid w:val="000D689F"/>
    <w:rsid w:val="000E7B7B"/>
    <w:rsid w:val="000E7D62"/>
    <w:rsid w:val="00103357"/>
    <w:rsid w:val="00105492"/>
    <w:rsid w:val="00123C9F"/>
    <w:rsid w:val="00126190"/>
    <w:rsid w:val="00130F17"/>
    <w:rsid w:val="001320BF"/>
    <w:rsid w:val="00163BC4"/>
    <w:rsid w:val="001835B7"/>
    <w:rsid w:val="00184D20"/>
    <w:rsid w:val="00191062"/>
    <w:rsid w:val="00192B72"/>
    <w:rsid w:val="001A29D8"/>
    <w:rsid w:val="001A5CAA"/>
    <w:rsid w:val="001B0427"/>
    <w:rsid w:val="001D3A51"/>
    <w:rsid w:val="001E10D2"/>
    <w:rsid w:val="001E25B4"/>
    <w:rsid w:val="001E44FE"/>
    <w:rsid w:val="001F482E"/>
    <w:rsid w:val="00200595"/>
    <w:rsid w:val="00204835"/>
    <w:rsid w:val="00215FCF"/>
    <w:rsid w:val="00231920"/>
    <w:rsid w:val="0023195C"/>
    <w:rsid w:val="0024282C"/>
    <w:rsid w:val="002460DC"/>
    <w:rsid w:val="00250985"/>
    <w:rsid w:val="002556F6"/>
    <w:rsid w:val="00283105"/>
    <w:rsid w:val="00284C4C"/>
    <w:rsid w:val="00285020"/>
    <w:rsid w:val="00287E68"/>
    <w:rsid w:val="00296529"/>
    <w:rsid w:val="002B27FB"/>
    <w:rsid w:val="002B685A"/>
    <w:rsid w:val="002C57D2"/>
    <w:rsid w:val="002E0D56"/>
    <w:rsid w:val="00315186"/>
    <w:rsid w:val="00315C6F"/>
    <w:rsid w:val="0033343E"/>
    <w:rsid w:val="003512C2"/>
    <w:rsid w:val="00371FB6"/>
    <w:rsid w:val="003763C1"/>
    <w:rsid w:val="00376BBE"/>
    <w:rsid w:val="0039224F"/>
    <w:rsid w:val="003A3E9D"/>
    <w:rsid w:val="003A43A4"/>
    <w:rsid w:val="003A7E18"/>
    <w:rsid w:val="003C4C86"/>
    <w:rsid w:val="003C6258"/>
    <w:rsid w:val="003E2904"/>
    <w:rsid w:val="00401927"/>
    <w:rsid w:val="0041027F"/>
    <w:rsid w:val="00412475"/>
    <w:rsid w:val="00423789"/>
    <w:rsid w:val="00435A80"/>
    <w:rsid w:val="00440F43"/>
    <w:rsid w:val="00441B6F"/>
    <w:rsid w:val="00446221"/>
    <w:rsid w:val="00450E62"/>
    <w:rsid w:val="004539DB"/>
    <w:rsid w:val="00460D96"/>
    <w:rsid w:val="00471A80"/>
    <w:rsid w:val="00473F60"/>
    <w:rsid w:val="00480FF6"/>
    <w:rsid w:val="0049071B"/>
    <w:rsid w:val="004D305E"/>
    <w:rsid w:val="004D4277"/>
    <w:rsid w:val="00502516"/>
    <w:rsid w:val="00505F06"/>
    <w:rsid w:val="00506828"/>
    <w:rsid w:val="0053056E"/>
    <w:rsid w:val="00554FDA"/>
    <w:rsid w:val="00562B98"/>
    <w:rsid w:val="00583525"/>
    <w:rsid w:val="005C784C"/>
    <w:rsid w:val="005D17F6"/>
    <w:rsid w:val="005E5539"/>
    <w:rsid w:val="00602BF5"/>
    <w:rsid w:val="00617FDD"/>
    <w:rsid w:val="00633614"/>
    <w:rsid w:val="00633F68"/>
    <w:rsid w:val="00636EB2"/>
    <w:rsid w:val="006375B8"/>
    <w:rsid w:val="00650C27"/>
    <w:rsid w:val="0066510A"/>
    <w:rsid w:val="00673F9F"/>
    <w:rsid w:val="006843FD"/>
    <w:rsid w:val="00686953"/>
    <w:rsid w:val="00687DEA"/>
    <w:rsid w:val="00687E67"/>
    <w:rsid w:val="006967F7"/>
    <w:rsid w:val="006A250C"/>
    <w:rsid w:val="006B21D3"/>
    <w:rsid w:val="006B57D0"/>
    <w:rsid w:val="006D2EA1"/>
    <w:rsid w:val="006D30FF"/>
    <w:rsid w:val="006D5347"/>
    <w:rsid w:val="006D61E7"/>
    <w:rsid w:val="006D6940"/>
    <w:rsid w:val="006F11EC"/>
    <w:rsid w:val="0070082C"/>
    <w:rsid w:val="00702C11"/>
    <w:rsid w:val="007369E6"/>
    <w:rsid w:val="007403F7"/>
    <w:rsid w:val="00746E59"/>
    <w:rsid w:val="00754C9A"/>
    <w:rsid w:val="0075599A"/>
    <w:rsid w:val="00761D52"/>
    <w:rsid w:val="00773411"/>
    <w:rsid w:val="0077749E"/>
    <w:rsid w:val="00790ADA"/>
    <w:rsid w:val="007B077D"/>
    <w:rsid w:val="007D2288"/>
    <w:rsid w:val="007E088F"/>
    <w:rsid w:val="007F0646"/>
    <w:rsid w:val="007F7B32"/>
    <w:rsid w:val="008016E4"/>
    <w:rsid w:val="00804BC2"/>
    <w:rsid w:val="0081431A"/>
    <w:rsid w:val="0083216F"/>
    <w:rsid w:val="0084036C"/>
    <w:rsid w:val="00845A58"/>
    <w:rsid w:val="00860000"/>
    <w:rsid w:val="00863BD3"/>
    <w:rsid w:val="008641ED"/>
    <w:rsid w:val="00866D66"/>
    <w:rsid w:val="008671C6"/>
    <w:rsid w:val="00875803"/>
    <w:rsid w:val="008B459E"/>
    <w:rsid w:val="008E13AE"/>
    <w:rsid w:val="008E1506"/>
    <w:rsid w:val="008E710C"/>
    <w:rsid w:val="008F69D6"/>
    <w:rsid w:val="00901B65"/>
    <w:rsid w:val="00902823"/>
    <w:rsid w:val="009129CD"/>
    <w:rsid w:val="00915CA6"/>
    <w:rsid w:val="00927834"/>
    <w:rsid w:val="009500A6"/>
    <w:rsid w:val="009523A7"/>
    <w:rsid w:val="00957C18"/>
    <w:rsid w:val="009659BA"/>
    <w:rsid w:val="00983040"/>
    <w:rsid w:val="00993E66"/>
    <w:rsid w:val="009B3FB9"/>
    <w:rsid w:val="009C2465"/>
    <w:rsid w:val="009D35A0"/>
    <w:rsid w:val="009D42C6"/>
    <w:rsid w:val="009D7EB7"/>
    <w:rsid w:val="009E048A"/>
    <w:rsid w:val="009E08E9"/>
    <w:rsid w:val="009E3DB9"/>
    <w:rsid w:val="009E40F3"/>
    <w:rsid w:val="009E6E35"/>
    <w:rsid w:val="009F0EDA"/>
    <w:rsid w:val="00A03B96"/>
    <w:rsid w:val="00A05B19"/>
    <w:rsid w:val="00A1134E"/>
    <w:rsid w:val="00A211DB"/>
    <w:rsid w:val="00A24E7E"/>
    <w:rsid w:val="00A258C3"/>
    <w:rsid w:val="00A347C0"/>
    <w:rsid w:val="00A454C7"/>
    <w:rsid w:val="00A51431"/>
    <w:rsid w:val="00A539AD"/>
    <w:rsid w:val="00A94063"/>
    <w:rsid w:val="00AA6219"/>
    <w:rsid w:val="00AA74E0"/>
    <w:rsid w:val="00AB703F"/>
    <w:rsid w:val="00AC6BB8"/>
    <w:rsid w:val="00AE008F"/>
    <w:rsid w:val="00AE40F1"/>
    <w:rsid w:val="00B01FCD"/>
    <w:rsid w:val="00B1776C"/>
    <w:rsid w:val="00B52583"/>
    <w:rsid w:val="00B52896"/>
    <w:rsid w:val="00B95236"/>
    <w:rsid w:val="00B96BD9"/>
    <w:rsid w:val="00BA1B01"/>
    <w:rsid w:val="00BA2641"/>
    <w:rsid w:val="00BB37AA"/>
    <w:rsid w:val="00BC53A0"/>
    <w:rsid w:val="00BE62AD"/>
    <w:rsid w:val="00BF121F"/>
    <w:rsid w:val="00BF1F80"/>
    <w:rsid w:val="00BF4AF1"/>
    <w:rsid w:val="00C003C2"/>
    <w:rsid w:val="00C166EF"/>
    <w:rsid w:val="00C17EB0"/>
    <w:rsid w:val="00C27F5F"/>
    <w:rsid w:val="00C30A0F"/>
    <w:rsid w:val="00C34F2A"/>
    <w:rsid w:val="00C37E61"/>
    <w:rsid w:val="00C4477B"/>
    <w:rsid w:val="00C70F1B"/>
    <w:rsid w:val="00C71A47"/>
    <w:rsid w:val="00C7464C"/>
    <w:rsid w:val="00C85588"/>
    <w:rsid w:val="00CA40BA"/>
    <w:rsid w:val="00CD6755"/>
    <w:rsid w:val="00CD6856"/>
    <w:rsid w:val="00CE0089"/>
    <w:rsid w:val="00CE793C"/>
    <w:rsid w:val="00CF193C"/>
    <w:rsid w:val="00D11EA9"/>
    <w:rsid w:val="00D14425"/>
    <w:rsid w:val="00D173F1"/>
    <w:rsid w:val="00D35D41"/>
    <w:rsid w:val="00D42723"/>
    <w:rsid w:val="00D4646E"/>
    <w:rsid w:val="00D47761"/>
    <w:rsid w:val="00D74CB0"/>
    <w:rsid w:val="00D8295D"/>
    <w:rsid w:val="00D9782D"/>
    <w:rsid w:val="00DC2A65"/>
    <w:rsid w:val="00DE15F0"/>
    <w:rsid w:val="00DE5663"/>
    <w:rsid w:val="00DE78AA"/>
    <w:rsid w:val="00E053D0"/>
    <w:rsid w:val="00E1348D"/>
    <w:rsid w:val="00E15994"/>
    <w:rsid w:val="00E27DE1"/>
    <w:rsid w:val="00E3114E"/>
    <w:rsid w:val="00E31A70"/>
    <w:rsid w:val="00E35B02"/>
    <w:rsid w:val="00E66496"/>
    <w:rsid w:val="00E66B35"/>
    <w:rsid w:val="00E66E10"/>
    <w:rsid w:val="00E769F6"/>
    <w:rsid w:val="00E8407C"/>
    <w:rsid w:val="00E84F3C"/>
    <w:rsid w:val="00EA012C"/>
    <w:rsid w:val="00EC6A55"/>
    <w:rsid w:val="00EC73D7"/>
    <w:rsid w:val="00ED0288"/>
    <w:rsid w:val="00EE52CB"/>
    <w:rsid w:val="00EF581D"/>
    <w:rsid w:val="00EF7FD8"/>
    <w:rsid w:val="00F06F59"/>
    <w:rsid w:val="00F14037"/>
    <w:rsid w:val="00F17988"/>
    <w:rsid w:val="00F26957"/>
    <w:rsid w:val="00F323B1"/>
    <w:rsid w:val="00F469F0"/>
    <w:rsid w:val="00F46C68"/>
    <w:rsid w:val="00F53273"/>
    <w:rsid w:val="00F708AF"/>
    <w:rsid w:val="00F755E4"/>
    <w:rsid w:val="00F77D02"/>
    <w:rsid w:val="00F9083C"/>
    <w:rsid w:val="00FB3A86"/>
    <w:rsid w:val="00FD36C8"/>
    <w:rsid w:val="00FD6184"/>
    <w:rsid w:val="17926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basedOn w:val="1"/>
    <w:next w:val="1"/>
    <w:link w:val="67"/>
    <w:semiHidden/>
    <w:unhideWhenUsed/>
    <w:qFormat/>
    <w:uiPriority w:val="0"/>
    <w:pPr>
      <w:keepNext/>
      <w:keepLines/>
      <w:spacing w:before="40"/>
      <w:outlineLvl w:val="1"/>
    </w:pPr>
    <w:rPr>
      <w:rFonts w:asciiTheme="majorHAnsi" w:hAnsiTheme="majorHAnsi" w:eastAsiaTheme="majorEastAsia" w:cstheme="majorBidi"/>
      <w:color w:val="376092" w:themeColor="accent1" w:themeShade="BF"/>
      <w:sz w:val="26"/>
      <w:szCs w:val="26"/>
    </w:rPr>
  </w:style>
  <w:style w:type="paragraph" w:styleId="4">
    <w:name w:val="heading 3"/>
    <w:basedOn w:val="1"/>
    <w:next w:val="1"/>
    <w:link w:val="70"/>
    <w:semiHidden/>
    <w:unhideWhenUsed/>
    <w:qFormat/>
    <w:uiPriority w:val="0"/>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63"/>
    <w:qFormat/>
    <w:uiPriority w:val="0"/>
    <w:rPr>
      <w:rFonts w:ascii="Tahoma" w:hAnsi="Tahoma" w:cs="Tahoma"/>
      <w:sz w:val="16"/>
      <w:szCs w:val="16"/>
    </w:rPr>
  </w:style>
  <w:style w:type="paragraph" w:styleId="8">
    <w:name w:val="Body Text 2"/>
    <w:basedOn w:val="1"/>
    <w:link w:val="61"/>
    <w:qFormat/>
    <w:uiPriority w:val="0"/>
    <w:pPr>
      <w:spacing w:after="120" w:line="480" w:lineRule="auto"/>
    </w:pPr>
  </w:style>
  <w:style w:type="paragraph" w:styleId="9">
    <w:name w:val="Body Text 3"/>
    <w:basedOn w:val="1"/>
    <w:link w:val="64"/>
    <w:qFormat/>
    <w:uiPriority w:val="0"/>
    <w:pPr>
      <w:spacing w:after="120"/>
    </w:pPr>
    <w:rPr>
      <w:sz w:val="16"/>
      <w:szCs w:val="16"/>
    </w:rPr>
  </w:style>
  <w:style w:type="character" w:styleId="10">
    <w:name w:val="annotation reference"/>
    <w:basedOn w:val="5"/>
    <w:unhideWhenUsed/>
    <w:qFormat/>
    <w:uiPriority w:val="99"/>
    <w:rPr>
      <w:sz w:val="16"/>
      <w:szCs w:val="16"/>
    </w:rPr>
  </w:style>
  <w:style w:type="paragraph" w:styleId="11">
    <w:name w:val="annotation text"/>
    <w:basedOn w:val="1"/>
    <w:link w:val="62"/>
    <w:unhideWhenUsed/>
    <w:qFormat/>
    <w:uiPriority w:val="99"/>
    <w:rPr>
      <w:rFonts w:ascii="Times New Roman" w:hAnsi="Times New Roman"/>
      <w:lang w:val="nb-NO" w:eastAsia="nb-NO"/>
    </w:rPr>
  </w:style>
  <w:style w:type="character" w:styleId="12">
    <w:name w:val="Emphasis"/>
    <w:basedOn w:val="5"/>
    <w:qFormat/>
    <w:uiPriority w:val="20"/>
    <w:rPr>
      <w:i/>
      <w:iCs/>
    </w:rPr>
  </w:style>
  <w:style w:type="character" w:styleId="13">
    <w:name w:val="FollowedHyperlink"/>
    <w:basedOn w:val="5"/>
    <w:qFormat/>
    <w:uiPriority w:val="0"/>
    <w:rPr>
      <w:color w:val="800080"/>
      <w:u w:val="single"/>
    </w:rPr>
  </w:style>
  <w:style w:type="paragraph" w:styleId="14">
    <w:name w:val="footer"/>
    <w:basedOn w:val="1"/>
    <w:qFormat/>
    <w:uiPriority w:val="0"/>
    <w:pPr>
      <w:tabs>
        <w:tab w:val="center" w:pos="4320"/>
        <w:tab w:val="right" w:pos="8640"/>
      </w:tabs>
    </w:pPr>
  </w:style>
  <w:style w:type="paragraph" w:styleId="15">
    <w:name w:val="header"/>
    <w:basedOn w:val="1"/>
    <w:qFormat/>
    <w:uiPriority w:val="0"/>
    <w:pPr>
      <w:tabs>
        <w:tab w:val="center" w:pos="4320"/>
        <w:tab w:val="right" w:pos="8640"/>
      </w:tabs>
    </w:pPr>
  </w:style>
  <w:style w:type="character" w:styleId="16">
    <w:name w:val="Hyperlink"/>
    <w:basedOn w:val="5"/>
    <w:qFormat/>
    <w:uiPriority w:val="0"/>
    <w:rPr>
      <w:color w:val="FF0080"/>
      <w:u w:val="single"/>
    </w:rPr>
  </w:style>
  <w:style w:type="character" w:styleId="17">
    <w:name w:val="line number"/>
    <w:basedOn w:val="5"/>
    <w:qFormat/>
    <w:uiPriority w:val="0"/>
  </w:style>
  <w:style w:type="paragraph" w:styleId="18">
    <w:name w:val="Signature"/>
    <w:basedOn w:val="1"/>
    <w:qFormat/>
    <w:uiPriority w:val="0"/>
    <w:pPr>
      <w:ind w:left="4320"/>
    </w:pPr>
  </w:style>
  <w:style w:type="character" w:styleId="19">
    <w:name w:val="Strong"/>
    <w:basedOn w:val="5"/>
    <w:qFormat/>
    <w:uiPriority w:val="22"/>
    <w:rPr>
      <w:b/>
      <w:bCs/>
    </w:rPr>
  </w:style>
  <w:style w:type="table" w:styleId="20">
    <w:name w:val="Table Grid"/>
    <w:basedOn w:val="6"/>
    <w:qFormat/>
    <w:uiPriority w:val="3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1">
    <w:name w:val="Title"/>
    <w:basedOn w:val="1"/>
    <w:qFormat/>
    <w:uiPriority w:val="0"/>
    <w:pPr>
      <w:spacing w:after="360"/>
      <w:jc w:val="right"/>
    </w:pPr>
    <w:rPr>
      <w:b/>
      <w:kern w:val="28"/>
      <w:sz w:val="36"/>
    </w:rPr>
  </w:style>
  <w:style w:type="paragraph" w:customStyle="1" w:styleId="22">
    <w:name w:val="Author"/>
    <w:basedOn w:val="1"/>
    <w:qFormat/>
    <w:uiPriority w:val="0"/>
    <w:pPr>
      <w:spacing w:line="280" w:lineRule="exact"/>
      <w:jc w:val="right"/>
    </w:pPr>
    <w:rPr>
      <w:b/>
      <w:sz w:val="24"/>
    </w:rPr>
  </w:style>
  <w:style w:type="paragraph" w:customStyle="1" w:styleId="23">
    <w:name w:val="Affiliation"/>
    <w:basedOn w:val="1"/>
    <w:uiPriority w:val="0"/>
    <w:pPr>
      <w:spacing w:after="240" w:line="240" w:lineRule="exact"/>
      <w:jc w:val="right"/>
    </w:pPr>
  </w:style>
  <w:style w:type="paragraph" w:customStyle="1" w:styleId="24">
    <w:name w:val="Body"/>
    <w:basedOn w:val="1"/>
    <w:uiPriority w:val="0"/>
    <w:pPr>
      <w:spacing w:after="240"/>
      <w:jc w:val="both"/>
    </w:pPr>
  </w:style>
  <w:style w:type="paragraph" w:customStyle="1" w:styleId="25">
    <w:name w:val="Abst Head"/>
    <w:basedOn w:val="26"/>
    <w:uiPriority w:val="0"/>
    <w:rPr>
      <w:sz w:val="22"/>
    </w:rPr>
  </w:style>
  <w:style w:type="paragraph" w:customStyle="1" w:styleId="26">
    <w:name w:val="Main Head"/>
    <w:basedOn w:val="1"/>
    <w:uiPriority w:val="0"/>
    <w:pPr>
      <w:keepNext/>
      <w:spacing w:after="240"/>
    </w:pPr>
    <w:rPr>
      <w:b/>
      <w:caps/>
    </w:rPr>
  </w:style>
  <w:style w:type="paragraph" w:customStyle="1" w:styleId="27">
    <w:name w:val="Intro Head"/>
    <w:basedOn w:val="26"/>
    <w:qFormat/>
    <w:uiPriority w:val="0"/>
    <w:rPr>
      <w:sz w:val="22"/>
    </w:rPr>
  </w:style>
  <w:style w:type="paragraph" w:customStyle="1" w:styleId="28">
    <w:name w:val="Paper Number"/>
    <w:basedOn w:val="1"/>
    <w:qFormat/>
    <w:uiPriority w:val="0"/>
    <w:pPr>
      <w:spacing w:after="280" w:line="280" w:lineRule="exact"/>
      <w:jc w:val="right"/>
    </w:pPr>
    <w:rPr>
      <w:b/>
      <w:sz w:val="28"/>
    </w:rPr>
  </w:style>
  <w:style w:type="paragraph" w:customStyle="1" w:styleId="29">
    <w:name w:val="Conc Head"/>
    <w:basedOn w:val="26"/>
    <w:qFormat/>
    <w:uiPriority w:val="0"/>
    <w:rPr>
      <w:sz w:val="22"/>
    </w:rPr>
  </w:style>
  <w:style w:type="paragraph" w:customStyle="1" w:styleId="30">
    <w:name w:val="Ackn Head"/>
    <w:basedOn w:val="26"/>
    <w:uiPriority w:val="0"/>
    <w:rPr>
      <w:sz w:val="22"/>
    </w:rPr>
  </w:style>
  <w:style w:type="paragraph" w:customStyle="1" w:styleId="31">
    <w:name w:val="Refer Head"/>
    <w:basedOn w:val="26"/>
    <w:qFormat/>
    <w:uiPriority w:val="0"/>
    <w:rPr>
      <w:sz w:val="22"/>
    </w:rPr>
  </w:style>
  <w:style w:type="paragraph" w:customStyle="1" w:styleId="32">
    <w:name w:val="AddSrc Head"/>
    <w:basedOn w:val="26"/>
    <w:qFormat/>
    <w:uiPriority w:val="0"/>
    <w:rPr>
      <w:sz w:val="22"/>
    </w:rPr>
  </w:style>
  <w:style w:type="paragraph" w:customStyle="1" w:styleId="33">
    <w:name w:val="DefAcrHead"/>
    <w:basedOn w:val="26"/>
    <w:uiPriority w:val="0"/>
    <w:rPr>
      <w:sz w:val="22"/>
    </w:rPr>
  </w:style>
  <w:style w:type="paragraph" w:customStyle="1" w:styleId="34">
    <w:name w:val="Copyright"/>
    <w:basedOn w:val="1"/>
    <w:uiPriority w:val="0"/>
    <w:pPr>
      <w:spacing w:after="960" w:line="200" w:lineRule="exact"/>
    </w:pPr>
    <w:rPr>
      <w:sz w:val="16"/>
    </w:rPr>
  </w:style>
  <w:style w:type="paragraph" w:customStyle="1" w:styleId="35">
    <w:name w:val="Reference"/>
    <w:basedOn w:val="24"/>
    <w:uiPriority w:val="0"/>
    <w:pPr>
      <w:numPr>
        <w:ilvl w:val="0"/>
        <w:numId w:val="1"/>
      </w:numPr>
      <w:spacing w:after="0" w:line="240" w:lineRule="exact"/>
    </w:pPr>
  </w:style>
  <w:style w:type="paragraph" w:customStyle="1" w:styleId="36">
    <w:name w:val="Head1"/>
    <w:basedOn w:val="26"/>
    <w:uiPriority w:val="0"/>
    <w:rPr>
      <w:sz w:val="22"/>
    </w:rPr>
  </w:style>
  <w:style w:type="paragraph" w:customStyle="1" w:styleId="37">
    <w:name w:val="Contact Head"/>
    <w:basedOn w:val="26"/>
    <w:qFormat/>
    <w:uiPriority w:val="0"/>
    <w:rPr>
      <w:sz w:val="22"/>
    </w:rPr>
  </w:style>
  <w:style w:type="paragraph" w:customStyle="1" w:styleId="38">
    <w:name w:val="Head3"/>
    <w:basedOn w:val="39"/>
    <w:qFormat/>
    <w:uiPriority w:val="0"/>
    <w:rPr>
      <w:caps w:val="0"/>
      <w:u w:val="single"/>
    </w:rPr>
  </w:style>
  <w:style w:type="paragraph" w:customStyle="1" w:styleId="39">
    <w:name w:val="Head2"/>
    <w:basedOn w:val="1"/>
    <w:next w:val="24"/>
    <w:qFormat/>
    <w:uiPriority w:val="0"/>
    <w:pPr>
      <w:keepNext/>
      <w:spacing w:after="240"/>
    </w:pPr>
    <w:rPr>
      <w:caps/>
    </w:rPr>
  </w:style>
  <w:style w:type="paragraph" w:customStyle="1" w:styleId="40">
    <w:name w:val="Head4"/>
    <w:basedOn w:val="38"/>
    <w:qFormat/>
    <w:uiPriority w:val="0"/>
    <w:rPr>
      <w:u w:val="none"/>
    </w:rPr>
  </w:style>
  <w:style w:type="paragraph" w:customStyle="1" w:styleId="41">
    <w:name w:val="Unord List"/>
    <w:basedOn w:val="24"/>
    <w:qFormat/>
    <w:uiPriority w:val="0"/>
    <w:pPr>
      <w:spacing w:after="0"/>
      <w:ind w:left="360" w:hanging="360"/>
    </w:pPr>
  </w:style>
  <w:style w:type="paragraph" w:customStyle="1" w:styleId="42">
    <w:name w:val="Ord List"/>
    <w:basedOn w:val="41"/>
    <w:uiPriority w:val="0"/>
    <w:pPr>
      <w:jc w:val="left"/>
    </w:pPr>
  </w:style>
  <w:style w:type="paragraph" w:customStyle="1" w:styleId="43">
    <w:name w:val="Appendix"/>
    <w:basedOn w:val="26"/>
    <w:qFormat/>
    <w:uiPriority w:val="0"/>
    <w:rPr>
      <w:sz w:val="22"/>
    </w:rPr>
  </w:style>
  <w:style w:type="paragraph" w:customStyle="1" w:styleId="44">
    <w:name w:val="Term"/>
    <w:basedOn w:val="24"/>
    <w:qFormat/>
    <w:uiPriority w:val="0"/>
    <w:pPr>
      <w:spacing w:after="0"/>
    </w:pPr>
    <w:rPr>
      <w:b/>
    </w:rPr>
  </w:style>
  <w:style w:type="paragraph" w:customStyle="1" w:styleId="45">
    <w:name w:val="Definition"/>
    <w:basedOn w:val="24"/>
    <w:qFormat/>
    <w:uiPriority w:val="0"/>
  </w:style>
  <w:style w:type="character" w:customStyle="1" w:styleId="46">
    <w:name w:val="Bold"/>
    <w:qFormat/>
    <w:uiPriority w:val="0"/>
    <w:rPr>
      <w:b/>
    </w:rPr>
  </w:style>
  <w:style w:type="character" w:customStyle="1" w:styleId="47">
    <w:name w:val="Italic"/>
    <w:uiPriority w:val="0"/>
    <w:rPr>
      <w:i/>
    </w:rPr>
  </w:style>
  <w:style w:type="character" w:customStyle="1" w:styleId="48">
    <w:name w:val="Underline"/>
    <w:qFormat/>
    <w:uiPriority w:val="0"/>
    <w:rPr>
      <w:u w:val="single"/>
    </w:rPr>
  </w:style>
  <w:style w:type="paragraph" w:customStyle="1" w:styleId="49">
    <w:name w:val="Equation"/>
    <w:basedOn w:val="24"/>
    <w:qFormat/>
    <w:uiPriority w:val="0"/>
  </w:style>
  <w:style w:type="paragraph" w:customStyle="1" w:styleId="50">
    <w:name w:val="Figure"/>
    <w:basedOn w:val="34"/>
    <w:uiPriority w:val="0"/>
    <w:pPr>
      <w:spacing w:after="240"/>
    </w:pPr>
    <w:rPr>
      <w:sz w:val="20"/>
    </w:rPr>
  </w:style>
  <w:style w:type="paragraph" w:customStyle="1" w:styleId="51">
    <w:name w:val="Head 4"/>
    <w:basedOn w:val="38"/>
    <w:qFormat/>
    <w:uiPriority w:val="0"/>
    <w:rPr>
      <w:u w:val="none"/>
    </w:rPr>
  </w:style>
  <w:style w:type="paragraph" w:customStyle="1" w:styleId="52">
    <w:name w:val="Paper"/>
    <w:basedOn w:val="1"/>
    <w:qFormat/>
    <w:uiPriority w:val="0"/>
    <w:pPr>
      <w:spacing w:after="360" w:line="440" w:lineRule="exact"/>
      <w:jc w:val="right"/>
    </w:pPr>
    <w:rPr>
      <w:b/>
      <w:sz w:val="36"/>
    </w:rPr>
  </w:style>
  <w:style w:type="character" w:customStyle="1" w:styleId="53">
    <w:name w:val="Subscript"/>
    <w:qFormat/>
    <w:uiPriority w:val="0"/>
    <w:rPr>
      <w:vertAlign w:val="subscript"/>
    </w:rPr>
  </w:style>
  <w:style w:type="character" w:customStyle="1" w:styleId="54">
    <w:name w:val="Superscript"/>
    <w:qFormat/>
    <w:uiPriority w:val="0"/>
    <w:rPr>
      <w:vertAlign w:val="superscript"/>
    </w:rPr>
  </w:style>
  <w:style w:type="character" w:customStyle="1" w:styleId="55">
    <w:name w:val="Symbol"/>
    <w:qFormat/>
    <w:uiPriority w:val="0"/>
    <w:rPr>
      <w:rFonts w:ascii="Symbol" w:hAnsi="Symbol"/>
    </w:rPr>
  </w:style>
  <w:style w:type="paragraph" w:customStyle="1" w:styleId="56">
    <w:name w:val="Symbol P"/>
    <w:basedOn w:val="24"/>
    <w:qFormat/>
    <w:uiPriority w:val="0"/>
    <w:pPr>
      <w:tabs>
        <w:tab w:val="left" w:pos="720"/>
        <w:tab w:val="left" w:pos="3780"/>
      </w:tabs>
      <w:spacing w:after="0"/>
    </w:pPr>
    <w:rPr>
      <w:sz w:val="24"/>
    </w:rPr>
  </w:style>
  <w:style w:type="character" w:customStyle="1" w:styleId="57">
    <w:name w:val="BoldItal"/>
    <w:basedOn w:val="5"/>
    <w:qFormat/>
    <w:uiPriority w:val="0"/>
    <w:rPr>
      <w:b/>
      <w:i/>
    </w:rPr>
  </w:style>
  <w:style w:type="character" w:customStyle="1" w:styleId="58">
    <w:name w:val="SubItal"/>
    <w:qFormat/>
    <w:uiPriority w:val="0"/>
    <w:rPr>
      <w:i/>
      <w:vertAlign w:val="subscript"/>
    </w:rPr>
  </w:style>
  <w:style w:type="character" w:customStyle="1" w:styleId="59">
    <w:name w:val="SuperItal"/>
    <w:qFormat/>
    <w:uiPriority w:val="0"/>
    <w:rPr>
      <w:i/>
      <w:vertAlign w:val="superscript"/>
    </w:rPr>
  </w:style>
  <w:style w:type="character" w:customStyle="1" w:styleId="60">
    <w:name w:val="SymItal"/>
    <w:qFormat/>
    <w:uiPriority w:val="0"/>
    <w:rPr>
      <w:rFonts w:ascii="Symbol" w:hAnsi="Symbol"/>
      <w:i/>
    </w:rPr>
  </w:style>
  <w:style w:type="character" w:customStyle="1" w:styleId="61">
    <w:name w:val="Body Text 2 Char"/>
    <w:basedOn w:val="5"/>
    <w:link w:val="8"/>
    <w:qFormat/>
    <w:uiPriority w:val="0"/>
    <w:rPr>
      <w:rFonts w:ascii="Helvetica" w:hAnsi="Helvetica"/>
    </w:rPr>
  </w:style>
  <w:style w:type="character" w:customStyle="1" w:styleId="62">
    <w:name w:val="Comment Text Char"/>
    <w:basedOn w:val="5"/>
    <w:link w:val="11"/>
    <w:qFormat/>
    <w:uiPriority w:val="99"/>
    <w:rPr>
      <w:lang w:val="nb-NO" w:eastAsia="nb-NO"/>
    </w:rPr>
  </w:style>
  <w:style w:type="character" w:customStyle="1" w:styleId="63">
    <w:name w:val="Balloon Text Char"/>
    <w:basedOn w:val="5"/>
    <w:link w:val="7"/>
    <w:qFormat/>
    <w:uiPriority w:val="0"/>
    <w:rPr>
      <w:rFonts w:ascii="Tahoma" w:hAnsi="Tahoma" w:cs="Tahoma"/>
      <w:sz w:val="16"/>
      <w:szCs w:val="16"/>
    </w:rPr>
  </w:style>
  <w:style w:type="character" w:customStyle="1" w:styleId="64">
    <w:name w:val="Body Text 3 Char"/>
    <w:basedOn w:val="5"/>
    <w:link w:val="9"/>
    <w:qFormat/>
    <w:uiPriority w:val="0"/>
    <w:rPr>
      <w:rFonts w:ascii="Helvetica" w:hAnsi="Helvetica"/>
      <w:sz w:val="16"/>
      <w:szCs w:val="16"/>
    </w:rPr>
  </w:style>
  <w:style w:type="character" w:customStyle="1" w:styleId="65">
    <w:name w:val="Unresolved Mention"/>
    <w:basedOn w:val="5"/>
    <w:semiHidden/>
    <w:unhideWhenUsed/>
    <w:qFormat/>
    <w:uiPriority w:val="99"/>
    <w:rPr>
      <w:color w:val="605E5C"/>
      <w:shd w:val="clear" w:color="auto" w:fill="E1DFDD"/>
    </w:rPr>
  </w:style>
  <w:style w:type="paragraph" w:styleId="66">
    <w:name w:val="No Spacing"/>
    <w:qFormat/>
    <w:uiPriority w:val="1"/>
    <w:pPr>
      <w:ind w:left="10" w:right="42" w:hanging="10"/>
      <w:jc w:val="both"/>
    </w:pPr>
    <w:rPr>
      <w:rFonts w:ascii="Cambria" w:hAnsi="Cambria" w:eastAsia="Cambria" w:cs="Cambria"/>
      <w:color w:val="000000"/>
      <w:sz w:val="24"/>
      <w:szCs w:val="22"/>
      <w:lang w:val="es-ES" w:eastAsia="es-ES" w:bidi="ar-SA"/>
    </w:rPr>
  </w:style>
  <w:style w:type="character" w:customStyle="1" w:styleId="67">
    <w:name w:val="Heading 2 Char"/>
    <w:basedOn w:val="5"/>
    <w:link w:val="3"/>
    <w:uiPriority w:val="0"/>
    <w:rPr>
      <w:rFonts w:asciiTheme="majorHAnsi" w:hAnsiTheme="majorHAnsi" w:eastAsiaTheme="majorEastAsia" w:cstheme="majorBidi"/>
      <w:color w:val="376092" w:themeColor="accent1" w:themeShade="BF"/>
      <w:sz w:val="26"/>
      <w:szCs w:val="26"/>
    </w:rPr>
  </w:style>
  <w:style w:type="character" w:customStyle="1" w:styleId="68">
    <w:name w:val="apple-converted-space"/>
    <w:basedOn w:val="5"/>
    <w:qFormat/>
    <w:uiPriority w:val="0"/>
  </w:style>
  <w:style w:type="character" w:customStyle="1" w:styleId="69">
    <w:name w:val="anchor-text"/>
    <w:basedOn w:val="5"/>
    <w:qFormat/>
    <w:uiPriority w:val="0"/>
  </w:style>
  <w:style w:type="character" w:customStyle="1" w:styleId="70">
    <w:name w:val="Heading 3 Char"/>
    <w:basedOn w:val="5"/>
    <w:link w:val="4"/>
    <w:semiHidden/>
    <w:qFormat/>
    <w:uiPriority w:val="0"/>
    <w:rPr>
      <w:rFonts w:asciiTheme="majorHAnsi" w:hAnsiTheme="majorHAnsi" w:eastAsiaTheme="majorEastAsia" w:cstheme="majorBidi"/>
      <w:color w:val="254061" w:themeColor="accent1" w:themeShade="8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E1D5D8-B74C-4823-91AC-0FAA1A45C351}">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25</Pages>
  <Words>11694</Words>
  <Characters>66660</Characters>
  <Lines>555</Lines>
  <Paragraphs>156</Paragraphs>
  <TotalTime>1</TotalTime>
  <ScaleCrop>false</ScaleCrop>
  <LinksUpToDate>false</LinksUpToDate>
  <CharactersWithSpaces>78198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2026-02-20T19:34:00Z</dcterms:created>
  <dc:creator>SDI</dc:creator>
  <cp:lastModifiedBy>WPS_1761575685</cp:lastModifiedBy>
  <cp:lastPrinted>1999-07-06T11:00:00Z</cp:lastPrinted>
  <dcterms:modified xsi:type="dcterms:W3CDTF">2026-02-21T22:29:17Z</dcterms:modified>
  <dc:title>Paper Template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2057-12.2.0.23196</vt:lpwstr>
  </property>
  <property fmtid="{D5CDD505-2E9C-101B-9397-08002B2CF9AE}" pid="3" name="ICV">
    <vt:lpwstr>C6F0A24080AD46E3A1F1A1A839AB2C40_12</vt:lpwstr>
  </property>
</Properties>
</file>