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926" w:rsidRPr="00E36926" w:rsidRDefault="00E36926" w:rsidP="00E36926">
      <w:pPr>
        <w:pStyle w:val="Heading1"/>
      </w:pPr>
      <w:r w:rsidRPr="00E36926">
        <w:rPr>
          <w:rStyle w:val="Strong"/>
          <w:b/>
          <w:bCs/>
        </w:rPr>
        <w:t>Contemporary Trends and Novelties in Biotechnology: From Programmable Biology to Scalable Translation</w:t>
      </w:r>
    </w:p>
    <w:p w:rsidR="00E36926" w:rsidRDefault="00E36926" w:rsidP="00E36926">
      <w:pPr>
        <w:pStyle w:val="Heading3"/>
      </w:pPr>
    </w:p>
    <w:p w:rsidR="00E36926" w:rsidRDefault="00E36926" w:rsidP="00E36926">
      <w:pPr>
        <w:pStyle w:val="Heading3"/>
      </w:pPr>
      <w:r>
        <w:t>Abstract</w:t>
      </w:r>
    </w:p>
    <w:p w:rsidR="00E36926" w:rsidRDefault="00E36926" w:rsidP="00E36926">
      <w:pPr>
        <w:pStyle w:val="NormalWeb"/>
      </w:pPr>
      <w:r w:rsidRPr="00A02E24">
        <w:rPr>
          <w:highlight w:val="yellow"/>
        </w:rPr>
        <w:t xml:space="preserve">Biotechnology is undergoing a rapid transition from descriptive life science towards an engineering discipline in which biological function can be measured, modelled, designed, and deployed. Several convergent trends underpin this shift: increasingly precise genome and epigenome manipulation; the maturation of cell and gene therapies; a step-change in resolution for molecular and cellular measurement through single-cell, spatial, and long-read approaches; the </w:t>
      </w:r>
      <w:proofErr w:type="spellStart"/>
      <w:r w:rsidRPr="00A02E24">
        <w:rPr>
          <w:highlight w:val="yellow"/>
        </w:rPr>
        <w:t>industrialisation</w:t>
      </w:r>
      <w:proofErr w:type="spellEnd"/>
      <w:r w:rsidRPr="00A02E24">
        <w:rPr>
          <w:highlight w:val="yellow"/>
        </w:rPr>
        <w:t xml:space="preserve"> of synthetic biology through automation and </w:t>
      </w:r>
      <w:proofErr w:type="spellStart"/>
      <w:r w:rsidRPr="00A02E24">
        <w:rPr>
          <w:highlight w:val="yellow"/>
        </w:rPr>
        <w:t>standardisation</w:t>
      </w:r>
      <w:proofErr w:type="spellEnd"/>
      <w:r w:rsidRPr="00A02E24">
        <w:rPr>
          <w:highlight w:val="yellow"/>
        </w:rPr>
        <w:t xml:space="preserve">; and the widening adoption of computational and machine-learning methods to accelerate discovery and </w:t>
      </w:r>
      <w:proofErr w:type="spellStart"/>
      <w:r w:rsidRPr="00A02E24">
        <w:rPr>
          <w:highlight w:val="yellow"/>
        </w:rPr>
        <w:t>optimise</w:t>
      </w:r>
      <w:proofErr w:type="spellEnd"/>
      <w:r w:rsidRPr="00A02E24">
        <w:rPr>
          <w:highlight w:val="yellow"/>
        </w:rPr>
        <w:t xml:space="preserve"> biological systems. At the same time, biotechnology faces recurring translational bottlenecks, particularly delivery, manufacturability, robustness across biological heterogeneity, and governance of technologies with dual-use potential. This review </w:t>
      </w:r>
      <w:proofErr w:type="spellStart"/>
      <w:r w:rsidRPr="00A02E24">
        <w:rPr>
          <w:highlight w:val="yellow"/>
        </w:rPr>
        <w:t>synthesises</w:t>
      </w:r>
      <w:proofErr w:type="spellEnd"/>
      <w:r w:rsidRPr="00A02E24">
        <w:rPr>
          <w:highlight w:val="yellow"/>
        </w:rPr>
        <w:t xml:space="preserve"> contemporary advances across these domains, highlighting how modern biotechnology integrates programmable editing, high-dimensional measurement, and iterative design cycles to address needs in human health, sustainable manufacturing, and environmental stewardship. Emphasis is placed on mechanistic innovations, practical constraints for scale-up, and emerging concepts that are likely to define the next decade, including precision delivery of genome editors, engineered living therapeutics, cell-free manufacturing paradigms, and data-centric laboratory automation. The review concludes by outlining key opportunities for responsible innovation and by identifying limitations in the current evidence base, particularly the uneven maturity of clinical translation, the scarcity of long-term safety data for some modalities, and the need for </w:t>
      </w:r>
      <w:proofErr w:type="spellStart"/>
      <w:r w:rsidRPr="00A02E24">
        <w:rPr>
          <w:highlight w:val="yellow"/>
        </w:rPr>
        <w:t>harmonised</w:t>
      </w:r>
      <w:proofErr w:type="spellEnd"/>
      <w:r w:rsidRPr="00A02E24">
        <w:rPr>
          <w:highlight w:val="yellow"/>
        </w:rPr>
        <w:t xml:space="preserve"> standards in data and biological parts.</w:t>
      </w:r>
    </w:p>
    <w:p w:rsidR="00E36926" w:rsidRDefault="00E36926" w:rsidP="00E36926">
      <w:pPr>
        <w:pStyle w:val="NormalWeb"/>
      </w:pPr>
      <w:r>
        <w:rPr>
          <w:rStyle w:val="Strong"/>
        </w:rPr>
        <w:t>Keywords:</w:t>
      </w:r>
      <w:r>
        <w:t xml:space="preserve"> biotechnology; genome editing; CRISPR; base editing; prime editing; cell and gene therapy; synthetic biology; </w:t>
      </w:r>
      <w:proofErr w:type="spellStart"/>
      <w:r>
        <w:t>biofoundries</w:t>
      </w:r>
      <w:proofErr w:type="spellEnd"/>
      <w:r>
        <w:t xml:space="preserve">; single-cell </w:t>
      </w:r>
      <w:proofErr w:type="spellStart"/>
      <w:r>
        <w:t>omics</w:t>
      </w:r>
      <w:proofErr w:type="spellEnd"/>
      <w:r>
        <w:t>; spatial transcriptomics; long-read sequencing; mRNA therapeutics; living therapeutics; cell-free systems; biomanufacturing; bioethics</w:t>
      </w:r>
    </w:p>
    <w:p w:rsidR="00E36926" w:rsidRDefault="00E36926" w:rsidP="00E36926"/>
    <w:p w:rsidR="00E36926" w:rsidRDefault="00E36926" w:rsidP="00E36926">
      <w:pPr>
        <w:pStyle w:val="Heading2"/>
      </w:pPr>
      <w:r>
        <w:t>1. Introduction</w:t>
      </w:r>
    </w:p>
    <w:p w:rsidR="00E36926" w:rsidRDefault="00E36926" w:rsidP="00E36926">
      <w:pPr>
        <w:pStyle w:val="NormalWeb"/>
      </w:pPr>
      <w:r>
        <w:t xml:space="preserve">Biotechnology has historically advanced through cycles in which new measurement technologies reveal previously invisible biology, followed by conceptual frameworks that </w:t>
      </w:r>
      <w:proofErr w:type="spellStart"/>
      <w:r>
        <w:t>organise</w:t>
      </w:r>
      <w:proofErr w:type="spellEnd"/>
      <w:r>
        <w:t xml:space="preserve"> the new observations and, finally, intervention tools that allow that biology to be reprogrammed. The current era is distinguished by the unusual simultaneity of these steps. Tools for genome manipulation have become modular and broadly accessible; measurement platforms now operate at cellular and subcellular resolution with high throughput; and bioengineering workflows increasingly resemble other mature engineering fields, with </w:t>
      </w:r>
      <w:r>
        <w:lastRenderedPageBreak/>
        <w:t xml:space="preserve">iterative </w:t>
      </w:r>
      <w:proofErr w:type="spellStart"/>
      <w:r>
        <w:t>optimisation</w:t>
      </w:r>
      <w:proofErr w:type="spellEnd"/>
      <w:r>
        <w:t xml:space="preserve"> supported by automation, computation, and </w:t>
      </w:r>
      <w:proofErr w:type="spellStart"/>
      <w:r>
        <w:t>standardised</w:t>
      </w:r>
      <w:proofErr w:type="spellEnd"/>
      <w:r>
        <w:t xml:space="preserve"> parts. This convergence is changing both what is technically possible and how biotechnology is practiced, shifting emphasis from bespoke experimentation towards reproducible pipelines and scalable translation.</w:t>
      </w:r>
    </w:p>
    <w:p w:rsidR="00E36926" w:rsidRDefault="00E36926" w:rsidP="00E36926">
      <w:pPr>
        <w:pStyle w:val="NormalWeb"/>
      </w:pPr>
      <w:r>
        <w:t>One of the most consequential novelties is the emergence of genuinely programmable molecular machinery. The development of RNA-guided nucleases enabled targeted sequence modification with a simplicity that reframed genome engineering as a tractable, designable activity rather than a specialist craft (</w:t>
      </w:r>
      <w:proofErr w:type="spellStart"/>
      <w:r>
        <w:t>Jinek</w:t>
      </w:r>
      <w:proofErr w:type="spellEnd"/>
      <w:r>
        <w:t xml:space="preserve"> et al., 2012; Hsu et al., 2014</w:t>
      </w:r>
      <w:r w:rsidR="00772744">
        <w:t>; Shivani et al., 2025</w:t>
      </w:r>
      <w:r>
        <w:t>). Subsequent innovations have refined this programmability towards single-nucleotide precision, reducing the reliance on double-strand breaks and thereby rebalancing editing outcomes towards predictable, therapeutically relevant variants (</w:t>
      </w:r>
      <w:proofErr w:type="spellStart"/>
      <w:r>
        <w:t>Komor</w:t>
      </w:r>
      <w:proofErr w:type="spellEnd"/>
      <w:r>
        <w:t xml:space="preserve"> et al., 2016; </w:t>
      </w:r>
      <w:proofErr w:type="spellStart"/>
      <w:r>
        <w:t>Gaudelli</w:t>
      </w:r>
      <w:proofErr w:type="spellEnd"/>
      <w:r>
        <w:t xml:space="preserve"> et al., 2017; Anzalone et al., 2019). In parallel, biotechnology has expanded beyond DNA into RNA and epigenetic layers, enabling reversible or tunable modulation rather than permanent edits (Cox et al., 2017). These capabilities intersect with a second defining trend: the rise of advanced therapeutic modalities, particularly cell and gene therapies, in which engineered cells or delivery vectors act as active medicines rather than passive carriers (</w:t>
      </w:r>
      <w:proofErr w:type="spellStart"/>
      <w:r>
        <w:t>Naldini</w:t>
      </w:r>
      <w:proofErr w:type="spellEnd"/>
      <w:r>
        <w:t>, 2015; June et al., 2018; Wang et al., 2019).</w:t>
      </w:r>
    </w:p>
    <w:p w:rsidR="00E36926" w:rsidRPr="00A02E24" w:rsidRDefault="00E36926" w:rsidP="00E36926">
      <w:pPr>
        <w:pStyle w:val="NormalWeb"/>
        <w:rPr>
          <w:highlight w:val="yellow"/>
        </w:rPr>
      </w:pPr>
      <w:r w:rsidRPr="00A02E24">
        <w:rPr>
          <w:highlight w:val="yellow"/>
        </w:rPr>
        <w:t xml:space="preserve">A third trend concerns measurement. Single-cell transcriptomics and related approaches have moved biology from averaged signals to distributions, revealing rare states, transient trajectories, and spatially </w:t>
      </w:r>
      <w:proofErr w:type="spellStart"/>
      <w:r w:rsidRPr="00A02E24">
        <w:rPr>
          <w:highlight w:val="yellow"/>
        </w:rPr>
        <w:t>organised</w:t>
      </w:r>
      <w:proofErr w:type="spellEnd"/>
      <w:r w:rsidRPr="00A02E24">
        <w:rPr>
          <w:highlight w:val="yellow"/>
        </w:rPr>
        <w:t xml:space="preserve"> </w:t>
      </w:r>
      <w:proofErr w:type="spellStart"/>
      <w:r w:rsidRPr="00A02E24">
        <w:rPr>
          <w:highlight w:val="yellow"/>
        </w:rPr>
        <w:t>programmes</w:t>
      </w:r>
      <w:proofErr w:type="spellEnd"/>
      <w:r w:rsidRPr="00A02E24">
        <w:rPr>
          <w:highlight w:val="yellow"/>
        </w:rPr>
        <w:t xml:space="preserve"> that are essential for understanding development, disease, and therapy response (</w:t>
      </w:r>
      <w:proofErr w:type="spellStart"/>
      <w:r w:rsidRPr="00A02E24">
        <w:rPr>
          <w:highlight w:val="yellow"/>
        </w:rPr>
        <w:t>Macosko</w:t>
      </w:r>
      <w:proofErr w:type="spellEnd"/>
      <w:r w:rsidRPr="00A02E24">
        <w:rPr>
          <w:highlight w:val="yellow"/>
        </w:rPr>
        <w:t xml:space="preserve"> et al., 2015; Stuart et al., 2019; </w:t>
      </w:r>
      <w:proofErr w:type="spellStart"/>
      <w:r w:rsidRPr="00A02E24">
        <w:rPr>
          <w:highlight w:val="yellow"/>
        </w:rPr>
        <w:t>Ståhl</w:t>
      </w:r>
      <w:proofErr w:type="spellEnd"/>
      <w:r w:rsidRPr="00A02E24">
        <w:rPr>
          <w:highlight w:val="yellow"/>
        </w:rPr>
        <w:t xml:space="preserve"> et al., 2016). Long-read sequencing complements this by resolving repetitive and structurally complex regions of genomes, linking genotype to phenotype in ways previously blocked by technical blind spots (Logsdon et al., 2020</w:t>
      </w:r>
      <w:r w:rsidR="00ED448F" w:rsidRPr="00A02E24">
        <w:rPr>
          <w:highlight w:val="yellow"/>
        </w:rPr>
        <w:t>; Sanchez-</w:t>
      </w:r>
      <w:proofErr w:type="spellStart"/>
      <w:r w:rsidR="00ED448F" w:rsidRPr="00A02E24">
        <w:rPr>
          <w:highlight w:val="yellow"/>
        </w:rPr>
        <w:t>Lengeling</w:t>
      </w:r>
      <w:proofErr w:type="spellEnd"/>
      <w:r w:rsidR="00ED448F" w:rsidRPr="00A02E24">
        <w:rPr>
          <w:highlight w:val="yellow"/>
        </w:rPr>
        <w:t xml:space="preserve"> &amp; </w:t>
      </w:r>
      <w:proofErr w:type="spellStart"/>
      <w:r w:rsidR="00ED448F" w:rsidRPr="00A02E24">
        <w:rPr>
          <w:highlight w:val="yellow"/>
        </w:rPr>
        <w:t>Aspuru-Guzik</w:t>
      </w:r>
      <w:proofErr w:type="spellEnd"/>
      <w:r w:rsidR="00ED448F" w:rsidRPr="00A02E24">
        <w:rPr>
          <w:highlight w:val="yellow"/>
        </w:rPr>
        <w:t>, 2018</w:t>
      </w:r>
      <w:r w:rsidRPr="00A02E24">
        <w:rPr>
          <w:highlight w:val="yellow"/>
        </w:rPr>
        <w:t>). These measurement advances not only deepen insight but also provide the quantitative feedback loops needed for engineering.</w:t>
      </w:r>
    </w:p>
    <w:p w:rsidR="00E36926" w:rsidRDefault="00E36926" w:rsidP="00E36926">
      <w:pPr>
        <w:pStyle w:val="NormalWeb"/>
      </w:pPr>
      <w:r w:rsidRPr="00A02E24">
        <w:rPr>
          <w:highlight w:val="yellow"/>
        </w:rPr>
        <w:t xml:space="preserve">Finally, biotechnology is becoming more industrial in its operational form. Synthetic biology increasingly depends on design–build–test–learn cycles supported by infrastructure such as </w:t>
      </w:r>
      <w:proofErr w:type="spellStart"/>
      <w:r w:rsidRPr="00A02E24">
        <w:rPr>
          <w:highlight w:val="yellow"/>
        </w:rPr>
        <w:t>biofoundries</w:t>
      </w:r>
      <w:proofErr w:type="spellEnd"/>
      <w:r w:rsidRPr="00A02E24">
        <w:rPr>
          <w:highlight w:val="yellow"/>
        </w:rPr>
        <w:t xml:space="preserve">, while cell-free systems provide an alternative manufacturing logic that can simplify regulation, accelerate prototyping, and enable </w:t>
      </w:r>
      <w:proofErr w:type="spellStart"/>
      <w:r w:rsidRPr="00A02E24">
        <w:rPr>
          <w:highlight w:val="yellow"/>
        </w:rPr>
        <w:t>decentralised</w:t>
      </w:r>
      <w:proofErr w:type="spellEnd"/>
      <w:r w:rsidRPr="00A02E24">
        <w:rPr>
          <w:highlight w:val="yellow"/>
        </w:rPr>
        <w:t xml:space="preserve"> production (</w:t>
      </w:r>
      <w:proofErr w:type="spellStart"/>
      <w:r w:rsidRPr="00A02E24">
        <w:rPr>
          <w:highlight w:val="yellow"/>
        </w:rPr>
        <w:t>Tinafar</w:t>
      </w:r>
      <w:proofErr w:type="spellEnd"/>
      <w:r w:rsidRPr="00A02E24">
        <w:rPr>
          <w:highlight w:val="yellow"/>
        </w:rPr>
        <w:t xml:space="preserve"> et al., 2019; Rice et al., 2025). As this field expands, it faces pressing questions of governance and societal legitimacy, particularly for applications that alter wild populations or human </w:t>
      </w:r>
      <w:proofErr w:type="spellStart"/>
      <w:r w:rsidRPr="00A02E24">
        <w:rPr>
          <w:highlight w:val="yellow"/>
        </w:rPr>
        <w:t>germlines</w:t>
      </w:r>
      <w:proofErr w:type="spellEnd"/>
      <w:r w:rsidRPr="00A02E24">
        <w:rPr>
          <w:highlight w:val="yellow"/>
        </w:rPr>
        <w:t xml:space="preserve"> (</w:t>
      </w:r>
      <w:proofErr w:type="spellStart"/>
      <w:r w:rsidRPr="00A02E24">
        <w:rPr>
          <w:highlight w:val="yellow"/>
        </w:rPr>
        <w:t>Esvelt</w:t>
      </w:r>
      <w:proofErr w:type="spellEnd"/>
      <w:r w:rsidRPr="00A02E24">
        <w:rPr>
          <w:highlight w:val="yellow"/>
        </w:rPr>
        <w:t xml:space="preserve"> et al., 2014; Baltimore et al., 2015).</w:t>
      </w:r>
    </w:p>
    <w:p w:rsidR="00E36926" w:rsidRDefault="00E36926" w:rsidP="00E36926">
      <w:pPr>
        <w:pStyle w:val="Heading3"/>
      </w:pPr>
      <w:r>
        <w:t>1.1. Scope and objective</w:t>
      </w:r>
    </w:p>
    <w:p w:rsidR="00E36926" w:rsidRDefault="00E36926" w:rsidP="00E36926">
      <w:pPr>
        <w:pStyle w:val="NormalWeb"/>
      </w:pPr>
      <w:r>
        <w:t>This review surveys contemporary trends and novelties in biotechnology across genome engineering, advanced therapeutics, high-resolution measurement, synthetic biology and biomanufacturing, and governance. The objective is to integrate mechanistic advances with practical constraints for translation and scale, and to highlight emerging directions that are likely to shape research and application over the next decade.</w:t>
      </w:r>
    </w:p>
    <w:p w:rsidR="00E36926" w:rsidRDefault="00E36926" w:rsidP="00E36926"/>
    <w:p w:rsidR="00E36926" w:rsidRDefault="00E36926" w:rsidP="00E36926">
      <w:pPr>
        <w:pStyle w:val="Heading2"/>
      </w:pPr>
      <w:r>
        <w:t>2. Methods for literature selection</w:t>
      </w:r>
    </w:p>
    <w:p w:rsidR="00E36926" w:rsidRDefault="00E36926" w:rsidP="00E36926">
      <w:pPr>
        <w:pStyle w:val="NormalWeb"/>
      </w:pPr>
      <w:r>
        <w:lastRenderedPageBreak/>
        <w:t>A focused literature search was conducted in Web of Science, Scopus, PubMed, and Google Scholar, covering January 2006 through February 2026. Search strings combined thematic clusters including “genome editing” AND “CRISPR”, “base editing” OR “prime editing”, “cell and gene therapy” AND “delivery”, “single-cell” AND “spatial transcriptomics”, “long-read sequencing”, “synthetic biology” AND “</w:t>
      </w:r>
      <w:proofErr w:type="spellStart"/>
      <w:r>
        <w:t>biofoundry</w:t>
      </w:r>
      <w:proofErr w:type="spellEnd"/>
      <w:r>
        <w:t>”, “cell-free” AND “</w:t>
      </w:r>
      <w:proofErr w:type="spellStart"/>
      <w:r>
        <w:t>biomanufacturing</w:t>
      </w:r>
      <w:proofErr w:type="spellEnd"/>
      <w:r>
        <w:t xml:space="preserve">”, “mRNA” AND “lipid nanoparticles”, and “governance” OR “bioethics” AND “gene drives”. Inclusion criteria </w:t>
      </w:r>
      <w:proofErr w:type="spellStart"/>
      <w:r>
        <w:t>prioritised</w:t>
      </w:r>
      <w:proofErr w:type="spellEnd"/>
      <w:r>
        <w:t xml:space="preserve"> peer-reviewed primary research and authoritative reviews in established journals, with preference given to articles that introduced or validated widely used methods, reported clinically relevant advances, or provided integrative frameworks with clear mechanistic grounding. Exclusion criteria removed non-scholarly commentary, duplicated reports, and articles lacking sufficient methodological detail to assess reliability. Reference lists of key papers were also hand-screened to identify seminal foundational works and high-impact follow-ups within the defined date range.</w:t>
      </w:r>
    </w:p>
    <w:p w:rsidR="00E36926" w:rsidRDefault="00E36926" w:rsidP="00E36926"/>
    <w:p w:rsidR="007B68AF" w:rsidRPr="007B68AF" w:rsidRDefault="007B68AF" w:rsidP="007B68AF">
      <w:pPr>
        <w:spacing w:before="100" w:beforeAutospacing="1" w:after="100" w:afterAutospacing="1" w:line="240" w:lineRule="auto"/>
        <w:ind w:left="0" w:right="0" w:firstLine="0"/>
        <w:jc w:val="left"/>
        <w:outlineLvl w:val="1"/>
        <w:rPr>
          <w:b/>
          <w:bCs/>
          <w:color w:val="auto"/>
          <w:kern w:val="0"/>
          <w:sz w:val="36"/>
          <w:szCs w:val="36"/>
          <w:lang w:val="en-US" w:eastAsia="en-US"/>
        </w:rPr>
      </w:pPr>
      <w:r w:rsidRPr="007B68AF">
        <w:rPr>
          <w:b/>
          <w:bCs/>
          <w:color w:val="auto"/>
          <w:kern w:val="0"/>
          <w:sz w:val="36"/>
          <w:szCs w:val="36"/>
          <w:lang w:val="en-US" w:eastAsia="en-US"/>
        </w:rPr>
        <w:t>3. Genome and epigenome engineering as a programmable layer of biology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A02E24">
        <w:rPr>
          <w:color w:val="auto"/>
          <w:kern w:val="0"/>
          <w:highlight w:val="yellow"/>
          <w:lang w:val="en-US" w:eastAsia="en-US"/>
        </w:rPr>
        <w:t>Genome and epigenome engineering have shifted biotechnology from observing and cataloguing biological variation to actively specifying and constructing biological function. The contemporary novelty is the emergence of a designable “control plane” for living systems, in which sequence, chromatin state, and RNA outputs can be directed with increasing precision. This transformation is often traced to RNA-guided nucleases, which converted target recognition from a protein-engineering problem into a largely sequence-specified guide RNA problem (</w:t>
      </w:r>
      <w:proofErr w:type="spellStart"/>
      <w:r w:rsidRPr="00A02E24">
        <w:rPr>
          <w:color w:val="auto"/>
          <w:kern w:val="0"/>
          <w:highlight w:val="yellow"/>
          <w:lang w:val="en-US" w:eastAsia="en-US"/>
        </w:rPr>
        <w:t>Jinek</w:t>
      </w:r>
      <w:proofErr w:type="spellEnd"/>
      <w:r w:rsidRPr="00A02E24">
        <w:rPr>
          <w:color w:val="auto"/>
          <w:kern w:val="0"/>
          <w:highlight w:val="yellow"/>
          <w:lang w:val="en-US" w:eastAsia="en-US"/>
        </w:rPr>
        <w:t xml:space="preserve"> et al., 2012). Once that conceptual simplification occurred, genome engineering rapidly expanded from bespoke interventions into scalable, comparative experimentation, enabling systematic perturbation and the rapid building of genotype–phenotype maps (Hsu et al., 2014). In practical terms, programmability is now expressed across three linked layers: the ability to make targeted changes to DNA, the capacity to modulate gene expression without permanently altering sequence, and the expanding capability to edit RNA as a reversible intervention. Together, these layers form an engineering toolkit that can be deployed for basic research, industrial strain improvement, and therapeutics, while also raising new requirements for predictability, safety, and governance.</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3.1. Programmable nucleases and the move from cutting to writing</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Early CRISPR–Cas9 applications relied heavily on double-strand breaks followed by endogenous repair, a strategy that can be efficient but often produces heterogeneous outcomes because repair pathways differ across cell types, states, and genomic contexts (Hsu et al., 2014). This variability is now understood as a central barrier to reliable translation, particularly in therapeutic settings where outcome distributions matter as much as average efficiency. In response, the field has increasingly </w:t>
      </w:r>
      <w:proofErr w:type="spellStart"/>
      <w:r w:rsidRPr="007B68AF">
        <w:rPr>
          <w:color w:val="auto"/>
          <w:kern w:val="0"/>
          <w:lang w:val="en-US" w:eastAsia="en-US"/>
        </w:rPr>
        <w:t>prioritised</w:t>
      </w:r>
      <w:proofErr w:type="spellEnd"/>
      <w:r w:rsidRPr="007B68AF">
        <w:rPr>
          <w:color w:val="auto"/>
          <w:kern w:val="0"/>
          <w:lang w:val="en-US" w:eastAsia="en-US"/>
        </w:rPr>
        <w:t xml:space="preserve"> approaches that reduce reliance on error-prone repair, moving from “cut-and-hope” towards “write-with-control”. Base editors were a crucial step in this direction, coupling programmable targeting to </w:t>
      </w:r>
      <w:proofErr w:type="spellStart"/>
      <w:r w:rsidRPr="007B68AF">
        <w:rPr>
          <w:color w:val="auto"/>
          <w:kern w:val="0"/>
          <w:lang w:val="en-US" w:eastAsia="en-US"/>
        </w:rPr>
        <w:t>localised</w:t>
      </w:r>
      <w:proofErr w:type="spellEnd"/>
      <w:r w:rsidRPr="007B68AF">
        <w:rPr>
          <w:color w:val="auto"/>
          <w:kern w:val="0"/>
          <w:lang w:val="en-US" w:eastAsia="en-US"/>
        </w:rPr>
        <w:t xml:space="preserve"> chemical conversion of nucleotides without introducing a double-strand break. Cytosine base editing enabled programmable C→T conversions (</w:t>
      </w:r>
      <w:proofErr w:type="spellStart"/>
      <w:r w:rsidRPr="007B68AF">
        <w:rPr>
          <w:color w:val="auto"/>
          <w:kern w:val="0"/>
          <w:lang w:val="en-US" w:eastAsia="en-US"/>
        </w:rPr>
        <w:t>Komor</w:t>
      </w:r>
      <w:proofErr w:type="spellEnd"/>
      <w:r w:rsidRPr="007B68AF">
        <w:rPr>
          <w:color w:val="auto"/>
          <w:kern w:val="0"/>
          <w:lang w:val="en-US" w:eastAsia="en-US"/>
        </w:rPr>
        <w:t xml:space="preserve"> et al., 2016), while adenine base </w:t>
      </w:r>
      <w:r w:rsidRPr="007B68AF">
        <w:rPr>
          <w:color w:val="auto"/>
          <w:kern w:val="0"/>
          <w:lang w:val="en-US" w:eastAsia="en-US"/>
        </w:rPr>
        <w:lastRenderedPageBreak/>
        <w:t>editing expanded the accessible space of point changes with A→G conversions (</w:t>
      </w:r>
      <w:proofErr w:type="spellStart"/>
      <w:r w:rsidRPr="007B68AF">
        <w:rPr>
          <w:color w:val="auto"/>
          <w:kern w:val="0"/>
          <w:lang w:val="en-US" w:eastAsia="en-US"/>
        </w:rPr>
        <w:t>Gaudelli</w:t>
      </w:r>
      <w:proofErr w:type="spellEnd"/>
      <w:r w:rsidRPr="007B68AF">
        <w:rPr>
          <w:color w:val="auto"/>
          <w:kern w:val="0"/>
          <w:lang w:val="en-US" w:eastAsia="en-US"/>
        </w:rPr>
        <w:t xml:space="preserve"> et al., 2017</w:t>
      </w:r>
      <w:r w:rsidR="00F03E39">
        <w:rPr>
          <w:color w:val="auto"/>
          <w:kern w:val="0"/>
          <w:lang w:val="en-US" w:eastAsia="en-US"/>
        </w:rPr>
        <w:t xml:space="preserve">; </w:t>
      </w:r>
      <w:proofErr w:type="spellStart"/>
      <w:r w:rsidR="00F03E39">
        <w:t>Akter</w:t>
      </w:r>
      <w:proofErr w:type="spellEnd"/>
      <w:r w:rsidR="00F03E39">
        <w:t xml:space="preserve"> &amp; Kumar, 2024</w:t>
      </w:r>
      <w:r w:rsidRPr="007B68AF">
        <w:rPr>
          <w:color w:val="auto"/>
          <w:kern w:val="0"/>
          <w:lang w:val="en-US" w:eastAsia="en-US"/>
        </w:rPr>
        <w:t>). These methods altered the conceptual framing of genome editing: rather than breaking DNA and trusting repair, the engineer performs targeted chemistry on the genome, enabling more predictable, clinically relevant edits for many variant classes.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Prime editing extended this “writing” paradigm by enabling templated sequence changes—including substitutions, small insertions, and deletions—again without requiring double-strand breaks or donor DNA (Anzalone et al., 2019</w:t>
      </w:r>
      <w:r w:rsidR="00F03E39">
        <w:rPr>
          <w:color w:val="auto"/>
          <w:kern w:val="0"/>
          <w:lang w:val="en-US" w:eastAsia="en-US"/>
        </w:rPr>
        <w:t xml:space="preserve">; </w:t>
      </w:r>
      <w:r w:rsidR="00F03E39">
        <w:t>Rehman et al., 2022</w:t>
      </w:r>
      <w:r w:rsidRPr="007B68AF">
        <w:rPr>
          <w:color w:val="auto"/>
          <w:kern w:val="0"/>
          <w:lang w:val="en-US" w:eastAsia="en-US"/>
        </w:rPr>
        <w:t xml:space="preserve">). The key novelty is the encoding of the desired edit within the guide architecture, which can be designed computationally and iterated experimentally. At the same time, prime editing underlines a broader truth about the field’s maturity: as editing becomes more capable, </w:t>
      </w:r>
      <w:proofErr w:type="spellStart"/>
      <w:r w:rsidRPr="007B68AF">
        <w:rPr>
          <w:color w:val="auto"/>
          <w:kern w:val="0"/>
          <w:lang w:val="en-US" w:eastAsia="en-US"/>
        </w:rPr>
        <w:t>optimisation</w:t>
      </w:r>
      <w:proofErr w:type="spellEnd"/>
      <w:r w:rsidRPr="007B68AF">
        <w:rPr>
          <w:color w:val="auto"/>
          <w:kern w:val="0"/>
          <w:lang w:val="en-US" w:eastAsia="en-US"/>
        </w:rPr>
        <w:t xml:space="preserve"> becomes more multi-dimensional. Efficiency and fidelity depend on guide design, local chromatin features, cellular repair milieu, and delivery kinetics, so the practical frontier increasingly lies in systems-level </w:t>
      </w:r>
      <w:proofErr w:type="spellStart"/>
      <w:r w:rsidRPr="007B68AF">
        <w:rPr>
          <w:color w:val="auto"/>
          <w:kern w:val="0"/>
          <w:lang w:val="en-US" w:eastAsia="en-US"/>
        </w:rPr>
        <w:t>optimisation</w:t>
      </w:r>
      <w:proofErr w:type="spellEnd"/>
      <w:r w:rsidRPr="007B68AF">
        <w:rPr>
          <w:color w:val="auto"/>
          <w:kern w:val="0"/>
          <w:lang w:val="en-US" w:eastAsia="en-US"/>
        </w:rPr>
        <w:t xml:space="preserve"> rather than in any single enzymatic breakthrough.</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3.2. Epigenome modulation and programmable control without permanent change</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While sequence editing is powerful, many applications benefit from reversible or tunable control rather than permanent alteration. Epigenome engineering exploits programmable DNA targeting to recruit regulatory effectors that modify transcriptional output by altering chromatin accessibility or regulatory state. In biotechnology terms, this provides a “soft” control layer: phenotypes can be adjusted without changing the underlying genotype, enabling temporal control, dosage-like effects, and potentially improved safety profiles where permanence is undesirable. This approach is also valuable for functional genomics, where the goal is to test gene regulatory dependencies without introducing irreversible mutations that may trigger compensatory adaptation.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The broader implication is that programmability now spans both hard-coded and adaptive intervention. A cell can be edited to correct a pathogenic variant, but it can also be programmed to adopt a new expression </w:t>
      </w:r>
      <w:proofErr w:type="spellStart"/>
      <w:r w:rsidRPr="007B68AF">
        <w:rPr>
          <w:color w:val="auto"/>
          <w:kern w:val="0"/>
          <w:lang w:val="en-US" w:eastAsia="en-US"/>
        </w:rPr>
        <w:t>programme</w:t>
      </w:r>
      <w:proofErr w:type="spellEnd"/>
      <w:r w:rsidRPr="007B68AF">
        <w:rPr>
          <w:color w:val="auto"/>
          <w:kern w:val="0"/>
          <w:lang w:val="en-US" w:eastAsia="en-US"/>
        </w:rPr>
        <w:t xml:space="preserve">, to alter lineage </w:t>
      </w:r>
      <w:proofErr w:type="spellStart"/>
      <w:r w:rsidRPr="007B68AF">
        <w:rPr>
          <w:color w:val="auto"/>
          <w:kern w:val="0"/>
          <w:lang w:val="en-US" w:eastAsia="en-US"/>
        </w:rPr>
        <w:t>behaviour</w:t>
      </w:r>
      <w:proofErr w:type="spellEnd"/>
      <w:r w:rsidRPr="007B68AF">
        <w:rPr>
          <w:color w:val="auto"/>
          <w:kern w:val="0"/>
          <w:lang w:val="en-US" w:eastAsia="en-US"/>
        </w:rPr>
        <w:t xml:space="preserve">, or to resist perturbations. This expands the design space for cell therapies and engineered tissues, and it changes how biotechnologists think about “therapeutic targets”: targets can include regulatory states and network </w:t>
      </w:r>
      <w:proofErr w:type="spellStart"/>
      <w:r w:rsidRPr="007B68AF">
        <w:rPr>
          <w:color w:val="auto"/>
          <w:kern w:val="0"/>
          <w:lang w:val="en-US" w:eastAsia="en-US"/>
        </w:rPr>
        <w:t>behaviours</w:t>
      </w:r>
      <w:proofErr w:type="spellEnd"/>
      <w:r w:rsidRPr="007B68AF">
        <w:rPr>
          <w:color w:val="auto"/>
          <w:kern w:val="0"/>
          <w:lang w:val="en-US" w:eastAsia="en-US"/>
        </w:rPr>
        <w:t>, not only gene products.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3.3. RNA editing and transient, reversible intervention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RNA-targeting systems further broaden the programmable layer by enabling interventions that do not persist once the editing machinery is removed. Cas13-based approaches demonstrated that RNA can be targeted with high specificity and that transcript-level editing can be achieved by recruiting suitable effectors (Cox et al., 2017). The novelty here is not only technical; it is strategic. RNA editing supports time-limited interventions, can be titrated by delivery and dosing, and may reduce concerns about permanent off-target genomic changes. In clinical scenarios where transient modulation is sufficient—such as short-lived inflammatory states, certain infections, or proof-of-mechanism studies—RNA editing can offer a pragmatic route to translation. In research and industrial contexts, RNA-level programmability also provides a way to probe gene function and regulatory dynamics rapidly, supporting iterative design without committing to stable genome modifications.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lastRenderedPageBreak/>
        <w:t>3.4. Delivery as the dominant translational constraint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As editing chemistries have advanced, delivery has become the decisive constraint shaping what is feasible in vivo. Viral vectors remain central for many applications because they can achieve efficient delivery and durable expression, yet they face challenges including payload limits, immune responses, and </w:t>
      </w:r>
      <w:proofErr w:type="spellStart"/>
      <w:r w:rsidRPr="007B68AF">
        <w:rPr>
          <w:color w:val="auto"/>
          <w:kern w:val="0"/>
          <w:lang w:val="en-US" w:eastAsia="en-US"/>
        </w:rPr>
        <w:t>redosing</w:t>
      </w:r>
      <w:proofErr w:type="spellEnd"/>
      <w:r w:rsidRPr="007B68AF">
        <w:rPr>
          <w:color w:val="auto"/>
          <w:kern w:val="0"/>
          <w:lang w:val="en-US" w:eastAsia="en-US"/>
        </w:rPr>
        <w:t xml:space="preserve"> constraints (</w:t>
      </w:r>
      <w:proofErr w:type="spellStart"/>
      <w:r w:rsidRPr="007B68AF">
        <w:rPr>
          <w:color w:val="auto"/>
          <w:kern w:val="0"/>
          <w:lang w:val="en-US" w:eastAsia="en-US"/>
        </w:rPr>
        <w:t>Naldini</w:t>
      </w:r>
      <w:proofErr w:type="spellEnd"/>
      <w:r w:rsidRPr="007B68AF">
        <w:rPr>
          <w:color w:val="auto"/>
          <w:kern w:val="0"/>
          <w:lang w:val="en-US" w:eastAsia="en-US"/>
        </w:rPr>
        <w:t>, 2015; Wang et al., 2019). Non-viral systems, particularly lipid nanoparticles, offer an alternative delivery logic that can support transient expression and scalable manufacturing, and they have become a major focus for delivering nucleic acids and, increasingly, genome-editing payloads (Hou et al., 2021). The practical novelty is that delivery is no longer treated as a downstream packaging problem; it is now co-designed with the editor itself, because biodistribution, duration of expression, and immune compatibility can dominate therapeutic outcomes.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 current direction is the pursuit of targeted delivery that achieves cell-type selectivity, </w:t>
      </w:r>
      <w:proofErr w:type="spellStart"/>
      <w:r w:rsidRPr="007B68AF">
        <w:rPr>
          <w:color w:val="auto"/>
          <w:kern w:val="0"/>
          <w:lang w:val="en-US" w:eastAsia="en-US"/>
        </w:rPr>
        <w:t>minimises</w:t>
      </w:r>
      <w:proofErr w:type="spellEnd"/>
      <w:r w:rsidRPr="007B68AF">
        <w:rPr>
          <w:color w:val="auto"/>
          <w:kern w:val="0"/>
          <w:lang w:val="en-US" w:eastAsia="en-US"/>
        </w:rPr>
        <w:t xml:space="preserve"> systemic exposure, and improves the ratio of on-target benefit to off-target risk. Recent synthesis in the field underscores that achieving reliable, tissue-specific delivery will be pivotal to </w:t>
      </w:r>
      <w:proofErr w:type="spellStart"/>
      <w:r w:rsidRPr="007B68AF">
        <w:rPr>
          <w:color w:val="auto"/>
          <w:kern w:val="0"/>
          <w:lang w:val="en-US" w:eastAsia="en-US"/>
        </w:rPr>
        <w:t>realising</w:t>
      </w:r>
      <w:proofErr w:type="spellEnd"/>
      <w:r w:rsidRPr="007B68AF">
        <w:rPr>
          <w:color w:val="auto"/>
          <w:kern w:val="0"/>
          <w:lang w:val="en-US" w:eastAsia="en-US"/>
        </w:rPr>
        <w:t xml:space="preserve"> the full therapeutic potential of genome editors (Ngo et al., 2026). This emphasis also reframes “precision” in genome engineering: precision is not only about nucleotide accuracy, but also about delivering the right payload to the right cells for the right duration. In that sense, the frontier of genome and epigenome engineering is now as much an exercise in delivery engineering and translational control as it is in molecular tool development.</w:t>
      </w:r>
    </w:p>
    <w:p w:rsidR="007B68AF" w:rsidRPr="007B68AF" w:rsidRDefault="007B68AF" w:rsidP="007B68AF">
      <w:pPr>
        <w:spacing w:before="100" w:beforeAutospacing="1" w:after="100" w:afterAutospacing="1" w:line="240" w:lineRule="auto"/>
        <w:ind w:left="0" w:right="0" w:firstLine="0"/>
        <w:jc w:val="left"/>
        <w:outlineLvl w:val="1"/>
        <w:rPr>
          <w:b/>
          <w:bCs/>
          <w:color w:val="auto"/>
          <w:kern w:val="0"/>
          <w:sz w:val="36"/>
          <w:szCs w:val="36"/>
          <w:lang w:val="en-US" w:eastAsia="en-US"/>
        </w:rPr>
      </w:pPr>
      <w:r w:rsidRPr="007B68AF">
        <w:rPr>
          <w:b/>
          <w:bCs/>
          <w:color w:val="auto"/>
          <w:kern w:val="0"/>
          <w:sz w:val="36"/>
          <w:szCs w:val="36"/>
          <w:lang w:val="en-US" w:eastAsia="en-US"/>
        </w:rPr>
        <w:t>4. Cell and gene therapies: engineered systems as medicines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Cell and gene therapies represent one of the clearest manifestations of biotechnology’s transition from making products to engineering systems. In these modalities, the therapeutic agent is not a small molecule that passively perturbs physiology; it is an engineered biological entity—either genetic information delivered into cells or living cells themselves—that can execute complex </w:t>
      </w:r>
      <w:proofErr w:type="spellStart"/>
      <w:r w:rsidRPr="007B68AF">
        <w:rPr>
          <w:color w:val="auto"/>
          <w:kern w:val="0"/>
          <w:lang w:val="en-US" w:eastAsia="en-US"/>
        </w:rPr>
        <w:t>programmes</w:t>
      </w:r>
      <w:proofErr w:type="spellEnd"/>
      <w:r w:rsidRPr="007B68AF">
        <w:rPr>
          <w:color w:val="auto"/>
          <w:kern w:val="0"/>
          <w:lang w:val="en-US" w:eastAsia="en-US"/>
        </w:rPr>
        <w:t xml:space="preserve"> over time. This systems character is the defining novelty. Engineered therapies can, in principle, sense and respond to biological context, persist long enough to reshape disease trajectories, and be tailored to specific molecular causes. Yet these advantages bring stringent constraints. Because these therapies act as active systems, their safety and efficacy depend on control of delivery, persistence, functional stability, immune interactions, and manufacturing consistency. Contemporary progress is therefore best understood as the co-evolution of molecular design with process engineering and clinical governance, rather than as a simple sequence of laboratory discoveries.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4.1. Gene therapy maturation: vectors, durability, and risk management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Gene therapy has matured substantially in the past decade, moving from intermittent clinical successes to a more </w:t>
      </w:r>
      <w:proofErr w:type="spellStart"/>
      <w:r w:rsidRPr="007B68AF">
        <w:rPr>
          <w:color w:val="auto"/>
          <w:kern w:val="0"/>
          <w:lang w:val="en-US" w:eastAsia="en-US"/>
        </w:rPr>
        <w:t>generalisable</w:t>
      </w:r>
      <w:proofErr w:type="spellEnd"/>
      <w:r w:rsidRPr="007B68AF">
        <w:rPr>
          <w:color w:val="auto"/>
          <w:kern w:val="0"/>
          <w:lang w:val="en-US" w:eastAsia="en-US"/>
        </w:rPr>
        <w:t xml:space="preserve"> therapeutic strategy. A key reason is a deeper understanding of how to deliver genes safely and durably, and how to evaluate the associated risks. Foundational reviews have described this return to “</w:t>
      </w:r>
      <w:proofErr w:type="spellStart"/>
      <w:r w:rsidRPr="007B68AF">
        <w:rPr>
          <w:color w:val="auto"/>
          <w:kern w:val="0"/>
          <w:lang w:val="en-US" w:eastAsia="en-US"/>
        </w:rPr>
        <w:t>centre</w:t>
      </w:r>
      <w:proofErr w:type="spellEnd"/>
      <w:r w:rsidRPr="007B68AF">
        <w:rPr>
          <w:color w:val="auto"/>
          <w:kern w:val="0"/>
          <w:lang w:val="en-US" w:eastAsia="en-US"/>
        </w:rPr>
        <w:t xml:space="preserve"> stage” as the result of improved vector platforms, better disease targeting, and more disciplined clinical development (</w:t>
      </w:r>
      <w:proofErr w:type="spellStart"/>
      <w:r w:rsidRPr="007B68AF">
        <w:rPr>
          <w:color w:val="auto"/>
          <w:kern w:val="0"/>
          <w:lang w:val="en-US" w:eastAsia="en-US"/>
        </w:rPr>
        <w:t>Naldini</w:t>
      </w:r>
      <w:proofErr w:type="spellEnd"/>
      <w:r w:rsidRPr="007B68AF">
        <w:rPr>
          <w:color w:val="auto"/>
          <w:kern w:val="0"/>
          <w:lang w:val="en-US" w:eastAsia="en-US"/>
        </w:rPr>
        <w:t xml:space="preserve">, 2015). Contemporary gene therapy </w:t>
      </w:r>
      <w:proofErr w:type="spellStart"/>
      <w:r w:rsidRPr="007B68AF">
        <w:rPr>
          <w:color w:val="auto"/>
          <w:kern w:val="0"/>
          <w:lang w:val="en-US" w:eastAsia="en-US"/>
        </w:rPr>
        <w:t>programmes</w:t>
      </w:r>
      <w:proofErr w:type="spellEnd"/>
      <w:r w:rsidRPr="007B68AF">
        <w:rPr>
          <w:color w:val="auto"/>
          <w:kern w:val="0"/>
          <w:lang w:val="en-US" w:eastAsia="en-US"/>
        </w:rPr>
        <w:t xml:space="preserve"> increasingly begin with a clear view of the required expression profile—how much gene product is needed, in </w:t>
      </w:r>
      <w:r w:rsidRPr="007B68AF">
        <w:rPr>
          <w:color w:val="auto"/>
          <w:kern w:val="0"/>
          <w:lang w:val="en-US" w:eastAsia="en-US"/>
        </w:rPr>
        <w:lastRenderedPageBreak/>
        <w:t>which cells, and for how long—because these parameters strongly constrain vector choice and dosing strategy.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Adeno-associated virus (AAV) has become a leading platform because it can mediate efficient gene transfer and long-lived expression in several tissues. At the same time, it illustrates why cell and gene therapies are engineered systems rather than simple medicines. AAV performance depends on capsid tropism, immune recognition, dose-related toxicity, and the feasibility of re-dosing, all of which can vary across individuals (Wang et al., 2019). The novelty in the present phase of gene therapy lies less in the claim that “genes can be delivered” and more in the engineering of delivery to meet clinical constraints: tailoring tropism, balancing potency and safety, and aligning manufacturing with consistent product quality. These are systems problems that integrate vector biology, immunology, and process control.</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Another major vector class, lentiviral vectors, has been central to ex vivo gene therapy where patient cells are modified outside the body and then reinfused. This approach offers tighter control over which cells are modified and allows extensive testing before administration, but it introduces manufacturing and logistics complexities. In both cases, the field’s maturation is </w:t>
      </w:r>
      <w:proofErr w:type="spellStart"/>
      <w:r w:rsidRPr="007B68AF">
        <w:rPr>
          <w:color w:val="auto"/>
          <w:kern w:val="0"/>
          <w:lang w:val="en-US" w:eastAsia="en-US"/>
        </w:rPr>
        <w:t>characterised</w:t>
      </w:r>
      <w:proofErr w:type="spellEnd"/>
      <w:r w:rsidRPr="007B68AF">
        <w:rPr>
          <w:color w:val="auto"/>
          <w:kern w:val="0"/>
          <w:lang w:val="en-US" w:eastAsia="en-US"/>
        </w:rPr>
        <w:t xml:space="preserve"> by the increasing importance of reliability: consistent vector production, predictable transgene expression, and robust monitoring of adverse outcomes. The practical trajectory of gene therapy therefore mirrors industrial engineering: early feasibility gives way to </w:t>
      </w:r>
      <w:proofErr w:type="spellStart"/>
      <w:r w:rsidRPr="007B68AF">
        <w:rPr>
          <w:color w:val="auto"/>
          <w:kern w:val="0"/>
          <w:lang w:val="en-US" w:eastAsia="en-US"/>
        </w:rPr>
        <w:t>optimisation</w:t>
      </w:r>
      <w:proofErr w:type="spellEnd"/>
      <w:r w:rsidRPr="007B68AF">
        <w:rPr>
          <w:color w:val="auto"/>
          <w:kern w:val="0"/>
          <w:lang w:val="en-US" w:eastAsia="en-US"/>
        </w:rPr>
        <w:t xml:space="preserve">, </w:t>
      </w:r>
      <w:proofErr w:type="spellStart"/>
      <w:r w:rsidRPr="007B68AF">
        <w:rPr>
          <w:color w:val="auto"/>
          <w:kern w:val="0"/>
          <w:lang w:val="en-US" w:eastAsia="en-US"/>
        </w:rPr>
        <w:t>standardisation</w:t>
      </w:r>
      <w:proofErr w:type="spellEnd"/>
      <w:r w:rsidRPr="007B68AF">
        <w:rPr>
          <w:color w:val="auto"/>
          <w:kern w:val="0"/>
          <w:lang w:val="en-US" w:eastAsia="en-US"/>
        </w:rPr>
        <w:t>, and control of variance.</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4.2. Cell therapy and engineered immunity: the CAR T exemplar</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Cell therapy extends the engineering logic further by using living cells as the therapeutic chassis. CAR T cell therapy is the best-known example, demonstrating that immune cells can be reprogrammed to </w:t>
      </w:r>
      <w:proofErr w:type="spellStart"/>
      <w:r w:rsidRPr="007B68AF">
        <w:rPr>
          <w:color w:val="auto"/>
          <w:kern w:val="0"/>
          <w:lang w:val="en-US" w:eastAsia="en-US"/>
        </w:rPr>
        <w:t>recognise</w:t>
      </w:r>
      <w:proofErr w:type="spellEnd"/>
      <w:r w:rsidRPr="007B68AF">
        <w:rPr>
          <w:color w:val="auto"/>
          <w:kern w:val="0"/>
          <w:lang w:val="en-US" w:eastAsia="en-US"/>
        </w:rPr>
        <w:t xml:space="preserve"> cancer antigens and execute cytotoxic functions with profound clinical impact in certain </w:t>
      </w:r>
      <w:proofErr w:type="spellStart"/>
      <w:r w:rsidRPr="007B68AF">
        <w:rPr>
          <w:color w:val="auto"/>
          <w:kern w:val="0"/>
          <w:lang w:val="en-US" w:eastAsia="en-US"/>
        </w:rPr>
        <w:t>haematological</w:t>
      </w:r>
      <w:proofErr w:type="spellEnd"/>
      <w:r w:rsidRPr="007B68AF">
        <w:rPr>
          <w:color w:val="auto"/>
          <w:kern w:val="0"/>
          <w:lang w:val="en-US" w:eastAsia="en-US"/>
        </w:rPr>
        <w:t xml:space="preserve"> malignancies (June et al., 2018). The novelty is that the treatment is not a transient exposure but a population of engineered cells capable of expansion, trafficking, and persistence. Consequently, efficacy is tied to cell </w:t>
      </w:r>
      <w:proofErr w:type="spellStart"/>
      <w:r w:rsidRPr="007B68AF">
        <w:rPr>
          <w:color w:val="auto"/>
          <w:kern w:val="0"/>
          <w:lang w:val="en-US" w:eastAsia="en-US"/>
        </w:rPr>
        <w:t>behaviour</w:t>
      </w:r>
      <w:proofErr w:type="spellEnd"/>
      <w:r w:rsidRPr="007B68AF">
        <w:rPr>
          <w:color w:val="auto"/>
          <w:kern w:val="0"/>
          <w:lang w:val="en-US" w:eastAsia="en-US"/>
        </w:rPr>
        <w:t>, including proliferation, exhaustion, memory formation, and interactions with the host immune environment.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At the same time, CAR T therapy exposes the core trade-offs of engineered living medicines. Potent activation can produce serious toxicities, while insufficient persistence can lead to relapse. </w:t>
      </w:r>
      <w:proofErr w:type="spellStart"/>
      <w:r w:rsidRPr="007B68AF">
        <w:rPr>
          <w:color w:val="auto"/>
          <w:kern w:val="0"/>
          <w:lang w:val="en-US" w:eastAsia="en-US"/>
        </w:rPr>
        <w:t>Tumours</w:t>
      </w:r>
      <w:proofErr w:type="spellEnd"/>
      <w:r w:rsidRPr="007B68AF">
        <w:rPr>
          <w:color w:val="auto"/>
          <w:kern w:val="0"/>
          <w:lang w:val="en-US" w:eastAsia="en-US"/>
        </w:rPr>
        <w:t xml:space="preserve"> can evade therapy by losing or downregulating the target antigen, and solid </w:t>
      </w:r>
      <w:proofErr w:type="spellStart"/>
      <w:r w:rsidRPr="007B68AF">
        <w:rPr>
          <w:color w:val="auto"/>
          <w:kern w:val="0"/>
          <w:lang w:val="en-US" w:eastAsia="en-US"/>
        </w:rPr>
        <w:t>tumours</w:t>
      </w:r>
      <w:proofErr w:type="spellEnd"/>
      <w:r w:rsidRPr="007B68AF">
        <w:rPr>
          <w:color w:val="auto"/>
          <w:kern w:val="0"/>
          <w:lang w:val="en-US" w:eastAsia="en-US"/>
        </w:rPr>
        <w:t xml:space="preserve"> present additional barriers such as immunosuppressive microenvironments and physical exclusion. Contemporary engineering efforts therefore increasingly focus on control architectures—logic-gated activation, multiplex antigen recognition, cytokine modulation, and safety switches—that aim to preserve </w:t>
      </w:r>
      <w:proofErr w:type="spellStart"/>
      <w:r w:rsidRPr="007B68AF">
        <w:rPr>
          <w:color w:val="auto"/>
          <w:kern w:val="0"/>
          <w:lang w:val="en-US" w:eastAsia="en-US"/>
        </w:rPr>
        <w:t>antitumour</w:t>
      </w:r>
      <w:proofErr w:type="spellEnd"/>
      <w:r w:rsidRPr="007B68AF">
        <w:rPr>
          <w:color w:val="auto"/>
          <w:kern w:val="0"/>
          <w:lang w:val="en-US" w:eastAsia="en-US"/>
        </w:rPr>
        <w:t xml:space="preserve"> potency while reducing off-</w:t>
      </w:r>
      <w:proofErr w:type="spellStart"/>
      <w:r w:rsidRPr="007B68AF">
        <w:rPr>
          <w:color w:val="auto"/>
          <w:kern w:val="0"/>
          <w:lang w:val="en-US" w:eastAsia="en-US"/>
        </w:rPr>
        <w:t>tumour</w:t>
      </w:r>
      <w:proofErr w:type="spellEnd"/>
      <w:r w:rsidRPr="007B68AF">
        <w:rPr>
          <w:color w:val="auto"/>
          <w:kern w:val="0"/>
          <w:lang w:val="en-US" w:eastAsia="en-US"/>
        </w:rPr>
        <w:t xml:space="preserve"> effects and systemic inflammation (June et al., 2018). These developments reflect a broader shift in biotechnology: therapies are being designed more like controllable systems, where specificity and safety emerge from layered design rather than from a single targeting interaction.</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4.3. Regenerative biotechnology: pluripotency, organoids, and patient-specific models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lastRenderedPageBreak/>
        <w:t xml:space="preserve">Regenerative biotechnology has been transformed by the ability to generate induced pluripotent stem cells (iPSCs) from differentiated somatic cells. The introduction of defined factors to </w:t>
      </w:r>
      <w:proofErr w:type="spellStart"/>
      <w:r w:rsidRPr="007B68AF">
        <w:rPr>
          <w:color w:val="auto"/>
          <w:kern w:val="0"/>
          <w:lang w:val="en-US" w:eastAsia="en-US"/>
        </w:rPr>
        <w:t>reprogramme</w:t>
      </w:r>
      <w:proofErr w:type="spellEnd"/>
      <w:r w:rsidRPr="007B68AF">
        <w:rPr>
          <w:color w:val="auto"/>
          <w:kern w:val="0"/>
          <w:lang w:val="en-US" w:eastAsia="en-US"/>
        </w:rPr>
        <w:t xml:space="preserve"> adult cells into a pluripotent state established a route to patient-specific cell sources and disease modelling platforms (Takahashi &amp; Yamanaka, 2006). The novelty of iPSC technology lies in its versatility: it enables the creation of cell types that are otherwise inaccessible, supports modelling of genetic diseases in relevant lineages, and provides a potential basis for autologous therapies where immune compatibility is a central concern.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Organoid systems extend this regenerative paradigm by exploiting developmental self-</w:t>
      </w:r>
      <w:proofErr w:type="spellStart"/>
      <w:r w:rsidRPr="007B68AF">
        <w:rPr>
          <w:color w:val="auto"/>
          <w:kern w:val="0"/>
          <w:lang w:val="en-US" w:eastAsia="en-US"/>
        </w:rPr>
        <w:t>organisation</w:t>
      </w:r>
      <w:proofErr w:type="spellEnd"/>
      <w:r w:rsidRPr="007B68AF">
        <w:rPr>
          <w:color w:val="auto"/>
          <w:kern w:val="0"/>
          <w:lang w:val="en-US" w:eastAsia="en-US"/>
        </w:rPr>
        <w:t xml:space="preserve"> to produce three-dimensional tissue models that capture aspects of architecture, cell–cell interaction, and emergent </w:t>
      </w:r>
      <w:proofErr w:type="spellStart"/>
      <w:r w:rsidRPr="007B68AF">
        <w:rPr>
          <w:color w:val="auto"/>
          <w:kern w:val="0"/>
          <w:lang w:val="en-US" w:eastAsia="en-US"/>
        </w:rPr>
        <w:t>behaviour</w:t>
      </w:r>
      <w:proofErr w:type="spellEnd"/>
      <w:r w:rsidRPr="007B68AF">
        <w:rPr>
          <w:color w:val="auto"/>
          <w:kern w:val="0"/>
          <w:lang w:val="en-US" w:eastAsia="en-US"/>
        </w:rPr>
        <w:t xml:space="preserve">. Organoid technologies have been positioned as a powerful bridge between reductionist cell culture and in vivo biology, enabling modelling of development and disease in a controlled yet structurally meaningful context (Lancaster &amp; </w:t>
      </w:r>
      <w:proofErr w:type="spellStart"/>
      <w:r w:rsidRPr="007B68AF">
        <w:rPr>
          <w:color w:val="auto"/>
          <w:kern w:val="0"/>
          <w:lang w:val="en-US" w:eastAsia="en-US"/>
        </w:rPr>
        <w:t>Knoblich</w:t>
      </w:r>
      <w:proofErr w:type="spellEnd"/>
      <w:r w:rsidRPr="007B68AF">
        <w:rPr>
          <w:color w:val="auto"/>
          <w:kern w:val="0"/>
          <w:lang w:val="en-US" w:eastAsia="en-US"/>
        </w:rPr>
        <w:t xml:space="preserve">, 2014). For cell and gene therapies, organoids can serve multiple roles: preclinical testing platforms for vector tropism and toxicity, functional assays for patient-specific responses, and discovery tools for identifying targets and biomarkers linked to tissue </w:t>
      </w:r>
      <w:proofErr w:type="spellStart"/>
      <w:r w:rsidRPr="007B68AF">
        <w:rPr>
          <w:color w:val="auto"/>
          <w:kern w:val="0"/>
          <w:lang w:val="en-US" w:eastAsia="en-US"/>
        </w:rPr>
        <w:t>organisation</w:t>
      </w:r>
      <w:proofErr w:type="spellEnd"/>
      <w:r w:rsidRPr="007B68AF">
        <w:rPr>
          <w:color w:val="auto"/>
          <w:kern w:val="0"/>
          <w:lang w:val="en-US" w:eastAsia="en-US"/>
        </w:rPr>
        <w:t>. The novelty here is that engineered medicine is increasingly supported by engineered models—systems designed to be experimentally tractable while still capturing key features of living tissues.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4.4. Delivery and manufacturing as determinants of clinical feasibility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Across both gene and cell therapies, delivery is often the limiting determinant of feasibility. For in vivo gene therapy, delivery is embodied by the vector and its interaction with patient immunity (Wang et al., 2019; </w:t>
      </w:r>
      <w:proofErr w:type="spellStart"/>
      <w:r w:rsidRPr="007B68AF">
        <w:rPr>
          <w:color w:val="auto"/>
          <w:kern w:val="0"/>
          <w:lang w:val="en-US" w:eastAsia="en-US"/>
        </w:rPr>
        <w:t>Naldini</w:t>
      </w:r>
      <w:proofErr w:type="spellEnd"/>
      <w:r w:rsidRPr="007B68AF">
        <w:rPr>
          <w:color w:val="auto"/>
          <w:kern w:val="0"/>
          <w:lang w:val="en-US" w:eastAsia="en-US"/>
        </w:rPr>
        <w:t>, 2015). For ex vivo approaches, delivery is bound up with cell collection, transduction or editing efficiency, expansion protocols, and reinfusion logistics. These are engineering constraints that shape the therapy’s practical reach. Even a highly effective molecular construct cannot translate if it cannot be manufactured reproducibly, transported reliably, and administered safely within real healthcare systems.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The industrial character of these constraints has become more visible as the field scales. Manufacturing must meet stringent quality standards, including control of potency, purity, identity, and consistency. For CAR T therapies, variability can arise from patient-to-patient differences in starting material, prior treatments, and immune status, making process robustness a central innovation target. For gene therapies, vector production scale and consistency remain major bottlenecks. Thus, the most consequential contemporary advances are frequently those that reduce variability and improve control, rather than those that merely add functional complexity.</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4.5. Outlook: towards controllable, durable, and scalable engineered medicines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The next phase of cell and gene therapies is likely to be shaped by how effectively the field can integrate programmability with control. Durable benefit requires persistence, yet persistence raises safety considerations; potent immune activation can eradicate </w:t>
      </w:r>
      <w:proofErr w:type="spellStart"/>
      <w:r w:rsidRPr="007B68AF">
        <w:rPr>
          <w:color w:val="auto"/>
          <w:kern w:val="0"/>
          <w:lang w:val="en-US" w:eastAsia="en-US"/>
        </w:rPr>
        <w:t>tumours</w:t>
      </w:r>
      <w:proofErr w:type="spellEnd"/>
      <w:r w:rsidRPr="007B68AF">
        <w:rPr>
          <w:color w:val="auto"/>
          <w:kern w:val="0"/>
          <w:lang w:val="en-US" w:eastAsia="en-US"/>
        </w:rPr>
        <w:t>, yet it can also harm patients. These tensions will continue to drive innovations that improve predictability: better vector targeting and dosing strategies, engineered control circuits, and model systems that allow more reliable preclinical assessment (</w:t>
      </w:r>
      <w:proofErr w:type="spellStart"/>
      <w:r w:rsidRPr="007B68AF">
        <w:rPr>
          <w:color w:val="auto"/>
          <w:kern w:val="0"/>
          <w:lang w:val="en-US" w:eastAsia="en-US"/>
        </w:rPr>
        <w:t>Naldini</w:t>
      </w:r>
      <w:proofErr w:type="spellEnd"/>
      <w:r w:rsidRPr="007B68AF">
        <w:rPr>
          <w:color w:val="auto"/>
          <w:kern w:val="0"/>
          <w:lang w:val="en-US" w:eastAsia="en-US"/>
        </w:rPr>
        <w:t xml:space="preserve">, 2015; Wang et al., 2019; June et al., 2018; Lancaster &amp; </w:t>
      </w:r>
      <w:proofErr w:type="spellStart"/>
      <w:r w:rsidRPr="007B68AF">
        <w:rPr>
          <w:color w:val="auto"/>
          <w:kern w:val="0"/>
          <w:lang w:val="en-US" w:eastAsia="en-US"/>
        </w:rPr>
        <w:t>Knoblich</w:t>
      </w:r>
      <w:proofErr w:type="spellEnd"/>
      <w:r w:rsidRPr="007B68AF">
        <w:rPr>
          <w:color w:val="auto"/>
          <w:kern w:val="0"/>
          <w:lang w:val="en-US" w:eastAsia="en-US"/>
        </w:rPr>
        <w:t xml:space="preserve">, 2014; Takahashi &amp; Yamanaka, 2006). In this </w:t>
      </w:r>
      <w:r w:rsidRPr="007B68AF">
        <w:rPr>
          <w:color w:val="auto"/>
          <w:kern w:val="0"/>
          <w:lang w:val="en-US" w:eastAsia="en-US"/>
        </w:rPr>
        <w:lastRenderedPageBreak/>
        <w:t>sense, cell and gene therapies exemplify the broader trajectory of biotechnology: the field is learning to build medicines that behave as engineered systems, and to translate them through manufacturing and governance frameworks that are themselves engineered for reliability.</w:t>
      </w:r>
    </w:p>
    <w:p w:rsidR="00E36926" w:rsidRDefault="00E36926" w:rsidP="00E36926"/>
    <w:p w:rsidR="007B68AF" w:rsidRPr="007B68AF" w:rsidRDefault="007B68AF" w:rsidP="007B68AF">
      <w:pPr>
        <w:spacing w:before="100" w:beforeAutospacing="1" w:after="100" w:afterAutospacing="1" w:line="240" w:lineRule="auto"/>
        <w:ind w:left="0" w:right="0" w:firstLine="0"/>
        <w:jc w:val="left"/>
        <w:outlineLvl w:val="1"/>
        <w:rPr>
          <w:b/>
          <w:bCs/>
          <w:color w:val="auto"/>
          <w:kern w:val="0"/>
          <w:sz w:val="36"/>
          <w:szCs w:val="36"/>
          <w:lang w:val="en-US" w:eastAsia="en-US"/>
        </w:rPr>
      </w:pPr>
      <w:r w:rsidRPr="007B68AF">
        <w:rPr>
          <w:b/>
          <w:bCs/>
          <w:color w:val="auto"/>
          <w:kern w:val="0"/>
          <w:sz w:val="36"/>
          <w:szCs w:val="36"/>
          <w:lang w:val="en-US" w:eastAsia="en-US"/>
        </w:rPr>
        <w:t>5. High-resolution measurement: single-cell, spatial, and long-read biotechnology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High-resolution measurement technologies have become a driving force of contemporary biotechnology because they convert biological complexity into actionable engineering information. Earlier molecular biology often relied on bulk averages, producing signals that were informative but frequently misleading in heterogeneous systems. As biotechnology has shifted towards precision intervention—whether editing genomes, engineering cells, or designing therapeutics—the limitations of averaging have become increasingly apparent. Modern biology is structured by distributions: rare cell states can determine disease progression, spatial </w:t>
      </w:r>
      <w:proofErr w:type="spellStart"/>
      <w:r w:rsidRPr="007B68AF">
        <w:rPr>
          <w:color w:val="auto"/>
          <w:kern w:val="0"/>
          <w:lang w:val="en-US" w:eastAsia="en-US"/>
        </w:rPr>
        <w:t>organisation</w:t>
      </w:r>
      <w:proofErr w:type="spellEnd"/>
      <w:r w:rsidRPr="007B68AF">
        <w:rPr>
          <w:color w:val="auto"/>
          <w:kern w:val="0"/>
          <w:lang w:val="en-US" w:eastAsia="en-US"/>
        </w:rPr>
        <w:t xml:space="preserve"> can govern immune responses, and structural variants can dominate genotype–phenotype relationships. The novelty of current measurement technologies lies not only in their sensitivity but in their ability to resolve this heterogeneity at scale, thereby enabling both mechanistic discovery and engineered translation.</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5.1. Single-cell transcriptomics and the end of “average cell” biology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The emergence of droplet-based single-cell RNA sequencing made it possible to profile gene expression for tens of thousands of individual cells in a single experiment, transforming how cell identity and function are defined. A defining advance was the coupling of microfluidic droplets to barcoded capture beads, enabling genome-wide expression profiling across large cell populations while maintaining single-cell resolution (</w:t>
      </w:r>
      <w:proofErr w:type="spellStart"/>
      <w:r w:rsidRPr="007B68AF">
        <w:rPr>
          <w:color w:val="auto"/>
          <w:kern w:val="0"/>
          <w:lang w:val="en-US" w:eastAsia="en-US"/>
        </w:rPr>
        <w:t>Macosko</w:t>
      </w:r>
      <w:proofErr w:type="spellEnd"/>
      <w:r w:rsidRPr="007B68AF">
        <w:rPr>
          <w:color w:val="auto"/>
          <w:kern w:val="0"/>
          <w:lang w:val="en-US" w:eastAsia="en-US"/>
        </w:rPr>
        <w:t xml:space="preserve"> et al., 2015). The significance for biotechnology is profound. Single-cell measurement turns tissues into compositional systems in which disease can be framed as changes in cell-type abundance, shifts in state distributions, and altered trajectories rather than simply changes in mean expression. This also reshapes experimental design: rather than testing whether a gene is “up” or “down” on average, researchers can evaluate whether an intervention removes a pathological subpopulation, blocks a differentiation path, or remodels a microenvironment.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Single-cell approaches also changed what counts as a meaningful endpoint in engineering. For cell therapies, for example, efficacy may depend on the proportion of engineered cells that adopt durable memory-like states rather than exhausted phenotypes. For genome editing, heterogeneity in cell cycle state or repair pathway activity can determine editing outcomes. In these contexts, single-cell profiling offers a measurement basis for </w:t>
      </w:r>
      <w:proofErr w:type="spellStart"/>
      <w:r w:rsidRPr="007B68AF">
        <w:rPr>
          <w:color w:val="auto"/>
          <w:kern w:val="0"/>
          <w:lang w:val="en-US" w:eastAsia="en-US"/>
        </w:rPr>
        <w:t>optimisation</w:t>
      </w:r>
      <w:proofErr w:type="spellEnd"/>
      <w:r w:rsidRPr="007B68AF">
        <w:rPr>
          <w:color w:val="auto"/>
          <w:kern w:val="0"/>
          <w:lang w:val="en-US" w:eastAsia="en-US"/>
        </w:rPr>
        <w:t xml:space="preserve">: the goal is not merely to </w:t>
      </w:r>
      <w:proofErr w:type="spellStart"/>
      <w:r w:rsidRPr="007B68AF">
        <w:rPr>
          <w:color w:val="auto"/>
          <w:kern w:val="0"/>
          <w:lang w:val="en-US" w:eastAsia="en-US"/>
        </w:rPr>
        <w:t>maximise</w:t>
      </w:r>
      <w:proofErr w:type="spellEnd"/>
      <w:r w:rsidRPr="007B68AF">
        <w:rPr>
          <w:color w:val="auto"/>
          <w:kern w:val="0"/>
          <w:lang w:val="en-US" w:eastAsia="en-US"/>
        </w:rPr>
        <w:t xml:space="preserve"> an average signal but to shape a distribution. As datasets grew, however, they also created integration challenges. Batch effects, donor variability, and technical differences between platforms can obscure biology. Computational integration methods therefore became central to making single-cell data actionable. Anchor-based integration strategies have been widely adopted to </w:t>
      </w:r>
      <w:proofErr w:type="spellStart"/>
      <w:r w:rsidRPr="007B68AF">
        <w:rPr>
          <w:color w:val="auto"/>
          <w:kern w:val="0"/>
          <w:lang w:val="en-US" w:eastAsia="en-US"/>
        </w:rPr>
        <w:t>harmonise</w:t>
      </w:r>
      <w:proofErr w:type="spellEnd"/>
      <w:r w:rsidRPr="007B68AF">
        <w:rPr>
          <w:color w:val="auto"/>
          <w:kern w:val="0"/>
          <w:lang w:val="en-US" w:eastAsia="en-US"/>
        </w:rPr>
        <w:t xml:space="preserve"> single-cell datasets, enabling comparative analysis across experiments and construction of reference atlases (Stuart et al., 2019). This development is notable because it demonstrates a broader biotechnology pattern: </w:t>
      </w:r>
      <w:r w:rsidRPr="007B68AF">
        <w:rPr>
          <w:color w:val="auto"/>
          <w:kern w:val="0"/>
          <w:lang w:val="en-US" w:eastAsia="en-US"/>
        </w:rPr>
        <w:lastRenderedPageBreak/>
        <w:t>the measurement platform is inseparable from the computational framework that renders it interpretable and comparable.</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5.2. Spatial transcriptomics and the return of tissue context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Single-cell profiling provides rich state information, but tissues are </w:t>
      </w:r>
      <w:proofErr w:type="spellStart"/>
      <w:r w:rsidRPr="007B68AF">
        <w:rPr>
          <w:color w:val="auto"/>
          <w:kern w:val="0"/>
          <w:lang w:val="en-US" w:eastAsia="en-US"/>
        </w:rPr>
        <w:t>organised</w:t>
      </w:r>
      <w:proofErr w:type="spellEnd"/>
      <w:r w:rsidRPr="007B68AF">
        <w:rPr>
          <w:color w:val="auto"/>
          <w:kern w:val="0"/>
          <w:lang w:val="en-US" w:eastAsia="en-US"/>
        </w:rPr>
        <w:t xml:space="preserve"> systems where spatial </w:t>
      </w:r>
      <w:proofErr w:type="spellStart"/>
      <w:r w:rsidRPr="007B68AF">
        <w:rPr>
          <w:color w:val="auto"/>
          <w:kern w:val="0"/>
          <w:lang w:val="en-US" w:eastAsia="en-US"/>
        </w:rPr>
        <w:t>neighbourhoods</w:t>
      </w:r>
      <w:proofErr w:type="spellEnd"/>
      <w:r w:rsidRPr="007B68AF">
        <w:rPr>
          <w:color w:val="auto"/>
          <w:kern w:val="0"/>
          <w:lang w:val="en-US" w:eastAsia="en-US"/>
        </w:rPr>
        <w:t xml:space="preserve"> shape </w:t>
      </w:r>
      <w:proofErr w:type="spellStart"/>
      <w:r w:rsidRPr="007B68AF">
        <w:rPr>
          <w:color w:val="auto"/>
          <w:kern w:val="0"/>
          <w:lang w:val="en-US" w:eastAsia="en-US"/>
        </w:rPr>
        <w:t>signalling</w:t>
      </w:r>
      <w:proofErr w:type="spellEnd"/>
      <w:r w:rsidRPr="007B68AF">
        <w:rPr>
          <w:color w:val="auto"/>
          <w:kern w:val="0"/>
          <w:lang w:val="en-US" w:eastAsia="en-US"/>
        </w:rPr>
        <w:t>, differentiation, and immune function. Spatial transcriptomics introduced methods for measuring gene expression in tissue sections while preserving positional information through spatially barcoded capture features (</w:t>
      </w:r>
      <w:proofErr w:type="spellStart"/>
      <w:r w:rsidRPr="007B68AF">
        <w:rPr>
          <w:color w:val="auto"/>
          <w:kern w:val="0"/>
          <w:lang w:val="en-US" w:eastAsia="en-US"/>
        </w:rPr>
        <w:t>Ståhl</w:t>
      </w:r>
      <w:proofErr w:type="spellEnd"/>
      <w:r w:rsidRPr="007B68AF">
        <w:rPr>
          <w:color w:val="auto"/>
          <w:kern w:val="0"/>
          <w:lang w:val="en-US" w:eastAsia="en-US"/>
        </w:rPr>
        <w:t xml:space="preserve"> et al., 2016). The novelty here is the ability to map molecular </w:t>
      </w:r>
      <w:proofErr w:type="spellStart"/>
      <w:r w:rsidRPr="007B68AF">
        <w:rPr>
          <w:color w:val="auto"/>
          <w:kern w:val="0"/>
          <w:lang w:val="en-US" w:eastAsia="en-US"/>
        </w:rPr>
        <w:t>programmes</w:t>
      </w:r>
      <w:proofErr w:type="spellEnd"/>
      <w:r w:rsidRPr="007B68AF">
        <w:rPr>
          <w:color w:val="auto"/>
          <w:kern w:val="0"/>
          <w:lang w:val="en-US" w:eastAsia="en-US"/>
        </w:rPr>
        <w:t xml:space="preserve"> onto histological structure at scale, enabling a quantitative view of how cell states are arranged and how microenvironments are assembled. This is particularly important in cancer, where </w:t>
      </w:r>
      <w:proofErr w:type="spellStart"/>
      <w:r w:rsidRPr="007B68AF">
        <w:rPr>
          <w:color w:val="auto"/>
          <w:kern w:val="0"/>
          <w:lang w:val="en-US" w:eastAsia="en-US"/>
        </w:rPr>
        <w:t>tumour</w:t>
      </w:r>
      <w:proofErr w:type="spellEnd"/>
      <w:r w:rsidRPr="007B68AF">
        <w:rPr>
          <w:color w:val="auto"/>
          <w:kern w:val="0"/>
          <w:lang w:val="en-US" w:eastAsia="en-US"/>
        </w:rPr>
        <w:t xml:space="preserve"> progression is often governed by spatial interactions between malignant cells, immune infiltrates, stromal compartments, and vasculature. It is similarly important in neurobiology and developmental systems, where function depends on precise spatial patterning.</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For biotechnology translation, spatial methods help bridge discovery and clinical relevance. Biomarkers are often more predictive when they incorporate context—such as the proximity of immune cells to </w:t>
      </w:r>
      <w:proofErr w:type="spellStart"/>
      <w:r w:rsidRPr="007B68AF">
        <w:rPr>
          <w:color w:val="auto"/>
          <w:kern w:val="0"/>
          <w:lang w:val="en-US" w:eastAsia="en-US"/>
        </w:rPr>
        <w:t>tumour</w:t>
      </w:r>
      <w:proofErr w:type="spellEnd"/>
      <w:r w:rsidRPr="007B68AF">
        <w:rPr>
          <w:color w:val="auto"/>
          <w:kern w:val="0"/>
          <w:lang w:val="en-US" w:eastAsia="en-US"/>
        </w:rPr>
        <w:t xml:space="preserve"> nests—rather than relying on bulk abundance alone. Spatial readouts also offer a means to evaluate engineered interventions: for example, whether a therapy changes the architecture of an inflammatory niche or restores normal tissue </w:t>
      </w:r>
      <w:proofErr w:type="spellStart"/>
      <w:r w:rsidRPr="007B68AF">
        <w:rPr>
          <w:color w:val="auto"/>
          <w:kern w:val="0"/>
          <w:lang w:val="en-US" w:eastAsia="en-US"/>
        </w:rPr>
        <w:t>organisation</w:t>
      </w:r>
      <w:proofErr w:type="spellEnd"/>
      <w:r w:rsidRPr="007B68AF">
        <w:rPr>
          <w:color w:val="auto"/>
          <w:kern w:val="0"/>
          <w:lang w:val="en-US" w:eastAsia="en-US"/>
        </w:rPr>
        <w:t>. Spatial transcriptomics thus extends measurement from “what is present” to “where it is present”, which is frequently the difference between descriptive and mechanistic understanding (</w:t>
      </w:r>
      <w:proofErr w:type="spellStart"/>
      <w:r w:rsidRPr="007B68AF">
        <w:rPr>
          <w:color w:val="auto"/>
          <w:kern w:val="0"/>
          <w:lang w:val="en-US" w:eastAsia="en-US"/>
        </w:rPr>
        <w:t>Ståhl</w:t>
      </w:r>
      <w:proofErr w:type="spellEnd"/>
      <w:r w:rsidRPr="007B68AF">
        <w:rPr>
          <w:color w:val="auto"/>
          <w:kern w:val="0"/>
          <w:lang w:val="en-US" w:eastAsia="en-US"/>
        </w:rPr>
        <w:t xml:space="preserve"> et al., 2016). The field continues to evolve towards higher resolution, improved capture efficiency, and integration with protein and morphology, yet the conceptual leap introduced by spatial barcoding remains a cornerstone: tissue is not merely a container of cells but a structured environment that measurement must respect.</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5.3. Long-read sequencing and structural completeness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While transcriptomics captures dynamic state, genomics provides the underlying blueprint. Yet standard short-read sequencing historically left persistent blind spots: repetitive regions, segmental duplications, and complex structural variants were difficult to resolve. Long-read sequencing has begun to address this limitation by providing reads that span repetitive elements and structural rearrangements, enabling more complete assemblies and more accurate calling of structural variants (Logsdon et al., 2020). This is not a minor technical refinement; it changes the kinds of variation that biotechnology can reliably observe and therefore target. Structural variants can underlie disease risk, influence drug response, and complicate gene therapy by altering integration landscapes or regulatory architecture. In microbial biotechnology, structural instability can derail strain performance over time, and long-read approaches can reveal rearrangements that explain yield loss or phenotypic drift.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The novelty of long-read sequencing also lies in its ability to resolve haplotypes and complex genomic contexts. For therapeutic genome editing, understanding allele-specific variation can matter when designing guides, predicting off-targets, or interpreting outcomes. Long reads can connect variants across large genomic distances, supporting more accurate genotype–phenotype inference in both human and non-human systems. As these methods become more accessible, they are likely to shift genomic engineering towards a more context-aware practice, where design decisions incorporate structural features and assembly-level understanding rather than relying solely on reference genomes (Logsdon et al., 2020).</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lastRenderedPageBreak/>
        <w:t>5.4. Integration as the practical frontier: from modalities to systems measurement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 major contemporary trend is the movement from single modalities to integrated measurement systems. In practice, engineering problems rarely map cleanly onto a single data type. Understanding a therapeutic response may require linking transcriptional state to spatial context; understanding disease mechanisms may require connecting structural genomic variants to cell-state distributions; understanding bioprocess performance may require integrating genomic stability with expression </w:t>
      </w:r>
      <w:proofErr w:type="spellStart"/>
      <w:r w:rsidRPr="007B68AF">
        <w:rPr>
          <w:color w:val="auto"/>
          <w:kern w:val="0"/>
          <w:lang w:val="en-US" w:eastAsia="en-US"/>
        </w:rPr>
        <w:t>programmes</w:t>
      </w:r>
      <w:proofErr w:type="spellEnd"/>
      <w:r w:rsidRPr="007B68AF">
        <w:rPr>
          <w:color w:val="auto"/>
          <w:kern w:val="0"/>
          <w:lang w:val="en-US" w:eastAsia="en-US"/>
        </w:rPr>
        <w:t>. The references underpinning this section already illustrate this integrative arc: droplet single-cell profiling provides scalable state measurement (</w:t>
      </w:r>
      <w:proofErr w:type="spellStart"/>
      <w:r w:rsidRPr="007B68AF">
        <w:rPr>
          <w:color w:val="auto"/>
          <w:kern w:val="0"/>
          <w:lang w:val="en-US" w:eastAsia="en-US"/>
        </w:rPr>
        <w:t>Macosko</w:t>
      </w:r>
      <w:proofErr w:type="spellEnd"/>
      <w:r w:rsidRPr="007B68AF">
        <w:rPr>
          <w:color w:val="auto"/>
          <w:kern w:val="0"/>
          <w:lang w:val="en-US" w:eastAsia="en-US"/>
        </w:rPr>
        <w:t xml:space="preserve"> et al., 2015), computational integration makes such data comparable and atlas-ready (Stuart et al., 2019), spatial transcriptomics restores tissue context (</w:t>
      </w:r>
      <w:proofErr w:type="spellStart"/>
      <w:r w:rsidRPr="007B68AF">
        <w:rPr>
          <w:color w:val="auto"/>
          <w:kern w:val="0"/>
          <w:lang w:val="en-US" w:eastAsia="en-US"/>
        </w:rPr>
        <w:t>Ståhl</w:t>
      </w:r>
      <w:proofErr w:type="spellEnd"/>
      <w:r w:rsidRPr="007B68AF">
        <w:rPr>
          <w:color w:val="auto"/>
          <w:kern w:val="0"/>
          <w:lang w:val="en-US" w:eastAsia="en-US"/>
        </w:rPr>
        <w:t xml:space="preserve"> et al., 2016), and long-read sequencing improves the structural completeness of the genomic substrate (Logsdon et al., 2020).</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The practical novelty for biotechnology is therefore the emergence of measurement stacks: coordinated pipelines that generate multi-dimensional data and support iterative engineering. As with other </w:t>
      </w:r>
      <w:proofErr w:type="spellStart"/>
      <w:r w:rsidRPr="007B68AF">
        <w:rPr>
          <w:color w:val="auto"/>
          <w:kern w:val="0"/>
          <w:lang w:val="en-US" w:eastAsia="en-US"/>
        </w:rPr>
        <w:t>industrialising</w:t>
      </w:r>
      <w:proofErr w:type="spellEnd"/>
      <w:r w:rsidRPr="007B68AF">
        <w:rPr>
          <w:color w:val="auto"/>
          <w:kern w:val="0"/>
          <w:lang w:val="en-US" w:eastAsia="en-US"/>
        </w:rPr>
        <w:t xml:space="preserve"> fields, the limiting factor increasingly becomes </w:t>
      </w:r>
      <w:proofErr w:type="spellStart"/>
      <w:r w:rsidRPr="007B68AF">
        <w:rPr>
          <w:color w:val="auto"/>
          <w:kern w:val="0"/>
          <w:lang w:val="en-US" w:eastAsia="en-US"/>
        </w:rPr>
        <w:t>standardisation</w:t>
      </w:r>
      <w:proofErr w:type="spellEnd"/>
      <w:r w:rsidRPr="007B68AF">
        <w:rPr>
          <w:color w:val="auto"/>
          <w:kern w:val="0"/>
          <w:lang w:val="en-US" w:eastAsia="en-US"/>
        </w:rPr>
        <w:t xml:space="preserve">—consistent sample handling, rigorous metadata, reproducible computational workflows, and benchmarks that allow methods to be compared. Without such </w:t>
      </w:r>
      <w:proofErr w:type="spellStart"/>
      <w:r w:rsidRPr="007B68AF">
        <w:rPr>
          <w:color w:val="auto"/>
          <w:kern w:val="0"/>
          <w:lang w:val="en-US" w:eastAsia="en-US"/>
        </w:rPr>
        <w:t>standardisation</w:t>
      </w:r>
      <w:proofErr w:type="spellEnd"/>
      <w:r w:rsidRPr="007B68AF">
        <w:rPr>
          <w:color w:val="auto"/>
          <w:kern w:val="0"/>
          <w:lang w:val="en-US" w:eastAsia="en-US"/>
        </w:rPr>
        <w:t>, high-resolution measurement can produce impressive datasets that are difficult to translate into reliable decisions. With it, measurement becomes a genuine engineering tool, enabling the design of interventions that are informed by heterogeneity, context, and structural reality rather than by averages and assumptions.</w:t>
      </w:r>
    </w:p>
    <w:p w:rsidR="00E36926" w:rsidRDefault="00E36926" w:rsidP="00E36926"/>
    <w:p w:rsidR="00E55A08" w:rsidRPr="00E55A08" w:rsidRDefault="00E55A08" w:rsidP="00E55A08">
      <w:pPr>
        <w:spacing w:before="100" w:beforeAutospacing="1" w:after="100" w:afterAutospacing="1" w:line="240" w:lineRule="auto"/>
        <w:ind w:left="0" w:right="0" w:firstLine="0"/>
        <w:jc w:val="left"/>
        <w:outlineLvl w:val="1"/>
        <w:rPr>
          <w:b/>
          <w:bCs/>
          <w:color w:val="auto"/>
          <w:kern w:val="0"/>
          <w:sz w:val="36"/>
          <w:szCs w:val="36"/>
          <w:lang w:val="en-US" w:eastAsia="en-US"/>
        </w:rPr>
      </w:pPr>
      <w:r w:rsidRPr="00E55A08">
        <w:rPr>
          <w:b/>
          <w:bCs/>
          <w:color w:val="auto"/>
          <w:kern w:val="0"/>
          <w:sz w:val="36"/>
          <w:szCs w:val="36"/>
          <w:lang w:val="en-US" w:eastAsia="en-US"/>
        </w:rPr>
        <w:t xml:space="preserve">6. Synthetic biology and the </w:t>
      </w:r>
      <w:proofErr w:type="spellStart"/>
      <w:r w:rsidRPr="00E55A08">
        <w:rPr>
          <w:b/>
          <w:bCs/>
          <w:color w:val="auto"/>
          <w:kern w:val="0"/>
          <w:sz w:val="36"/>
          <w:szCs w:val="36"/>
          <w:lang w:val="en-US" w:eastAsia="en-US"/>
        </w:rPr>
        <w:t>industrialisation</w:t>
      </w:r>
      <w:proofErr w:type="spellEnd"/>
      <w:r w:rsidRPr="00E55A08">
        <w:rPr>
          <w:b/>
          <w:bCs/>
          <w:color w:val="auto"/>
          <w:kern w:val="0"/>
          <w:sz w:val="36"/>
          <w:szCs w:val="36"/>
          <w:lang w:val="en-US" w:eastAsia="en-US"/>
        </w:rPr>
        <w:t xml:space="preserve"> of biological design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Synthetic biology is increasingly defined less by isolated demonstrations of engineered gene circuits and more by the disciplined conversion of biological design into an industrial workflow. The field’s central promise—treating biology as a substrate that can be specified, constructed, measured, and iteratively improved—has become more credible as laboratories adopt engineering practices such as </w:t>
      </w:r>
      <w:proofErr w:type="spellStart"/>
      <w:r w:rsidRPr="00E55A08">
        <w:rPr>
          <w:color w:val="auto"/>
          <w:kern w:val="0"/>
          <w:lang w:val="en-US" w:eastAsia="en-US"/>
        </w:rPr>
        <w:t>standardisation</w:t>
      </w:r>
      <w:proofErr w:type="spellEnd"/>
      <w:r w:rsidRPr="00E55A08">
        <w:rPr>
          <w:color w:val="auto"/>
          <w:kern w:val="0"/>
          <w:lang w:val="en-US" w:eastAsia="en-US"/>
        </w:rPr>
        <w:t xml:space="preserve">, modularity, quality control, and data-driven </w:t>
      </w:r>
      <w:proofErr w:type="spellStart"/>
      <w:r w:rsidRPr="00E55A08">
        <w:rPr>
          <w:color w:val="auto"/>
          <w:kern w:val="0"/>
          <w:lang w:val="en-US" w:eastAsia="en-US"/>
        </w:rPr>
        <w:t>optimisation</w:t>
      </w:r>
      <w:proofErr w:type="spellEnd"/>
      <w:r w:rsidRPr="00E55A08">
        <w:rPr>
          <w:color w:val="auto"/>
          <w:kern w:val="0"/>
          <w:lang w:val="en-US" w:eastAsia="en-US"/>
        </w:rPr>
        <w:t xml:space="preserve">. In contemporary practice, synthetic biology is not simply “genetic engineering at scale”; it is a system of methods and infrastructures that compress design cycles, increase reproducibility, and reduce the dependence on tacit craft knowledge. A defining novelty of the present moment is that synthetic biology is being </w:t>
      </w:r>
      <w:proofErr w:type="spellStart"/>
      <w:r w:rsidRPr="00E55A08">
        <w:rPr>
          <w:color w:val="auto"/>
          <w:kern w:val="0"/>
          <w:lang w:val="en-US" w:eastAsia="en-US"/>
        </w:rPr>
        <w:t>operationalised</w:t>
      </w:r>
      <w:proofErr w:type="spellEnd"/>
      <w:r w:rsidRPr="00E55A08">
        <w:rPr>
          <w:color w:val="auto"/>
          <w:kern w:val="0"/>
          <w:lang w:val="en-US" w:eastAsia="en-US"/>
        </w:rPr>
        <w:t xml:space="preserve"> as a manufacturing-ready discipline, in which the success of a design is judged not only by function in a controlled experiment but also by robustness, stability, cost, safety, and performance under industrial constraints.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6.1. DNA construction and the practical ability to write biology</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proofErr w:type="spellStart"/>
      <w:r w:rsidRPr="00E55A08">
        <w:rPr>
          <w:color w:val="auto"/>
          <w:kern w:val="0"/>
          <w:lang w:val="en-US" w:eastAsia="en-US"/>
        </w:rPr>
        <w:t>Industrialisation</w:t>
      </w:r>
      <w:proofErr w:type="spellEnd"/>
      <w:r w:rsidRPr="00E55A08">
        <w:rPr>
          <w:color w:val="auto"/>
          <w:kern w:val="0"/>
          <w:lang w:val="en-US" w:eastAsia="en-US"/>
        </w:rPr>
        <w:t xml:space="preserve"> begins with the ability to build reliably. The pace of synthetic biology has long been limited by the friction of constructing and debugging DNA. Modern assembly approaches made multi-fragment construction routine, enabling researchers to treat DNA as a </w:t>
      </w:r>
      <w:r w:rsidRPr="00E55A08">
        <w:rPr>
          <w:color w:val="auto"/>
          <w:kern w:val="0"/>
          <w:lang w:val="en-US" w:eastAsia="en-US"/>
        </w:rPr>
        <w:lastRenderedPageBreak/>
        <w:t xml:space="preserve">configurable medium for implementing control logic, metabolic pathways, and regulatory architectures. In particular, enzymatic, sequence-overlap–based assembly supports rapid generation of large constructs and reduces reliance on </w:t>
      </w:r>
      <w:proofErr w:type="spellStart"/>
      <w:r w:rsidRPr="00E55A08">
        <w:rPr>
          <w:color w:val="auto"/>
          <w:kern w:val="0"/>
          <w:lang w:val="en-US" w:eastAsia="en-US"/>
        </w:rPr>
        <w:t>labour-intensive</w:t>
      </w:r>
      <w:proofErr w:type="spellEnd"/>
      <w:r w:rsidRPr="00E55A08">
        <w:rPr>
          <w:color w:val="auto"/>
          <w:kern w:val="0"/>
          <w:lang w:val="en-US" w:eastAsia="en-US"/>
        </w:rPr>
        <w:t xml:space="preserve">, stepwise cloning (Gibson et al., 2009). The significance of these methods for </w:t>
      </w:r>
      <w:proofErr w:type="spellStart"/>
      <w:r w:rsidRPr="00E55A08">
        <w:rPr>
          <w:color w:val="auto"/>
          <w:kern w:val="0"/>
          <w:lang w:val="en-US" w:eastAsia="en-US"/>
        </w:rPr>
        <w:t>industrialisation</w:t>
      </w:r>
      <w:proofErr w:type="spellEnd"/>
      <w:r w:rsidRPr="00E55A08">
        <w:rPr>
          <w:color w:val="auto"/>
          <w:kern w:val="0"/>
          <w:lang w:val="en-US" w:eastAsia="en-US"/>
        </w:rPr>
        <w:t xml:space="preserve"> is not only speed; it is </w:t>
      </w:r>
      <w:proofErr w:type="spellStart"/>
      <w:r w:rsidRPr="00E55A08">
        <w:rPr>
          <w:color w:val="auto"/>
          <w:kern w:val="0"/>
          <w:lang w:val="en-US" w:eastAsia="en-US"/>
        </w:rPr>
        <w:t>standardisation</w:t>
      </w:r>
      <w:proofErr w:type="spellEnd"/>
      <w:r w:rsidRPr="00E55A08">
        <w:rPr>
          <w:color w:val="auto"/>
          <w:kern w:val="0"/>
          <w:lang w:val="en-US" w:eastAsia="en-US"/>
        </w:rPr>
        <w:t xml:space="preserve">. When a construction method is robust across many designs, it enables predictable turnaround times, automation compatibility, and clearer separation between “design” and “fabrication”, which in turn allows teams to </w:t>
      </w:r>
      <w:proofErr w:type="spellStart"/>
      <w:r w:rsidRPr="00E55A08">
        <w:rPr>
          <w:color w:val="auto"/>
          <w:kern w:val="0"/>
          <w:lang w:val="en-US" w:eastAsia="en-US"/>
        </w:rPr>
        <w:t>specialise</w:t>
      </w:r>
      <w:proofErr w:type="spellEnd"/>
      <w:r w:rsidRPr="00E55A08">
        <w:rPr>
          <w:color w:val="auto"/>
          <w:kern w:val="0"/>
          <w:lang w:val="en-US" w:eastAsia="en-US"/>
        </w:rPr>
        <w:t xml:space="preserve"> and pipelines to scale.</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However, the ability to construct DNA does not by itself guarantee engineered function. As synthetic systems become larger, performance becomes sensitive to context: promoter </w:t>
      </w:r>
      <w:proofErr w:type="spellStart"/>
      <w:r w:rsidRPr="00E55A08">
        <w:rPr>
          <w:color w:val="auto"/>
          <w:kern w:val="0"/>
          <w:lang w:val="en-US" w:eastAsia="en-US"/>
        </w:rPr>
        <w:t>behaviour</w:t>
      </w:r>
      <w:proofErr w:type="spellEnd"/>
      <w:r w:rsidRPr="00E55A08">
        <w:rPr>
          <w:color w:val="auto"/>
          <w:kern w:val="0"/>
          <w:lang w:val="en-US" w:eastAsia="en-US"/>
        </w:rPr>
        <w:t xml:space="preserve"> varies with genomic </w:t>
      </w:r>
      <w:proofErr w:type="spellStart"/>
      <w:r w:rsidRPr="00E55A08">
        <w:rPr>
          <w:color w:val="auto"/>
          <w:kern w:val="0"/>
          <w:lang w:val="en-US" w:eastAsia="en-US"/>
        </w:rPr>
        <w:t>neighbourhood</w:t>
      </w:r>
      <w:proofErr w:type="spellEnd"/>
      <w:r w:rsidRPr="00E55A08">
        <w:rPr>
          <w:color w:val="auto"/>
          <w:kern w:val="0"/>
          <w:lang w:val="en-US" w:eastAsia="en-US"/>
        </w:rPr>
        <w:t xml:space="preserve">, transcriptional coupling introduces unintended interactions, and resource competition can distort circuit dynamics. Consequently, contemporary DNA construction is typically embedded within workflows that include design rules, part </w:t>
      </w:r>
      <w:proofErr w:type="spellStart"/>
      <w:r w:rsidRPr="00E55A08">
        <w:rPr>
          <w:color w:val="auto"/>
          <w:kern w:val="0"/>
          <w:lang w:val="en-US" w:eastAsia="en-US"/>
        </w:rPr>
        <w:t>characterisation</w:t>
      </w:r>
      <w:proofErr w:type="spellEnd"/>
      <w:r w:rsidRPr="00E55A08">
        <w:rPr>
          <w:color w:val="auto"/>
          <w:kern w:val="0"/>
          <w:lang w:val="en-US" w:eastAsia="en-US"/>
        </w:rPr>
        <w:t>, and iterative refinement. In industrial settings, these considerations increasingly resemble product engineering: components are qualified, failure modes are catalogued, and design decisions are documented to support traceability. The net effect is that DNA assembly has evolved from a purely molecular technique into a production capability that underwrites repeatable engineering cycles.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6.2. Metabolic engineering as a route to sustainable and resilient production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Metabolic engineering has become one of the most commercially relevant branches of synthetic biology because it links genetic design to tangible outputs—chemicals, fuels, materials, and high-value therapeutics. The industrial appeal is straightforward: cells can convert renewable feedstocks into complex molecules with stereochemical precision and potentially lower environmental impact. The strategic novelty lies in turning metabolism into a programmable production network that can be re-routed towards desired products. Foundational perspectives </w:t>
      </w:r>
      <w:proofErr w:type="spellStart"/>
      <w:r w:rsidRPr="00E55A08">
        <w:rPr>
          <w:color w:val="auto"/>
          <w:kern w:val="0"/>
          <w:lang w:val="en-US" w:eastAsia="en-US"/>
        </w:rPr>
        <w:t>emphasised</w:t>
      </w:r>
      <w:proofErr w:type="spellEnd"/>
      <w:r w:rsidRPr="00E55A08">
        <w:rPr>
          <w:color w:val="auto"/>
          <w:kern w:val="0"/>
          <w:lang w:val="en-US" w:eastAsia="en-US"/>
        </w:rPr>
        <w:t xml:space="preserve"> that manufacturing molecules through metabolic engineering can shift the economics and sustainability profile of chemical production, particularly when paired with advances in pathway discovery, enzyme engineering, and host strain </w:t>
      </w:r>
      <w:proofErr w:type="spellStart"/>
      <w:r w:rsidRPr="00E55A08">
        <w:rPr>
          <w:color w:val="auto"/>
          <w:kern w:val="0"/>
          <w:lang w:val="en-US" w:eastAsia="en-US"/>
        </w:rPr>
        <w:t>optimisation</w:t>
      </w:r>
      <w:proofErr w:type="spellEnd"/>
      <w:r w:rsidRPr="00E55A08">
        <w:rPr>
          <w:color w:val="auto"/>
          <w:kern w:val="0"/>
          <w:lang w:val="en-US" w:eastAsia="en-US"/>
        </w:rPr>
        <w:t xml:space="preserve"> (</w:t>
      </w:r>
      <w:proofErr w:type="spellStart"/>
      <w:r w:rsidRPr="00E55A08">
        <w:rPr>
          <w:color w:val="auto"/>
          <w:kern w:val="0"/>
          <w:lang w:val="en-US" w:eastAsia="en-US"/>
        </w:rPr>
        <w:t>Keasling</w:t>
      </w:r>
      <w:proofErr w:type="spellEnd"/>
      <w:r w:rsidRPr="00E55A08">
        <w:rPr>
          <w:color w:val="auto"/>
          <w:kern w:val="0"/>
          <w:lang w:val="en-US" w:eastAsia="en-US"/>
        </w:rPr>
        <w:t>, 2010).</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Contemporary trends place greater emphasis on platform strategies rather than single-product strains. </w:t>
      </w:r>
      <w:proofErr w:type="spellStart"/>
      <w:r w:rsidRPr="00E55A08">
        <w:rPr>
          <w:color w:val="auto"/>
          <w:kern w:val="0"/>
          <w:lang w:val="en-US" w:eastAsia="en-US"/>
        </w:rPr>
        <w:t>Industrialisation</w:t>
      </w:r>
      <w:proofErr w:type="spellEnd"/>
      <w:r w:rsidRPr="00E55A08">
        <w:rPr>
          <w:color w:val="auto"/>
          <w:kern w:val="0"/>
          <w:lang w:val="en-US" w:eastAsia="en-US"/>
        </w:rPr>
        <w:t xml:space="preserve"> </w:t>
      </w:r>
      <w:proofErr w:type="spellStart"/>
      <w:r w:rsidRPr="00E55A08">
        <w:rPr>
          <w:color w:val="auto"/>
          <w:kern w:val="0"/>
          <w:lang w:val="en-US" w:eastAsia="en-US"/>
        </w:rPr>
        <w:t>favours</w:t>
      </w:r>
      <w:proofErr w:type="spellEnd"/>
      <w:r w:rsidRPr="00E55A08">
        <w:rPr>
          <w:color w:val="auto"/>
          <w:kern w:val="0"/>
          <w:lang w:val="en-US" w:eastAsia="en-US"/>
        </w:rPr>
        <w:t xml:space="preserve"> chassis organisms that can be repeatedly adapted to new products with minimal reinvention. This pushes design towards modular pathway “cassettes”, interchangeable regulatory elements, and host features that reduce variability, such as improved precursor supply, stress tolerance, and genetic stability. At the same time, </w:t>
      </w:r>
      <w:proofErr w:type="spellStart"/>
      <w:r w:rsidRPr="00E55A08">
        <w:rPr>
          <w:color w:val="auto"/>
          <w:kern w:val="0"/>
          <w:lang w:val="en-US" w:eastAsia="en-US"/>
        </w:rPr>
        <w:t>industrialisation</w:t>
      </w:r>
      <w:proofErr w:type="spellEnd"/>
      <w:r w:rsidRPr="00E55A08">
        <w:rPr>
          <w:color w:val="auto"/>
          <w:kern w:val="0"/>
          <w:lang w:val="en-US" w:eastAsia="en-US"/>
        </w:rPr>
        <w:t xml:space="preserve"> exposes constraints that are easy to overlook in laboratory-scale demonstrations. Production strains must tolerate high product </w:t>
      </w:r>
      <w:proofErr w:type="spellStart"/>
      <w:r w:rsidRPr="00E55A08">
        <w:rPr>
          <w:color w:val="auto"/>
          <w:kern w:val="0"/>
          <w:lang w:val="en-US" w:eastAsia="en-US"/>
        </w:rPr>
        <w:t>titres</w:t>
      </w:r>
      <w:proofErr w:type="spellEnd"/>
      <w:r w:rsidRPr="00E55A08">
        <w:rPr>
          <w:color w:val="auto"/>
          <w:kern w:val="0"/>
          <w:lang w:val="en-US" w:eastAsia="en-US"/>
        </w:rPr>
        <w:t xml:space="preserve">, fluctuating conditions, and long fermentation times without catastrophic loss of function. Engineered pathways impose burdens that can reduce growth or select for loss-of-function mutants, while by-product formation can complicate downstream purification. As a result, modern metabolic engineering </w:t>
      </w:r>
      <w:proofErr w:type="spellStart"/>
      <w:r w:rsidRPr="00E55A08">
        <w:rPr>
          <w:color w:val="auto"/>
          <w:kern w:val="0"/>
          <w:lang w:val="en-US" w:eastAsia="en-US"/>
        </w:rPr>
        <w:t>programmes</w:t>
      </w:r>
      <w:proofErr w:type="spellEnd"/>
      <w:r w:rsidRPr="00E55A08">
        <w:rPr>
          <w:color w:val="auto"/>
          <w:kern w:val="0"/>
          <w:lang w:val="en-US" w:eastAsia="en-US"/>
        </w:rPr>
        <w:t xml:space="preserve"> often treat evolutionary stability, process compatibility, and downstream recovery as first-order design parameters, rather than problems to be solved after a strain “works” in principle. The maturation of this mindset is itself a contemporary hallmark: synthetic biology is increasingly measured by manufacturable performance rather than novelty of genetic architecture alone.</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lastRenderedPageBreak/>
        <w:t xml:space="preserve">6.3. </w:t>
      </w:r>
      <w:proofErr w:type="spellStart"/>
      <w:r w:rsidRPr="00E55A08">
        <w:rPr>
          <w:b/>
          <w:bCs/>
          <w:color w:val="auto"/>
          <w:kern w:val="0"/>
          <w:sz w:val="27"/>
          <w:szCs w:val="27"/>
          <w:lang w:val="en-US" w:eastAsia="en-US"/>
        </w:rPr>
        <w:t>Biofoundry</w:t>
      </w:r>
      <w:proofErr w:type="spellEnd"/>
      <w:r w:rsidRPr="00E55A08">
        <w:rPr>
          <w:b/>
          <w:bCs/>
          <w:color w:val="auto"/>
          <w:kern w:val="0"/>
          <w:sz w:val="27"/>
          <w:szCs w:val="27"/>
          <w:lang w:val="en-US" w:eastAsia="en-US"/>
        </w:rPr>
        <w:t xml:space="preserve"> logic, automation, and data-centric design–build–test–learn cycles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A major driver of </w:t>
      </w:r>
      <w:proofErr w:type="spellStart"/>
      <w:r w:rsidRPr="00E55A08">
        <w:rPr>
          <w:color w:val="auto"/>
          <w:kern w:val="0"/>
          <w:lang w:val="en-US" w:eastAsia="en-US"/>
        </w:rPr>
        <w:t>industrialisation</w:t>
      </w:r>
      <w:proofErr w:type="spellEnd"/>
      <w:r w:rsidRPr="00E55A08">
        <w:rPr>
          <w:color w:val="auto"/>
          <w:kern w:val="0"/>
          <w:lang w:val="en-US" w:eastAsia="en-US"/>
        </w:rPr>
        <w:t xml:space="preserve"> is the </w:t>
      </w:r>
      <w:proofErr w:type="spellStart"/>
      <w:r w:rsidRPr="00E55A08">
        <w:rPr>
          <w:color w:val="auto"/>
          <w:kern w:val="0"/>
          <w:lang w:val="en-US" w:eastAsia="en-US"/>
        </w:rPr>
        <w:t>formalisation</w:t>
      </w:r>
      <w:proofErr w:type="spellEnd"/>
      <w:r w:rsidRPr="00E55A08">
        <w:rPr>
          <w:color w:val="auto"/>
          <w:kern w:val="0"/>
          <w:lang w:val="en-US" w:eastAsia="en-US"/>
        </w:rPr>
        <w:t xml:space="preserve"> of synthetic biology into iterative design–build–test–learn cycles, increasingly executed with automation and structured experimental planning. The “</w:t>
      </w:r>
      <w:proofErr w:type="spellStart"/>
      <w:r w:rsidRPr="00E55A08">
        <w:rPr>
          <w:color w:val="auto"/>
          <w:kern w:val="0"/>
          <w:lang w:val="en-US" w:eastAsia="en-US"/>
        </w:rPr>
        <w:t>biofoundry</w:t>
      </w:r>
      <w:proofErr w:type="spellEnd"/>
      <w:r w:rsidRPr="00E55A08">
        <w:rPr>
          <w:color w:val="auto"/>
          <w:kern w:val="0"/>
          <w:lang w:val="en-US" w:eastAsia="en-US"/>
        </w:rPr>
        <w:t xml:space="preserve">” concept captures this shift: a facility (or distributed workflow) where robotics, high-throughput measurement, and computational learning accelerate iteration and reduce human variability. Importantly, the industrial value of </w:t>
      </w:r>
      <w:proofErr w:type="spellStart"/>
      <w:r w:rsidRPr="00E55A08">
        <w:rPr>
          <w:color w:val="auto"/>
          <w:kern w:val="0"/>
          <w:lang w:val="en-US" w:eastAsia="en-US"/>
        </w:rPr>
        <w:t>biofoundry</w:t>
      </w:r>
      <w:proofErr w:type="spellEnd"/>
      <w:r w:rsidRPr="00E55A08">
        <w:rPr>
          <w:color w:val="auto"/>
          <w:kern w:val="0"/>
          <w:lang w:val="en-US" w:eastAsia="en-US"/>
        </w:rPr>
        <w:t xml:space="preserve"> approaches lies not only in throughput but also in reproducibility, documentation, and the ability to compare results across many designs under controlled conditions. Cell-free synthetic biology has played a complementary role in this industrial logic by enabling rapid prototyping outside living cells, allowing designs to be tested quickly without the delays and confounders of cellular growth and viability constraints (</w:t>
      </w:r>
      <w:proofErr w:type="spellStart"/>
      <w:r w:rsidRPr="00E55A08">
        <w:rPr>
          <w:color w:val="auto"/>
          <w:kern w:val="0"/>
          <w:lang w:val="en-US" w:eastAsia="en-US"/>
        </w:rPr>
        <w:t>Tinafar</w:t>
      </w:r>
      <w:proofErr w:type="spellEnd"/>
      <w:r w:rsidRPr="00E55A08">
        <w:rPr>
          <w:color w:val="auto"/>
          <w:kern w:val="0"/>
          <w:lang w:val="en-US" w:eastAsia="en-US"/>
        </w:rPr>
        <w:t xml:space="preserve"> et al., 2019). In practice, cell-free systems can be used to screen regulatory elements, validate pathway steps, or evaluate expression strategies before committing to full strain engineering, thereby reducing wasted cycles.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As automation increases, the bottleneck often moves from physical execution to experimental design and learning. </w:t>
      </w:r>
      <w:proofErr w:type="spellStart"/>
      <w:r w:rsidRPr="00E55A08">
        <w:rPr>
          <w:color w:val="auto"/>
          <w:kern w:val="0"/>
          <w:lang w:val="en-US" w:eastAsia="en-US"/>
        </w:rPr>
        <w:t>Industrialisation</w:t>
      </w:r>
      <w:proofErr w:type="spellEnd"/>
      <w:r w:rsidRPr="00E55A08">
        <w:rPr>
          <w:color w:val="auto"/>
          <w:kern w:val="0"/>
          <w:lang w:val="en-US" w:eastAsia="en-US"/>
        </w:rPr>
        <w:t xml:space="preserve"> therefore depends on how well data are captured, curated, and used to guide subsequent iterations. Seemingly minor choices—consistent metadata, assay calibration, and versioning of constructs—become critical when hundreds or thousands of variants are compared. Another contemporary novelty is the growing integration of computational methods into the “learn” phase, where models can </w:t>
      </w:r>
      <w:proofErr w:type="spellStart"/>
      <w:r w:rsidRPr="00E55A08">
        <w:rPr>
          <w:color w:val="auto"/>
          <w:kern w:val="0"/>
          <w:lang w:val="en-US" w:eastAsia="en-US"/>
        </w:rPr>
        <w:t>prioritise</w:t>
      </w:r>
      <w:proofErr w:type="spellEnd"/>
      <w:r w:rsidRPr="00E55A08">
        <w:rPr>
          <w:color w:val="auto"/>
          <w:kern w:val="0"/>
          <w:lang w:val="en-US" w:eastAsia="en-US"/>
        </w:rPr>
        <w:t xml:space="preserve"> experiments, identify influential variables, and suggest design changes. Even when modelling is simple, the discipline of closing the loop between measurement and redesign is transformative, because it converts biological engineering from an artisanal practice into a scalable </w:t>
      </w:r>
      <w:proofErr w:type="spellStart"/>
      <w:r w:rsidRPr="00E55A08">
        <w:rPr>
          <w:color w:val="auto"/>
          <w:kern w:val="0"/>
          <w:lang w:val="en-US" w:eastAsia="en-US"/>
        </w:rPr>
        <w:t>optimisation</w:t>
      </w:r>
      <w:proofErr w:type="spellEnd"/>
      <w:r w:rsidRPr="00E55A08">
        <w:rPr>
          <w:color w:val="auto"/>
          <w:kern w:val="0"/>
          <w:lang w:val="en-US" w:eastAsia="en-US"/>
        </w:rPr>
        <w:t xml:space="preserve"> process.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 xml:space="preserve">6.4. Translational realities: robustness, </w:t>
      </w:r>
      <w:proofErr w:type="spellStart"/>
      <w:r w:rsidRPr="00E55A08">
        <w:rPr>
          <w:b/>
          <w:bCs/>
          <w:color w:val="auto"/>
          <w:kern w:val="0"/>
          <w:sz w:val="27"/>
          <w:szCs w:val="27"/>
          <w:lang w:val="en-US" w:eastAsia="en-US"/>
        </w:rPr>
        <w:t>standardisation</w:t>
      </w:r>
      <w:proofErr w:type="spellEnd"/>
      <w:r w:rsidRPr="00E55A08">
        <w:rPr>
          <w:b/>
          <w:bCs/>
          <w:color w:val="auto"/>
          <w:kern w:val="0"/>
          <w:sz w:val="27"/>
          <w:szCs w:val="27"/>
          <w:lang w:val="en-US" w:eastAsia="en-US"/>
        </w:rPr>
        <w:t>, and manufacturability</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proofErr w:type="spellStart"/>
      <w:r w:rsidRPr="00E55A08">
        <w:rPr>
          <w:color w:val="auto"/>
          <w:kern w:val="0"/>
          <w:lang w:val="en-US" w:eastAsia="en-US"/>
        </w:rPr>
        <w:t>Industrialisation</w:t>
      </w:r>
      <w:proofErr w:type="spellEnd"/>
      <w:r w:rsidRPr="00E55A08">
        <w:rPr>
          <w:color w:val="auto"/>
          <w:kern w:val="0"/>
          <w:lang w:val="en-US" w:eastAsia="en-US"/>
        </w:rPr>
        <w:t xml:space="preserve"> ultimately demands that engineered systems behave reliably beyond the laboratory. This imposes requirements that are more stringent than proof-of-concept functionality: stability over time, predictable performance across batches, resistance to contamination or phage, and compatibility with industrial unit operations. It also elevates concerns such as biosafety and biocontainment, particularly when production involves organisms that might survive outside controlled environments. In this context, the </w:t>
      </w:r>
      <w:proofErr w:type="spellStart"/>
      <w:r w:rsidRPr="00E55A08">
        <w:rPr>
          <w:color w:val="auto"/>
          <w:kern w:val="0"/>
          <w:lang w:val="en-US" w:eastAsia="en-US"/>
        </w:rPr>
        <w:t>industrialisation</w:t>
      </w:r>
      <w:proofErr w:type="spellEnd"/>
      <w:r w:rsidRPr="00E55A08">
        <w:rPr>
          <w:color w:val="auto"/>
          <w:kern w:val="0"/>
          <w:lang w:val="en-US" w:eastAsia="en-US"/>
        </w:rPr>
        <w:t xml:space="preserve"> of synthetic biology is best understood as an ongoing alignment of three layers: molecular construction capability (exemplified by robust assembly methods), biological design for function and yield (as in metabolic engineering), and process-aware translation supported by automation and rapid prototyping (including cell-free approaches) (Gibson et al., 2009; </w:t>
      </w:r>
      <w:proofErr w:type="spellStart"/>
      <w:r w:rsidRPr="00E55A08">
        <w:rPr>
          <w:color w:val="auto"/>
          <w:kern w:val="0"/>
          <w:lang w:val="en-US" w:eastAsia="en-US"/>
        </w:rPr>
        <w:t>Keasling</w:t>
      </w:r>
      <w:proofErr w:type="spellEnd"/>
      <w:r w:rsidRPr="00E55A08">
        <w:rPr>
          <w:color w:val="auto"/>
          <w:kern w:val="0"/>
          <w:lang w:val="en-US" w:eastAsia="en-US"/>
        </w:rPr>
        <w:t xml:space="preserve">, 2010; </w:t>
      </w:r>
      <w:proofErr w:type="spellStart"/>
      <w:r w:rsidRPr="00E55A08">
        <w:rPr>
          <w:color w:val="auto"/>
          <w:kern w:val="0"/>
          <w:lang w:val="en-US" w:eastAsia="en-US"/>
        </w:rPr>
        <w:t>Tinafar</w:t>
      </w:r>
      <w:proofErr w:type="spellEnd"/>
      <w:r w:rsidRPr="00E55A08">
        <w:rPr>
          <w:color w:val="auto"/>
          <w:kern w:val="0"/>
          <w:lang w:val="en-US" w:eastAsia="en-US"/>
        </w:rPr>
        <w:t xml:space="preserve"> et al., 2019). The most impactful “novelties” today are often those that reduce variance and increase predictability—because predictability is what allows biology to be treated as an engineered platform rather than a bespoke experiment.</w:t>
      </w:r>
    </w:p>
    <w:p w:rsidR="00E36926" w:rsidRDefault="00E36926" w:rsidP="00E36926"/>
    <w:p w:rsidR="00E55A08" w:rsidRPr="00E55A08" w:rsidRDefault="00E55A08" w:rsidP="00E55A08">
      <w:pPr>
        <w:spacing w:before="100" w:beforeAutospacing="1" w:after="100" w:afterAutospacing="1" w:line="240" w:lineRule="auto"/>
        <w:ind w:left="0" w:right="0" w:firstLine="0"/>
        <w:jc w:val="left"/>
        <w:outlineLvl w:val="1"/>
        <w:rPr>
          <w:b/>
          <w:bCs/>
          <w:color w:val="auto"/>
          <w:kern w:val="0"/>
          <w:sz w:val="36"/>
          <w:szCs w:val="36"/>
          <w:lang w:val="en-US" w:eastAsia="en-US"/>
        </w:rPr>
      </w:pPr>
      <w:r w:rsidRPr="00E55A08">
        <w:rPr>
          <w:b/>
          <w:bCs/>
          <w:color w:val="auto"/>
          <w:kern w:val="0"/>
          <w:sz w:val="36"/>
          <w:szCs w:val="36"/>
          <w:lang w:val="en-US" w:eastAsia="en-US"/>
        </w:rPr>
        <w:lastRenderedPageBreak/>
        <w:t>7. Cell-free biotechnology: programmable biochemistry beyond living cells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Cell-free biotechnology has matured from a niche experimental approach into a strategic pillar of contemporary bioengineering, largely because it reframes what it means to “run” biology. Rather than relying on intact, growing cells to execute genetic </w:t>
      </w:r>
      <w:proofErr w:type="spellStart"/>
      <w:r w:rsidRPr="00E55A08">
        <w:rPr>
          <w:color w:val="auto"/>
          <w:kern w:val="0"/>
          <w:lang w:val="en-US" w:eastAsia="en-US"/>
        </w:rPr>
        <w:t>programmes</w:t>
      </w:r>
      <w:proofErr w:type="spellEnd"/>
      <w:r w:rsidRPr="00E55A08">
        <w:rPr>
          <w:color w:val="auto"/>
          <w:kern w:val="0"/>
          <w:lang w:val="en-US" w:eastAsia="en-US"/>
        </w:rPr>
        <w:t>, cell-free systems operate using extracts or reconstituted components that support transcription, translation, and metabolic transformations in vitro. This shift is more than a change of venue from cell to tube; it is a change in controllability. In a living cell, engineered function must coexist with the imperatives of viability, growth, stress responses, and evolutionary selection. In cell-free settings, by contrast, the engineer can directly control the reaction milieu—ion balance, energy regeneration, macromolecular crowding, template concentration, and reaction time—while avoiding many confounders that arise from cellular homeostasis. This controllability is the basis for describing cell-free biology as “programmable biochemistry”, in which the system can be tuned like an engineered process rather than negotiated with like a living organism (</w:t>
      </w:r>
      <w:proofErr w:type="spellStart"/>
      <w:r w:rsidRPr="00E55A08">
        <w:rPr>
          <w:color w:val="auto"/>
          <w:kern w:val="0"/>
          <w:lang w:val="en-US" w:eastAsia="en-US"/>
        </w:rPr>
        <w:t>Tinafar</w:t>
      </w:r>
      <w:proofErr w:type="spellEnd"/>
      <w:r w:rsidRPr="00E55A08">
        <w:rPr>
          <w:color w:val="auto"/>
          <w:kern w:val="0"/>
          <w:lang w:val="en-US" w:eastAsia="en-US"/>
        </w:rPr>
        <w:t xml:space="preserve"> et al., 2019).</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A key contemporary novelty is the way cell-free platforms compress iteration cycles. When engineered designs are tested in vivo, the time cost of cloning, transformation, selection, and culture can dominate the design–build–test loop, and failures can be ambiguous because cellular physiology may mask the cause. Cell-free systems reduce these delays by allowing templates (including PCR products or assembled DNA) to be introduced directly into the reaction, enabling rapid testing of regulatory elements, coding sequences, and multi-gene constructs. This acceleration has implications beyond convenience: it makes systematic exploration feasible. Designs can be screened across wide parameter ranges, and response surfaces can be mapped efficiently, supporting more rigorous </w:t>
      </w:r>
      <w:proofErr w:type="spellStart"/>
      <w:r w:rsidRPr="00E55A08">
        <w:rPr>
          <w:color w:val="auto"/>
          <w:kern w:val="0"/>
          <w:lang w:val="en-US" w:eastAsia="en-US"/>
        </w:rPr>
        <w:t>optimisation</w:t>
      </w:r>
      <w:proofErr w:type="spellEnd"/>
      <w:r w:rsidRPr="00E55A08">
        <w:rPr>
          <w:color w:val="auto"/>
          <w:kern w:val="0"/>
          <w:lang w:val="en-US" w:eastAsia="en-US"/>
        </w:rPr>
        <w:t xml:space="preserve"> strategies than are typically practical in living systems. The broader significance is that cell-free workflows are increasingly used not only as a precursor to in vivo engineering but also as a complementary development environment, akin to a prototyping bench in mechanical or electronics engineering (</w:t>
      </w:r>
      <w:proofErr w:type="spellStart"/>
      <w:r w:rsidRPr="00E55A08">
        <w:rPr>
          <w:color w:val="auto"/>
          <w:kern w:val="0"/>
          <w:lang w:val="en-US" w:eastAsia="en-US"/>
        </w:rPr>
        <w:t>Tinafar</w:t>
      </w:r>
      <w:proofErr w:type="spellEnd"/>
      <w:r w:rsidRPr="00E55A08">
        <w:rPr>
          <w:color w:val="auto"/>
          <w:kern w:val="0"/>
          <w:lang w:val="en-US" w:eastAsia="en-US"/>
        </w:rPr>
        <w:t xml:space="preserve"> et al., 2019).</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7.1. Cell-free systems as rapid prototyping and diagnostic platforms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Cell-free synthetic biology is often framed as “programmable liquids” because genetic information can be supplied as nucleic acid templates and translated into functional outputs without cellular context (</w:t>
      </w:r>
      <w:proofErr w:type="spellStart"/>
      <w:r w:rsidRPr="00E55A08">
        <w:rPr>
          <w:color w:val="auto"/>
          <w:kern w:val="0"/>
          <w:lang w:val="en-US" w:eastAsia="en-US"/>
        </w:rPr>
        <w:t>Tinafar</w:t>
      </w:r>
      <w:proofErr w:type="spellEnd"/>
      <w:r w:rsidRPr="00E55A08">
        <w:rPr>
          <w:color w:val="auto"/>
          <w:kern w:val="0"/>
          <w:lang w:val="en-US" w:eastAsia="en-US"/>
        </w:rPr>
        <w:t xml:space="preserve"> et al., 2019). In practice, cell-free systems have proven particularly valuable for prototyping gene circuits where expression timing, resource competition, and regulatory coupling can be studied in a simplified environment. Because the reaction is open, intermediate measurements are easier to obtain, and perturbations—such as addition of small molecules, nucleases, or alternative energy substrates—can be applied at precise times. This time-resolved control is difficult in living cells, where uptake and metabolism introduce lag and uncertainty. Moreover, cell-free reactions allow direct evaluation of components that are toxic to cells, thereby expanding the design space. These advantages collectively make cell-free platforms well suited to early-stage engineering decisions: selecting promoters and ribosome binding sites, benchmarking protein variants, and assessing multi-enzyme pathway modules before committing to full strain development.</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Cell-free logic also supports diagnostic and sensing applications, where a biological response must be tightly linked to an input signal and delivered in a robust, portable format. While the </w:t>
      </w:r>
      <w:r w:rsidRPr="00E55A08">
        <w:rPr>
          <w:color w:val="auto"/>
          <w:kern w:val="0"/>
          <w:lang w:val="en-US" w:eastAsia="en-US"/>
        </w:rPr>
        <w:lastRenderedPageBreak/>
        <w:t>present review does not introduce new references in this section, it is important to note that the same features that enable rapid prototyping—open access to reaction conditions and modular template inputs—also support the development of deployable biosensing reactions. In such applications, the engineered objective is typically not growth or replication, but reliable signal generation under constraints of temperature, storage, and sample complexity. The broader novelty, therefore, is that cell-free biotechnology helps redirect engineering priorities towards performance characteristics relevant to deployment, not only to biological insight.</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7.2. Cell-free biomanufacturing and natural product synthesis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Beyond prototyping, cell-free systems are increasingly being positioned as viable production platforms, especially for complex molecules whose biosynthesis is difficult to </w:t>
      </w:r>
      <w:proofErr w:type="spellStart"/>
      <w:r w:rsidRPr="00E55A08">
        <w:rPr>
          <w:color w:val="auto"/>
          <w:kern w:val="0"/>
          <w:lang w:val="en-US" w:eastAsia="en-US"/>
        </w:rPr>
        <w:t>realise</w:t>
      </w:r>
      <w:proofErr w:type="spellEnd"/>
      <w:r w:rsidRPr="00E55A08">
        <w:rPr>
          <w:color w:val="auto"/>
          <w:kern w:val="0"/>
          <w:lang w:val="en-US" w:eastAsia="en-US"/>
        </w:rPr>
        <w:t xml:space="preserve"> in living hosts. A crucial motivation is that intact cells impose constraints that can hinder production: metabolic flux is partitioned across competing pathways, toxic intermediates trigger stress responses, and resource allocation is governed by survival rather than manufacturing objectives. Cell-free systems partially bypass these constraints by allowing enzyme cascades to be assembled and run under conditions </w:t>
      </w:r>
      <w:proofErr w:type="spellStart"/>
      <w:r w:rsidRPr="00E55A08">
        <w:rPr>
          <w:color w:val="auto"/>
          <w:kern w:val="0"/>
          <w:lang w:val="en-US" w:eastAsia="en-US"/>
        </w:rPr>
        <w:t>optimised</w:t>
      </w:r>
      <w:proofErr w:type="spellEnd"/>
      <w:r w:rsidRPr="00E55A08">
        <w:rPr>
          <w:color w:val="auto"/>
          <w:kern w:val="0"/>
          <w:lang w:val="en-US" w:eastAsia="en-US"/>
        </w:rPr>
        <w:t xml:space="preserve"> for conversion efficiency and product yield. This is particularly relevant for natural products, where biosynthetic pathways can involve many steps, unusual cofactors, and tight control of intermediate concentrations. Comprehensive reviews have highlighted how cell-free synthetic biology is enabling both biosynthesis and discovery of natural products by facilitating rapid pathway reconstitution, enzyme </w:t>
      </w:r>
      <w:proofErr w:type="spellStart"/>
      <w:r w:rsidRPr="00E55A08">
        <w:rPr>
          <w:color w:val="auto"/>
          <w:kern w:val="0"/>
          <w:lang w:val="en-US" w:eastAsia="en-US"/>
        </w:rPr>
        <w:t>characterisation</w:t>
      </w:r>
      <w:proofErr w:type="spellEnd"/>
      <w:r w:rsidRPr="00E55A08">
        <w:rPr>
          <w:color w:val="auto"/>
          <w:kern w:val="0"/>
          <w:lang w:val="en-US" w:eastAsia="en-US"/>
        </w:rPr>
        <w:t xml:space="preserve">, and iterative </w:t>
      </w:r>
      <w:proofErr w:type="spellStart"/>
      <w:r w:rsidRPr="00E55A08">
        <w:rPr>
          <w:color w:val="auto"/>
          <w:kern w:val="0"/>
          <w:lang w:val="en-US" w:eastAsia="en-US"/>
        </w:rPr>
        <w:t>optimisation</w:t>
      </w:r>
      <w:proofErr w:type="spellEnd"/>
      <w:r w:rsidRPr="00E55A08">
        <w:rPr>
          <w:color w:val="auto"/>
          <w:kern w:val="0"/>
          <w:lang w:val="en-US" w:eastAsia="en-US"/>
        </w:rPr>
        <w:t xml:space="preserve"> (Rice et al., 2025).</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novelty in this domain is not simply “making natural products without cells”; it is the emergence of a distinct engineering strategy. In cell-free production, modules can be </w:t>
      </w:r>
      <w:proofErr w:type="spellStart"/>
      <w:r w:rsidRPr="00E55A08">
        <w:rPr>
          <w:color w:val="auto"/>
          <w:kern w:val="0"/>
          <w:lang w:val="en-US" w:eastAsia="en-US"/>
        </w:rPr>
        <w:t>optimised</w:t>
      </w:r>
      <w:proofErr w:type="spellEnd"/>
      <w:r w:rsidRPr="00E55A08">
        <w:rPr>
          <w:color w:val="auto"/>
          <w:kern w:val="0"/>
          <w:lang w:val="en-US" w:eastAsia="en-US"/>
        </w:rPr>
        <w:t xml:space="preserve"> independently and then integrated, and bottlenecks can be addressed by directly adjusting enzyme ratios, cofactor regeneration schemes, or substrate feeding regimes. In vivo, such tuning is indirect and often complicated by gene expression noise, feedback regulation, and growth-related constraints. Cell-free systems thus offer a pathway-centric approach to manufacturing where the engineered object is the reaction network itself. This also enables a hybrid translational model: cell-free platforms can be used to discover and </w:t>
      </w:r>
      <w:proofErr w:type="spellStart"/>
      <w:r w:rsidRPr="00E55A08">
        <w:rPr>
          <w:color w:val="auto"/>
          <w:kern w:val="0"/>
          <w:lang w:val="en-US" w:eastAsia="en-US"/>
        </w:rPr>
        <w:t>optimise</w:t>
      </w:r>
      <w:proofErr w:type="spellEnd"/>
      <w:r w:rsidRPr="00E55A08">
        <w:rPr>
          <w:color w:val="auto"/>
          <w:kern w:val="0"/>
          <w:lang w:val="en-US" w:eastAsia="en-US"/>
        </w:rPr>
        <w:t xml:space="preserve"> pathways rapidly, after which the best-performing configurations can be transferred into living chassis for large-scale fermentation where that is advantageous. Alternatively, for certain high-value products or on-demand contexts, the cell-free process may be the final production route, especially when the avoidance of live genetically modified organisms simplifies containment or logistical requirements (Rice et al., 2025).</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7.3. Engineering considerations: energy, scale, and robustness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Despite their promise, cell-free systems face practical constraints that shape contemporary research directions. Energy regeneration is a central engineering problem because transcription and translation are energetically expensive, and reaction performance depends strongly on how ATP and reducing equivalents are supplied and recycled. The choice of energy substrates and regeneration pathways influences reaction longevity, protein yield, and by-product accumulation. Similarly, extract preparation methods affect activity and consistency, creating an </w:t>
      </w:r>
      <w:proofErr w:type="spellStart"/>
      <w:r w:rsidRPr="00E55A08">
        <w:rPr>
          <w:color w:val="auto"/>
          <w:kern w:val="0"/>
          <w:lang w:val="en-US" w:eastAsia="en-US"/>
        </w:rPr>
        <w:t>industrialisation</w:t>
      </w:r>
      <w:proofErr w:type="spellEnd"/>
      <w:r w:rsidRPr="00E55A08">
        <w:rPr>
          <w:color w:val="auto"/>
          <w:kern w:val="0"/>
          <w:lang w:val="en-US" w:eastAsia="en-US"/>
        </w:rPr>
        <w:t xml:space="preserve"> challenge akin to raw-material variability in chemical manufacturing. Batch-to-batch reproducibility becomes particularly important when </w:t>
      </w:r>
      <w:r w:rsidRPr="00E55A08">
        <w:rPr>
          <w:color w:val="auto"/>
          <w:kern w:val="0"/>
          <w:lang w:val="en-US" w:eastAsia="en-US"/>
        </w:rPr>
        <w:lastRenderedPageBreak/>
        <w:t>cell-free reactions are used for comparative screening or when production must meet quality standards.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Scale-up is another boundary condition. While small-volume reactions are straightforward, scaling cell-free protein synthesis or multi-enzyme production requires attention to mixing, oxygen transfer (where relevant), heat management, and downstream processing. Moreover, cell-free systems may be vulnerable to inhibition by impurities or to degradation of components over time, demanding </w:t>
      </w:r>
      <w:proofErr w:type="spellStart"/>
      <w:r w:rsidRPr="00E55A08">
        <w:rPr>
          <w:color w:val="auto"/>
          <w:kern w:val="0"/>
          <w:lang w:val="en-US" w:eastAsia="en-US"/>
        </w:rPr>
        <w:t>stabilisation</w:t>
      </w:r>
      <w:proofErr w:type="spellEnd"/>
      <w:r w:rsidRPr="00E55A08">
        <w:rPr>
          <w:color w:val="auto"/>
          <w:kern w:val="0"/>
          <w:lang w:val="en-US" w:eastAsia="en-US"/>
        </w:rPr>
        <w:t xml:space="preserve"> strategies and careful process design. These issues do not diminish the value of cell-free biotechnology; rather, they define its current frontier. Much like early fermentation technology required decades of process innovation to become a manufacturing backbone, cell-free biotechnology is now moving from proof-of-principle demonstrations towards the systematic engineering of robustness and cost-effectiveness. The fact that this transition is actively underway is itself evidence of the field’s maturation (</w:t>
      </w:r>
      <w:proofErr w:type="spellStart"/>
      <w:r w:rsidRPr="00E55A08">
        <w:rPr>
          <w:color w:val="auto"/>
          <w:kern w:val="0"/>
          <w:lang w:val="en-US" w:eastAsia="en-US"/>
        </w:rPr>
        <w:t>Tinafar</w:t>
      </w:r>
      <w:proofErr w:type="spellEnd"/>
      <w:r w:rsidRPr="00E55A08">
        <w:rPr>
          <w:color w:val="auto"/>
          <w:kern w:val="0"/>
          <w:lang w:val="en-US" w:eastAsia="en-US"/>
        </w:rPr>
        <w:t xml:space="preserve"> et al., 2019; Rice et al., 2025).</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7.4. Strategic role within modern biotechnology</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In the wider biotechnology landscape, cell-free systems occupy a distinctive role because they can connect discovery, engineering, and manufacturing in a single programmable environment. They offer a means of reducing development time, improving interpretability, and enabling reaction-centric </w:t>
      </w:r>
      <w:proofErr w:type="spellStart"/>
      <w:r w:rsidRPr="00E55A08">
        <w:rPr>
          <w:color w:val="auto"/>
          <w:kern w:val="0"/>
          <w:lang w:val="en-US" w:eastAsia="en-US"/>
        </w:rPr>
        <w:t>optimisation</w:t>
      </w:r>
      <w:proofErr w:type="spellEnd"/>
      <w:r w:rsidRPr="00E55A08">
        <w:rPr>
          <w:color w:val="auto"/>
          <w:kern w:val="0"/>
          <w:lang w:val="en-US" w:eastAsia="en-US"/>
        </w:rPr>
        <w:t xml:space="preserve"> strategies that are difficult to implement in living systems. For synthetic biology more broadly, cell-free platforms also reinforce the </w:t>
      </w:r>
      <w:proofErr w:type="spellStart"/>
      <w:r w:rsidRPr="00E55A08">
        <w:rPr>
          <w:color w:val="auto"/>
          <w:kern w:val="0"/>
          <w:lang w:val="en-US" w:eastAsia="en-US"/>
        </w:rPr>
        <w:t>industrialisation</w:t>
      </w:r>
      <w:proofErr w:type="spellEnd"/>
      <w:r w:rsidRPr="00E55A08">
        <w:rPr>
          <w:color w:val="auto"/>
          <w:kern w:val="0"/>
          <w:lang w:val="en-US" w:eastAsia="en-US"/>
        </w:rPr>
        <w:t xml:space="preserve"> trend: they support </w:t>
      </w:r>
      <w:proofErr w:type="spellStart"/>
      <w:r w:rsidRPr="00E55A08">
        <w:rPr>
          <w:color w:val="auto"/>
          <w:kern w:val="0"/>
          <w:lang w:val="en-US" w:eastAsia="en-US"/>
        </w:rPr>
        <w:t>standardised</w:t>
      </w:r>
      <w:proofErr w:type="spellEnd"/>
      <w:r w:rsidRPr="00E55A08">
        <w:rPr>
          <w:color w:val="auto"/>
          <w:kern w:val="0"/>
          <w:lang w:val="en-US" w:eastAsia="en-US"/>
        </w:rPr>
        <w:t xml:space="preserve"> assays, facilitate automation, and enable design rules to be refined through high-throughput experimentation. In this sense, cell-free biotechnology is not merely an alternative to cellular engineering; it is an enabling layer that can make the broader field more systematic and predictive. The contemporary novelty is therefore conceptual as well as technical: biotechnology is increasingly willing to treat biological function as something that can be executed and engineered outside life, with living cells becoming one option among several rather than the default substrate for all bioengineering.</w:t>
      </w:r>
    </w:p>
    <w:p w:rsidR="00E36926" w:rsidRDefault="00E36926" w:rsidP="00E36926"/>
    <w:p w:rsidR="00E55A08" w:rsidRPr="00E55A08" w:rsidRDefault="00E55A08" w:rsidP="00E55A08">
      <w:pPr>
        <w:spacing w:before="100" w:beforeAutospacing="1" w:after="100" w:afterAutospacing="1" w:line="240" w:lineRule="auto"/>
        <w:ind w:left="0" w:right="0" w:firstLine="0"/>
        <w:jc w:val="left"/>
        <w:outlineLvl w:val="1"/>
        <w:rPr>
          <w:b/>
          <w:bCs/>
          <w:color w:val="auto"/>
          <w:kern w:val="0"/>
          <w:sz w:val="36"/>
          <w:szCs w:val="36"/>
          <w:lang w:val="en-US" w:eastAsia="en-US"/>
        </w:rPr>
      </w:pPr>
      <w:r w:rsidRPr="00E55A08">
        <w:rPr>
          <w:b/>
          <w:bCs/>
          <w:color w:val="auto"/>
          <w:kern w:val="0"/>
          <w:sz w:val="36"/>
          <w:szCs w:val="36"/>
          <w:lang w:val="en-US" w:eastAsia="en-US"/>
        </w:rPr>
        <w:t>8. Microbial engineering and living therapeutics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Microbial engineering has progressed from the modification of metabolic pathways for production towards a broader therapeutic paradigm in which microbes are designed as active, responsive agents within the human body. This shift underpins the concept of living therapeutics: engineered organisms that can sense physiological signals, compute decisions through genetic circuitry, and deliver effectors at the right place and time. The novelty is not simply that microbes can be engineered—this has been true for decades—but that contemporary synthetic biology and genome-editing toolkits make it feasible to </w:t>
      </w:r>
      <w:proofErr w:type="spellStart"/>
      <w:r w:rsidRPr="00E55A08">
        <w:rPr>
          <w:color w:val="auto"/>
          <w:kern w:val="0"/>
          <w:lang w:val="en-US" w:eastAsia="en-US"/>
        </w:rPr>
        <w:t>programme</w:t>
      </w:r>
      <w:proofErr w:type="spellEnd"/>
      <w:r w:rsidRPr="00E55A08">
        <w:rPr>
          <w:color w:val="auto"/>
          <w:kern w:val="0"/>
          <w:lang w:val="en-US" w:eastAsia="en-US"/>
        </w:rPr>
        <w:t xml:space="preserve"> increasingly sophisticated </w:t>
      </w:r>
      <w:proofErr w:type="spellStart"/>
      <w:r w:rsidRPr="00E55A08">
        <w:rPr>
          <w:color w:val="auto"/>
          <w:kern w:val="0"/>
          <w:lang w:val="en-US" w:eastAsia="en-US"/>
        </w:rPr>
        <w:t>behaviours</w:t>
      </w:r>
      <w:proofErr w:type="spellEnd"/>
      <w:r w:rsidRPr="00E55A08">
        <w:rPr>
          <w:color w:val="auto"/>
          <w:kern w:val="0"/>
          <w:lang w:val="en-US" w:eastAsia="en-US"/>
        </w:rPr>
        <w:t xml:space="preserve"> with a level of specificity and modularity that invites clinical ambition. At the same time, clinical translation forces microbial engineering to confront requirements that are less central in industrial biotechnology, such as predictable </w:t>
      </w:r>
      <w:proofErr w:type="spellStart"/>
      <w:r w:rsidRPr="00E55A08">
        <w:rPr>
          <w:color w:val="auto"/>
          <w:kern w:val="0"/>
          <w:lang w:val="en-US" w:eastAsia="en-US"/>
        </w:rPr>
        <w:t>colonisation</w:t>
      </w:r>
      <w:proofErr w:type="spellEnd"/>
      <w:r w:rsidRPr="00E55A08">
        <w:rPr>
          <w:color w:val="auto"/>
          <w:kern w:val="0"/>
          <w:lang w:val="en-US" w:eastAsia="en-US"/>
        </w:rPr>
        <w:t xml:space="preserve">, patient-to-patient variability, immune compatibility, and rigorous biocontainment. In practice, living therapeutics sit at the intersection of molecular design and ecological systems, because engineered microbes must function within complex microbial communities and within a host that actively shapes microbial survival and </w:t>
      </w:r>
      <w:proofErr w:type="spellStart"/>
      <w:r w:rsidRPr="00E55A08">
        <w:rPr>
          <w:color w:val="auto"/>
          <w:kern w:val="0"/>
          <w:lang w:val="en-US" w:eastAsia="en-US"/>
        </w:rPr>
        <w:t>behaviour</w:t>
      </w:r>
      <w:proofErr w:type="spellEnd"/>
      <w:r w:rsidRPr="00E55A08">
        <w:rPr>
          <w:color w:val="auto"/>
          <w:kern w:val="0"/>
          <w:lang w:val="en-US" w:eastAsia="en-US"/>
        </w:rPr>
        <w:t>.</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lastRenderedPageBreak/>
        <w:t xml:space="preserve">A defining contemporary driver is the </w:t>
      </w:r>
      <w:proofErr w:type="spellStart"/>
      <w:r w:rsidRPr="00E55A08">
        <w:rPr>
          <w:color w:val="auto"/>
          <w:kern w:val="0"/>
          <w:lang w:val="en-US" w:eastAsia="en-US"/>
        </w:rPr>
        <w:t>reconceptualisation</w:t>
      </w:r>
      <w:proofErr w:type="spellEnd"/>
      <w:r w:rsidRPr="00E55A08">
        <w:rPr>
          <w:color w:val="auto"/>
          <w:kern w:val="0"/>
          <w:lang w:val="en-US" w:eastAsia="en-US"/>
        </w:rPr>
        <w:t xml:space="preserve"> of microbes as programmable delivery platforms. Unlike many conventional drugs, microbes can persist, replicate, and </w:t>
      </w:r>
      <w:proofErr w:type="spellStart"/>
      <w:r w:rsidRPr="00E55A08">
        <w:rPr>
          <w:color w:val="auto"/>
          <w:kern w:val="0"/>
          <w:lang w:val="en-US" w:eastAsia="en-US"/>
        </w:rPr>
        <w:t>localise</w:t>
      </w:r>
      <w:proofErr w:type="spellEnd"/>
      <w:r w:rsidRPr="00E55A08">
        <w:rPr>
          <w:color w:val="auto"/>
          <w:kern w:val="0"/>
          <w:lang w:val="en-US" w:eastAsia="en-US"/>
        </w:rPr>
        <w:t xml:space="preserve"> to particular niches, especially within the gastrointestinal tract. This offers an opportunity to achieve sustained exposure, repeated dosing from a single administration, and local delivery of labile or otherwise difficult-to-administer molecules. It also enables therapeutic strategies based on continuous sensing and feedback control, in which the microbial agent modulates its output in response to inflammation, nutrient availability, or disease-associated metabolites. Such approaches reflect a broader shift in biotechnology towards systems that operate as closed-loop interventions rather than as one-way inputs.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8.1. Design principles for engineered living therapeutics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Engineering living therapeutics requires a distinct set of design principles, because the organism must balance engineered function with survival in a biological environment that is neither constant nor fully predictable. Synthetic biology frameworks explicitly describe living therapeutics as modular systems composed of sensors, logic elements, actuators, and safety mechanisms (Cubillos-Ruiz et al., 2021). In this framing, sensors detect host or microbiome signals such as pH, oxygen gradients, inflammatory markers, quorum signals, or small-molecule metabolites. Logic elements implement decision-making, including thresholding, memory, or multi-input gating that can increase specificity by requiring more than one disease-associated signal before actuation. Actuators then deliver a therapeutic action, which might involve secreting cytokine modulators, producing metabolites, degrading toxic compounds, presenting antigens, or releasing bacteriocins. Finally, safety modules constrain persistence or limit activity to defined conditions, aligning microbial </w:t>
      </w:r>
      <w:proofErr w:type="spellStart"/>
      <w:r w:rsidRPr="00E55A08">
        <w:rPr>
          <w:color w:val="auto"/>
          <w:kern w:val="0"/>
          <w:lang w:val="en-US" w:eastAsia="en-US"/>
        </w:rPr>
        <w:t>behaviour</w:t>
      </w:r>
      <w:proofErr w:type="spellEnd"/>
      <w:r w:rsidRPr="00E55A08">
        <w:rPr>
          <w:color w:val="auto"/>
          <w:kern w:val="0"/>
          <w:lang w:val="en-US" w:eastAsia="en-US"/>
        </w:rPr>
        <w:t xml:space="preserve"> with clinical risk tolerances (Cubillos-Ruiz et al., 2021).</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most important novelty in this engineering paradigm is the attention paid to context. In the laboratory, genetic circuits can be tuned in controlled media; in the gut or other human niches, the environment is dynamic and heterogeneous. Nutrient profiles fluctuate, host immunity varies, competing microbes reshape ecological conditions, and pharmacological co-treatments can perturb growth. Consequently, contemporary work </w:t>
      </w:r>
      <w:proofErr w:type="spellStart"/>
      <w:r w:rsidRPr="00E55A08">
        <w:rPr>
          <w:color w:val="auto"/>
          <w:kern w:val="0"/>
          <w:lang w:val="en-US" w:eastAsia="en-US"/>
        </w:rPr>
        <w:t>emphasises</w:t>
      </w:r>
      <w:proofErr w:type="spellEnd"/>
      <w:r w:rsidRPr="00E55A08">
        <w:rPr>
          <w:color w:val="auto"/>
          <w:kern w:val="0"/>
          <w:lang w:val="en-US" w:eastAsia="en-US"/>
        </w:rPr>
        <w:t xml:space="preserve"> robustness: circuits must be buffered against noise and environmental drift, and engineered functions must be stable across many bacterial generations. This also elevates evolutionary stability as a core design constraint. Engineered constructs that impose a fitness burden may be selected against, leading to loss of function over time. For living therapeutics, such loss can mean therapeutic failure or, in worse cases, uncontrolled </w:t>
      </w:r>
      <w:proofErr w:type="spellStart"/>
      <w:r w:rsidRPr="00E55A08">
        <w:rPr>
          <w:color w:val="auto"/>
          <w:kern w:val="0"/>
          <w:lang w:val="en-US" w:eastAsia="en-US"/>
        </w:rPr>
        <w:t>behaviour</w:t>
      </w:r>
      <w:proofErr w:type="spellEnd"/>
      <w:r w:rsidRPr="00E55A08">
        <w:rPr>
          <w:color w:val="auto"/>
          <w:kern w:val="0"/>
          <w:lang w:val="en-US" w:eastAsia="en-US"/>
        </w:rPr>
        <w:t xml:space="preserve"> if safety modules are compromised. The field therefore increasingly incorporates strategies such as reduced-burden expression, chromosomal integration, redundant safeguards, and designs that couple therapeutic function to microbial fitness in a way that reduces selection for loss.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8.2. Precision antimicrobials and targeted microbiome manipulation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A major application area for microbial engineering is the control of pathogenic bacteria and undesirable genes within microbial communities. Traditional antibiotics are powerful but frequently non-specific, disrupting commensal microbiota and selecting for resistance. Sequence-targeted antimicrobials represent a conceptually different approach: rather than broadly inhibiting growth, they aim to remove specific strains or genetic elements. RNA-guided nucleases have been used to build sequence-specific antimicrobials that can selectively kill bacteria carrying targeted DNA sequences, offering a route to precision interventions against resistant strains or virulence determinants (</w:t>
      </w:r>
      <w:proofErr w:type="spellStart"/>
      <w:r w:rsidRPr="00E55A08">
        <w:rPr>
          <w:color w:val="auto"/>
          <w:kern w:val="0"/>
          <w:lang w:val="en-US" w:eastAsia="en-US"/>
        </w:rPr>
        <w:t>Citorik</w:t>
      </w:r>
      <w:proofErr w:type="spellEnd"/>
      <w:r w:rsidRPr="00E55A08">
        <w:rPr>
          <w:color w:val="auto"/>
          <w:kern w:val="0"/>
          <w:lang w:val="en-US" w:eastAsia="en-US"/>
        </w:rPr>
        <w:t xml:space="preserve"> et al., 2014). The key </w:t>
      </w:r>
      <w:r w:rsidRPr="00E55A08">
        <w:rPr>
          <w:color w:val="auto"/>
          <w:kern w:val="0"/>
          <w:lang w:val="en-US" w:eastAsia="en-US"/>
        </w:rPr>
        <w:lastRenderedPageBreak/>
        <w:t>novelty is programmability at the sequence level: the target can, in principle, be updated rapidly as resistance determinants evolve, and interventions can be designed to spare non-target organisms.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However, translation from proof-of-concept to clinical reality depends on delivery into complex microbial communities and on maintaining specificity in environments where horizontal gene transfer is common. Even so, the demonstration that programmable nucleases can act as antimicrobials established an important precedent: microbial control can be treated as an information problem as much as a chemical one. This insight is now influencing broader efforts in microbiome engineering, including approaches to selectively modulate community composition, remove pathogenicity islands, or reduce carriage of resistance plasmids. The clinical potential is significant, but the pathway to routine use will likely require advances in delivery vehicles, dosing strategies, and assessment methods that can reliably quantify ecological outcomes within the microbiome.</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8.3. Therapeutic functions: from metabolic correction to immune modulation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Living therapeutics can be </w:t>
      </w:r>
      <w:proofErr w:type="spellStart"/>
      <w:r w:rsidRPr="00E55A08">
        <w:rPr>
          <w:color w:val="auto"/>
          <w:kern w:val="0"/>
          <w:lang w:val="en-US" w:eastAsia="en-US"/>
        </w:rPr>
        <w:t>conceptualised</w:t>
      </w:r>
      <w:proofErr w:type="spellEnd"/>
      <w:r w:rsidRPr="00E55A08">
        <w:rPr>
          <w:color w:val="auto"/>
          <w:kern w:val="0"/>
          <w:lang w:val="en-US" w:eastAsia="en-US"/>
        </w:rPr>
        <w:t xml:space="preserve"> along a spectrum of complexity. At one end are microbes engineered to produce or consume metabolites, effectively functioning as in situ metabolic devices. Such designs may target disorders where local metabolite levels are dysregulated or where removal of a toxic compound is beneficial. At the other end are microbes designed to interact with the immune system, delivering cytokine-like signals, antigenic payloads, or checkpoint-modulating molecules in a controlled, </w:t>
      </w:r>
      <w:proofErr w:type="spellStart"/>
      <w:r w:rsidRPr="00E55A08">
        <w:rPr>
          <w:color w:val="auto"/>
          <w:kern w:val="0"/>
          <w:lang w:val="en-US" w:eastAsia="en-US"/>
        </w:rPr>
        <w:t>localised</w:t>
      </w:r>
      <w:proofErr w:type="spellEnd"/>
      <w:r w:rsidRPr="00E55A08">
        <w:rPr>
          <w:color w:val="auto"/>
          <w:kern w:val="0"/>
          <w:lang w:val="en-US" w:eastAsia="en-US"/>
        </w:rPr>
        <w:t xml:space="preserve"> fashion. The immunological space is particularly attractive because it benefits from spatial precision: local delivery can reduce systemic exposure and potentially improve tolerability. Nevertheless, immunomodulatory living therapeutics face heightened safety requirements, because unintended immune activation can be harmful. Contemporary synthetic biology therefore </w:t>
      </w:r>
      <w:proofErr w:type="spellStart"/>
      <w:r w:rsidRPr="00E55A08">
        <w:rPr>
          <w:color w:val="auto"/>
          <w:kern w:val="0"/>
          <w:lang w:val="en-US" w:eastAsia="en-US"/>
        </w:rPr>
        <w:t>emphasises</w:t>
      </w:r>
      <w:proofErr w:type="spellEnd"/>
      <w:r w:rsidRPr="00E55A08">
        <w:rPr>
          <w:color w:val="auto"/>
          <w:kern w:val="0"/>
          <w:lang w:val="en-US" w:eastAsia="en-US"/>
        </w:rPr>
        <w:t xml:space="preserve"> multi-layered control—combining sensing, logic gating, and </w:t>
      </w:r>
      <w:proofErr w:type="spellStart"/>
      <w:r w:rsidRPr="00E55A08">
        <w:rPr>
          <w:color w:val="auto"/>
          <w:kern w:val="0"/>
          <w:lang w:val="en-US" w:eastAsia="en-US"/>
        </w:rPr>
        <w:t>failsafes</w:t>
      </w:r>
      <w:proofErr w:type="spellEnd"/>
      <w:r w:rsidRPr="00E55A08">
        <w:rPr>
          <w:color w:val="auto"/>
          <w:kern w:val="0"/>
          <w:lang w:val="en-US" w:eastAsia="en-US"/>
        </w:rPr>
        <w:t>—to reduce the probability of inappropriate actuation (Cubillos-Ruiz et al., 2021).</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An additional translational novelty is the movement towards clinically compatible chassis and manufacturing practices. Unlike laboratory strains, therapeutic microbes must be manufacturable at scale, genetically stable during production and storage, and able to perform after ingestion or administration. They must also be amenable to regulatory evaluation, which demands clear </w:t>
      </w:r>
      <w:proofErr w:type="spellStart"/>
      <w:r w:rsidRPr="00E55A08">
        <w:rPr>
          <w:color w:val="auto"/>
          <w:kern w:val="0"/>
          <w:lang w:val="en-US" w:eastAsia="en-US"/>
        </w:rPr>
        <w:t>characterisation</w:t>
      </w:r>
      <w:proofErr w:type="spellEnd"/>
      <w:r w:rsidRPr="00E55A08">
        <w:rPr>
          <w:color w:val="auto"/>
          <w:kern w:val="0"/>
          <w:lang w:val="en-US" w:eastAsia="en-US"/>
        </w:rPr>
        <w:t xml:space="preserve"> of genetic constructs, predictable </w:t>
      </w:r>
      <w:proofErr w:type="spellStart"/>
      <w:r w:rsidRPr="00E55A08">
        <w:rPr>
          <w:color w:val="auto"/>
          <w:kern w:val="0"/>
          <w:lang w:val="en-US" w:eastAsia="en-US"/>
        </w:rPr>
        <w:t>behaviour</w:t>
      </w:r>
      <w:proofErr w:type="spellEnd"/>
      <w:r w:rsidRPr="00E55A08">
        <w:rPr>
          <w:color w:val="auto"/>
          <w:kern w:val="0"/>
          <w:lang w:val="en-US" w:eastAsia="en-US"/>
        </w:rPr>
        <w:t xml:space="preserve">, and demonstrable containment. This pushes the field towards disciplined engineering and documentation, aligning it with the </w:t>
      </w:r>
      <w:proofErr w:type="spellStart"/>
      <w:r w:rsidRPr="00E55A08">
        <w:rPr>
          <w:color w:val="auto"/>
          <w:kern w:val="0"/>
          <w:lang w:val="en-US" w:eastAsia="en-US"/>
        </w:rPr>
        <w:t>industrialisation</w:t>
      </w:r>
      <w:proofErr w:type="spellEnd"/>
      <w:r w:rsidRPr="00E55A08">
        <w:rPr>
          <w:color w:val="auto"/>
          <w:kern w:val="0"/>
          <w:lang w:val="en-US" w:eastAsia="en-US"/>
        </w:rPr>
        <w:t xml:space="preserve"> trends discussed elsewhere in biotechnology. In other words, living therapeutics cannot succeed as a “clever construct” alone; they must be products engineered for reliability across an entire lifecycle.</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8.4. Biocontainment, safety, and the ecology of deployment</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prospect of deploying engineered organisms in humans naturally raises biosafety concerns, including persistence beyond intended duration, horizontal gene transfer, and unintended ecological effects if organisms enter the environment. Synthetic biology has responded with biocontainment strategies that aim to constrain survival or function to specific conditions. While many containment strategies exist in principle, clinical translation requires those strategies to be robust, verifiable, and resistant to evolutionary escape. The need for effective containment is heightened by the fact that living therapeutics may be deployed </w:t>
      </w:r>
      <w:r w:rsidRPr="00E55A08">
        <w:rPr>
          <w:color w:val="auto"/>
          <w:kern w:val="0"/>
          <w:lang w:val="en-US" w:eastAsia="en-US"/>
        </w:rPr>
        <w:lastRenderedPageBreak/>
        <w:t>broadly, potentially at scale, and therefore cannot rely solely on controlled clinical settings to prevent environmental exposure.</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Beyond containment, there is the deeper challenge of ecological unpredictability. Microbes introduced into the human body encounter resident communities shaped by diet, geography, antibiotic history, and host genetics. This variability can alter </w:t>
      </w:r>
      <w:proofErr w:type="spellStart"/>
      <w:r w:rsidRPr="00E55A08">
        <w:rPr>
          <w:color w:val="auto"/>
          <w:kern w:val="0"/>
          <w:lang w:val="en-US" w:eastAsia="en-US"/>
        </w:rPr>
        <w:t>colonisation</w:t>
      </w:r>
      <w:proofErr w:type="spellEnd"/>
      <w:r w:rsidRPr="00E55A08">
        <w:rPr>
          <w:color w:val="auto"/>
          <w:kern w:val="0"/>
          <w:lang w:val="en-US" w:eastAsia="en-US"/>
        </w:rPr>
        <w:t xml:space="preserve"> dynamics and gene expression patterns, producing heterogeneous therapeutic responses. Consequently, an emerging priority is the development of measurement and modelling frameworks that can predict and monitor living therapeutic </w:t>
      </w:r>
      <w:proofErr w:type="spellStart"/>
      <w:r w:rsidRPr="00E55A08">
        <w:rPr>
          <w:color w:val="auto"/>
          <w:kern w:val="0"/>
          <w:lang w:val="en-US" w:eastAsia="en-US"/>
        </w:rPr>
        <w:t>behaviour</w:t>
      </w:r>
      <w:proofErr w:type="spellEnd"/>
      <w:r w:rsidRPr="00E55A08">
        <w:rPr>
          <w:color w:val="auto"/>
          <w:kern w:val="0"/>
          <w:lang w:val="en-US" w:eastAsia="en-US"/>
        </w:rPr>
        <w:t xml:space="preserve"> in situ. While this section does not introduce new references, the overarching point is consistent with contemporary biotechnology trends: the next advances are likely to come from integrating engineering with ecological realism, combining careful chassis selection, circuit design, and patient-specific monitoring strategies.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8.5. Outlook: towards programmable ecological medicines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Microbial engineering and living therapeutics represent a frontier where biotechnology increasingly resembles the engineering of adaptive systems. The field’s novelty is not simply the capacity to produce a molecule, but the capacity to deliver a function that is conditional, </w:t>
      </w:r>
      <w:proofErr w:type="spellStart"/>
      <w:r w:rsidRPr="00E55A08">
        <w:rPr>
          <w:color w:val="auto"/>
          <w:kern w:val="0"/>
          <w:lang w:val="en-US" w:eastAsia="en-US"/>
        </w:rPr>
        <w:t>localised</w:t>
      </w:r>
      <w:proofErr w:type="spellEnd"/>
      <w:r w:rsidRPr="00E55A08">
        <w:rPr>
          <w:color w:val="auto"/>
          <w:kern w:val="0"/>
          <w:lang w:val="en-US" w:eastAsia="en-US"/>
        </w:rPr>
        <w:t xml:space="preserve">, and potentially sustained. The work by Cubillos-Ruiz et al. (2021) provides a synthetic biology framework for this domain, while </w:t>
      </w:r>
      <w:proofErr w:type="spellStart"/>
      <w:r w:rsidRPr="00E55A08">
        <w:rPr>
          <w:color w:val="auto"/>
          <w:kern w:val="0"/>
          <w:lang w:val="en-US" w:eastAsia="en-US"/>
        </w:rPr>
        <w:t>Citorik</w:t>
      </w:r>
      <w:proofErr w:type="spellEnd"/>
      <w:r w:rsidRPr="00E55A08">
        <w:rPr>
          <w:color w:val="auto"/>
          <w:kern w:val="0"/>
          <w:lang w:val="en-US" w:eastAsia="en-US"/>
        </w:rPr>
        <w:t xml:space="preserve"> et al. (2014) demonstrates the foundational concept of programmable, sequence-specific microbial control. Together, these contributions illustrate how microbial engineering is expanding the definition of therapy from passive compounds to active biological systems that can be designed, tested, and improved. The pace of progress suggests that living therapeutics will become an increasingly prominent modality, particularly for diseases where local biology, microbial ecology, and host responses are tightly intertwined.</w:t>
      </w:r>
    </w:p>
    <w:p w:rsidR="00E36926" w:rsidRDefault="00E36926" w:rsidP="00E36926"/>
    <w:p w:rsidR="00E55A08" w:rsidRPr="00E55A08" w:rsidRDefault="00E55A08" w:rsidP="00E55A08">
      <w:pPr>
        <w:spacing w:before="100" w:beforeAutospacing="1" w:after="100" w:afterAutospacing="1" w:line="240" w:lineRule="auto"/>
        <w:ind w:left="0" w:right="0" w:firstLine="0"/>
        <w:jc w:val="left"/>
        <w:outlineLvl w:val="1"/>
        <w:rPr>
          <w:b/>
          <w:bCs/>
          <w:color w:val="auto"/>
          <w:kern w:val="0"/>
          <w:sz w:val="36"/>
          <w:szCs w:val="36"/>
          <w:lang w:val="en-US" w:eastAsia="en-US"/>
        </w:rPr>
      </w:pPr>
      <w:r w:rsidRPr="00E55A08">
        <w:rPr>
          <w:b/>
          <w:bCs/>
          <w:color w:val="auto"/>
          <w:kern w:val="0"/>
          <w:sz w:val="36"/>
          <w:szCs w:val="36"/>
          <w:lang w:val="en-US" w:eastAsia="en-US"/>
        </w:rPr>
        <w:t>9. Nucleic-acid medicines and rapid platform translation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Nucleic-acid medicines have altered the tempo of therapeutic development by shifting emphasis from molecule-specific discovery towards platform readiness. In classical pharmacology, each new drug candidate typically requires extensive </w:t>
      </w:r>
      <w:proofErr w:type="spellStart"/>
      <w:r w:rsidRPr="00E55A08">
        <w:rPr>
          <w:color w:val="auto"/>
          <w:kern w:val="0"/>
          <w:lang w:val="en-US" w:eastAsia="en-US"/>
        </w:rPr>
        <w:t>optimisation</w:t>
      </w:r>
      <w:proofErr w:type="spellEnd"/>
      <w:r w:rsidRPr="00E55A08">
        <w:rPr>
          <w:color w:val="auto"/>
          <w:kern w:val="0"/>
          <w:lang w:val="en-US" w:eastAsia="en-US"/>
        </w:rPr>
        <w:t xml:space="preserve"> of chemistry, formulation, and manufacturing that is tightly coupled to the particular compound. By contrast, nucleic-acid modalities—especially mRNA and programmable nucleases—allow a substantial fraction of development effort to be </w:t>
      </w:r>
      <w:proofErr w:type="spellStart"/>
      <w:r w:rsidRPr="00E55A08">
        <w:rPr>
          <w:color w:val="auto"/>
          <w:kern w:val="0"/>
          <w:lang w:val="en-US" w:eastAsia="en-US"/>
        </w:rPr>
        <w:t>standardised</w:t>
      </w:r>
      <w:proofErr w:type="spellEnd"/>
      <w:r w:rsidRPr="00E55A08">
        <w:rPr>
          <w:color w:val="auto"/>
          <w:kern w:val="0"/>
          <w:lang w:val="en-US" w:eastAsia="en-US"/>
        </w:rPr>
        <w:t>. Once a delivery vehicle, production workflow, and quality-control regime are established, new sequences can be substituted with comparatively fewer changes to the underlying process. This “sequence as product” logic is a defining novelty of contemporary biotechnology because it enables faster transitions from biological insight to candidate medicine, particularly when the target is well specified and when manufacturing infrastructure is prepared in advance. The practical meaning of rapid platform translation is therefore not that biology becomes simple, but that the path from design to deployment becomes shorter and more repeatable.</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 xml:space="preserve">9.1. mRNA medicines as an </w:t>
      </w:r>
      <w:proofErr w:type="spellStart"/>
      <w:r w:rsidRPr="00E55A08">
        <w:rPr>
          <w:b/>
          <w:bCs/>
          <w:color w:val="auto"/>
          <w:kern w:val="0"/>
          <w:sz w:val="27"/>
          <w:szCs w:val="27"/>
          <w:lang w:val="en-US" w:eastAsia="en-US"/>
        </w:rPr>
        <w:t>industrialisable</w:t>
      </w:r>
      <w:proofErr w:type="spellEnd"/>
      <w:r w:rsidRPr="00E55A08">
        <w:rPr>
          <w:b/>
          <w:bCs/>
          <w:color w:val="auto"/>
          <w:kern w:val="0"/>
          <w:sz w:val="27"/>
          <w:szCs w:val="27"/>
          <w:lang w:val="en-US" w:eastAsia="en-US"/>
        </w:rPr>
        <w:t xml:space="preserve"> modality</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modern resurgence of mRNA therapeutics was not driven by a single breakthrough but by cumulative progress in sequence engineering, innate immune modulation, and delivery. </w:t>
      </w:r>
      <w:r w:rsidRPr="00E55A08">
        <w:rPr>
          <w:color w:val="auto"/>
          <w:kern w:val="0"/>
          <w:lang w:val="en-US" w:eastAsia="en-US"/>
        </w:rPr>
        <w:lastRenderedPageBreak/>
        <w:t xml:space="preserve">mRNA is intrinsically attractive because it can express proteins without requiring nuclear entry or genomic integration, and because expression is transient, which can be advantageous for both safety and controllability. Yet early mRNA efforts were hindered by instability, inefficient delivery, and excessive inflammatory sensing. By 2018, a coherent vaccinology framework had emerged, describing how improvements in antigen design, RNA </w:t>
      </w:r>
      <w:proofErr w:type="spellStart"/>
      <w:r w:rsidRPr="00E55A08">
        <w:rPr>
          <w:color w:val="auto"/>
          <w:kern w:val="0"/>
          <w:lang w:val="en-US" w:eastAsia="en-US"/>
        </w:rPr>
        <w:t>optimisation</w:t>
      </w:r>
      <w:proofErr w:type="spellEnd"/>
      <w:r w:rsidRPr="00E55A08">
        <w:rPr>
          <w:color w:val="auto"/>
          <w:kern w:val="0"/>
          <w:lang w:val="en-US" w:eastAsia="en-US"/>
        </w:rPr>
        <w:t>, and formulation could enable potent and durable immune responses (</w:t>
      </w:r>
      <w:proofErr w:type="spellStart"/>
      <w:r w:rsidRPr="00E55A08">
        <w:rPr>
          <w:color w:val="auto"/>
          <w:kern w:val="0"/>
          <w:lang w:val="en-US" w:eastAsia="en-US"/>
        </w:rPr>
        <w:t>Pardi</w:t>
      </w:r>
      <w:proofErr w:type="spellEnd"/>
      <w:r w:rsidRPr="00E55A08">
        <w:rPr>
          <w:color w:val="auto"/>
          <w:kern w:val="0"/>
          <w:lang w:val="en-US" w:eastAsia="en-US"/>
        </w:rPr>
        <w:t xml:space="preserve"> et al., 2018). That framework also implicitly supported a platform mindset: the same general manufacturing and formulation principles could be applied across different antigens, allowing new candidates to be generated quickly once a pathogen sequence was known.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Delivery is arguably the decisive enabling layer for mRNA. Lipid nanoparticles (LNPs) provide a scalable approach to encapsulating and protecting mRNA, promoting cellular uptake, and enabling endosomal escape. Contemporary reviews </w:t>
      </w:r>
      <w:proofErr w:type="spellStart"/>
      <w:r w:rsidRPr="00E55A08">
        <w:rPr>
          <w:color w:val="auto"/>
          <w:kern w:val="0"/>
          <w:lang w:val="en-US" w:eastAsia="en-US"/>
        </w:rPr>
        <w:t>emphasise</w:t>
      </w:r>
      <w:proofErr w:type="spellEnd"/>
      <w:r w:rsidRPr="00E55A08">
        <w:rPr>
          <w:color w:val="auto"/>
          <w:kern w:val="0"/>
          <w:lang w:val="en-US" w:eastAsia="en-US"/>
        </w:rPr>
        <w:t xml:space="preserve"> that LNP performance is governed by a multi-parameter design space involving </w:t>
      </w:r>
      <w:proofErr w:type="spellStart"/>
      <w:r w:rsidRPr="00E55A08">
        <w:rPr>
          <w:color w:val="auto"/>
          <w:kern w:val="0"/>
          <w:lang w:val="en-US" w:eastAsia="en-US"/>
        </w:rPr>
        <w:t>ionisable</w:t>
      </w:r>
      <w:proofErr w:type="spellEnd"/>
      <w:r w:rsidRPr="00E55A08">
        <w:rPr>
          <w:color w:val="auto"/>
          <w:kern w:val="0"/>
          <w:lang w:val="en-US" w:eastAsia="en-US"/>
        </w:rPr>
        <w:t xml:space="preserve"> lipids, helper lipids, cholesterol content, and PEGylation, each of which affects potency, tolerability, and biodistribution (Hou et al., 2021). The novelty here is twofold. First, delivery science has moved from ad hoc formulation towards structured engineering, with increasingly rational approaches to tuning physicochemical properties and biological outcomes. Secondly, the success of LNP-enabled mRNA medicines has made delivery a cross-cutting platform rather than a one-off solution; the same delivery principles are now being extended beyond vaccines to protein replacement, immuno-oncology, and gene editing payloads where transient expression is beneficial.</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However, the platform logic does not eliminate hard problems. Even within LNP systems, tissue targeting beyond the liver and certain immune-accessible sites remains challenging, and inflammatory responses can be context dependent. Moreover, </w:t>
      </w:r>
      <w:proofErr w:type="spellStart"/>
      <w:r w:rsidRPr="00E55A08">
        <w:rPr>
          <w:color w:val="auto"/>
          <w:kern w:val="0"/>
          <w:lang w:val="en-US" w:eastAsia="en-US"/>
        </w:rPr>
        <w:t>industrialisation</w:t>
      </w:r>
      <w:proofErr w:type="spellEnd"/>
      <w:r w:rsidRPr="00E55A08">
        <w:rPr>
          <w:color w:val="auto"/>
          <w:kern w:val="0"/>
          <w:lang w:val="en-US" w:eastAsia="en-US"/>
        </w:rPr>
        <w:t xml:space="preserve"> introduces its own constraints: batch-to-batch consistency, cold-chain logistics, and scalable manufacturing under strict quality requirements. As nucleic-acid medicines grow beyond emergency contexts, their long-term success will depend on </w:t>
      </w:r>
      <w:proofErr w:type="spellStart"/>
      <w:r w:rsidRPr="00E55A08">
        <w:rPr>
          <w:color w:val="auto"/>
          <w:kern w:val="0"/>
          <w:lang w:val="en-US" w:eastAsia="en-US"/>
        </w:rPr>
        <w:t>optimising</w:t>
      </w:r>
      <w:proofErr w:type="spellEnd"/>
      <w:r w:rsidRPr="00E55A08">
        <w:rPr>
          <w:color w:val="auto"/>
          <w:kern w:val="0"/>
          <w:lang w:val="en-US" w:eastAsia="en-US"/>
        </w:rPr>
        <w:t xml:space="preserve"> these translational realities as systematically as the molecular payloads themselves (</w:t>
      </w:r>
      <w:proofErr w:type="spellStart"/>
      <w:r w:rsidRPr="00E55A08">
        <w:rPr>
          <w:color w:val="auto"/>
          <w:kern w:val="0"/>
          <w:lang w:val="en-US" w:eastAsia="en-US"/>
        </w:rPr>
        <w:t>Pardi</w:t>
      </w:r>
      <w:proofErr w:type="spellEnd"/>
      <w:r w:rsidRPr="00E55A08">
        <w:rPr>
          <w:color w:val="auto"/>
          <w:kern w:val="0"/>
          <w:lang w:val="en-US" w:eastAsia="en-US"/>
        </w:rPr>
        <w:t xml:space="preserve"> et al., 2018; Hou et al., 2021).</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9.2. CRISPR-enabled diagnostics as a rapid translational platform</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same programmability that makes CRISPR attractive for editing also underpins its value for diagnostics. CRISPR-based diagnostics exploit guide-directed recognition of nucleic acid targets, translating sequence identity into measurable signals. A major attraction is rapid adaptability: assays can be reconfigured by changing guide sequences, and platforms can be designed so that most components remain constant across new targets. This makes CRISPR diagnostics well suited to emerging pathogens, antimicrobial resistance surveillance, and </w:t>
      </w:r>
      <w:proofErr w:type="spellStart"/>
      <w:r w:rsidRPr="00E55A08">
        <w:rPr>
          <w:color w:val="auto"/>
          <w:kern w:val="0"/>
          <w:lang w:val="en-US" w:eastAsia="en-US"/>
        </w:rPr>
        <w:t>decentralised</w:t>
      </w:r>
      <w:proofErr w:type="spellEnd"/>
      <w:r w:rsidRPr="00E55A08">
        <w:rPr>
          <w:color w:val="auto"/>
          <w:kern w:val="0"/>
          <w:lang w:val="en-US" w:eastAsia="en-US"/>
        </w:rPr>
        <w:t xml:space="preserve"> testing, where speed of assay redesign is a strategic advantage. Reviews in this area outline how different CRISPR enzymes, amplification strategies, and signal readouts can be combined into sensitive diagnostic workflows, and they highlight an expanding ecosystem of assay formats aimed at point-of-care use (Kaminski et al., 2021).</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novelty of CRISPR diagnostics is therefore not only technical sensitivity; it is the decoupling of recognition from reporting. Guide RNAs supply target specificity, while the reporting chemistry can be </w:t>
      </w:r>
      <w:proofErr w:type="spellStart"/>
      <w:r w:rsidRPr="00E55A08">
        <w:rPr>
          <w:color w:val="auto"/>
          <w:kern w:val="0"/>
          <w:lang w:val="en-US" w:eastAsia="en-US"/>
        </w:rPr>
        <w:t>standardised</w:t>
      </w:r>
      <w:proofErr w:type="spellEnd"/>
      <w:r w:rsidRPr="00E55A08">
        <w:rPr>
          <w:color w:val="auto"/>
          <w:kern w:val="0"/>
          <w:lang w:val="en-US" w:eastAsia="en-US"/>
        </w:rPr>
        <w:t xml:space="preserve">. This resembles the platform logic of mRNA medicines, though the endpoint is information rather than therapy. Nonetheless, translation remains constrained by practicalities that dominate real-world diagnostics: sample </w:t>
      </w:r>
      <w:r w:rsidRPr="00E55A08">
        <w:rPr>
          <w:color w:val="auto"/>
          <w:kern w:val="0"/>
          <w:lang w:val="en-US" w:eastAsia="en-US"/>
        </w:rPr>
        <w:lastRenderedPageBreak/>
        <w:t>preparation, contamination control, quantitative accuracy across dynamic ranges, multiplexing without cross-reactivity, and robustness to inhibitors present in clinical or environmental samples. From a biotechnology perspective, these constraints are increasingly driving innovation in integrated workflows, where molecular biology is co-designed with device engineering and user context. The field’s direction suggests that future CRISPR diagnostic platforms will be judged less by elegant biochemistry alone and more by end-to-end usability and reliability (Kaminski et al., 2021).</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9.3. Platform translation as a manufacturing and regulatory strategy</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Rapid platform translation depends on more than scientific adaptability; it relies on manufacturing systems that can change payload sequences without </w:t>
      </w:r>
      <w:proofErr w:type="spellStart"/>
      <w:r w:rsidRPr="00E55A08">
        <w:rPr>
          <w:color w:val="auto"/>
          <w:kern w:val="0"/>
          <w:lang w:val="en-US" w:eastAsia="en-US"/>
        </w:rPr>
        <w:t>destabilising</w:t>
      </w:r>
      <w:proofErr w:type="spellEnd"/>
      <w:r w:rsidRPr="00E55A08">
        <w:rPr>
          <w:color w:val="auto"/>
          <w:kern w:val="0"/>
          <w:lang w:val="en-US" w:eastAsia="en-US"/>
        </w:rPr>
        <w:t xml:space="preserve"> process control. For mRNA, this entails robust template production, in vitro transcription workflows, purification methods that consistently remove impurities, and analytical assays that detect critical quality attributes. The platform ideal is that changes in sequence do not require wholesale re-validation of the process. In reality, sequence changes can affect secondary structure, translation efficiency, and impurity profiles, so platform translation requires careful definition of comparability: which parameters must remain within bounds, and which require renewed testing. Thus, while nucleic-acid medicines accelerate candidate generation, they also elevate the importance of </w:t>
      </w:r>
      <w:proofErr w:type="spellStart"/>
      <w:r w:rsidRPr="00E55A08">
        <w:rPr>
          <w:color w:val="auto"/>
          <w:kern w:val="0"/>
          <w:lang w:val="en-US" w:eastAsia="en-US"/>
        </w:rPr>
        <w:t>standardisation</w:t>
      </w:r>
      <w:proofErr w:type="spellEnd"/>
      <w:r w:rsidRPr="00E55A08">
        <w:rPr>
          <w:color w:val="auto"/>
          <w:kern w:val="0"/>
          <w:lang w:val="en-US" w:eastAsia="en-US"/>
        </w:rPr>
        <w:t xml:space="preserve"> and measurement. In this sense, the “platform” is not just a vector or formulation; it is a quality system that can accommodate variation while maintaining predictable performance (</w:t>
      </w:r>
      <w:proofErr w:type="spellStart"/>
      <w:r w:rsidRPr="00E55A08">
        <w:rPr>
          <w:color w:val="auto"/>
          <w:kern w:val="0"/>
          <w:lang w:val="en-US" w:eastAsia="en-US"/>
        </w:rPr>
        <w:t>Pardi</w:t>
      </w:r>
      <w:proofErr w:type="spellEnd"/>
      <w:r w:rsidRPr="00E55A08">
        <w:rPr>
          <w:color w:val="auto"/>
          <w:kern w:val="0"/>
          <w:lang w:val="en-US" w:eastAsia="en-US"/>
        </w:rPr>
        <w:t xml:space="preserve"> et al., 2018; Hou et al., 2021).</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For CRISPR diagnostics, the analogous issue is </w:t>
      </w:r>
      <w:proofErr w:type="spellStart"/>
      <w:r w:rsidRPr="00E55A08">
        <w:rPr>
          <w:color w:val="auto"/>
          <w:kern w:val="0"/>
          <w:lang w:val="en-US" w:eastAsia="en-US"/>
        </w:rPr>
        <w:t>standardised</w:t>
      </w:r>
      <w:proofErr w:type="spellEnd"/>
      <w:r w:rsidRPr="00E55A08">
        <w:rPr>
          <w:color w:val="auto"/>
          <w:kern w:val="0"/>
          <w:lang w:val="en-US" w:eastAsia="en-US"/>
        </w:rPr>
        <w:t xml:space="preserve"> assay architecture that can be rapidly retargeted. This is most successful when the sample-to-answer workflow is modular, with fixed extraction and amplification steps and a retargetable recognition step. Regulatory readiness similarly depends on demonstrating that modifications do not change performance characteristics in unpredictable ways. The field’s novelty lies in creating assay families that are governed by common performance evidence, rather than isolated tests that each require bespoke development and evaluation (Kaminski et al., 2021).</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9.4. Outlook: towards digital-to-biological deployment</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Taken together, mRNA medicines and CRISPR diagnostics exemplify a broader transition towards digital-to-biological deployment, where sequences can be designed computationally, </w:t>
      </w:r>
      <w:proofErr w:type="spellStart"/>
      <w:r w:rsidRPr="00E55A08">
        <w:rPr>
          <w:color w:val="auto"/>
          <w:kern w:val="0"/>
          <w:lang w:val="en-US" w:eastAsia="en-US"/>
        </w:rPr>
        <w:t>synthesised</w:t>
      </w:r>
      <w:proofErr w:type="spellEnd"/>
      <w:r w:rsidRPr="00E55A08">
        <w:rPr>
          <w:color w:val="auto"/>
          <w:kern w:val="0"/>
          <w:lang w:val="en-US" w:eastAsia="en-US"/>
        </w:rPr>
        <w:t xml:space="preserve"> rapidly, and integrated into established delivery or detection platforms. The promise is not merely speed, but responsiveness: the ability to address evolving threats, </w:t>
      </w:r>
      <w:proofErr w:type="spellStart"/>
      <w:r w:rsidRPr="00E55A08">
        <w:rPr>
          <w:color w:val="auto"/>
          <w:kern w:val="0"/>
          <w:lang w:val="en-US" w:eastAsia="en-US"/>
        </w:rPr>
        <w:t>personalise</w:t>
      </w:r>
      <w:proofErr w:type="spellEnd"/>
      <w:r w:rsidRPr="00E55A08">
        <w:rPr>
          <w:color w:val="auto"/>
          <w:kern w:val="0"/>
          <w:lang w:val="en-US" w:eastAsia="en-US"/>
        </w:rPr>
        <w:t xml:space="preserve"> interventions, or update products with shorter lead times. Yet the success of this model depends on disciplined engineering of delivery, manufacturing, quality control, and distribution. The most important contemporary advances may therefore occur not only in molecular design but also in the less glamorous infrastructure that enables reliable scale. In that respect, nucleic-acid medicines represent both a technical and </w:t>
      </w:r>
      <w:proofErr w:type="spellStart"/>
      <w:r w:rsidRPr="00E55A08">
        <w:rPr>
          <w:color w:val="auto"/>
          <w:kern w:val="0"/>
          <w:lang w:val="en-US" w:eastAsia="en-US"/>
        </w:rPr>
        <w:t>organisational</w:t>
      </w:r>
      <w:proofErr w:type="spellEnd"/>
      <w:r w:rsidRPr="00E55A08">
        <w:rPr>
          <w:color w:val="auto"/>
          <w:kern w:val="0"/>
          <w:lang w:val="en-US" w:eastAsia="en-US"/>
        </w:rPr>
        <w:t xml:space="preserve"> novelty: they encourage biotechnology to build platforms that can be reused, rather than solving each new problem as a wholly new development </w:t>
      </w:r>
      <w:proofErr w:type="spellStart"/>
      <w:r w:rsidRPr="00E55A08">
        <w:rPr>
          <w:color w:val="auto"/>
          <w:kern w:val="0"/>
          <w:lang w:val="en-US" w:eastAsia="en-US"/>
        </w:rPr>
        <w:t>programme</w:t>
      </w:r>
      <w:proofErr w:type="spellEnd"/>
      <w:r w:rsidRPr="00E55A08">
        <w:rPr>
          <w:color w:val="auto"/>
          <w:kern w:val="0"/>
          <w:lang w:val="en-US" w:eastAsia="en-US"/>
        </w:rPr>
        <w:t xml:space="preserve"> (</w:t>
      </w:r>
      <w:proofErr w:type="spellStart"/>
      <w:r w:rsidRPr="00E55A08">
        <w:rPr>
          <w:color w:val="auto"/>
          <w:kern w:val="0"/>
          <w:lang w:val="en-US" w:eastAsia="en-US"/>
        </w:rPr>
        <w:t>Pardi</w:t>
      </w:r>
      <w:proofErr w:type="spellEnd"/>
      <w:r w:rsidRPr="00E55A08">
        <w:rPr>
          <w:color w:val="auto"/>
          <w:kern w:val="0"/>
          <w:lang w:val="en-US" w:eastAsia="en-US"/>
        </w:rPr>
        <w:t xml:space="preserve"> et al., 2018; Hou et al., 2021; Kaminski et al., 2021).</w:t>
      </w:r>
    </w:p>
    <w:p w:rsidR="00E36926" w:rsidRDefault="00E36926" w:rsidP="00E36926"/>
    <w:p w:rsidR="007B68AF" w:rsidRPr="007B68AF" w:rsidRDefault="007B68AF" w:rsidP="007B68AF">
      <w:pPr>
        <w:spacing w:before="100" w:beforeAutospacing="1" w:after="100" w:afterAutospacing="1" w:line="240" w:lineRule="auto"/>
        <w:ind w:left="0" w:right="0" w:firstLine="0"/>
        <w:jc w:val="left"/>
        <w:outlineLvl w:val="1"/>
        <w:rPr>
          <w:b/>
          <w:bCs/>
          <w:color w:val="auto"/>
          <w:kern w:val="0"/>
          <w:sz w:val="36"/>
          <w:szCs w:val="36"/>
          <w:lang w:val="en-US" w:eastAsia="en-US"/>
        </w:rPr>
      </w:pPr>
      <w:r w:rsidRPr="007B68AF">
        <w:rPr>
          <w:b/>
          <w:bCs/>
          <w:color w:val="auto"/>
          <w:kern w:val="0"/>
          <w:sz w:val="36"/>
          <w:szCs w:val="36"/>
          <w:lang w:val="en-US" w:eastAsia="en-US"/>
        </w:rPr>
        <w:t>10. Governance, biosafety, and responsible innovation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lastRenderedPageBreak/>
        <w:t xml:space="preserve">Governance has become an inseparable component of modern biotechnology because the field’s most powerful capabilities are increasingly scalable, portable, and capable of affecting systems beyond the laboratory. Earlier eras of biotechnology certainly raised safety and ethical questions, yet many applications were limited in reach by technical complexity, cost, or dependence on </w:t>
      </w:r>
      <w:proofErr w:type="spellStart"/>
      <w:r w:rsidRPr="007B68AF">
        <w:rPr>
          <w:color w:val="auto"/>
          <w:kern w:val="0"/>
          <w:lang w:val="en-US" w:eastAsia="en-US"/>
        </w:rPr>
        <w:t>specialised</w:t>
      </w:r>
      <w:proofErr w:type="spellEnd"/>
      <w:r w:rsidRPr="007B68AF">
        <w:rPr>
          <w:color w:val="auto"/>
          <w:kern w:val="0"/>
          <w:lang w:val="en-US" w:eastAsia="en-US"/>
        </w:rPr>
        <w:t xml:space="preserve"> infrastructure. Contemporary tools have lowered barriers to designing and deploying interventions, and they can act across multiple biological scales, from molecular edits within a single cell to population-level changes in wild organisms. As a result, governance is no longer well treated as an afterthought applied once a technology is mature. Instead, responsible innovation requires governance to be integrated throughout research and development, shaping which applications are pursued, how risks are evaluated, and how benefits are distributed.</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 central feature of this governance landscape is the dual character of many biotechnologies. The same techniques that can prevent disease, improve food security, or reduce environmental damage can also be used in ways that increase harm, whether through accidents, misaligned incentives, or deliberate misuse. Responsible innovation therefore includes not only biosafety—reducing the likelihood and impact of unintended outcomes—but also broader societal processes, including legitimacy, accountability, transparency, and public engagement. Contemporary debate has increasingly </w:t>
      </w:r>
      <w:proofErr w:type="spellStart"/>
      <w:r w:rsidRPr="007B68AF">
        <w:rPr>
          <w:color w:val="auto"/>
          <w:kern w:val="0"/>
          <w:lang w:val="en-US" w:eastAsia="en-US"/>
        </w:rPr>
        <w:t>recognised</w:t>
      </w:r>
      <w:proofErr w:type="spellEnd"/>
      <w:r w:rsidRPr="007B68AF">
        <w:rPr>
          <w:color w:val="auto"/>
          <w:kern w:val="0"/>
          <w:lang w:val="en-US" w:eastAsia="en-US"/>
        </w:rPr>
        <w:t xml:space="preserve"> that scientific excellence alone is insufficient to justify deployment, particularly when affected communities cannot meaningfully consent or when risks cross borders.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10.1. Germline genome modification and the boundaries of acceptable intervention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One of the most prominent governance challenges concerns germline genome modification, where edits could be heritable and affect future generations. In such contexts, the traditional medical ethics framework of individual informed consent is insufficient, because the individuals most affected by the decision—future descendants—cannot consent. Moreover, germline interventions can raise social concerns around equity, coercion, and the risk of shifting from therapeutic use to enhancement. A widely cited scientific consensus statement argued for caution and for a “prudent path forward”, </w:t>
      </w:r>
      <w:proofErr w:type="spellStart"/>
      <w:r w:rsidRPr="007B68AF">
        <w:rPr>
          <w:color w:val="auto"/>
          <w:kern w:val="0"/>
          <w:lang w:val="en-US" w:eastAsia="en-US"/>
        </w:rPr>
        <w:t>emphasising</w:t>
      </w:r>
      <w:proofErr w:type="spellEnd"/>
      <w:r w:rsidRPr="007B68AF">
        <w:rPr>
          <w:color w:val="auto"/>
          <w:kern w:val="0"/>
          <w:lang w:val="en-US" w:eastAsia="en-US"/>
        </w:rPr>
        <w:t xml:space="preserve"> the need for broad societal discussion and careful consideration before any attempt at clinical germline modification (Baltimore et al., 2015). The significance of such statements is not simply the position they take, but the model of governance they imply: decisions should be based on more than technical feasibility, and they require transparent, inclusive deliberation that </w:t>
      </w:r>
      <w:proofErr w:type="spellStart"/>
      <w:r w:rsidRPr="007B68AF">
        <w:rPr>
          <w:color w:val="auto"/>
          <w:kern w:val="0"/>
          <w:lang w:val="en-US" w:eastAsia="en-US"/>
        </w:rPr>
        <w:t>recognises</w:t>
      </w:r>
      <w:proofErr w:type="spellEnd"/>
      <w:r w:rsidRPr="007B68AF">
        <w:rPr>
          <w:color w:val="auto"/>
          <w:kern w:val="0"/>
          <w:lang w:val="en-US" w:eastAsia="en-US"/>
        </w:rPr>
        <w:t xml:space="preserve"> the ethical and social dimensions of altering human heredity.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From a responsible innovation perspective, germline debates also illustrate how governance must adapt to scientific uncertainty. Even if on-target editing becomes highly accurate, long-term and multigenerational effects are difficult to predict. Furthermore, the meaning of “benefit” can be contested, especially where a trait’s desirability depends on social context. Governance frameworks must therefore account for values and social consequences, not solely technical risk metrics. This suggests that robust governance is not merely restrictive; it can provide a structured way to determine which applications are legitimate, which are premature, and which should be excluded.</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10.2. Gene drives and population-level ecological intervention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lastRenderedPageBreak/>
        <w:t>Gene drives raise a distinct set of governance questions because they are explicitly designed to spread genetic changes through populations. RNA-guided gene drive concepts propose altering or suppressing wild populations, for instance to reduce transmission of vector-borne diseases, but they also introduce complex ecological uncertainties and cross-border implications (</w:t>
      </w:r>
      <w:proofErr w:type="spellStart"/>
      <w:r w:rsidRPr="007B68AF">
        <w:rPr>
          <w:color w:val="auto"/>
          <w:kern w:val="0"/>
          <w:lang w:val="en-US" w:eastAsia="en-US"/>
        </w:rPr>
        <w:t>Esvelt</w:t>
      </w:r>
      <w:proofErr w:type="spellEnd"/>
      <w:r w:rsidRPr="007B68AF">
        <w:rPr>
          <w:color w:val="auto"/>
          <w:kern w:val="0"/>
          <w:lang w:val="en-US" w:eastAsia="en-US"/>
        </w:rPr>
        <w:t xml:space="preserve"> et al., 2014). The novelty here lies in the scale of agency: interventions can move beyond individual organisms and become ecological actions. This challenges conventional regulatory models, which often assume that risks are confined to the deployment setting and that interventions can be recalled or stopped in a straightforward manner.</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Governance for gene drives must contend with irreversibility, or at least with the practical difficulty of reversal once a drive spreads. It also must address the reality that ecosystems are complex and that targeted species can have roles that are not fully understood. Consequently, </w:t>
      </w:r>
      <w:proofErr w:type="spellStart"/>
      <w:r w:rsidRPr="007B68AF">
        <w:rPr>
          <w:color w:val="auto"/>
          <w:kern w:val="0"/>
          <w:lang w:val="en-US" w:eastAsia="en-US"/>
        </w:rPr>
        <w:t>Esvelt</w:t>
      </w:r>
      <w:proofErr w:type="spellEnd"/>
      <w:r w:rsidRPr="007B68AF">
        <w:rPr>
          <w:color w:val="auto"/>
          <w:kern w:val="0"/>
          <w:lang w:val="en-US" w:eastAsia="en-US"/>
        </w:rPr>
        <w:t xml:space="preserve"> et al. (2014) </w:t>
      </w:r>
      <w:proofErr w:type="spellStart"/>
      <w:r w:rsidRPr="007B68AF">
        <w:rPr>
          <w:color w:val="auto"/>
          <w:kern w:val="0"/>
          <w:lang w:val="en-US" w:eastAsia="en-US"/>
        </w:rPr>
        <w:t>emphasised</w:t>
      </w:r>
      <w:proofErr w:type="spellEnd"/>
      <w:r w:rsidRPr="007B68AF">
        <w:rPr>
          <w:color w:val="auto"/>
          <w:kern w:val="0"/>
          <w:lang w:val="en-US" w:eastAsia="en-US"/>
        </w:rPr>
        <w:t xml:space="preserve"> careful consideration of safeguards, transparency, and community engagement. These principles remain foundational because gene drives are inherently public technologies: they can affect communities and environments far beyond the institutions that develop them. Responsible innovation in this space therefore demands governance processes that are international in orientation, attentive to local ecological and cultural contexts, and capable of handling uncertainty without defaulting to either paralysis or reckless deployment.</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10.3. Dual-use risk, safety-by-design, and layered safeguards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 recurring theme in biotechnology governance is dual-use risk: tools intended for beneficial purposes might be adapted to cause harm. This risk has become more salient as biotechnology becomes more accessible and as automation and </w:t>
      </w:r>
      <w:proofErr w:type="spellStart"/>
      <w:r w:rsidRPr="007B68AF">
        <w:rPr>
          <w:color w:val="auto"/>
          <w:kern w:val="0"/>
          <w:lang w:val="en-US" w:eastAsia="en-US"/>
        </w:rPr>
        <w:t>standardised</w:t>
      </w:r>
      <w:proofErr w:type="spellEnd"/>
      <w:r w:rsidRPr="007B68AF">
        <w:rPr>
          <w:color w:val="auto"/>
          <w:kern w:val="0"/>
          <w:lang w:val="en-US" w:eastAsia="en-US"/>
        </w:rPr>
        <w:t xml:space="preserve"> protocols reduce dependence on specialist expertise. Responsible innovation therefore increasingly promotes “safety-by-design”, meaning that protective measures are built into technologies and workflows rather than added late in development. In genome editing, this might include designing systems with limited activity windows, incorporating molecular “off switches”, and using delivery strategies that reduce off-target tissue exposure. In microbial engineering, it might include biocontainment architectures and genetic dependencies that reduce survival outside controlled contexts. Although this section does not introduce new references, the broader logic aligns with the governance principles </w:t>
      </w:r>
      <w:proofErr w:type="spellStart"/>
      <w:r w:rsidRPr="007B68AF">
        <w:rPr>
          <w:color w:val="auto"/>
          <w:kern w:val="0"/>
          <w:lang w:val="en-US" w:eastAsia="en-US"/>
        </w:rPr>
        <w:t>emphasised</w:t>
      </w:r>
      <w:proofErr w:type="spellEnd"/>
      <w:r w:rsidRPr="007B68AF">
        <w:rPr>
          <w:color w:val="auto"/>
          <w:kern w:val="0"/>
          <w:lang w:val="en-US" w:eastAsia="en-US"/>
        </w:rPr>
        <w:t xml:space="preserve"> in both </w:t>
      </w:r>
      <w:proofErr w:type="spellStart"/>
      <w:r w:rsidRPr="007B68AF">
        <w:rPr>
          <w:color w:val="auto"/>
          <w:kern w:val="0"/>
          <w:lang w:val="en-US" w:eastAsia="en-US"/>
        </w:rPr>
        <w:t>germline</w:t>
      </w:r>
      <w:proofErr w:type="spellEnd"/>
      <w:r w:rsidRPr="007B68AF">
        <w:rPr>
          <w:color w:val="auto"/>
          <w:kern w:val="0"/>
          <w:lang w:val="en-US" w:eastAsia="en-US"/>
        </w:rPr>
        <w:t xml:space="preserve"> and gene drive discussions: layered safeguards, transparency, and deliberate pacing.</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In this context, governance is also about institutional practices. Training, oversight committees, audit trails, and clear norms for responsible communication can reduce the likelihood of accidents and mitigate the risk of misuse. Importantly, governance should not be reduced to compliance alone. When governance is treated merely as a bureaucratic hurdle, it can encourage minimal disclosure and box-ticking. By contrast, a responsible innovation stance treats governance as a learning system: incidents, near misses, and emerging evidence should feed back into updated standards, improved training, and revised risk assessments.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10.4. Equity, access, and the social contract of biotechnology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Governance questions also arise from inequity in who benefits from biotechnology. Advanced therapies may be expensive, require </w:t>
      </w:r>
      <w:proofErr w:type="spellStart"/>
      <w:r w:rsidRPr="007B68AF">
        <w:rPr>
          <w:color w:val="auto"/>
          <w:kern w:val="0"/>
          <w:lang w:val="en-US" w:eastAsia="en-US"/>
        </w:rPr>
        <w:t>specialised</w:t>
      </w:r>
      <w:proofErr w:type="spellEnd"/>
      <w:r w:rsidRPr="007B68AF">
        <w:rPr>
          <w:color w:val="auto"/>
          <w:kern w:val="0"/>
          <w:lang w:val="en-US" w:eastAsia="en-US"/>
        </w:rPr>
        <w:t xml:space="preserve"> infrastructure, and be concentrated in wealthy regions. If the benefits of biotechnology accrue primarily to those already advantaged, public trust may erode, and societal legitimacy may weaken even for genuinely </w:t>
      </w:r>
      <w:r w:rsidRPr="007B68AF">
        <w:rPr>
          <w:color w:val="auto"/>
          <w:kern w:val="0"/>
          <w:lang w:val="en-US" w:eastAsia="en-US"/>
        </w:rPr>
        <w:lastRenderedPageBreak/>
        <w:t>beneficial innovations. Germline editing debates are again illustrative: even if safe, such technologies could magnify inequality if they are accessible only to a few. Likewise, gene drives, if deployed, could affect communities that do not share equally in benefits or decision-making. Responsible innovation therefore includes fairness considerations: who participates in governance, who bears risk, and who receives benefit.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The concept of a “prudent path” in germline governance can be interpreted as an attempt to preserve a social contract: biotechnology must proceed in a manner that is publicly accountable and ethically grounded, not simply technologically ambitious (Baltimore et al., 2015). Similarly, the emphasis on transparency and community engagement in gene drive discussions can be seen as recognition that ecological interventions require societal legitimacy, not only scientific endorsement (</w:t>
      </w:r>
      <w:proofErr w:type="spellStart"/>
      <w:r w:rsidRPr="007B68AF">
        <w:rPr>
          <w:color w:val="auto"/>
          <w:kern w:val="0"/>
          <w:lang w:val="en-US" w:eastAsia="en-US"/>
        </w:rPr>
        <w:t>Esvelt</w:t>
      </w:r>
      <w:proofErr w:type="spellEnd"/>
      <w:r w:rsidRPr="007B68AF">
        <w:rPr>
          <w:color w:val="auto"/>
          <w:kern w:val="0"/>
          <w:lang w:val="en-US" w:eastAsia="en-US"/>
        </w:rPr>
        <w:t xml:space="preserve"> et al., 2014). These perspectives converge on a common point: governance is not an external constraint but a core ingredient of sustainable innovation.</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10.5. Towards adaptive and anticipatory governance</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Given the speed of biotechnological change, governance approaches must be adaptive. Static rules can become outdated, and overly rigid frameworks may push research into less transparent settings. Anticipatory governance seeks to identify emerging risks and societal concerns early, enabling norms and safeguards to evolve in parallel with technology. In practice, this implies early-stage ethical reflection, structured stakeholder engagement, and mechanisms for revisiting decisions as evidence accumulates. It also implies fostering a culture in which researchers view responsible innovation as part of scientific professionalism.</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Overall, governance, biosafety, and responsible innovation are best understood as the enabling conditions for biotechnology’s long-term success. The governance frameworks discussed for germline editing and gene drives demonstrate how technical capability must be accompanied by social deliberation, transparency, and safeguards (Baltimore et al., 2015; </w:t>
      </w:r>
      <w:proofErr w:type="spellStart"/>
      <w:r w:rsidRPr="007B68AF">
        <w:rPr>
          <w:color w:val="auto"/>
          <w:kern w:val="0"/>
          <w:lang w:val="en-US" w:eastAsia="en-US"/>
        </w:rPr>
        <w:t>Esvelt</w:t>
      </w:r>
      <w:proofErr w:type="spellEnd"/>
      <w:r w:rsidRPr="007B68AF">
        <w:rPr>
          <w:color w:val="auto"/>
          <w:kern w:val="0"/>
          <w:lang w:val="en-US" w:eastAsia="en-US"/>
        </w:rPr>
        <w:t xml:space="preserve"> et al., 2014). The field’s challenge in the coming decade will be to </w:t>
      </w:r>
      <w:proofErr w:type="spellStart"/>
      <w:r w:rsidRPr="007B68AF">
        <w:rPr>
          <w:color w:val="auto"/>
          <w:kern w:val="0"/>
          <w:lang w:val="en-US" w:eastAsia="en-US"/>
        </w:rPr>
        <w:t>institutionalise</w:t>
      </w:r>
      <w:proofErr w:type="spellEnd"/>
      <w:r w:rsidRPr="007B68AF">
        <w:rPr>
          <w:color w:val="auto"/>
          <w:kern w:val="0"/>
          <w:lang w:val="en-US" w:eastAsia="en-US"/>
        </w:rPr>
        <w:t xml:space="preserve"> these principles in ways that support beneficial innovation while credibly managing risk, uncertainty, and equity.</w:t>
      </w:r>
    </w:p>
    <w:p w:rsidR="00E36926" w:rsidRDefault="00E36926" w:rsidP="00E36926"/>
    <w:p w:rsidR="00E36926" w:rsidRDefault="00E36926" w:rsidP="00963283">
      <w:pPr>
        <w:pStyle w:val="Heading2"/>
      </w:pPr>
      <w:r>
        <w:t xml:space="preserve">11. </w:t>
      </w:r>
      <w:r w:rsidRPr="00963283">
        <w:rPr>
          <w:highlight w:val="yellow"/>
        </w:rPr>
        <w:t>Conclusion</w:t>
      </w:r>
      <w:bookmarkStart w:id="0" w:name="_GoBack"/>
      <w:bookmarkEnd w:id="0"/>
    </w:p>
    <w:p w:rsidR="00E36926" w:rsidRDefault="00E36926" w:rsidP="00E36926">
      <w:pPr>
        <w:pStyle w:val="NormalWeb"/>
      </w:pPr>
      <w:r>
        <w:t xml:space="preserve">Contemporary biotechnology is defined by the convergence of programmability, high-resolution measurement, and iterative engineering workflows. Precision editing modalities have shifted genome engineering towards predictable outcomes, while delivery has emerged as the dominant limiting factor for therapeutic translation. Single-cell, spatial, and long-read methods have redefined biological state and provided the quantitative feedback necessary for design-oriented biology. Synthetic biology is increasingly </w:t>
      </w:r>
      <w:proofErr w:type="spellStart"/>
      <w:r>
        <w:t>operationalised</w:t>
      </w:r>
      <w:proofErr w:type="spellEnd"/>
      <w:r>
        <w:t xml:space="preserve"> through automation, </w:t>
      </w:r>
      <w:proofErr w:type="spellStart"/>
      <w:r>
        <w:t>standardisation</w:t>
      </w:r>
      <w:proofErr w:type="spellEnd"/>
      <w:r>
        <w:t xml:space="preserve">, and scalable manufacturing logic, with cell-free systems offering an alternative pathway for rapid prototyping and </w:t>
      </w:r>
      <w:proofErr w:type="spellStart"/>
      <w:r>
        <w:t>decentralised</w:t>
      </w:r>
      <w:proofErr w:type="spellEnd"/>
      <w:r>
        <w:t xml:space="preserve"> production. Alongside these technical advances, governance and responsible innovation have become intrinsic to the field, particularly where interventions can be heritable, population-scale, or readily repurposed. The next decade is likely to be shaped less by single “hero” technologies and more by integrated </w:t>
      </w:r>
      <w:r>
        <w:lastRenderedPageBreak/>
        <w:t>systems that combine delivery, measurement, computation, and manufacturing into robust, equitable, and safe platforms.</w:t>
      </w:r>
    </w:p>
    <w:p w:rsidR="00E36926" w:rsidRDefault="00E36926" w:rsidP="00EA336F">
      <w:pPr>
        <w:ind w:left="0" w:firstLine="0"/>
      </w:pPr>
    </w:p>
    <w:p w:rsidR="00E36926" w:rsidRDefault="00E36926" w:rsidP="00E36926">
      <w:pPr>
        <w:pStyle w:val="Heading2"/>
      </w:pPr>
      <w:r>
        <w:t xml:space="preserve">References </w:t>
      </w:r>
    </w:p>
    <w:p w:rsidR="00772744" w:rsidRDefault="00772744" w:rsidP="00F03E39">
      <w:pPr>
        <w:pStyle w:val="NormalWeb"/>
        <w:spacing w:before="240" w:beforeAutospacing="0" w:after="240" w:afterAutospacing="0"/>
      </w:pPr>
      <w:proofErr w:type="spellStart"/>
      <w:r>
        <w:t>Akter</w:t>
      </w:r>
      <w:proofErr w:type="spellEnd"/>
      <w:r>
        <w:t xml:space="preserve">, F., &amp; Kumar, S. (2024). </w:t>
      </w:r>
      <w:r>
        <w:rPr>
          <w:rStyle w:val="Emphasis"/>
        </w:rPr>
        <w:t>CRISPR-Cas9: A cutting-edge genome-editing technology with many potential applications</w:t>
      </w:r>
      <w:r>
        <w:t xml:space="preserve">. </w:t>
      </w:r>
      <w:r w:rsidRPr="00F03E39">
        <w:rPr>
          <w:rStyle w:val="Strong"/>
          <w:b w:val="0"/>
        </w:rPr>
        <w:t>Journal of Advances in Biology &amp; Biotechnology, 27</w:t>
      </w:r>
      <w:r>
        <w:t xml:space="preserve">(11), 59–73. </w:t>
      </w:r>
      <w:hyperlink r:id="rId8" w:tgtFrame="_new" w:history="1">
        <w:r>
          <w:rPr>
            <w:rStyle w:val="Hyperlink"/>
          </w:rPr>
          <w:t>https://doi.org/10.9734/jabb/2024/v27i111591</w:t>
        </w:r>
      </w:hyperlink>
    </w:p>
    <w:p w:rsidR="00772744" w:rsidRDefault="00772744" w:rsidP="00F03E39">
      <w:pPr>
        <w:pStyle w:val="NormalWeb"/>
        <w:spacing w:before="240" w:beforeAutospacing="0" w:after="240" w:afterAutospacing="0"/>
      </w:pPr>
      <w:r>
        <w:t xml:space="preserve">Anzalone, A. V., Randolph, P. B., Davis, J. R., Sousa, A. A., </w:t>
      </w:r>
      <w:proofErr w:type="spellStart"/>
      <w:r>
        <w:t>Koblan</w:t>
      </w:r>
      <w:proofErr w:type="spellEnd"/>
      <w:r>
        <w:t xml:space="preserve">, L. W., Levy, J. M., Chen, P. J., Wilson, C., Newby, G. A., </w:t>
      </w:r>
      <w:proofErr w:type="spellStart"/>
      <w:r>
        <w:t>Raguram</w:t>
      </w:r>
      <w:proofErr w:type="spellEnd"/>
      <w:r>
        <w:t xml:space="preserve">, A., &amp; Liu, D. R. (2019). Search-and-replace genome editing without double-strand breaks or donor DNA. </w:t>
      </w:r>
      <w:r>
        <w:rPr>
          <w:rStyle w:val="Emphasis"/>
        </w:rPr>
        <w:t>Nature, 576</w:t>
      </w:r>
      <w:r>
        <w:t xml:space="preserve">(7785), 149–157. </w:t>
      </w:r>
      <w:hyperlink r:id="rId9" w:tgtFrame="_new" w:history="1">
        <w:r>
          <w:rPr>
            <w:rStyle w:val="Hyperlink"/>
          </w:rPr>
          <w:t>https://doi.org/10.1038/s41586-019-1711-4</w:t>
        </w:r>
      </w:hyperlink>
    </w:p>
    <w:p w:rsidR="00772744" w:rsidRDefault="00772744" w:rsidP="00E36926">
      <w:pPr>
        <w:pStyle w:val="NormalWeb"/>
      </w:pPr>
      <w:r>
        <w:t xml:space="preserve">Baltimore, D., Berg, P., </w:t>
      </w:r>
      <w:proofErr w:type="spellStart"/>
      <w:r>
        <w:t>Botchan</w:t>
      </w:r>
      <w:proofErr w:type="spellEnd"/>
      <w:r>
        <w:t xml:space="preserve">, M., Carroll, D., </w:t>
      </w:r>
      <w:proofErr w:type="spellStart"/>
      <w:r>
        <w:t>Charo</w:t>
      </w:r>
      <w:proofErr w:type="spellEnd"/>
      <w:r>
        <w:t xml:space="preserve">, R. A., Church, G., Corn, J. E., Daley, G. Q., </w:t>
      </w:r>
      <w:proofErr w:type="spellStart"/>
      <w:r>
        <w:t>Doudna</w:t>
      </w:r>
      <w:proofErr w:type="spellEnd"/>
      <w:r>
        <w:t xml:space="preserve">, J. A., </w:t>
      </w:r>
      <w:proofErr w:type="spellStart"/>
      <w:r>
        <w:t>Fenner</w:t>
      </w:r>
      <w:proofErr w:type="spellEnd"/>
      <w:r>
        <w:t xml:space="preserve">, M., Greely, H. T., </w:t>
      </w:r>
      <w:proofErr w:type="spellStart"/>
      <w:r>
        <w:t>Jinek</w:t>
      </w:r>
      <w:proofErr w:type="spellEnd"/>
      <w:r>
        <w:t xml:space="preserve">, M., Martin, G. S., </w:t>
      </w:r>
      <w:proofErr w:type="spellStart"/>
      <w:r>
        <w:t>Penhoet</w:t>
      </w:r>
      <w:proofErr w:type="spellEnd"/>
      <w:r>
        <w:t xml:space="preserve">, E., Puck, J., Sternberg, S. H., Weissman, J. S., &amp; Yamamoto, K. R. (2015). A prudent path forward for genomic engineering and germline gene modification. </w:t>
      </w:r>
      <w:r>
        <w:rPr>
          <w:rStyle w:val="Emphasis"/>
        </w:rPr>
        <w:t>Science, 348</w:t>
      </w:r>
      <w:r>
        <w:t xml:space="preserve">(6230), 36–38. </w:t>
      </w:r>
      <w:hyperlink r:id="rId10" w:history="1">
        <w:r w:rsidRPr="00BB1903">
          <w:rPr>
            <w:rStyle w:val="Hyperlink"/>
          </w:rPr>
          <w:t>https://doi.org/10.1126/science.aab1028</w:t>
        </w:r>
      </w:hyperlink>
      <w:r>
        <w:t xml:space="preserve"> </w:t>
      </w:r>
    </w:p>
    <w:p w:rsidR="00772744" w:rsidRDefault="00772744" w:rsidP="00E36926">
      <w:pPr>
        <w:pStyle w:val="NormalWeb"/>
      </w:pPr>
      <w:proofErr w:type="spellStart"/>
      <w:r>
        <w:t>Citorik</w:t>
      </w:r>
      <w:proofErr w:type="spellEnd"/>
      <w:r>
        <w:t xml:space="preserve">, R. J., </w:t>
      </w:r>
      <w:proofErr w:type="spellStart"/>
      <w:r>
        <w:t>Mimee</w:t>
      </w:r>
      <w:proofErr w:type="spellEnd"/>
      <w:r>
        <w:t xml:space="preserve">, M., &amp; Lu, T. K. (2014). Sequence-specific antimicrobials using efficiently delivered RNA-guided nucleases. </w:t>
      </w:r>
      <w:r>
        <w:rPr>
          <w:rStyle w:val="Emphasis"/>
        </w:rPr>
        <w:t>Nature Biotechnology, 32</w:t>
      </w:r>
      <w:r>
        <w:t xml:space="preserve">(11), 1141–1145. </w:t>
      </w:r>
      <w:hyperlink r:id="rId11" w:history="1">
        <w:r w:rsidRPr="00BB1903">
          <w:rPr>
            <w:rStyle w:val="Hyperlink"/>
          </w:rPr>
          <w:t>https://doi.org/10.1038/nbt.3011</w:t>
        </w:r>
      </w:hyperlink>
      <w:r>
        <w:t xml:space="preserve"> </w:t>
      </w:r>
    </w:p>
    <w:p w:rsidR="00772744" w:rsidRDefault="00772744" w:rsidP="00E36926">
      <w:pPr>
        <w:pStyle w:val="NormalWeb"/>
      </w:pPr>
      <w:r>
        <w:t xml:space="preserve">Cox, D. B. T., </w:t>
      </w:r>
      <w:proofErr w:type="spellStart"/>
      <w:r>
        <w:t>Gootenberg</w:t>
      </w:r>
      <w:proofErr w:type="spellEnd"/>
      <w:r>
        <w:t xml:space="preserve">, J. S., </w:t>
      </w:r>
      <w:proofErr w:type="spellStart"/>
      <w:r>
        <w:t>Abudayyeh</w:t>
      </w:r>
      <w:proofErr w:type="spellEnd"/>
      <w:r>
        <w:t xml:space="preserve">, O. O., Franklin, B., Kellner, M. J., </w:t>
      </w:r>
      <w:proofErr w:type="spellStart"/>
      <w:r>
        <w:t>Joung</w:t>
      </w:r>
      <w:proofErr w:type="spellEnd"/>
      <w:r>
        <w:t xml:space="preserve">, J., &amp; Zhang, F. (2017). RNA editing with CRISPR-Cas13. </w:t>
      </w:r>
      <w:r>
        <w:rPr>
          <w:rStyle w:val="Emphasis"/>
        </w:rPr>
        <w:t>Science, 358</w:t>
      </w:r>
      <w:r>
        <w:t xml:space="preserve">(6366), 1019–1027. </w:t>
      </w:r>
      <w:hyperlink r:id="rId12" w:tgtFrame="_new" w:history="1">
        <w:r>
          <w:rPr>
            <w:rStyle w:val="Hyperlink"/>
          </w:rPr>
          <w:t>https://doi.org/10.1126/science.aaq0180</w:t>
        </w:r>
      </w:hyperlink>
    </w:p>
    <w:p w:rsidR="00772744" w:rsidRDefault="00772744" w:rsidP="00E36926">
      <w:pPr>
        <w:pStyle w:val="NormalWeb"/>
      </w:pPr>
      <w:r>
        <w:t xml:space="preserve">Cubillos-Ruiz, A., Guo, T., </w:t>
      </w:r>
      <w:proofErr w:type="spellStart"/>
      <w:r>
        <w:t>Sokolovska</w:t>
      </w:r>
      <w:proofErr w:type="spellEnd"/>
      <w:r>
        <w:t xml:space="preserve">, A., Miller, P. F., Collins, J. J., Lu, T. K., &amp; Lora, J. M. (2021). Engineering living therapeutics with synthetic biology. </w:t>
      </w:r>
      <w:r>
        <w:rPr>
          <w:rStyle w:val="Emphasis"/>
        </w:rPr>
        <w:t>Nature Reviews Drug Discovery, 20</w:t>
      </w:r>
      <w:r>
        <w:t xml:space="preserve">(12), 941–960. </w:t>
      </w:r>
      <w:hyperlink r:id="rId13" w:history="1">
        <w:r w:rsidRPr="00BB1903">
          <w:rPr>
            <w:rStyle w:val="Hyperlink"/>
          </w:rPr>
          <w:t>https://doi.org/10.1038/s41573-021-00285-3</w:t>
        </w:r>
      </w:hyperlink>
      <w:r>
        <w:t xml:space="preserve"> </w:t>
      </w:r>
    </w:p>
    <w:p w:rsidR="00772744" w:rsidRDefault="00772744" w:rsidP="00E36926">
      <w:pPr>
        <w:pStyle w:val="NormalWeb"/>
      </w:pPr>
      <w:proofErr w:type="spellStart"/>
      <w:r>
        <w:t>Esvelt</w:t>
      </w:r>
      <w:proofErr w:type="spellEnd"/>
      <w:r>
        <w:t xml:space="preserve">, K. M., </w:t>
      </w:r>
      <w:proofErr w:type="spellStart"/>
      <w:r>
        <w:t>Smidler</w:t>
      </w:r>
      <w:proofErr w:type="spellEnd"/>
      <w:r>
        <w:t xml:space="preserve">, A. L., </w:t>
      </w:r>
      <w:proofErr w:type="spellStart"/>
      <w:r>
        <w:t>Catteruccia</w:t>
      </w:r>
      <w:proofErr w:type="spellEnd"/>
      <w:r>
        <w:t xml:space="preserve">, F., &amp; Church, G. M. (2014). Concerning RNA-guided gene drives for the alteration of wild populations. </w:t>
      </w:r>
      <w:proofErr w:type="spellStart"/>
      <w:r>
        <w:rPr>
          <w:rStyle w:val="Emphasis"/>
        </w:rPr>
        <w:t>eLife</w:t>
      </w:r>
      <w:proofErr w:type="spellEnd"/>
      <w:r>
        <w:rPr>
          <w:rStyle w:val="Emphasis"/>
        </w:rPr>
        <w:t>, 3</w:t>
      </w:r>
      <w:r>
        <w:t xml:space="preserve">, e03401. </w:t>
      </w:r>
      <w:hyperlink r:id="rId14" w:history="1">
        <w:r w:rsidRPr="00BB1903">
          <w:rPr>
            <w:rStyle w:val="Hyperlink"/>
          </w:rPr>
          <w:t>https://doi.org/10.7554/eLife.03401</w:t>
        </w:r>
      </w:hyperlink>
      <w:r>
        <w:t xml:space="preserve"> </w:t>
      </w:r>
    </w:p>
    <w:p w:rsidR="00772744" w:rsidRDefault="00772744" w:rsidP="00E36926">
      <w:pPr>
        <w:pStyle w:val="NormalWeb"/>
      </w:pPr>
      <w:proofErr w:type="spellStart"/>
      <w:r>
        <w:t>Gaudelli</w:t>
      </w:r>
      <w:proofErr w:type="spellEnd"/>
      <w:r>
        <w:t xml:space="preserve">, N. M., </w:t>
      </w:r>
      <w:proofErr w:type="spellStart"/>
      <w:r>
        <w:t>Komor</w:t>
      </w:r>
      <w:proofErr w:type="spellEnd"/>
      <w:r>
        <w:t xml:space="preserve">, A. C., Rees, H. A., Packer, M. S., </w:t>
      </w:r>
      <w:proofErr w:type="spellStart"/>
      <w:r>
        <w:t>Badran</w:t>
      </w:r>
      <w:proofErr w:type="spellEnd"/>
      <w:r>
        <w:t xml:space="preserve">, A. H., Bryson, D. I., &amp; Liu, D. R. (2017). Programmable base editing of A•T to G•C in genomic DNA without DNA cleavage. </w:t>
      </w:r>
      <w:r>
        <w:rPr>
          <w:rStyle w:val="Emphasis"/>
        </w:rPr>
        <w:t>Nature, 551</w:t>
      </w:r>
      <w:r>
        <w:t xml:space="preserve">(7681), 464–471. </w:t>
      </w:r>
      <w:hyperlink r:id="rId15" w:tgtFrame="_new" w:history="1">
        <w:r>
          <w:rPr>
            <w:rStyle w:val="Hyperlink"/>
          </w:rPr>
          <w:t>https://doi.org/10.1038/nature24644</w:t>
        </w:r>
      </w:hyperlink>
    </w:p>
    <w:p w:rsidR="00772744" w:rsidRDefault="00772744" w:rsidP="00E36926">
      <w:pPr>
        <w:pStyle w:val="NormalWeb"/>
      </w:pPr>
      <w:r>
        <w:t xml:space="preserve">Gibson, D. G., Young, L., Chuang, R.-Y., Venter, J. C., Hutchison, C. A., III, &amp; Smith, H. O. (2009). Enzymatic assembly of DNA molecules up to several hundred kilobases. </w:t>
      </w:r>
      <w:r>
        <w:rPr>
          <w:rStyle w:val="Emphasis"/>
        </w:rPr>
        <w:t>Nature Methods, 6</w:t>
      </w:r>
      <w:r>
        <w:t xml:space="preserve">(5), 343–345. </w:t>
      </w:r>
      <w:hyperlink r:id="rId16" w:history="1">
        <w:r w:rsidRPr="00BB1903">
          <w:rPr>
            <w:rStyle w:val="Hyperlink"/>
          </w:rPr>
          <w:t>https://doi.org/10.1038/nmeth.1318</w:t>
        </w:r>
      </w:hyperlink>
      <w:r>
        <w:t xml:space="preserve"> </w:t>
      </w:r>
    </w:p>
    <w:p w:rsidR="00772744" w:rsidRDefault="00772744" w:rsidP="00E36926">
      <w:pPr>
        <w:pStyle w:val="NormalWeb"/>
      </w:pPr>
      <w:r>
        <w:t xml:space="preserve">Hou, X., </w:t>
      </w:r>
      <w:proofErr w:type="spellStart"/>
      <w:r>
        <w:t>Zaks</w:t>
      </w:r>
      <w:proofErr w:type="spellEnd"/>
      <w:r>
        <w:t xml:space="preserve">, T., Langer, R., &amp; Dong, Y. (2021). Lipid nanoparticles for mRNA delivery. </w:t>
      </w:r>
      <w:r>
        <w:rPr>
          <w:rStyle w:val="Emphasis"/>
        </w:rPr>
        <w:t>Nature Reviews Materials, 6</w:t>
      </w:r>
      <w:r>
        <w:t xml:space="preserve">(12), 1078–1094. </w:t>
      </w:r>
      <w:hyperlink r:id="rId17" w:tgtFrame="_new" w:history="1">
        <w:r>
          <w:rPr>
            <w:rStyle w:val="Hyperlink"/>
          </w:rPr>
          <w:t>https://doi.org/10.1038/s41578-021-00358-0</w:t>
        </w:r>
      </w:hyperlink>
    </w:p>
    <w:p w:rsidR="00772744" w:rsidRDefault="00772744" w:rsidP="00E36926">
      <w:pPr>
        <w:pStyle w:val="NormalWeb"/>
      </w:pPr>
      <w:r>
        <w:lastRenderedPageBreak/>
        <w:t xml:space="preserve">Hsu, P. D., Lander, E. S., &amp; Zhang, F. (2014). Development and applications of CRISPR-Cas9 for genome engineering. </w:t>
      </w:r>
      <w:r>
        <w:rPr>
          <w:rStyle w:val="Emphasis"/>
        </w:rPr>
        <w:t>Cell, 157</w:t>
      </w:r>
      <w:r>
        <w:t xml:space="preserve">(6), 1262–1278. </w:t>
      </w:r>
      <w:hyperlink r:id="rId18" w:tgtFrame="_new" w:history="1">
        <w:r>
          <w:rPr>
            <w:rStyle w:val="Hyperlink"/>
          </w:rPr>
          <w:t>https://doi.org/10.1016/j.cell.2014.05.010</w:t>
        </w:r>
      </w:hyperlink>
    </w:p>
    <w:p w:rsidR="00772744" w:rsidRDefault="00772744" w:rsidP="00E36926">
      <w:pPr>
        <w:pStyle w:val="NormalWeb"/>
      </w:pPr>
      <w:proofErr w:type="spellStart"/>
      <w:r>
        <w:t>Jinek</w:t>
      </w:r>
      <w:proofErr w:type="spellEnd"/>
      <w:r>
        <w:t xml:space="preserve">, M., </w:t>
      </w:r>
      <w:proofErr w:type="spellStart"/>
      <w:r>
        <w:t>Chylinski</w:t>
      </w:r>
      <w:proofErr w:type="spellEnd"/>
      <w:r>
        <w:t xml:space="preserve">, K., Fonfara, I., Hauer, M., </w:t>
      </w:r>
      <w:proofErr w:type="spellStart"/>
      <w:r>
        <w:t>Doudna</w:t>
      </w:r>
      <w:proofErr w:type="spellEnd"/>
      <w:r>
        <w:t xml:space="preserve">, J. A., &amp; Charpentier, E. (2012). A programmable dual-RNA-guided DNA endonuclease in adaptive bacterial immunity. </w:t>
      </w:r>
      <w:r>
        <w:rPr>
          <w:rStyle w:val="Emphasis"/>
        </w:rPr>
        <w:t>Science, 337</w:t>
      </w:r>
      <w:r>
        <w:t xml:space="preserve">(6096), 816–821. </w:t>
      </w:r>
      <w:hyperlink r:id="rId19" w:tgtFrame="_new" w:history="1">
        <w:r>
          <w:rPr>
            <w:rStyle w:val="Hyperlink"/>
          </w:rPr>
          <w:t>https://doi.org/10.1126/science.1225829</w:t>
        </w:r>
      </w:hyperlink>
    </w:p>
    <w:p w:rsidR="00772744" w:rsidRDefault="00772744" w:rsidP="00E36926">
      <w:pPr>
        <w:pStyle w:val="NormalWeb"/>
      </w:pPr>
      <w:r>
        <w:t xml:space="preserve">June, C. H., O’Connor, R. S., </w:t>
      </w:r>
      <w:proofErr w:type="spellStart"/>
      <w:r>
        <w:t>Kawalekar</w:t>
      </w:r>
      <w:proofErr w:type="spellEnd"/>
      <w:r>
        <w:t xml:space="preserve">, O. U., </w:t>
      </w:r>
      <w:proofErr w:type="spellStart"/>
      <w:r>
        <w:t>Ghassemi</w:t>
      </w:r>
      <w:proofErr w:type="spellEnd"/>
      <w:r>
        <w:t xml:space="preserve">, S., &amp; </w:t>
      </w:r>
      <w:proofErr w:type="spellStart"/>
      <w:r>
        <w:t>Milone</w:t>
      </w:r>
      <w:proofErr w:type="spellEnd"/>
      <w:r>
        <w:t xml:space="preserve">, M. C. (2018). CAR T cell immunotherapy for human cancer. </w:t>
      </w:r>
      <w:r>
        <w:rPr>
          <w:rStyle w:val="Emphasis"/>
        </w:rPr>
        <w:t>Science, 359</w:t>
      </w:r>
      <w:r>
        <w:t xml:space="preserve">(6382), 1361–1365. </w:t>
      </w:r>
      <w:hyperlink r:id="rId20" w:tgtFrame="_new" w:history="1">
        <w:r>
          <w:rPr>
            <w:rStyle w:val="Hyperlink"/>
          </w:rPr>
          <w:t>https://doi.org/10.1126/science.aar6711</w:t>
        </w:r>
      </w:hyperlink>
    </w:p>
    <w:p w:rsidR="00772744" w:rsidRDefault="00772744" w:rsidP="00E36926">
      <w:pPr>
        <w:pStyle w:val="NormalWeb"/>
      </w:pPr>
      <w:r>
        <w:t xml:space="preserve">Kaminski, M. M., </w:t>
      </w:r>
      <w:proofErr w:type="spellStart"/>
      <w:r>
        <w:t>Abudayyeh</w:t>
      </w:r>
      <w:proofErr w:type="spellEnd"/>
      <w:r>
        <w:t xml:space="preserve">, O. O., </w:t>
      </w:r>
      <w:proofErr w:type="spellStart"/>
      <w:r>
        <w:t>Gootenberg</w:t>
      </w:r>
      <w:proofErr w:type="spellEnd"/>
      <w:r>
        <w:t xml:space="preserve">, J. S., Zhang, F., &amp; Collins, J. J. (2021). CRISPR-based diagnostics. </w:t>
      </w:r>
      <w:r>
        <w:rPr>
          <w:rStyle w:val="Emphasis"/>
        </w:rPr>
        <w:t>Nature Biomedical Engineering, 5</w:t>
      </w:r>
      <w:r>
        <w:t xml:space="preserve">(7), 643–656. </w:t>
      </w:r>
      <w:hyperlink r:id="rId21" w:tgtFrame="_new" w:history="1">
        <w:r>
          <w:rPr>
            <w:rStyle w:val="Hyperlink"/>
          </w:rPr>
          <w:t>https://doi.org/10.1038/s41551-021-00760-7</w:t>
        </w:r>
      </w:hyperlink>
    </w:p>
    <w:p w:rsidR="00772744" w:rsidRDefault="00772744" w:rsidP="00E36926">
      <w:pPr>
        <w:pStyle w:val="NormalWeb"/>
      </w:pPr>
      <w:proofErr w:type="spellStart"/>
      <w:r>
        <w:t>Keasling</w:t>
      </w:r>
      <w:proofErr w:type="spellEnd"/>
      <w:r>
        <w:t xml:space="preserve">, J. D. (2010). Manufacturing molecules through metabolic engineering. </w:t>
      </w:r>
      <w:r>
        <w:rPr>
          <w:rStyle w:val="Emphasis"/>
        </w:rPr>
        <w:t>Science, 330</w:t>
      </w:r>
      <w:r>
        <w:t xml:space="preserve">(6009), 1355–1358. </w:t>
      </w:r>
      <w:hyperlink r:id="rId22" w:history="1">
        <w:r w:rsidRPr="00BB1903">
          <w:rPr>
            <w:rStyle w:val="Hyperlink"/>
          </w:rPr>
          <w:t>https://doi.org/10.1126/science.1193990</w:t>
        </w:r>
      </w:hyperlink>
      <w:r>
        <w:t xml:space="preserve"> </w:t>
      </w:r>
    </w:p>
    <w:p w:rsidR="00772744" w:rsidRDefault="00772744" w:rsidP="00E36926">
      <w:pPr>
        <w:pStyle w:val="NormalWeb"/>
      </w:pPr>
      <w:proofErr w:type="spellStart"/>
      <w:r>
        <w:t>Komor</w:t>
      </w:r>
      <w:proofErr w:type="spellEnd"/>
      <w:r>
        <w:t xml:space="preserve">, A. C., Kim, Y. B., Packer, M. S., </w:t>
      </w:r>
      <w:proofErr w:type="spellStart"/>
      <w:r>
        <w:t>Zuris</w:t>
      </w:r>
      <w:proofErr w:type="spellEnd"/>
      <w:r>
        <w:t xml:space="preserve">, J. A., &amp; Liu, D. R. (2016). Programmable editing of a target base in genomic DNA without double-stranded DNA cleavage. </w:t>
      </w:r>
      <w:r>
        <w:rPr>
          <w:rStyle w:val="Emphasis"/>
        </w:rPr>
        <w:t>Nature, 533</w:t>
      </w:r>
      <w:r>
        <w:t xml:space="preserve">(7603), 420–424. </w:t>
      </w:r>
      <w:hyperlink r:id="rId23" w:history="1">
        <w:r w:rsidRPr="00BB1903">
          <w:rPr>
            <w:rStyle w:val="Hyperlink"/>
          </w:rPr>
          <w:t>https://doi.org/10.1038/nature17946</w:t>
        </w:r>
      </w:hyperlink>
      <w:r>
        <w:t xml:space="preserve"> </w:t>
      </w:r>
    </w:p>
    <w:p w:rsidR="00772744" w:rsidRDefault="00772744" w:rsidP="00E36926">
      <w:pPr>
        <w:pStyle w:val="NormalWeb"/>
      </w:pPr>
      <w:r>
        <w:t xml:space="preserve">Lancaster, M. A., &amp; </w:t>
      </w:r>
      <w:proofErr w:type="spellStart"/>
      <w:r>
        <w:t>Knoblich</w:t>
      </w:r>
      <w:proofErr w:type="spellEnd"/>
      <w:r>
        <w:t xml:space="preserve">, J. A. (2014). Organogenesis in a dish: Modeling development and disease using organoid technologies. </w:t>
      </w:r>
      <w:r>
        <w:rPr>
          <w:rStyle w:val="Emphasis"/>
        </w:rPr>
        <w:t>Science, 345</w:t>
      </w:r>
      <w:r>
        <w:t xml:space="preserve">(6194), 1247125. </w:t>
      </w:r>
      <w:hyperlink r:id="rId24" w:history="1">
        <w:r w:rsidRPr="00BB1903">
          <w:rPr>
            <w:rStyle w:val="Hyperlink"/>
          </w:rPr>
          <w:t>https://doi.org/10.1126/science.1247125</w:t>
        </w:r>
      </w:hyperlink>
      <w:r>
        <w:t xml:space="preserve"> </w:t>
      </w:r>
    </w:p>
    <w:p w:rsidR="00772744" w:rsidRDefault="00772744" w:rsidP="00E36926">
      <w:pPr>
        <w:pStyle w:val="NormalWeb"/>
      </w:pPr>
      <w:r>
        <w:t xml:space="preserve">Logsdon, G. A., </w:t>
      </w:r>
      <w:proofErr w:type="spellStart"/>
      <w:r>
        <w:t>Vollger</w:t>
      </w:r>
      <w:proofErr w:type="spellEnd"/>
      <w:r>
        <w:t xml:space="preserve">, M. R., &amp; Eichler, E. E. (2020). Long-read human genome sequencing and its applications. </w:t>
      </w:r>
      <w:r>
        <w:rPr>
          <w:rStyle w:val="Emphasis"/>
        </w:rPr>
        <w:t>Nature Reviews Genetics, 21</w:t>
      </w:r>
      <w:r>
        <w:t xml:space="preserve">(10), 597–614. </w:t>
      </w:r>
      <w:hyperlink r:id="rId25" w:history="1">
        <w:r w:rsidRPr="00BB1903">
          <w:rPr>
            <w:rStyle w:val="Hyperlink"/>
          </w:rPr>
          <w:t>https://doi.org/10.1038/s41576-020-0236-x</w:t>
        </w:r>
      </w:hyperlink>
      <w:r>
        <w:t xml:space="preserve"> </w:t>
      </w:r>
    </w:p>
    <w:p w:rsidR="00772744" w:rsidRDefault="00772744" w:rsidP="00E36926">
      <w:pPr>
        <w:pStyle w:val="NormalWeb"/>
      </w:pPr>
      <w:proofErr w:type="spellStart"/>
      <w:r>
        <w:t>Macosko</w:t>
      </w:r>
      <w:proofErr w:type="spellEnd"/>
      <w:r>
        <w:t xml:space="preserve">, E. Z., </w:t>
      </w:r>
      <w:proofErr w:type="spellStart"/>
      <w:r>
        <w:t>Basu</w:t>
      </w:r>
      <w:proofErr w:type="spellEnd"/>
      <w:r>
        <w:t xml:space="preserve">, A., </w:t>
      </w:r>
      <w:proofErr w:type="spellStart"/>
      <w:r>
        <w:t>Satija</w:t>
      </w:r>
      <w:proofErr w:type="spellEnd"/>
      <w:r>
        <w:t xml:space="preserve">, R., </w:t>
      </w:r>
      <w:proofErr w:type="spellStart"/>
      <w:r>
        <w:t>Nemesh</w:t>
      </w:r>
      <w:proofErr w:type="spellEnd"/>
      <w:r>
        <w:t xml:space="preserve">, J., Shekhar, K., Goldman, M., </w:t>
      </w:r>
      <w:proofErr w:type="spellStart"/>
      <w:r>
        <w:t>Tirosh</w:t>
      </w:r>
      <w:proofErr w:type="spellEnd"/>
      <w:r>
        <w:t xml:space="preserve">, I., </w:t>
      </w:r>
      <w:proofErr w:type="spellStart"/>
      <w:r>
        <w:t>Bialas</w:t>
      </w:r>
      <w:proofErr w:type="spellEnd"/>
      <w:r>
        <w:t xml:space="preserve">, A. R., </w:t>
      </w:r>
      <w:proofErr w:type="spellStart"/>
      <w:r>
        <w:t>Kamitaki</w:t>
      </w:r>
      <w:proofErr w:type="spellEnd"/>
      <w:r>
        <w:t xml:space="preserve">, N., </w:t>
      </w:r>
      <w:proofErr w:type="spellStart"/>
      <w:r>
        <w:t>Martersteck</w:t>
      </w:r>
      <w:proofErr w:type="spellEnd"/>
      <w:r>
        <w:t xml:space="preserve">, E. M., </w:t>
      </w:r>
      <w:proofErr w:type="spellStart"/>
      <w:r>
        <w:t>Trombetta</w:t>
      </w:r>
      <w:proofErr w:type="spellEnd"/>
      <w:r>
        <w:t xml:space="preserve">, J. J., Weitz, D. A., </w:t>
      </w:r>
      <w:proofErr w:type="spellStart"/>
      <w:r>
        <w:t>Sanes</w:t>
      </w:r>
      <w:proofErr w:type="spellEnd"/>
      <w:r>
        <w:t xml:space="preserve">, J. R., </w:t>
      </w:r>
      <w:proofErr w:type="spellStart"/>
      <w:r>
        <w:t>Shalek</w:t>
      </w:r>
      <w:proofErr w:type="spellEnd"/>
      <w:r>
        <w:t xml:space="preserve">, A. K., Regev, A., &amp; </w:t>
      </w:r>
      <w:proofErr w:type="spellStart"/>
      <w:r>
        <w:t>McCarroll</w:t>
      </w:r>
      <w:proofErr w:type="spellEnd"/>
      <w:r>
        <w:t xml:space="preserve">, S. A. (2015). Highly parallel genome-wide expression profiling of individual cells using nanoliter droplets. </w:t>
      </w:r>
      <w:r>
        <w:rPr>
          <w:rStyle w:val="Emphasis"/>
        </w:rPr>
        <w:t>Cell, 161</w:t>
      </w:r>
      <w:r>
        <w:t xml:space="preserve">(5), 1202–1214. </w:t>
      </w:r>
      <w:hyperlink r:id="rId26" w:history="1">
        <w:r w:rsidRPr="00BB1903">
          <w:rPr>
            <w:rStyle w:val="Hyperlink"/>
          </w:rPr>
          <w:t>https://doi.org/10.1016/j.cell.2015.05.002</w:t>
        </w:r>
      </w:hyperlink>
      <w:r>
        <w:t xml:space="preserve"> </w:t>
      </w:r>
    </w:p>
    <w:p w:rsidR="00772744" w:rsidRDefault="00772744" w:rsidP="00E36926">
      <w:pPr>
        <w:pStyle w:val="NormalWeb"/>
      </w:pPr>
      <w:proofErr w:type="spellStart"/>
      <w:r>
        <w:t>Naldini</w:t>
      </w:r>
      <w:proofErr w:type="spellEnd"/>
      <w:r>
        <w:t xml:space="preserve">, L. (2015). Gene therapy returns to </w:t>
      </w:r>
      <w:proofErr w:type="spellStart"/>
      <w:r>
        <w:t>centre</w:t>
      </w:r>
      <w:proofErr w:type="spellEnd"/>
      <w:r>
        <w:t xml:space="preserve"> stage. </w:t>
      </w:r>
      <w:r>
        <w:rPr>
          <w:rStyle w:val="Emphasis"/>
        </w:rPr>
        <w:t>Nature, 526</w:t>
      </w:r>
      <w:r>
        <w:t xml:space="preserve">(7573), 351–360. </w:t>
      </w:r>
      <w:hyperlink r:id="rId27" w:tgtFrame="_new" w:history="1">
        <w:r>
          <w:rPr>
            <w:rStyle w:val="Hyperlink"/>
          </w:rPr>
          <w:t>https://doi.org/10.1038/nature15818</w:t>
        </w:r>
      </w:hyperlink>
    </w:p>
    <w:p w:rsidR="00772744" w:rsidRDefault="00772744" w:rsidP="00E36926">
      <w:pPr>
        <w:pStyle w:val="NormalWeb"/>
      </w:pPr>
      <w:r>
        <w:t xml:space="preserve">Ngo, W., Wu, J. L. Y., </w:t>
      </w:r>
      <w:proofErr w:type="spellStart"/>
      <w:r>
        <w:t>Wasko</w:t>
      </w:r>
      <w:proofErr w:type="spellEnd"/>
      <w:r>
        <w:t xml:space="preserve">, K. M., &amp; </w:t>
      </w:r>
      <w:proofErr w:type="spellStart"/>
      <w:r>
        <w:t>Doudna</w:t>
      </w:r>
      <w:proofErr w:type="spellEnd"/>
      <w:r>
        <w:t xml:space="preserve">, J. A. (2026). Targeted delivery of genome editors in vivo. </w:t>
      </w:r>
      <w:r>
        <w:rPr>
          <w:rStyle w:val="Emphasis"/>
        </w:rPr>
        <w:t>Nature Biotechnology, 44</w:t>
      </w:r>
      <w:r>
        <w:t xml:space="preserve">, 49–59. </w:t>
      </w:r>
      <w:hyperlink r:id="rId28" w:history="1">
        <w:r w:rsidRPr="00BB1903">
          <w:rPr>
            <w:rStyle w:val="Hyperlink"/>
          </w:rPr>
          <w:t>https://doi.org/10.1038/s41587-025-02945-w</w:t>
        </w:r>
      </w:hyperlink>
      <w:r>
        <w:t xml:space="preserve"> </w:t>
      </w:r>
    </w:p>
    <w:p w:rsidR="00772744" w:rsidRDefault="00772744" w:rsidP="00E36926">
      <w:pPr>
        <w:pStyle w:val="NormalWeb"/>
      </w:pPr>
      <w:proofErr w:type="spellStart"/>
      <w:r>
        <w:t>Pardi</w:t>
      </w:r>
      <w:proofErr w:type="spellEnd"/>
      <w:r>
        <w:t xml:space="preserve">, N., Hogan, M. J., Porter, F. W., &amp; Weissman, D. (2018). mRNA vaccines — a new era in vaccinology. </w:t>
      </w:r>
      <w:r>
        <w:rPr>
          <w:rStyle w:val="Emphasis"/>
        </w:rPr>
        <w:t>Nature Reviews Drug Discovery, 17</w:t>
      </w:r>
      <w:r>
        <w:t xml:space="preserve">(4), 261–279. </w:t>
      </w:r>
      <w:hyperlink r:id="rId29" w:tgtFrame="_new" w:history="1">
        <w:r>
          <w:rPr>
            <w:rStyle w:val="Hyperlink"/>
          </w:rPr>
          <w:t>https://doi.org/10.1038/nrd.2017.243</w:t>
        </w:r>
      </w:hyperlink>
    </w:p>
    <w:p w:rsidR="00772744" w:rsidRDefault="00772744" w:rsidP="00E36926">
      <w:pPr>
        <w:pStyle w:val="NormalWeb"/>
      </w:pPr>
      <w:r>
        <w:t xml:space="preserve">Rehman, R. S., Zafar, S. A., Ali, M., Pasha, A. N., Naveed, M. S., Waseem, M., Ahmad, M., &amp; Raza, A. (2022). </w:t>
      </w:r>
      <w:r>
        <w:rPr>
          <w:rStyle w:val="Emphasis"/>
        </w:rPr>
        <w:t xml:space="preserve">CRISPR-Cas mediated genome editing: A paradigm shift towards </w:t>
      </w:r>
      <w:r>
        <w:rPr>
          <w:rStyle w:val="Emphasis"/>
        </w:rPr>
        <w:lastRenderedPageBreak/>
        <w:t>sustainable agriculture and biotechnology</w:t>
      </w:r>
      <w:r>
        <w:t xml:space="preserve">. </w:t>
      </w:r>
      <w:r w:rsidRPr="00F03E39">
        <w:rPr>
          <w:rStyle w:val="Strong"/>
          <w:b w:val="0"/>
        </w:rPr>
        <w:t>Asian Plant Research Journal, 9</w:t>
      </w:r>
      <w:r w:rsidRPr="00F03E39">
        <w:rPr>
          <w:b/>
        </w:rPr>
        <w:t>(1),</w:t>
      </w:r>
      <w:r>
        <w:t xml:space="preserve"> 27–49. </w:t>
      </w:r>
      <w:hyperlink r:id="rId30" w:tgtFrame="_new" w:history="1">
        <w:r>
          <w:rPr>
            <w:rStyle w:val="Hyperlink"/>
          </w:rPr>
          <w:t>https://doi.org/10.9734/aprj/2022/v9i130197</w:t>
        </w:r>
      </w:hyperlink>
    </w:p>
    <w:p w:rsidR="00772744" w:rsidRDefault="00772744" w:rsidP="00E36926">
      <w:pPr>
        <w:pStyle w:val="NormalWeb"/>
      </w:pPr>
      <w:r>
        <w:t xml:space="preserve">Rice, A. J., Sword, T. T., </w:t>
      </w:r>
      <w:proofErr w:type="spellStart"/>
      <w:r>
        <w:t>Chengan</w:t>
      </w:r>
      <w:proofErr w:type="spellEnd"/>
      <w:r>
        <w:t xml:space="preserve">, K., Mitchell, D. A., </w:t>
      </w:r>
      <w:proofErr w:type="spellStart"/>
      <w:r>
        <w:t>Mouncey</w:t>
      </w:r>
      <w:proofErr w:type="spellEnd"/>
      <w:r>
        <w:t xml:space="preserve">, N. J., Moore, S. J., &amp; Bailey, C. B. (2025). Cell-free synthetic biology for natural product biosynthesis and discovery. </w:t>
      </w:r>
      <w:r>
        <w:rPr>
          <w:rStyle w:val="Emphasis"/>
        </w:rPr>
        <w:t>Chemical Society Reviews, 54</w:t>
      </w:r>
      <w:r>
        <w:t xml:space="preserve">(9), 4314–4352. </w:t>
      </w:r>
      <w:hyperlink r:id="rId31" w:history="1">
        <w:r w:rsidRPr="00BB1903">
          <w:rPr>
            <w:rStyle w:val="Hyperlink"/>
          </w:rPr>
          <w:t>https://doi.org/10.1039/d4cs01198h</w:t>
        </w:r>
      </w:hyperlink>
      <w:r>
        <w:t xml:space="preserve"> </w:t>
      </w:r>
    </w:p>
    <w:p w:rsidR="00772744" w:rsidRDefault="00772744" w:rsidP="00E36926">
      <w:pPr>
        <w:pStyle w:val="NormalWeb"/>
      </w:pPr>
      <w:r>
        <w:t>Sanchez-</w:t>
      </w:r>
      <w:proofErr w:type="spellStart"/>
      <w:r>
        <w:t>Lengeling</w:t>
      </w:r>
      <w:proofErr w:type="spellEnd"/>
      <w:r>
        <w:t xml:space="preserve">, B., &amp; </w:t>
      </w:r>
      <w:proofErr w:type="spellStart"/>
      <w:r>
        <w:t>Aspuru-Guzik</w:t>
      </w:r>
      <w:proofErr w:type="spellEnd"/>
      <w:r>
        <w:t xml:space="preserve">, A. (2018). Inverse molecular design using machine learning: Generative models for matter engineering. </w:t>
      </w:r>
      <w:r>
        <w:rPr>
          <w:rStyle w:val="Emphasis"/>
        </w:rPr>
        <w:t>Science, 361</w:t>
      </w:r>
      <w:r>
        <w:t xml:space="preserve">(6400), 360–365. </w:t>
      </w:r>
      <w:hyperlink r:id="rId32" w:history="1">
        <w:r w:rsidRPr="00BB1903">
          <w:rPr>
            <w:rStyle w:val="Hyperlink"/>
          </w:rPr>
          <w:t>https://doi.org/10.1126/science.aat2663</w:t>
        </w:r>
      </w:hyperlink>
      <w:r>
        <w:t xml:space="preserve"> </w:t>
      </w:r>
    </w:p>
    <w:p w:rsidR="00772744" w:rsidRDefault="00772744" w:rsidP="00E36926">
      <w:pPr>
        <w:pStyle w:val="NormalWeb"/>
      </w:pPr>
      <w:r>
        <w:t xml:space="preserve">Shivani, Sharma, K., Negi, S., </w:t>
      </w:r>
      <w:proofErr w:type="spellStart"/>
      <w:r>
        <w:t>Darkal</w:t>
      </w:r>
      <w:proofErr w:type="spellEnd"/>
      <w:r>
        <w:t xml:space="preserve">, N., </w:t>
      </w:r>
      <w:proofErr w:type="spellStart"/>
      <w:r>
        <w:t>Tutlani</w:t>
      </w:r>
      <w:proofErr w:type="spellEnd"/>
      <w:r>
        <w:t xml:space="preserve">, A., &amp; Khan, R. R. (2025). Biotechnological advancements in seed quality enhancement: A comprehensive review. </w:t>
      </w:r>
      <w:r>
        <w:rPr>
          <w:rStyle w:val="Emphasis"/>
        </w:rPr>
        <w:t>Plant Cell Biotechnology and Molecular Biology, 26</w:t>
      </w:r>
      <w:r>
        <w:t xml:space="preserve">(5–6), 33–44. </w:t>
      </w:r>
      <w:hyperlink r:id="rId33" w:tgtFrame="_new" w:history="1">
        <w:r>
          <w:rPr>
            <w:rStyle w:val="Hyperlink"/>
          </w:rPr>
          <w:t>https://doi.org/10.56557/pcbmb/2025/v26i5-69283</w:t>
        </w:r>
      </w:hyperlink>
      <w:r>
        <w:t xml:space="preserve"> </w:t>
      </w:r>
    </w:p>
    <w:p w:rsidR="00772744" w:rsidRDefault="00772744" w:rsidP="00E36926">
      <w:pPr>
        <w:pStyle w:val="NormalWeb"/>
      </w:pPr>
      <w:proofErr w:type="spellStart"/>
      <w:r>
        <w:t>Ståhl</w:t>
      </w:r>
      <w:proofErr w:type="spellEnd"/>
      <w:r>
        <w:t xml:space="preserve">, P. L., </w:t>
      </w:r>
      <w:proofErr w:type="spellStart"/>
      <w:r>
        <w:t>Salmén</w:t>
      </w:r>
      <w:proofErr w:type="spellEnd"/>
      <w:r>
        <w:t xml:space="preserve">, F., </w:t>
      </w:r>
      <w:proofErr w:type="spellStart"/>
      <w:r>
        <w:t>Vickovic</w:t>
      </w:r>
      <w:proofErr w:type="spellEnd"/>
      <w:r>
        <w:t xml:space="preserve">, S., </w:t>
      </w:r>
      <w:proofErr w:type="spellStart"/>
      <w:r>
        <w:t>Lundmark</w:t>
      </w:r>
      <w:proofErr w:type="spellEnd"/>
      <w:r>
        <w:t xml:space="preserve">, A., Navarro, J. F., Magnusson, J., </w:t>
      </w:r>
      <w:proofErr w:type="spellStart"/>
      <w:r>
        <w:t>Giacomello</w:t>
      </w:r>
      <w:proofErr w:type="spellEnd"/>
      <w:r>
        <w:t xml:space="preserve">, S., Asp, M., </w:t>
      </w:r>
      <w:proofErr w:type="spellStart"/>
      <w:r>
        <w:t>Westholm</w:t>
      </w:r>
      <w:proofErr w:type="spellEnd"/>
      <w:r>
        <w:t xml:space="preserve">, J. O., Huss, M., </w:t>
      </w:r>
      <w:proofErr w:type="spellStart"/>
      <w:r>
        <w:t>Mollbrink</w:t>
      </w:r>
      <w:proofErr w:type="spellEnd"/>
      <w:r>
        <w:t xml:space="preserve">, A., </w:t>
      </w:r>
      <w:proofErr w:type="spellStart"/>
      <w:r>
        <w:t>Linnarsson</w:t>
      </w:r>
      <w:proofErr w:type="spellEnd"/>
      <w:r>
        <w:t xml:space="preserve">, S., </w:t>
      </w:r>
      <w:proofErr w:type="spellStart"/>
      <w:r>
        <w:t>Codeluppi</w:t>
      </w:r>
      <w:proofErr w:type="spellEnd"/>
      <w:r>
        <w:t xml:space="preserve">, S., Borg, Å., </w:t>
      </w:r>
      <w:proofErr w:type="spellStart"/>
      <w:r>
        <w:t>Pontén</w:t>
      </w:r>
      <w:proofErr w:type="spellEnd"/>
      <w:r>
        <w:t xml:space="preserve">, F., </w:t>
      </w:r>
      <w:proofErr w:type="spellStart"/>
      <w:r>
        <w:t>Costea</w:t>
      </w:r>
      <w:proofErr w:type="spellEnd"/>
      <w:r>
        <w:t xml:space="preserve">, P. I., </w:t>
      </w:r>
      <w:proofErr w:type="spellStart"/>
      <w:r>
        <w:t>Sahlén</w:t>
      </w:r>
      <w:proofErr w:type="spellEnd"/>
      <w:r>
        <w:t xml:space="preserve">, P., Mulder, J., Bergmann, O., … </w:t>
      </w:r>
      <w:proofErr w:type="spellStart"/>
      <w:r>
        <w:t>Frisén</w:t>
      </w:r>
      <w:proofErr w:type="spellEnd"/>
      <w:r>
        <w:t xml:space="preserve">, J. (2016). Visualization and analysis of gene expression in tissue sections by spatial transcriptomics. </w:t>
      </w:r>
      <w:r>
        <w:rPr>
          <w:rStyle w:val="Emphasis"/>
        </w:rPr>
        <w:t>Science, 353</w:t>
      </w:r>
      <w:r>
        <w:t xml:space="preserve">(6294), 78–82. </w:t>
      </w:r>
      <w:hyperlink r:id="rId34" w:tgtFrame="_new" w:history="1">
        <w:r>
          <w:rPr>
            <w:rStyle w:val="Hyperlink"/>
          </w:rPr>
          <w:t>https://doi.org/10.1126/science.aaf2403</w:t>
        </w:r>
      </w:hyperlink>
    </w:p>
    <w:p w:rsidR="00772744" w:rsidRDefault="00772744" w:rsidP="00E36926">
      <w:pPr>
        <w:pStyle w:val="NormalWeb"/>
      </w:pPr>
      <w:r>
        <w:t xml:space="preserve">Stuart, T., Butler, A., Hoffman, P., </w:t>
      </w:r>
      <w:proofErr w:type="spellStart"/>
      <w:r>
        <w:t>Hafemeister</w:t>
      </w:r>
      <w:proofErr w:type="spellEnd"/>
      <w:r>
        <w:t xml:space="preserve">, C., </w:t>
      </w:r>
      <w:proofErr w:type="spellStart"/>
      <w:r>
        <w:t>Papalexi</w:t>
      </w:r>
      <w:proofErr w:type="spellEnd"/>
      <w:r>
        <w:t xml:space="preserve">, E., </w:t>
      </w:r>
      <w:proofErr w:type="spellStart"/>
      <w:r>
        <w:t>Mauck</w:t>
      </w:r>
      <w:proofErr w:type="spellEnd"/>
      <w:r>
        <w:t xml:space="preserve">, W. M., III, Hao, Y., </w:t>
      </w:r>
      <w:proofErr w:type="spellStart"/>
      <w:r>
        <w:t>Stoeckius</w:t>
      </w:r>
      <w:proofErr w:type="spellEnd"/>
      <w:r>
        <w:t xml:space="preserve">, M., Smibert, P., &amp; </w:t>
      </w:r>
      <w:proofErr w:type="spellStart"/>
      <w:r>
        <w:t>Satija</w:t>
      </w:r>
      <w:proofErr w:type="spellEnd"/>
      <w:r>
        <w:t xml:space="preserve">, R. (2019). Comprehensive integration of single-cell data. </w:t>
      </w:r>
      <w:r>
        <w:rPr>
          <w:rStyle w:val="Emphasis"/>
        </w:rPr>
        <w:t>Cell, 177</w:t>
      </w:r>
      <w:r>
        <w:t xml:space="preserve">(7), 1888–1902.e21. </w:t>
      </w:r>
      <w:hyperlink r:id="rId35" w:tgtFrame="_new" w:history="1">
        <w:r>
          <w:rPr>
            <w:rStyle w:val="Hyperlink"/>
          </w:rPr>
          <w:t>https://doi.org/10.1016/j.cell.2019.05.031</w:t>
        </w:r>
      </w:hyperlink>
    </w:p>
    <w:p w:rsidR="00772744" w:rsidRDefault="00772744" w:rsidP="00E36926">
      <w:pPr>
        <w:pStyle w:val="NormalWeb"/>
      </w:pPr>
      <w:r>
        <w:t xml:space="preserve">Takahashi, K., &amp; Yamanaka, S. (2006). Induction of pluripotent stem cells from mouse embryonic and adult fibroblast cultures by defined factors. </w:t>
      </w:r>
      <w:r>
        <w:rPr>
          <w:rStyle w:val="Emphasis"/>
        </w:rPr>
        <w:t>Cell, 126</w:t>
      </w:r>
      <w:r>
        <w:t xml:space="preserve">(4), 663–676. </w:t>
      </w:r>
      <w:hyperlink r:id="rId36" w:tgtFrame="_new" w:history="1">
        <w:r>
          <w:rPr>
            <w:rStyle w:val="Hyperlink"/>
          </w:rPr>
          <w:t>https://doi.org/10.1016/j.cell.2006.07.024</w:t>
        </w:r>
      </w:hyperlink>
    </w:p>
    <w:p w:rsidR="00772744" w:rsidRDefault="00772744" w:rsidP="00E36926">
      <w:pPr>
        <w:pStyle w:val="NormalWeb"/>
      </w:pPr>
      <w:proofErr w:type="spellStart"/>
      <w:r>
        <w:t>Tinafar</w:t>
      </w:r>
      <w:proofErr w:type="spellEnd"/>
      <w:r>
        <w:t xml:space="preserve">, A., </w:t>
      </w:r>
      <w:proofErr w:type="spellStart"/>
      <w:r>
        <w:t>Jaenes</w:t>
      </w:r>
      <w:proofErr w:type="spellEnd"/>
      <w:r>
        <w:t xml:space="preserve">, K., &amp; </w:t>
      </w:r>
      <w:proofErr w:type="spellStart"/>
      <w:r>
        <w:t>Pardee</w:t>
      </w:r>
      <w:proofErr w:type="spellEnd"/>
      <w:r>
        <w:t xml:space="preserve">, K. (2019). Synthetic biology goes cell-free. </w:t>
      </w:r>
      <w:r>
        <w:rPr>
          <w:rStyle w:val="Emphasis"/>
        </w:rPr>
        <w:t>BMC Biology, 17</w:t>
      </w:r>
      <w:r>
        <w:t xml:space="preserve">, 64. </w:t>
      </w:r>
      <w:hyperlink r:id="rId37" w:history="1">
        <w:r w:rsidRPr="00BB1903">
          <w:rPr>
            <w:rStyle w:val="Hyperlink"/>
          </w:rPr>
          <w:t>https://doi.org/10.1186/s12915-019-0685-x</w:t>
        </w:r>
      </w:hyperlink>
      <w:r>
        <w:t xml:space="preserve"> </w:t>
      </w:r>
    </w:p>
    <w:p w:rsidR="00772744" w:rsidRDefault="00772744" w:rsidP="00E36926">
      <w:pPr>
        <w:pStyle w:val="NormalWeb"/>
      </w:pPr>
      <w:r>
        <w:t xml:space="preserve">Wang, D., Tai, P. W. L., &amp; Gao, G. (2019). Adeno-associated virus vector as a platform for gene therapy delivery. </w:t>
      </w:r>
      <w:r>
        <w:rPr>
          <w:rStyle w:val="Emphasis"/>
        </w:rPr>
        <w:t>Nature Reviews Drug Discovery, 18</w:t>
      </w:r>
      <w:r>
        <w:t xml:space="preserve">(5), 358–378. </w:t>
      </w:r>
      <w:hyperlink r:id="rId38" w:history="1">
        <w:r w:rsidRPr="00BB1903">
          <w:rPr>
            <w:rStyle w:val="Hyperlink"/>
          </w:rPr>
          <w:t>https://doi.org/10.1038/s41573-019-0012-9</w:t>
        </w:r>
      </w:hyperlink>
      <w:r>
        <w:t xml:space="preserve"> </w:t>
      </w:r>
    </w:p>
    <w:p w:rsidR="00A34E95" w:rsidRPr="00E36926" w:rsidRDefault="002C70E6" w:rsidP="00E36926">
      <w:r w:rsidRPr="00E36926">
        <w:t xml:space="preserve"> </w:t>
      </w:r>
    </w:p>
    <w:sectPr w:rsidR="00A34E95" w:rsidRPr="00E36926" w:rsidSect="00CB6EB6">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54C" w:rsidRDefault="0058354C" w:rsidP="00173180">
      <w:pPr>
        <w:spacing w:after="0" w:line="240" w:lineRule="auto"/>
      </w:pPr>
      <w:r>
        <w:separator/>
      </w:r>
    </w:p>
  </w:endnote>
  <w:endnote w:type="continuationSeparator" w:id="0">
    <w:p w:rsidR="0058354C" w:rsidRDefault="0058354C" w:rsidP="0017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180" w:rsidRDefault="001731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180" w:rsidRDefault="001731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180" w:rsidRDefault="00173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54C" w:rsidRDefault="0058354C" w:rsidP="00173180">
      <w:pPr>
        <w:spacing w:after="0" w:line="240" w:lineRule="auto"/>
      </w:pPr>
      <w:r>
        <w:separator/>
      </w:r>
    </w:p>
  </w:footnote>
  <w:footnote w:type="continuationSeparator" w:id="0">
    <w:p w:rsidR="0058354C" w:rsidRDefault="0058354C" w:rsidP="00173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180" w:rsidRDefault="005835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9620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180" w:rsidRDefault="005835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9620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180" w:rsidRDefault="005835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9620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2"/>
  </w:num>
  <w:num w:numId="5">
    <w:abstractNumId w:val="0"/>
  </w:num>
  <w:num w:numId="6">
    <w:abstractNumId w:val="10"/>
  </w:num>
  <w:num w:numId="7">
    <w:abstractNumId w:val="4"/>
  </w:num>
  <w:num w:numId="8">
    <w:abstractNumId w:val="3"/>
  </w:num>
  <w:num w:numId="9">
    <w:abstractNumId w:val="13"/>
  </w:num>
  <w:num w:numId="10">
    <w:abstractNumId w:val="5"/>
  </w:num>
  <w:num w:numId="11">
    <w:abstractNumId w:val="6"/>
  </w:num>
  <w:num w:numId="12">
    <w:abstractNumId w:val="11"/>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73180"/>
    <w:rsid w:val="001860B4"/>
    <w:rsid w:val="00186E2A"/>
    <w:rsid w:val="00187CBB"/>
    <w:rsid w:val="0019059D"/>
    <w:rsid w:val="0019667B"/>
    <w:rsid w:val="001A165A"/>
    <w:rsid w:val="001A3703"/>
    <w:rsid w:val="001A6A2C"/>
    <w:rsid w:val="001A7A4E"/>
    <w:rsid w:val="001B2FA4"/>
    <w:rsid w:val="001B5753"/>
    <w:rsid w:val="001B7806"/>
    <w:rsid w:val="001D7EA7"/>
    <w:rsid w:val="001E6EC5"/>
    <w:rsid w:val="001F4E51"/>
    <w:rsid w:val="00202F35"/>
    <w:rsid w:val="00203EFF"/>
    <w:rsid w:val="0022042D"/>
    <w:rsid w:val="00220ADF"/>
    <w:rsid w:val="002216D7"/>
    <w:rsid w:val="002312EA"/>
    <w:rsid w:val="002401A0"/>
    <w:rsid w:val="00241AA3"/>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4B0A"/>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8354C"/>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24EA"/>
    <w:rsid w:val="00655F10"/>
    <w:rsid w:val="00657005"/>
    <w:rsid w:val="00661483"/>
    <w:rsid w:val="006618F5"/>
    <w:rsid w:val="0067007E"/>
    <w:rsid w:val="00671CE7"/>
    <w:rsid w:val="00676549"/>
    <w:rsid w:val="0067685B"/>
    <w:rsid w:val="00683EC3"/>
    <w:rsid w:val="006907D2"/>
    <w:rsid w:val="00692471"/>
    <w:rsid w:val="00692BC2"/>
    <w:rsid w:val="00693DFE"/>
    <w:rsid w:val="00695D59"/>
    <w:rsid w:val="006A2C8B"/>
    <w:rsid w:val="006A39B3"/>
    <w:rsid w:val="006A7ABC"/>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5F8A"/>
    <w:rsid w:val="007C7951"/>
    <w:rsid w:val="007D03BC"/>
    <w:rsid w:val="007D38FC"/>
    <w:rsid w:val="007D6740"/>
    <w:rsid w:val="007E12AB"/>
    <w:rsid w:val="007E249F"/>
    <w:rsid w:val="007F1928"/>
    <w:rsid w:val="008017C0"/>
    <w:rsid w:val="00804929"/>
    <w:rsid w:val="008107F6"/>
    <w:rsid w:val="00812006"/>
    <w:rsid w:val="008132DB"/>
    <w:rsid w:val="00820C75"/>
    <w:rsid w:val="00831623"/>
    <w:rsid w:val="0083179B"/>
    <w:rsid w:val="008374C4"/>
    <w:rsid w:val="008426E2"/>
    <w:rsid w:val="00844C26"/>
    <w:rsid w:val="008461BC"/>
    <w:rsid w:val="00852537"/>
    <w:rsid w:val="00855A4C"/>
    <w:rsid w:val="00856AFD"/>
    <w:rsid w:val="0087023A"/>
    <w:rsid w:val="00870945"/>
    <w:rsid w:val="00872F5F"/>
    <w:rsid w:val="00876190"/>
    <w:rsid w:val="008811F8"/>
    <w:rsid w:val="00881487"/>
    <w:rsid w:val="00883166"/>
    <w:rsid w:val="00884294"/>
    <w:rsid w:val="00891C2F"/>
    <w:rsid w:val="008932C4"/>
    <w:rsid w:val="00893BAA"/>
    <w:rsid w:val="008A2470"/>
    <w:rsid w:val="008A4BFC"/>
    <w:rsid w:val="008A7416"/>
    <w:rsid w:val="008D0444"/>
    <w:rsid w:val="008E71C6"/>
    <w:rsid w:val="008F3850"/>
    <w:rsid w:val="00904403"/>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3283"/>
    <w:rsid w:val="0096776A"/>
    <w:rsid w:val="00975E52"/>
    <w:rsid w:val="0098071B"/>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02E24"/>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2C46"/>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6D42"/>
    <w:rsid w:val="00AD2BD3"/>
    <w:rsid w:val="00AD7B8B"/>
    <w:rsid w:val="00AE13A7"/>
    <w:rsid w:val="00AE651D"/>
    <w:rsid w:val="00AE79C2"/>
    <w:rsid w:val="00AE7CA1"/>
    <w:rsid w:val="00AF279A"/>
    <w:rsid w:val="00AF7425"/>
    <w:rsid w:val="00B06888"/>
    <w:rsid w:val="00B07519"/>
    <w:rsid w:val="00B1065D"/>
    <w:rsid w:val="00B451DB"/>
    <w:rsid w:val="00B567DD"/>
    <w:rsid w:val="00B56E93"/>
    <w:rsid w:val="00B6043D"/>
    <w:rsid w:val="00B74506"/>
    <w:rsid w:val="00B8003F"/>
    <w:rsid w:val="00B81562"/>
    <w:rsid w:val="00B84C19"/>
    <w:rsid w:val="00B928B4"/>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B7BE0"/>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63323"/>
    <w:rsid w:val="00D66880"/>
    <w:rsid w:val="00D71250"/>
    <w:rsid w:val="00D75C9D"/>
    <w:rsid w:val="00D80CF2"/>
    <w:rsid w:val="00D879A1"/>
    <w:rsid w:val="00D90471"/>
    <w:rsid w:val="00D90E5D"/>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336F"/>
    <w:rsid w:val="00EA45FD"/>
    <w:rsid w:val="00EA7C0C"/>
    <w:rsid w:val="00EC266D"/>
    <w:rsid w:val="00EC4D6C"/>
    <w:rsid w:val="00ED448F"/>
    <w:rsid w:val="00EE2E7D"/>
    <w:rsid w:val="00EE50CC"/>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674F1D4-4AF7-4B0B-B025-BFF88487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17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80"/>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7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80"/>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bb/2024/v27i111591?utm_source=chatgpt.com" TargetMode="External"/><Relationship Id="rId13" Type="http://schemas.openxmlformats.org/officeDocument/2006/relationships/hyperlink" Target="https://doi.org/10.1038/s41573-021-00285-3" TargetMode="External"/><Relationship Id="rId18" Type="http://schemas.openxmlformats.org/officeDocument/2006/relationships/hyperlink" Target="https://doi.org/10.1016/j.cell.2014.05.010" TargetMode="External"/><Relationship Id="rId26" Type="http://schemas.openxmlformats.org/officeDocument/2006/relationships/hyperlink" Target="https://doi.org/10.1016/j.cell.2015.05.00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38/s41551-021-00760-7" TargetMode="External"/><Relationship Id="rId34" Type="http://schemas.openxmlformats.org/officeDocument/2006/relationships/hyperlink" Target="https://doi.org/10.1126/science.aaf2403"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26/science.aaq0180" TargetMode="External"/><Relationship Id="rId17" Type="http://schemas.openxmlformats.org/officeDocument/2006/relationships/hyperlink" Target="https://doi.org/10.1038/s41578-021-00358-0" TargetMode="External"/><Relationship Id="rId25" Type="http://schemas.openxmlformats.org/officeDocument/2006/relationships/hyperlink" Target="https://doi.org/10.1038/s41576-020-0236-x" TargetMode="External"/><Relationship Id="rId33" Type="http://schemas.openxmlformats.org/officeDocument/2006/relationships/hyperlink" Target="https://doi.org/10.56557/pcbmb/2025/v26i5-69283?utm_source=chatgpt.com" TargetMode="External"/><Relationship Id="rId38" Type="http://schemas.openxmlformats.org/officeDocument/2006/relationships/hyperlink" Target="https://doi.org/10.1038/s41573-019-0012-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8/nmeth.1318" TargetMode="External"/><Relationship Id="rId20" Type="http://schemas.openxmlformats.org/officeDocument/2006/relationships/hyperlink" Target="https://doi.org/10.1126/science.aar6711" TargetMode="External"/><Relationship Id="rId29" Type="http://schemas.openxmlformats.org/officeDocument/2006/relationships/hyperlink" Target="https://doi.org/10.1038/nrd.2017.243"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bt.3011" TargetMode="External"/><Relationship Id="rId24" Type="http://schemas.openxmlformats.org/officeDocument/2006/relationships/hyperlink" Target="https://doi.org/10.1126/science.1247125" TargetMode="External"/><Relationship Id="rId32" Type="http://schemas.openxmlformats.org/officeDocument/2006/relationships/hyperlink" Target="https://doi.org/10.1126/science.aat2663" TargetMode="External"/><Relationship Id="rId37" Type="http://schemas.openxmlformats.org/officeDocument/2006/relationships/hyperlink" Target="https://doi.org/10.1186/s12915-019-0685-x"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8/nature24644" TargetMode="External"/><Relationship Id="rId23" Type="http://schemas.openxmlformats.org/officeDocument/2006/relationships/hyperlink" Target="https://doi.org/10.1038/nature17946" TargetMode="External"/><Relationship Id="rId28" Type="http://schemas.openxmlformats.org/officeDocument/2006/relationships/hyperlink" Target="https://doi.org/10.1038/s41587-025-02945-w" TargetMode="External"/><Relationship Id="rId36" Type="http://schemas.openxmlformats.org/officeDocument/2006/relationships/hyperlink" Target="https://doi.org/10.1016/j.cell.2006.07.024" TargetMode="External"/><Relationship Id="rId10" Type="http://schemas.openxmlformats.org/officeDocument/2006/relationships/hyperlink" Target="https://doi.org/10.1126/science.aab1028" TargetMode="External"/><Relationship Id="rId19" Type="http://schemas.openxmlformats.org/officeDocument/2006/relationships/hyperlink" Target="https://doi.org/10.1126/science.1225829" TargetMode="External"/><Relationship Id="rId31" Type="http://schemas.openxmlformats.org/officeDocument/2006/relationships/hyperlink" Target="https://doi.org/10.1039/d4cs01198h"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38/s41586-019-1711-4" TargetMode="External"/><Relationship Id="rId14" Type="http://schemas.openxmlformats.org/officeDocument/2006/relationships/hyperlink" Target="https://doi.org/10.7554/eLife.03401" TargetMode="External"/><Relationship Id="rId22" Type="http://schemas.openxmlformats.org/officeDocument/2006/relationships/hyperlink" Target="https://doi.org/10.1126/science.1193990" TargetMode="External"/><Relationship Id="rId27" Type="http://schemas.openxmlformats.org/officeDocument/2006/relationships/hyperlink" Target="https://doi.org/10.1038/nature15818" TargetMode="External"/><Relationship Id="rId30" Type="http://schemas.openxmlformats.org/officeDocument/2006/relationships/hyperlink" Target="https://doi.org/10.9734/aprj/2022/v9i130197?utm_source=chatgpt.com" TargetMode="External"/><Relationship Id="rId35" Type="http://schemas.openxmlformats.org/officeDocument/2006/relationships/hyperlink" Target="https://doi.org/10.1016/j.cell.2019.05.031"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6D34B-10F4-4F90-B23D-4B831B38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13504</Words>
  <Characters>76975</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MOGELBAHR</cp:lastModifiedBy>
  <cp:revision>4</cp:revision>
  <cp:lastPrinted>2025-12-13T07:14:00Z</cp:lastPrinted>
  <dcterms:created xsi:type="dcterms:W3CDTF">2026-03-05T22:10:00Z</dcterms:created>
  <dcterms:modified xsi:type="dcterms:W3CDTF">2026-03-06T11:05:00Z</dcterms:modified>
</cp:coreProperties>
</file>