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7CD8B" w14:textId="6D9D8243" w:rsidR="00045114" w:rsidRPr="00045114" w:rsidRDefault="00045114" w:rsidP="00045114">
      <w:pPr>
        <w:rPr>
          <w:rFonts w:ascii="Times New Roman" w:hAnsi="Times New Roman" w:cs="Times New Roman"/>
          <w:b/>
          <w:bCs/>
          <w:sz w:val="28"/>
          <w:szCs w:val="28"/>
          <w:u w:val="single"/>
        </w:rPr>
      </w:pPr>
      <w:r w:rsidRPr="00045114">
        <w:rPr>
          <w:rFonts w:ascii="Times New Roman" w:hAnsi="Times New Roman" w:cs="Times New Roman"/>
          <w:b/>
          <w:bCs/>
          <w:sz w:val="28"/>
          <w:szCs w:val="28"/>
          <w:u w:val="single"/>
        </w:rPr>
        <w:t>Original Research Article</w:t>
      </w:r>
    </w:p>
    <w:p w14:paraId="2DDFC3FB" w14:textId="77777777" w:rsidR="00045114" w:rsidRDefault="00045114" w:rsidP="00142717">
      <w:pPr>
        <w:jc w:val="center"/>
        <w:rPr>
          <w:rFonts w:ascii="Times New Roman" w:hAnsi="Times New Roman" w:cs="Times New Roman"/>
          <w:b/>
          <w:bCs/>
          <w:sz w:val="28"/>
          <w:szCs w:val="28"/>
        </w:rPr>
      </w:pPr>
    </w:p>
    <w:p w14:paraId="284107C2" w14:textId="6A753784" w:rsidR="00515CF7" w:rsidRDefault="00515CF7" w:rsidP="00142717">
      <w:pPr>
        <w:jc w:val="center"/>
        <w:rPr>
          <w:rFonts w:ascii="Times New Roman" w:hAnsi="Times New Roman" w:cs="Times New Roman"/>
          <w:b/>
          <w:bCs/>
          <w:sz w:val="28"/>
          <w:szCs w:val="28"/>
        </w:rPr>
      </w:pPr>
      <w:r w:rsidRPr="00142717">
        <w:rPr>
          <w:rFonts w:ascii="Times New Roman" w:hAnsi="Times New Roman" w:cs="Times New Roman"/>
          <w:b/>
          <w:bCs/>
          <w:sz w:val="28"/>
          <w:szCs w:val="28"/>
        </w:rPr>
        <w:t xml:space="preserve">Livelihood Diversification </w:t>
      </w:r>
      <w:r w:rsidR="00142717" w:rsidRPr="00142717">
        <w:rPr>
          <w:rFonts w:ascii="Times New Roman" w:hAnsi="Times New Roman" w:cs="Times New Roman"/>
          <w:b/>
          <w:bCs/>
          <w:sz w:val="28"/>
          <w:szCs w:val="28"/>
        </w:rPr>
        <w:t>and</w:t>
      </w:r>
      <w:r w:rsidRPr="00142717">
        <w:rPr>
          <w:rFonts w:ascii="Times New Roman" w:hAnsi="Times New Roman" w:cs="Times New Roman"/>
          <w:b/>
          <w:bCs/>
          <w:sz w:val="28"/>
          <w:szCs w:val="28"/>
        </w:rPr>
        <w:t xml:space="preserve"> Income Structure </w:t>
      </w:r>
      <w:r w:rsidR="00142717" w:rsidRPr="00142717">
        <w:rPr>
          <w:rFonts w:ascii="Times New Roman" w:hAnsi="Times New Roman" w:cs="Times New Roman"/>
          <w:b/>
          <w:bCs/>
          <w:sz w:val="28"/>
          <w:szCs w:val="28"/>
        </w:rPr>
        <w:t>of</w:t>
      </w:r>
      <w:r w:rsidRPr="00142717">
        <w:rPr>
          <w:rFonts w:ascii="Times New Roman" w:hAnsi="Times New Roman" w:cs="Times New Roman"/>
          <w:b/>
          <w:bCs/>
          <w:sz w:val="28"/>
          <w:szCs w:val="28"/>
        </w:rPr>
        <w:t xml:space="preserve"> Forest Adjacent Villages </w:t>
      </w:r>
      <w:r w:rsidR="00142717" w:rsidRPr="00142717">
        <w:rPr>
          <w:rFonts w:ascii="Times New Roman" w:hAnsi="Times New Roman" w:cs="Times New Roman"/>
          <w:b/>
          <w:bCs/>
          <w:sz w:val="28"/>
          <w:szCs w:val="28"/>
        </w:rPr>
        <w:t>of</w:t>
      </w:r>
      <w:r w:rsidRPr="00142717">
        <w:rPr>
          <w:rFonts w:ascii="Times New Roman" w:hAnsi="Times New Roman" w:cs="Times New Roman"/>
          <w:b/>
          <w:bCs/>
          <w:sz w:val="28"/>
          <w:szCs w:val="28"/>
        </w:rPr>
        <w:t xml:space="preserve"> The Western Himalayas (India)</w:t>
      </w:r>
    </w:p>
    <w:p w14:paraId="290DE688" w14:textId="77777777" w:rsidR="00142717" w:rsidRPr="002D584F" w:rsidRDefault="00142717" w:rsidP="00142717">
      <w:pPr>
        <w:jc w:val="both"/>
        <w:rPr>
          <w:rFonts w:ascii="Times New Roman" w:hAnsi="Times New Roman" w:cs="Times New Roman"/>
        </w:rPr>
      </w:pPr>
    </w:p>
    <w:p w14:paraId="0883F0E1" w14:textId="5EF9272C" w:rsidR="00515CF7" w:rsidRPr="002D584F" w:rsidRDefault="002D584F" w:rsidP="00142717">
      <w:pPr>
        <w:jc w:val="both"/>
        <w:rPr>
          <w:rFonts w:ascii="Times New Roman" w:hAnsi="Times New Roman" w:cs="Times New Roman"/>
          <w:b/>
          <w:bCs/>
        </w:rPr>
      </w:pPr>
      <w:r w:rsidRPr="002D584F">
        <w:rPr>
          <w:rFonts w:ascii="Times New Roman" w:hAnsi="Times New Roman" w:cs="Times New Roman"/>
          <w:b/>
          <w:bCs/>
        </w:rPr>
        <w:t>Abstract</w:t>
      </w:r>
    </w:p>
    <w:p w14:paraId="3103FE3B" w14:textId="2964801A" w:rsidR="00515CF7" w:rsidRPr="00142717" w:rsidRDefault="00515CF7" w:rsidP="00142717">
      <w:pPr>
        <w:jc w:val="both"/>
        <w:rPr>
          <w:rFonts w:ascii="Times New Roman" w:hAnsi="Times New Roman" w:cs="Times New Roman"/>
        </w:rPr>
      </w:pPr>
      <w:r w:rsidRPr="00142717">
        <w:rPr>
          <w:rFonts w:ascii="Times New Roman" w:hAnsi="Times New Roman" w:cs="Times New Roman"/>
        </w:rPr>
        <w:t xml:space="preserve">Rural livelihoods in the Western Himalayas are influenced by fragile agro-ecological conditions, proximity to forest resources, and limited economic alternatives. Increasingly, it is becoming insufficient for rural families to rely solely on agricultural production (which depends exclusively on rainfall) to maintain an adequate level of income security. This paper looks at the overall structure of household livelihoods and how income diversification has allowed rural families living in forest adjacent villages within </w:t>
      </w:r>
      <w:proofErr w:type="spellStart"/>
      <w:r w:rsidRPr="00142717">
        <w:rPr>
          <w:rFonts w:ascii="Times New Roman" w:hAnsi="Times New Roman" w:cs="Times New Roman"/>
        </w:rPr>
        <w:t>Chakrata</w:t>
      </w:r>
      <w:proofErr w:type="spellEnd"/>
      <w:r w:rsidRPr="00142717">
        <w:rPr>
          <w:rFonts w:ascii="Times New Roman" w:hAnsi="Times New Roman" w:cs="Times New Roman"/>
        </w:rPr>
        <w:t xml:space="preserve"> Block, </w:t>
      </w:r>
      <w:proofErr w:type="spellStart"/>
      <w:r w:rsidRPr="00142717">
        <w:rPr>
          <w:rFonts w:ascii="Times New Roman" w:hAnsi="Times New Roman" w:cs="Times New Roman"/>
        </w:rPr>
        <w:t>Uttarakhand</w:t>
      </w:r>
      <w:proofErr w:type="spellEnd"/>
      <w:r w:rsidRPr="00142717">
        <w:rPr>
          <w:rFonts w:ascii="Times New Roman" w:hAnsi="Times New Roman" w:cs="Times New Roman"/>
        </w:rPr>
        <w:t xml:space="preserve"> to build successful, sustainable livelihoods.</w:t>
      </w:r>
      <w:r w:rsidR="00771D54">
        <w:rPr>
          <w:rFonts w:ascii="Times New Roman" w:hAnsi="Times New Roman" w:cs="Times New Roman"/>
        </w:rPr>
        <w:t xml:space="preserve"> </w:t>
      </w:r>
      <w:r w:rsidRPr="00142717">
        <w:rPr>
          <w:rFonts w:ascii="Times New Roman" w:hAnsi="Times New Roman" w:cs="Times New Roman"/>
        </w:rPr>
        <w:t>Primary data was collected from 173 households from a randomly selected sample of 10 villages using a structured household survey. A cross-sectional descriptive research design was adopted for the analysis. Descriptive statistics and comparative cross-tabulation were used for data analysis. Results show that agriculture remains the most important livelihood activity for families. However, families that combine agricultural activity with paid employment in the form of a salary; number of livestock owned; and involvement in agroforestry consistently have higher incomes than families that do not diversify their incomes. As such, income diversification is a critical risk-buffering mechanism within rain-fed rural systems of the Himalayas.</w:t>
      </w:r>
      <w:r w:rsidR="00771D54">
        <w:rPr>
          <w:rFonts w:ascii="Times New Roman" w:hAnsi="Times New Roman" w:cs="Times New Roman"/>
        </w:rPr>
        <w:t xml:space="preserve"> </w:t>
      </w:r>
      <w:r w:rsidRPr="00142717">
        <w:rPr>
          <w:rFonts w:ascii="Times New Roman" w:hAnsi="Times New Roman" w:cs="Times New Roman"/>
        </w:rPr>
        <w:t>Findings support the need for integrated rural development policy that strengthen agricultural production systems; but at the same time develop alternative sources of income to improve resilient livelihoods and diminish reliance on forest-based resources.</w:t>
      </w:r>
    </w:p>
    <w:p w14:paraId="6DE930A1" w14:textId="18B0C395" w:rsidR="00BC255F" w:rsidRPr="00142717" w:rsidRDefault="00515CF7" w:rsidP="00142717">
      <w:pPr>
        <w:jc w:val="both"/>
        <w:rPr>
          <w:rFonts w:ascii="Times New Roman" w:hAnsi="Times New Roman" w:cs="Times New Roman"/>
        </w:rPr>
      </w:pPr>
      <w:r w:rsidRPr="00771D54">
        <w:rPr>
          <w:rFonts w:ascii="Times New Roman" w:hAnsi="Times New Roman" w:cs="Times New Roman"/>
          <w:b/>
          <w:bCs/>
        </w:rPr>
        <w:t>Keyword</w:t>
      </w:r>
      <w:r w:rsidRPr="00142717">
        <w:rPr>
          <w:rFonts w:ascii="Times New Roman" w:hAnsi="Times New Roman" w:cs="Times New Roman"/>
        </w:rPr>
        <w:t>: Livelihood Diversification, Forest Fringe Villages, Income Structure, Agroforestry, Western Himalaya.</w:t>
      </w:r>
    </w:p>
    <w:p w14:paraId="2E4AD957" w14:textId="75F9F7DF" w:rsidR="00515CF7" w:rsidRPr="002D584F" w:rsidRDefault="00515CF7" w:rsidP="00142717">
      <w:pPr>
        <w:jc w:val="both"/>
        <w:rPr>
          <w:rFonts w:ascii="Times New Roman" w:hAnsi="Times New Roman" w:cs="Times New Roman"/>
          <w:b/>
          <w:bCs/>
        </w:rPr>
      </w:pPr>
      <w:r w:rsidRPr="002D584F">
        <w:rPr>
          <w:rFonts w:ascii="Times New Roman" w:hAnsi="Times New Roman" w:cs="Times New Roman"/>
          <w:b/>
          <w:bCs/>
        </w:rPr>
        <w:t>1. Introduction</w:t>
      </w:r>
    </w:p>
    <w:p w14:paraId="795AD45F" w14:textId="77777777" w:rsidR="00515CF7" w:rsidRPr="00142717" w:rsidRDefault="00515CF7" w:rsidP="00142717">
      <w:pPr>
        <w:jc w:val="both"/>
        <w:rPr>
          <w:rFonts w:ascii="Times New Roman" w:hAnsi="Times New Roman" w:cs="Times New Roman"/>
        </w:rPr>
      </w:pPr>
      <w:r w:rsidRPr="00142717">
        <w:rPr>
          <w:rFonts w:ascii="Times New Roman" w:hAnsi="Times New Roman" w:cs="Times New Roman"/>
        </w:rPr>
        <w:t xml:space="preserve">Mountain communities have limited means to support themselves from their own resources. For example, the communities bordering forests in the major regions of the Indian Himalaya rely on a mix of agricultural production (e.g., rice) and livestock rearing (e.g., goats) along with revenue generated from off-farm employment (e.g., migratory work). Although agriculture is the mainstay of the rural economy, the ability of agriculture alone to sustain rural households </w:t>
      </w:r>
      <w:commentRangeStart w:id="0"/>
      <w:r w:rsidRPr="00142717">
        <w:rPr>
          <w:rFonts w:ascii="Times New Roman" w:hAnsi="Times New Roman" w:cs="Times New Roman"/>
        </w:rPr>
        <w:t>has decreased over the years due to reduced size of agricultural land and a reliance on rain-fed production systems with increasing uncertainty from climate change</w:t>
      </w:r>
      <w:commentRangeEnd w:id="0"/>
      <w:r w:rsidR="00B25E68">
        <w:rPr>
          <w:rStyle w:val="CommentReference"/>
        </w:rPr>
        <w:commentReference w:id="0"/>
      </w:r>
      <w:r w:rsidRPr="00142717">
        <w:rPr>
          <w:rFonts w:ascii="Times New Roman" w:hAnsi="Times New Roman" w:cs="Times New Roman"/>
        </w:rPr>
        <w:t>.</w:t>
      </w:r>
    </w:p>
    <w:p w14:paraId="5108050B" w14:textId="2C92327B" w:rsidR="00515CF7" w:rsidRPr="00142717" w:rsidRDefault="00515CF7" w:rsidP="00142717">
      <w:pPr>
        <w:jc w:val="both"/>
        <w:rPr>
          <w:rFonts w:ascii="Times New Roman" w:hAnsi="Times New Roman" w:cs="Times New Roman"/>
        </w:rPr>
      </w:pPr>
      <w:r w:rsidRPr="00142717">
        <w:rPr>
          <w:rFonts w:ascii="Times New Roman" w:hAnsi="Times New Roman" w:cs="Times New Roman"/>
        </w:rPr>
        <w:t xml:space="preserve">Rural household diversification, defined as having multiple sources of income, has thus become a key adaptive strategy in both rural and adjacent forest communities. While this is typically seen as an unstable condition, multiple sources of income often represent intentional efforts to respond to economic and environmental risk (Ellis, 2000). Households in mountain regions have </w:t>
      </w:r>
      <w:r w:rsidRPr="00142717">
        <w:rPr>
          <w:rFonts w:ascii="Times New Roman" w:hAnsi="Times New Roman" w:cs="Times New Roman"/>
        </w:rPr>
        <w:lastRenderedPageBreak/>
        <w:t xml:space="preserve">diversified themselves through short- and long-term wage </w:t>
      </w:r>
      <w:proofErr w:type="spellStart"/>
      <w:r w:rsidRPr="00142717">
        <w:rPr>
          <w:rFonts w:ascii="Times New Roman" w:hAnsi="Times New Roman" w:cs="Times New Roman"/>
        </w:rPr>
        <w:t>labour</w:t>
      </w:r>
      <w:proofErr w:type="spellEnd"/>
      <w:r w:rsidRPr="00142717">
        <w:rPr>
          <w:rFonts w:ascii="Times New Roman" w:hAnsi="Times New Roman" w:cs="Times New Roman"/>
        </w:rPr>
        <w:t>, full-time jobs, raising livestock and practicing agroforestry to reduce agricultural risk and/or income variability.</w:t>
      </w:r>
    </w:p>
    <w:p w14:paraId="23BE8F71" w14:textId="77777777" w:rsidR="004C4174" w:rsidRPr="00142717" w:rsidRDefault="004C4174"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The importance of forest-fringe villages in terms of the research of livelihood is evident because household income strategies affect both socio-economic and forest resource usage. Diversified livelihoods have been found to help reduce over dependency on forests and to promote stability of incomes (Angelsen et al., 2014). However, </w:t>
      </w:r>
      <w:commentRangeStart w:id="1"/>
      <w:r w:rsidRPr="00142717">
        <w:rPr>
          <w:rFonts w:ascii="Times New Roman" w:hAnsi="Times New Roman" w:cs="Times New Roman"/>
          <w:color w:val="000000" w:themeColor="text1"/>
        </w:rPr>
        <w:t>empirical case studies that examine income structure and diversification have not been carried out</w:t>
      </w:r>
      <w:commentRangeEnd w:id="1"/>
      <w:r w:rsidR="00CC2EFC">
        <w:rPr>
          <w:rStyle w:val="CommentReference"/>
        </w:rPr>
        <w:commentReference w:id="1"/>
      </w:r>
      <w:r w:rsidRPr="00142717">
        <w:rPr>
          <w:rFonts w:ascii="Times New Roman" w:hAnsi="Times New Roman" w:cs="Times New Roman"/>
          <w:color w:val="000000" w:themeColor="text1"/>
        </w:rPr>
        <w:t xml:space="preserve"> at village level in the Himalayan regions of forest/forests adjacent areas.</w:t>
      </w:r>
    </w:p>
    <w:p w14:paraId="51B9C034" w14:textId="4FE80243" w:rsidR="00515CF7" w:rsidRPr="00142717" w:rsidRDefault="004C4174" w:rsidP="00142717">
      <w:pPr>
        <w:jc w:val="both"/>
        <w:rPr>
          <w:rFonts w:ascii="Times New Roman" w:hAnsi="Times New Roman" w:cs="Times New Roman"/>
          <w:color w:val="000000" w:themeColor="text1"/>
        </w:rPr>
      </w:pPr>
      <w:commentRangeStart w:id="2"/>
      <w:r w:rsidRPr="00142717">
        <w:rPr>
          <w:rFonts w:ascii="Times New Roman" w:hAnsi="Times New Roman" w:cs="Times New Roman"/>
          <w:color w:val="000000" w:themeColor="text1"/>
        </w:rPr>
        <w:t xml:space="preserve">This study tries to fill this gap by providing an analysis of the income distribution and occupational structure of households and also to determine the extent of diversification of livelihoods for households located within the forest-fringe villages of </w:t>
      </w:r>
      <w:proofErr w:type="spellStart"/>
      <w:r w:rsidRPr="00142717">
        <w:rPr>
          <w:rFonts w:ascii="Times New Roman" w:hAnsi="Times New Roman" w:cs="Times New Roman"/>
          <w:color w:val="000000" w:themeColor="text1"/>
        </w:rPr>
        <w:t>Chakrata</w:t>
      </w:r>
      <w:proofErr w:type="spellEnd"/>
      <w:r w:rsidRPr="00142717">
        <w:rPr>
          <w:rFonts w:ascii="Times New Roman" w:hAnsi="Times New Roman" w:cs="Times New Roman"/>
          <w:color w:val="000000" w:themeColor="text1"/>
        </w:rPr>
        <w:t xml:space="preserve"> Block, </w:t>
      </w:r>
      <w:proofErr w:type="spellStart"/>
      <w:r w:rsidRPr="00142717">
        <w:rPr>
          <w:rFonts w:ascii="Times New Roman" w:hAnsi="Times New Roman" w:cs="Times New Roman"/>
          <w:color w:val="000000" w:themeColor="text1"/>
        </w:rPr>
        <w:t>Uttarakhand</w:t>
      </w:r>
      <w:proofErr w:type="spellEnd"/>
      <w:r w:rsidRPr="00142717">
        <w:rPr>
          <w:rFonts w:ascii="Times New Roman" w:hAnsi="Times New Roman" w:cs="Times New Roman"/>
          <w:color w:val="000000" w:themeColor="text1"/>
        </w:rPr>
        <w:t>.</w:t>
      </w:r>
      <w:commentRangeEnd w:id="2"/>
      <w:r w:rsidR="0085691B">
        <w:rPr>
          <w:rStyle w:val="CommentReference"/>
        </w:rPr>
        <w:commentReference w:id="2"/>
      </w:r>
      <w:r w:rsidRPr="00142717">
        <w:rPr>
          <w:rFonts w:ascii="Times New Roman" w:hAnsi="Times New Roman" w:cs="Times New Roman"/>
          <w:color w:val="000000" w:themeColor="text1"/>
        </w:rPr>
        <w:t xml:space="preserve"> Analysis is provided on the linkages of income, occupation, ownership of livestock and use of agroforestry which will provide information useful in rural development planning related to forests in mountainous regions.</w:t>
      </w:r>
    </w:p>
    <w:p w14:paraId="53BC0853" w14:textId="77777777" w:rsidR="00FF1161" w:rsidRPr="00142717" w:rsidRDefault="00FF1161" w:rsidP="00142717">
      <w:pPr>
        <w:jc w:val="both"/>
        <w:rPr>
          <w:rFonts w:ascii="Times New Roman" w:hAnsi="Times New Roman" w:cs="Times New Roman"/>
          <w:b/>
          <w:bCs/>
        </w:rPr>
      </w:pPr>
      <w:r w:rsidRPr="00142717">
        <w:rPr>
          <w:rFonts w:ascii="Times New Roman" w:hAnsi="Times New Roman" w:cs="Times New Roman"/>
          <w:b/>
          <w:bCs/>
        </w:rPr>
        <w:t>2. Objectives of the Study</w:t>
      </w:r>
    </w:p>
    <w:p w14:paraId="6F984492" w14:textId="77777777" w:rsidR="00FF1161" w:rsidRPr="00142717" w:rsidRDefault="00FF1161" w:rsidP="00142717">
      <w:pPr>
        <w:jc w:val="both"/>
        <w:rPr>
          <w:rFonts w:ascii="Times New Roman" w:hAnsi="Times New Roman" w:cs="Times New Roman"/>
          <w:b/>
          <w:bCs/>
        </w:rPr>
      </w:pPr>
      <w:r w:rsidRPr="00142717">
        <w:rPr>
          <w:rFonts w:ascii="Times New Roman" w:hAnsi="Times New Roman" w:cs="Times New Roman"/>
          <w:b/>
          <w:bCs/>
        </w:rPr>
        <w:t>2.1 General Objective</w:t>
      </w:r>
    </w:p>
    <w:p w14:paraId="3F8B8EDF" w14:textId="77777777" w:rsidR="00FF1161" w:rsidRPr="00142717" w:rsidRDefault="00FF1161" w:rsidP="00142717">
      <w:pPr>
        <w:jc w:val="both"/>
        <w:rPr>
          <w:rFonts w:ascii="Times New Roman" w:hAnsi="Times New Roman" w:cs="Times New Roman"/>
        </w:rPr>
      </w:pPr>
      <w:r w:rsidRPr="00142717">
        <w:rPr>
          <w:rFonts w:ascii="Times New Roman" w:hAnsi="Times New Roman" w:cs="Times New Roman"/>
        </w:rPr>
        <w:t xml:space="preserve">To assess livelihood structure and income distribution among rural households in forest-fringe villages of </w:t>
      </w:r>
      <w:proofErr w:type="spellStart"/>
      <w:r w:rsidRPr="00142717">
        <w:rPr>
          <w:rFonts w:ascii="Times New Roman" w:hAnsi="Times New Roman" w:cs="Times New Roman"/>
        </w:rPr>
        <w:t>Chakrata</w:t>
      </w:r>
      <w:proofErr w:type="spellEnd"/>
      <w:r w:rsidRPr="00142717">
        <w:rPr>
          <w:rFonts w:ascii="Times New Roman" w:hAnsi="Times New Roman" w:cs="Times New Roman"/>
        </w:rPr>
        <w:t xml:space="preserve"> Block, </w:t>
      </w:r>
      <w:proofErr w:type="spellStart"/>
      <w:r w:rsidRPr="00142717">
        <w:rPr>
          <w:rFonts w:ascii="Times New Roman" w:hAnsi="Times New Roman" w:cs="Times New Roman"/>
        </w:rPr>
        <w:t>Uttarakhand</w:t>
      </w:r>
      <w:proofErr w:type="spellEnd"/>
      <w:r w:rsidRPr="00142717">
        <w:rPr>
          <w:rFonts w:ascii="Times New Roman" w:hAnsi="Times New Roman" w:cs="Times New Roman"/>
        </w:rPr>
        <w:t>.</w:t>
      </w:r>
    </w:p>
    <w:p w14:paraId="67F4E856" w14:textId="77777777" w:rsidR="00FF1161" w:rsidRPr="00142717" w:rsidRDefault="00FF1161" w:rsidP="00142717">
      <w:pPr>
        <w:jc w:val="both"/>
        <w:rPr>
          <w:rFonts w:ascii="Times New Roman" w:hAnsi="Times New Roman" w:cs="Times New Roman"/>
          <w:b/>
          <w:bCs/>
        </w:rPr>
      </w:pPr>
      <w:r w:rsidRPr="00142717">
        <w:rPr>
          <w:rFonts w:ascii="Times New Roman" w:hAnsi="Times New Roman" w:cs="Times New Roman"/>
          <w:b/>
          <w:bCs/>
        </w:rPr>
        <w:t>2.2 Specific Objectives</w:t>
      </w:r>
    </w:p>
    <w:p w14:paraId="39821797" w14:textId="77777777"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 xml:space="preserve">To </w:t>
      </w:r>
      <w:proofErr w:type="spellStart"/>
      <w:r w:rsidRPr="00142717">
        <w:rPr>
          <w:rFonts w:ascii="Times New Roman" w:hAnsi="Times New Roman" w:cs="Times New Roman"/>
        </w:rPr>
        <w:t>analyse</w:t>
      </w:r>
      <w:proofErr w:type="spellEnd"/>
      <w:r w:rsidRPr="00142717">
        <w:rPr>
          <w:rFonts w:ascii="Times New Roman" w:hAnsi="Times New Roman" w:cs="Times New Roman"/>
        </w:rPr>
        <w:t xml:space="preserve"> the demographic and occupational characteristics of rural households in the study area.</w:t>
      </w:r>
    </w:p>
    <w:p w14:paraId="4ECFC85B" w14:textId="77777777"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To examine household income distribution across different income classes.</w:t>
      </w:r>
    </w:p>
    <w:p w14:paraId="1446365C" w14:textId="77777777"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To assess the relationship between income levels and occupational diversification.</w:t>
      </w:r>
    </w:p>
    <w:p w14:paraId="64A01F17" w14:textId="77777777"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To evaluate the role of livestock ownership in household income stability.</w:t>
      </w:r>
    </w:p>
    <w:p w14:paraId="6DD5B3FB" w14:textId="77777777"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 xml:space="preserve">To </w:t>
      </w:r>
      <w:proofErr w:type="spellStart"/>
      <w:r w:rsidRPr="00142717">
        <w:rPr>
          <w:rFonts w:ascii="Times New Roman" w:hAnsi="Times New Roman" w:cs="Times New Roman"/>
        </w:rPr>
        <w:t>analyse</w:t>
      </w:r>
      <w:proofErr w:type="spellEnd"/>
      <w:r w:rsidRPr="00142717">
        <w:rPr>
          <w:rFonts w:ascii="Times New Roman" w:hAnsi="Times New Roman" w:cs="Times New Roman"/>
        </w:rPr>
        <w:t xml:space="preserve"> the association between agroforestry adoption (trees on farms) and household income levels.</w:t>
      </w:r>
    </w:p>
    <w:p w14:paraId="0DD8138E" w14:textId="2C64F62A" w:rsidR="00FF1161" w:rsidRPr="002D584F" w:rsidRDefault="00FF1161" w:rsidP="00142717">
      <w:pPr>
        <w:jc w:val="both"/>
        <w:rPr>
          <w:rFonts w:ascii="Times New Roman" w:hAnsi="Times New Roman" w:cs="Times New Roman"/>
          <w:b/>
          <w:bCs/>
          <w:color w:val="000000" w:themeColor="text1"/>
        </w:rPr>
      </w:pPr>
      <w:r w:rsidRPr="002D584F">
        <w:rPr>
          <w:rFonts w:ascii="Times New Roman" w:hAnsi="Times New Roman" w:cs="Times New Roman"/>
          <w:b/>
          <w:bCs/>
          <w:color w:val="000000" w:themeColor="text1"/>
        </w:rPr>
        <w:t>3. Methodology</w:t>
      </w:r>
    </w:p>
    <w:p w14:paraId="7CDC0B2A" w14:textId="77777777" w:rsidR="00FF1161" w:rsidRPr="002D584F" w:rsidRDefault="00FF116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 xml:space="preserve">3.1 Study Area </w:t>
      </w:r>
    </w:p>
    <w:p w14:paraId="20A556E7" w14:textId="77777777" w:rsidR="00FF1161" w:rsidRPr="00142717" w:rsidRDefault="00FF1161"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The research was carried out within the northwestern part of </w:t>
      </w:r>
      <w:proofErr w:type="spellStart"/>
      <w:r w:rsidRPr="00142717">
        <w:rPr>
          <w:rFonts w:ascii="Times New Roman" w:hAnsi="Times New Roman" w:cs="Times New Roman"/>
          <w:color w:val="000000" w:themeColor="text1"/>
        </w:rPr>
        <w:t>Chakrata</w:t>
      </w:r>
      <w:proofErr w:type="spellEnd"/>
      <w:r w:rsidRPr="00142717">
        <w:rPr>
          <w:rFonts w:ascii="Times New Roman" w:hAnsi="Times New Roman" w:cs="Times New Roman"/>
          <w:color w:val="000000" w:themeColor="text1"/>
        </w:rPr>
        <w:t xml:space="preserve"> Block in Dehradun District, Uttarakhand. It has a mountainous terrain, dense forest cover, and mostly is populated by tribes. The majority of agricultural production is based on rainfed methods; irrigation systems are not widely available; and the majority of villages are adjacent to both reserve and community forests. People rely on agriculture, animal husbandry, and some additional non-farm jobs to support their families. </w:t>
      </w:r>
    </w:p>
    <w:p w14:paraId="5D4AAB3E" w14:textId="77777777" w:rsidR="00FF1161" w:rsidRPr="002D584F" w:rsidRDefault="00FF116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 xml:space="preserve">3.2 Research Design </w:t>
      </w:r>
    </w:p>
    <w:p w14:paraId="14984B76" w14:textId="77777777" w:rsidR="00FF1161" w:rsidRPr="00142717" w:rsidRDefault="00FF1161"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lastRenderedPageBreak/>
        <w:t>A cross-sectional descriptive study was used for describing the socio-economic and livelihood condition of the families living in the Villages at a single point in time. Cross-sectional descriptive studies are very common in research about rural livelihood and those living on the edge of forests to help understand income structure and types of jobs people do, as well as how people use their livelihoods from resources without changing any variables being studied.</w:t>
      </w:r>
    </w:p>
    <w:p w14:paraId="07A73E63" w14:textId="7A80C929" w:rsidR="00FF1161" w:rsidRPr="002D584F" w:rsidRDefault="00FF116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 xml:space="preserve">3.3 Sampling Framework &amp; Determining </w:t>
      </w:r>
      <w:r w:rsidR="00F16093" w:rsidRPr="002D584F">
        <w:rPr>
          <w:rFonts w:ascii="Times New Roman" w:hAnsi="Times New Roman" w:cs="Times New Roman"/>
          <w:i/>
          <w:iCs/>
          <w:color w:val="000000" w:themeColor="text1"/>
        </w:rPr>
        <w:t>the</w:t>
      </w:r>
      <w:r w:rsidRPr="002D584F">
        <w:rPr>
          <w:rFonts w:ascii="Times New Roman" w:hAnsi="Times New Roman" w:cs="Times New Roman"/>
          <w:i/>
          <w:iCs/>
          <w:color w:val="000000" w:themeColor="text1"/>
        </w:rPr>
        <w:t xml:space="preserve"> Villages </w:t>
      </w:r>
    </w:p>
    <w:p w14:paraId="34F943B0" w14:textId="48F91F2A" w:rsidR="00FF1161" w:rsidRPr="00142717" w:rsidRDefault="00FF1161"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A complete list of villages and their location within the northwest section of </w:t>
      </w:r>
      <w:proofErr w:type="spellStart"/>
      <w:r w:rsidRPr="00142717">
        <w:rPr>
          <w:rFonts w:ascii="Times New Roman" w:hAnsi="Times New Roman" w:cs="Times New Roman"/>
          <w:color w:val="000000" w:themeColor="text1"/>
        </w:rPr>
        <w:t>Chakrata</w:t>
      </w:r>
      <w:proofErr w:type="spellEnd"/>
      <w:r w:rsidRPr="00142717">
        <w:rPr>
          <w:rFonts w:ascii="Times New Roman" w:hAnsi="Times New Roman" w:cs="Times New Roman"/>
          <w:color w:val="000000" w:themeColor="text1"/>
        </w:rPr>
        <w:t xml:space="preserve"> Block, using the Census of India, was prepared. From this sampling frame, ten villages were chosen at random, using simple random sampling, giving each village within </w:t>
      </w:r>
      <w:proofErr w:type="spellStart"/>
      <w:r w:rsidRPr="00142717">
        <w:rPr>
          <w:rFonts w:ascii="Times New Roman" w:hAnsi="Times New Roman" w:cs="Times New Roman"/>
          <w:color w:val="000000" w:themeColor="text1"/>
        </w:rPr>
        <w:t>Chakrata</w:t>
      </w:r>
      <w:proofErr w:type="spellEnd"/>
      <w:r w:rsidRPr="00142717">
        <w:rPr>
          <w:rFonts w:ascii="Times New Roman" w:hAnsi="Times New Roman" w:cs="Times New Roman"/>
          <w:color w:val="000000" w:themeColor="text1"/>
        </w:rPr>
        <w:t xml:space="preserve"> Block the same chance of being chosen. Randomly selecting villages increases the representativity of the selected sample, which should increase the </w:t>
      </w:r>
      <w:r w:rsidR="00BE022A" w:rsidRPr="00142717">
        <w:rPr>
          <w:rFonts w:ascii="Times New Roman" w:hAnsi="Times New Roman" w:cs="Times New Roman"/>
          <w:color w:val="000000" w:themeColor="text1"/>
        </w:rPr>
        <w:t>generalizability</w:t>
      </w:r>
      <w:r w:rsidRPr="00142717">
        <w:rPr>
          <w:rFonts w:ascii="Times New Roman" w:hAnsi="Times New Roman" w:cs="Times New Roman"/>
          <w:color w:val="000000" w:themeColor="text1"/>
        </w:rPr>
        <w:t xml:space="preserve"> of results at the block level.</w:t>
      </w:r>
    </w:p>
    <w:p w14:paraId="7BA516A4" w14:textId="77777777" w:rsidR="004C602B" w:rsidRPr="002D584F" w:rsidRDefault="004C602B"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3.4 Sample Size Determination</w:t>
      </w:r>
    </w:p>
    <w:p w14:paraId="07628067" w14:textId="77777777" w:rsidR="004C602B" w:rsidRPr="00142717" w:rsidRDefault="004C602B"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A sample of households was determined by using Yamane's (1967) finite population formula with a confidence level of 95%, which gives a margin of error of 8%. Using the population data from the Census 2011, the minimum needed sample size was calculated to be 153 households. Due to population growth from the time of the census and to </w:t>
      </w:r>
      <w:proofErr w:type="spellStart"/>
      <w:r w:rsidRPr="00142717">
        <w:rPr>
          <w:rFonts w:ascii="Times New Roman" w:hAnsi="Times New Roman" w:cs="Times New Roman"/>
          <w:color w:val="000000" w:themeColor="text1"/>
        </w:rPr>
        <w:t>maximise</w:t>
      </w:r>
      <w:proofErr w:type="spellEnd"/>
      <w:r w:rsidRPr="00142717">
        <w:rPr>
          <w:rFonts w:ascii="Times New Roman" w:hAnsi="Times New Roman" w:cs="Times New Roman"/>
          <w:color w:val="000000" w:themeColor="text1"/>
        </w:rPr>
        <w:t xml:space="preserve"> the statistical reliability of this research, the sample size used in the final analysis was increased to 173 households.</w:t>
      </w:r>
    </w:p>
    <w:p w14:paraId="24449425" w14:textId="4F167BFB" w:rsidR="004C602B" w:rsidRPr="002D584F" w:rsidRDefault="00A17BE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3.5 Selection</w:t>
      </w:r>
      <w:r w:rsidR="004C602B" w:rsidRPr="002D584F">
        <w:rPr>
          <w:rFonts w:ascii="Times New Roman" w:hAnsi="Times New Roman" w:cs="Times New Roman"/>
          <w:i/>
          <w:iCs/>
          <w:color w:val="000000" w:themeColor="text1"/>
        </w:rPr>
        <w:t xml:space="preserve"> of Households</w:t>
      </w:r>
    </w:p>
    <w:p w14:paraId="75F40F5A" w14:textId="77777777" w:rsidR="004C602B" w:rsidRPr="00142717" w:rsidRDefault="004C602B"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From each sample village, households were chosen using a proportional-selection method based on the population of each village. Households were then randomly sampled from an updated list of households living in each village. The interview was conducted with the head of the household or an adult member of the household who is currently working in a livelihood activity.</w:t>
      </w:r>
    </w:p>
    <w:p w14:paraId="5E90003C" w14:textId="1FF76905" w:rsidR="004C602B" w:rsidRPr="002D584F" w:rsidRDefault="004C602B"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3.6 Data Collection</w:t>
      </w:r>
    </w:p>
    <w:p w14:paraId="5565E3D9" w14:textId="77777777" w:rsidR="004C602B" w:rsidRPr="00142717" w:rsidRDefault="004C602B"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Primary data were collected using a structured questionnaire with face-to-face interviews with household members. The objectives of the questionnaire were to gather data on demographic characteristics of households, one another, occupational composition of household members, income, number of livestock owned by the household, and practices of households around agroforestry. The use of face-to-face interviews provided a means of validating collected data and reducing potential error when collecting data in areas with different levels of literacy.</w:t>
      </w:r>
    </w:p>
    <w:p w14:paraId="24071E48" w14:textId="5B709F08" w:rsidR="00FF1161" w:rsidRPr="002D584F" w:rsidRDefault="004C602B" w:rsidP="00142717">
      <w:pPr>
        <w:jc w:val="both"/>
        <w:rPr>
          <w:rFonts w:ascii="Times New Roman" w:hAnsi="Times New Roman" w:cs="Times New Roman"/>
          <w:i/>
          <w:iCs/>
          <w:color w:val="000000" w:themeColor="text1"/>
        </w:rPr>
      </w:pPr>
      <w:r w:rsidRPr="00142717">
        <w:rPr>
          <w:rFonts w:ascii="Times New Roman" w:hAnsi="Times New Roman" w:cs="Times New Roman"/>
          <w:color w:val="000000" w:themeColor="text1"/>
        </w:rPr>
        <w:t xml:space="preserve">In addition, secondary data were obtained from Census of India publications and from relevant </w:t>
      </w:r>
      <w:r w:rsidRPr="002D584F">
        <w:rPr>
          <w:rFonts w:ascii="Times New Roman" w:hAnsi="Times New Roman" w:cs="Times New Roman"/>
          <w:color w:val="000000" w:themeColor="text1"/>
        </w:rPr>
        <w:t>peer-reviewed publications to place primary data into context.</w:t>
      </w:r>
    </w:p>
    <w:p w14:paraId="04A3ACD3" w14:textId="77777777" w:rsidR="00166BD6" w:rsidRPr="002D584F" w:rsidRDefault="00166BD6"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3.7 Analysis of Data Collected</w:t>
      </w:r>
    </w:p>
    <w:p w14:paraId="17F97011" w14:textId="1629CFDB" w:rsidR="00166BD6" w:rsidRPr="00142717" w:rsidRDefault="00166BD6"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The collected data was coded, tabulated, and analyzed through descriptive statistical methods. To analyze income distribution by type of employment, livestock owned, and usage of agroforestry were then computed using frequencies, percentages, and cross-tabulations, and reported in the form of tables and graphs to make them easier to interpret than if they had been presented differently.</w:t>
      </w:r>
    </w:p>
    <w:p w14:paraId="71C84544" w14:textId="3DD0D67C" w:rsidR="00166BD6" w:rsidRPr="00142717" w:rsidRDefault="00DB2313" w:rsidP="00142717">
      <w:pPr>
        <w:jc w:val="both"/>
        <w:rPr>
          <w:rFonts w:ascii="Times New Roman" w:hAnsi="Times New Roman" w:cs="Times New Roman"/>
          <w:color w:val="000000" w:themeColor="text1"/>
        </w:rPr>
      </w:pPr>
      <w:r w:rsidRPr="005F5DF2">
        <w:rPr>
          <w:rFonts w:ascii="Times New Roman" w:hAnsi="Times New Roman" w:cs="Times New Roman"/>
          <w:b/>
          <w:bCs/>
          <w:color w:val="000000" w:themeColor="text1"/>
        </w:rPr>
        <w:lastRenderedPageBreak/>
        <w:t>4</w:t>
      </w:r>
      <w:r w:rsidR="005F5DF2" w:rsidRPr="005F5DF2">
        <w:rPr>
          <w:rFonts w:ascii="Times New Roman" w:hAnsi="Times New Roman" w:cs="Times New Roman"/>
          <w:b/>
          <w:bCs/>
          <w:color w:val="000000" w:themeColor="text1"/>
        </w:rPr>
        <w:t xml:space="preserve">. </w:t>
      </w:r>
      <w:r w:rsidRPr="005F5DF2">
        <w:rPr>
          <w:rFonts w:ascii="Times New Roman" w:hAnsi="Times New Roman" w:cs="Times New Roman"/>
          <w:b/>
          <w:bCs/>
          <w:color w:val="000000" w:themeColor="text1"/>
        </w:rPr>
        <w:t>Results</w:t>
      </w:r>
      <w:r w:rsidR="000E00D2" w:rsidRPr="00142717">
        <w:rPr>
          <w:rFonts w:ascii="Times New Roman" w:hAnsi="Times New Roman" w:cs="Times New Roman"/>
          <w:color w:val="000000" w:themeColor="text1"/>
        </w:rPr>
        <w:t xml:space="preserve"> (Table &amp; Graphs)</w:t>
      </w:r>
    </w:p>
    <w:p w14:paraId="275F423A" w14:textId="77777777" w:rsidR="00E85EC0" w:rsidRPr="0038533D" w:rsidRDefault="00E85EC0" w:rsidP="00E85EC0">
      <w:pPr>
        <w:jc w:val="both"/>
        <w:rPr>
          <w:rFonts w:ascii="Times New Roman" w:hAnsi="Times New Roman" w:cs="Times New Roman"/>
          <w:b/>
          <w:bCs/>
        </w:rPr>
      </w:pPr>
      <w:r w:rsidRPr="0038533D">
        <w:rPr>
          <w:rFonts w:ascii="Times New Roman" w:hAnsi="Times New Roman" w:cs="Times New Roman"/>
          <w:b/>
          <w:bCs/>
        </w:rPr>
        <w:t>4.1 Income Structure of Surveyed Households</w:t>
      </w:r>
    </w:p>
    <w:p w14:paraId="0C7C71BB" w14:textId="77777777" w:rsidR="00E85EC0" w:rsidRPr="0038533D" w:rsidRDefault="00E85EC0" w:rsidP="00E85EC0">
      <w:pPr>
        <w:jc w:val="both"/>
        <w:rPr>
          <w:rFonts w:ascii="Times New Roman" w:hAnsi="Times New Roman" w:cs="Times New Roman"/>
        </w:rPr>
      </w:pPr>
      <w:r w:rsidRPr="0038533D">
        <w:rPr>
          <w:rFonts w:ascii="Times New Roman" w:hAnsi="Times New Roman" w:cs="Times New Roman"/>
        </w:rPr>
        <w:t xml:space="preserve">Analysis of income distribution (Table 1; Figure 1) indicates that the majority of households (108 out of 173) fall within the </w:t>
      </w:r>
      <w:r w:rsidRPr="0038533D">
        <w:rPr>
          <w:rFonts w:ascii="Times New Roman" w:hAnsi="Times New Roman" w:cs="Times New Roman"/>
          <w:b/>
          <w:bCs/>
        </w:rPr>
        <w:t>20–50 lakh</w:t>
      </w:r>
      <w:r w:rsidRPr="0038533D">
        <w:rPr>
          <w:rFonts w:ascii="Times New Roman" w:hAnsi="Times New Roman" w:cs="Times New Roman"/>
        </w:rPr>
        <w:t xml:space="preserve"> annual income category. A smaller proportion (50 households) fall in the </w:t>
      </w:r>
      <w:r w:rsidRPr="0038533D">
        <w:rPr>
          <w:rFonts w:ascii="Times New Roman" w:hAnsi="Times New Roman" w:cs="Times New Roman"/>
          <w:b/>
          <w:bCs/>
        </w:rPr>
        <w:t>&lt;20 lakh</w:t>
      </w:r>
      <w:r w:rsidRPr="0038533D">
        <w:rPr>
          <w:rFonts w:ascii="Times New Roman" w:hAnsi="Times New Roman" w:cs="Times New Roman"/>
        </w:rPr>
        <w:t xml:space="preserve"> income group, while 15 households belong to the </w:t>
      </w:r>
      <w:r w:rsidRPr="0038533D">
        <w:rPr>
          <w:rFonts w:ascii="Times New Roman" w:hAnsi="Times New Roman" w:cs="Times New Roman"/>
          <w:b/>
          <w:bCs/>
        </w:rPr>
        <w:t>50–80 lakh</w:t>
      </w:r>
      <w:r w:rsidRPr="0038533D">
        <w:rPr>
          <w:rFonts w:ascii="Times New Roman" w:hAnsi="Times New Roman" w:cs="Times New Roman"/>
        </w:rPr>
        <w:t xml:space="preserve"> category.</w:t>
      </w:r>
    </w:p>
    <w:p w14:paraId="1D23D16D" w14:textId="77777777" w:rsidR="00E85EC0" w:rsidRDefault="00E85EC0" w:rsidP="00E85EC0">
      <w:pPr>
        <w:jc w:val="both"/>
        <w:rPr>
          <w:rFonts w:ascii="Times New Roman" w:hAnsi="Times New Roman" w:cs="Times New Roman"/>
          <w:color w:val="000000" w:themeColor="text1"/>
        </w:rPr>
      </w:pPr>
      <w:r w:rsidRPr="00E85EC0">
        <w:rPr>
          <w:rFonts w:ascii="Times New Roman" w:hAnsi="Times New Roman" w:cs="Times New Roman"/>
          <w:color w:val="000000" w:themeColor="text1"/>
        </w:rPr>
        <w:t>The income model based upon this analysis points to most households being classified as lower middle income and not extremely poor, thus indicating relative stability of household income within the sample area, likely facilitated through income diversification strategies that extend beyond self-employment through agriculture.</w:t>
      </w:r>
    </w:p>
    <w:p w14:paraId="01CC64D3" w14:textId="77777777" w:rsidR="00E85EC0" w:rsidRPr="008E0833" w:rsidRDefault="00E85EC0" w:rsidP="00504B60">
      <w:pPr>
        <w:spacing w:after="0"/>
        <w:rPr>
          <w:rFonts w:ascii="Times New Roman" w:hAnsi="Times New Roman" w:cs="Times New Roman"/>
          <w:b/>
          <w:bCs/>
        </w:rPr>
      </w:pPr>
      <w:r w:rsidRPr="008E0833">
        <w:rPr>
          <w:rFonts w:ascii="Times New Roman" w:hAnsi="Times New Roman" w:cs="Times New Roman"/>
          <w:b/>
          <w:bCs/>
        </w:rPr>
        <w:t>Table 1. Income class distribution of surveyed households</w:t>
      </w:r>
    </w:p>
    <w:tbl>
      <w:tblPr>
        <w:tblStyle w:val="TableGrid"/>
        <w:tblW w:w="6232" w:type="dxa"/>
        <w:tblLook w:val="04A0" w:firstRow="1" w:lastRow="0" w:firstColumn="1" w:lastColumn="0" w:noHBand="0" w:noVBand="1"/>
      </w:tblPr>
      <w:tblGrid>
        <w:gridCol w:w="3116"/>
        <w:gridCol w:w="3116"/>
      </w:tblGrid>
      <w:tr w:rsidR="00504B60" w:rsidRPr="004D1918" w14:paraId="1BEF8743" w14:textId="77777777" w:rsidTr="00504B60">
        <w:tc>
          <w:tcPr>
            <w:tcW w:w="3116" w:type="dxa"/>
            <w:vAlign w:val="center"/>
          </w:tcPr>
          <w:p w14:paraId="63949298" w14:textId="6CB72C43"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Income class</w:t>
            </w:r>
          </w:p>
        </w:tc>
        <w:tc>
          <w:tcPr>
            <w:tcW w:w="3116" w:type="dxa"/>
            <w:vAlign w:val="center"/>
          </w:tcPr>
          <w:p w14:paraId="55C8CFC6" w14:textId="4A29ED11"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Number of households</w:t>
            </w:r>
          </w:p>
        </w:tc>
      </w:tr>
      <w:tr w:rsidR="00504B60" w:rsidRPr="004D1918" w14:paraId="4DE514FE" w14:textId="77777777" w:rsidTr="00504B60">
        <w:tc>
          <w:tcPr>
            <w:tcW w:w="3116" w:type="dxa"/>
            <w:vAlign w:val="center"/>
          </w:tcPr>
          <w:p w14:paraId="54A49D13" w14:textId="45788037"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rPr>
              <w:t>&lt;20 lakh</w:t>
            </w:r>
          </w:p>
        </w:tc>
        <w:tc>
          <w:tcPr>
            <w:tcW w:w="3116" w:type="dxa"/>
            <w:vAlign w:val="center"/>
          </w:tcPr>
          <w:p w14:paraId="4A2ACE40" w14:textId="3ADB8C0E"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50</w:t>
            </w:r>
          </w:p>
        </w:tc>
      </w:tr>
      <w:tr w:rsidR="00504B60" w:rsidRPr="004D1918" w14:paraId="06B16F68" w14:textId="77777777" w:rsidTr="00504B60">
        <w:tc>
          <w:tcPr>
            <w:tcW w:w="3116" w:type="dxa"/>
            <w:vAlign w:val="center"/>
          </w:tcPr>
          <w:p w14:paraId="4CAF660C" w14:textId="1398D945"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rPr>
              <w:t>20–50 lakh</w:t>
            </w:r>
          </w:p>
        </w:tc>
        <w:tc>
          <w:tcPr>
            <w:tcW w:w="3116" w:type="dxa"/>
            <w:vAlign w:val="center"/>
          </w:tcPr>
          <w:p w14:paraId="7FEAB864" w14:textId="69D3D9EC"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108</w:t>
            </w:r>
          </w:p>
        </w:tc>
      </w:tr>
      <w:tr w:rsidR="00504B60" w:rsidRPr="004D1918" w14:paraId="04B8BEF0" w14:textId="77777777" w:rsidTr="00504B60">
        <w:tc>
          <w:tcPr>
            <w:tcW w:w="3116" w:type="dxa"/>
            <w:vAlign w:val="center"/>
          </w:tcPr>
          <w:p w14:paraId="1C99D9F2" w14:textId="7F5C12DD"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rPr>
              <w:t>50–80 lakh</w:t>
            </w:r>
          </w:p>
        </w:tc>
        <w:tc>
          <w:tcPr>
            <w:tcW w:w="3116" w:type="dxa"/>
            <w:vAlign w:val="center"/>
          </w:tcPr>
          <w:p w14:paraId="554AE3B1" w14:textId="0A4CAA37"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15</w:t>
            </w:r>
          </w:p>
        </w:tc>
      </w:tr>
    </w:tbl>
    <w:p w14:paraId="56094AB4" w14:textId="77777777" w:rsidR="00E85EC0" w:rsidRDefault="00E85EC0" w:rsidP="00E85EC0">
      <w:pPr>
        <w:jc w:val="both"/>
        <w:rPr>
          <w:rFonts w:ascii="Times New Roman" w:hAnsi="Times New Roman" w:cs="Times New Roman"/>
          <w:color w:val="000000" w:themeColor="text1"/>
        </w:rPr>
      </w:pPr>
    </w:p>
    <w:p w14:paraId="17C5BB20" w14:textId="62DE14E8" w:rsidR="00504B60" w:rsidRDefault="00961C4D" w:rsidP="00346044">
      <w:pPr>
        <w:spacing w:after="0"/>
        <w:jc w:val="center"/>
        <w:rPr>
          <w:rFonts w:ascii="Times New Roman" w:hAnsi="Times New Roman" w:cs="Times New Roman"/>
          <w:color w:val="000000" w:themeColor="text1"/>
        </w:rPr>
      </w:pPr>
      <w:r>
        <w:rPr>
          <w:noProof/>
        </w:rPr>
        <w:drawing>
          <wp:inline distT="0" distB="0" distL="0" distR="0" wp14:anchorId="0D94ABD0" wp14:editId="3033C2D4">
            <wp:extent cx="4199690" cy="3153188"/>
            <wp:effectExtent l="0" t="0" r="0" b="9525"/>
            <wp:docPr id="1805816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0384" cy="3161217"/>
                    </a:xfrm>
                    <a:prstGeom prst="rect">
                      <a:avLst/>
                    </a:prstGeom>
                    <a:noFill/>
                    <a:ln>
                      <a:noFill/>
                    </a:ln>
                  </pic:spPr>
                </pic:pic>
              </a:graphicData>
            </a:graphic>
          </wp:inline>
        </w:drawing>
      </w:r>
    </w:p>
    <w:p w14:paraId="66168EEB" w14:textId="0A75C602" w:rsidR="00346044" w:rsidRPr="00E85EC0" w:rsidRDefault="00346044" w:rsidP="00961C4D">
      <w:pPr>
        <w:jc w:val="center"/>
        <w:rPr>
          <w:rFonts w:ascii="Times New Roman" w:hAnsi="Times New Roman" w:cs="Times New Roman"/>
          <w:color w:val="000000" w:themeColor="text1"/>
        </w:rPr>
      </w:pPr>
      <w:r w:rsidRPr="008E0833">
        <w:rPr>
          <w:b/>
          <w:bCs/>
        </w:rPr>
        <w:t>Figure 1 – Income line curve</w:t>
      </w:r>
    </w:p>
    <w:p w14:paraId="3BF3AAE4" w14:textId="487640E4" w:rsidR="00DB2313" w:rsidRPr="00142717" w:rsidRDefault="00DB2313" w:rsidP="00142717">
      <w:pPr>
        <w:jc w:val="both"/>
        <w:rPr>
          <w:rFonts w:ascii="Times New Roman" w:hAnsi="Times New Roman" w:cs="Times New Roman"/>
          <w:color w:val="000000" w:themeColor="text1"/>
        </w:rPr>
      </w:pPr>
    </w:p>
    <w:p w14:paraId="28A83066" w14:textId="6E5BBA46" w:rsidR="00DB2313" w:rsidRPr="008A17FA" w:rsidRDefault="00DB2313" w:rsidP="00142717">
      <w:pPr>
        <w:jc w:val="both"/>
        <w:rPr>
          <w:rFonts w:ascii="Times New Roman" w:hAnsi="Times New Roman" w:cs="Times New Roman"/>
          <w:i/>
          <w:iCs/>
          <w:color w:val="000000" w:themeColor="text1"/>
        </w:rPr>
      </w:pPr>
      <w:r w:rsidRPr="008A17FA">
        <w:rPr>
          <w:rFonts w:ascii="Times New Roman" w:hAnsi="Times New Roman" w:cs="Times New Roman"/>
          <w:i/>
          <w:iCs/>
          <w:color w:val="000000" w:themeColor="text1"/>
        </w:rPr>
        <w:t xml:space="preserve">4.2 </w:t>
      </w:r>
      <w:r w:rsidR="003A2833" w:rsidRPr="008A17FA">
        <w:rPr>
          <w:rFonts w:ascii="Times New Roman" w:hAnsi="Times New Roman" w:cs="Times New Roman"/>
          <w:b/>
          <w:bCs/>
          <w:i/>
          <w:iCs/>
        </w:rPr>
        <w:t>Occupational Structure and Income Linkages</w:t>
      </w:r>
    </w:p>
    <w:p w14:paraId="6403F068" w14:textId="7A771787"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t>The occupational classes have been grouped into general comparable categories:</w:t>
      </w:r>
    </w:p>
    <w:p w14:paraId="062ABCEC" w14:textId="77777777"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t>(i) Agriculture</w:t>
      </w:r>
    </w:p>
    <w:p w14:paraId="309E55DE" w14:textId="77777777"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t xml:space="preserve">(ii) Agriculture plus </w:t>
      </w:r>
      <w:proofErr w:type="spellStart"/>
      <w:r w:rsidRPr="002C39BA">
        <w:rPr>
          <w:rFonts w:ascii="Times New Roman" w:hAnsi="Times New Roman" w:cs="Times New Roman"/>
          <w:color w:val="000000" w:themeColor="text1"/>
        </w:rPr>
        <w:t>labour</w:t>
      </w:r>
      <w:proofErr w:type="spellEnd"/>
    </w:p>
    <w:p w14:paraId="4550FEF7" w14:textId="77777777"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lastRenderedPageBreak/>
        <w:t>(iii) Agriculture plus government employment</w:t>
      </w:r>
    </w:p>
    <w:p w14:paraId="1A6289C9" w14:textId="72DF7EBD" w:rsidR="001569AE" w:rsidRPr="001569AE" w:rsidRDefault="001569AE" w:rsidP="001569AE">
      <w:pPr>
        <w:jc w:val="both"/>
        <w:rPr>
          <w:rFonts w:ascii="Times New Roman" w:hAnsi="Times New Roman" w:cs="Times New Roman"/>
          <w:color w:val="000000" w:themeColor="text1"/>
        </w:rPr>
      </w:pPr>
      <w:r w:rsidRPr="001569AE">
        <w:rPr>
          <w:rFonts w:ascii="Times New Roman" w:hAnsi="Times New Roman" w:cs="Times New Roman"/>
          <w:color w:val="000000" w:themeColor="text1"/>
        </w:rPr>
        <w:t xml:space="preserve">As presented in Table 2 and Figure </w:t>
      </w:r>
      <w:r w:rsidR="00A83234">
        <w:rPr>
          <w:rFonts w:ascii="Times New Roman" w:hAnsi="Times New Roman" w:cs="Times New Roman"/>
          <w:color w:val="000000" w:themeColor="text1"/>
        </w:rPr>
        <w:t>2</w:t>
      </w:r>
      <w:r w:rsidR="00A83234" w:rsidRPr="001569AE">
        <w:rPr>
          <w:rFonts w:ascii="Times New Roman" w:hAnsi="Times New Roman" w:cs="Times New Roman"/>
          <w:color w:val="000000" w:themeColor="text1"/>
        </w:rPr>
        <w:t>,</w:t>
      </w:r>
      <w:r w:rsidRPr="001569AE">
        <w:rPr>
          <w:rFonts w:ascii="Times New Roman" w:hAnsi="Times New Roman" w:cs="Times New Roman"/>
          <w:color w:val="000000" w:themeColor="text1"/>
        </w:rPr>
        <w:t xml:space="preserve"> the largest group of households in the 20-50 lakh income class are engaged solely in Agriculture (70 out of 173 total). Therefore, households classified as Agriculture only have only partially diversified their income; thus, at the time of writing, Agriculture only also classifies approximately 25 (50) households within the &lt;20 lakh class.</w:t>
      </w:r>
    </w:p>
    <w:p w14:paraId="1E280616" w14:textId="74301BFA" w:rsidR="001569AE" w:rsidRDefault="001569AE" w:rsidP="001569AE">
      <w:pPr>
        <w:jc w:val="both"/>
        <w:rPr>
          <w:rFonts w:ascii="Times New Roman" w:hAnsi="Times New Roman" w:cs="Times New Roman"/>
          <w:color w:val="000000" w:themeColor="text1"/>
        </w:rPr>
      </w:pPr>
      <w:r w:rsidRPr="001569AE">
        <w:rPr>
          <w:rFonts w:ascii="Times New Roman" w:hAnsi="Times New Roman" w:cs="Times New Roman"/>
          <w:color w:val="000000" w:themeColor="text1"/>
        </w:rPr>
        <w:t xml:space="preserve">The second largest group of households in the 20-50 lakh income class is those that combine Agricultural work and working as a </w:t>
      </w:r>
      <w:proofErr w:type="spellStart"/>
      <w:r w:rsidRPr="001569AE">
        <w:rPr>
          <w:rFonts w:ascii="Times New Roman" w:hAnsi="Times New Roman" w:cs="Times New Roman"/>
          <w:color w:val="000000" w:themeColor="text1"/>
        </w:rPr>
        <w:t>labourer</w:t>
      </w:r>
      <w:proofErr w:type="spellEnd"/>
      <w:r w:rsidRPr="001569AE">
        <w:rPr>
          <w:rFonts w:ascii="Times New Roman" w:hAnsi="Times New Roman" w:cs="Times New Roman"/>
          <w:color w:val="000000" w:themeColor="text1"/>
        </w:rPr>
        <w:t xml:space="preserve"> for 28 households. However, those households also participate in some form of income diversification. Alternatively, approximately 29% of Agricultural plus Government wage earning households are represented in the 50-80 lakh category. Thus, creating a positive correlation between the two forms of income (salary or wage) and upward mobility (increased social status).</w:t>
      </w:r>
    </w:p>
    <w:p w14:paraId="00075F14" w14:textId="77777777" w:rsidR="00CB74ED" w:rsidRPr="008E0833" w:rsidRDefault="00CB74ED" w:rsidP="00CB74ED">
      <w:pPr>
        <w:spacing w:after="0"/>
        <w:rPr>
          <w:b/>
          <w:bCs/>
        </w:rPr>
      </w:pPr>
      <w:r w:rsidRPr="008E0833">
        <w:rPr>
          <w:b/>
          <w:bCs/>
        </w:rPr>
        <w:t>Table 2. Income class × Occupational structure</w:t>
      </w:r>
    </w:p>
    <w:tbl>
      <w:tblPr>
        <w:tblStyle w:val="TableGrid"/>
        <w:tblW w:w="9348" w:type="dxa"/>
        <w:tblLook w:val="04A0" w:firstRow="1" w:lastRow="0" w:firstColumn="1" w:lastColumn="0" w:noHBand="0" w:noVBand="1"/>
      </w:tblPr>
      <w:tblGrid>
        <w:gridCol w:w="2337"/>
        <w:gridCol w:w="2337"/>
        <w:gridCol w:w="2337"/>
        <w:gridCol w:w="2337"/>
      </w:tblGrid>
      <w:tr w:rsidR="00CB74ED" w14:paraId="79D049FE" w14:textId="77777777" w:rsidTr="00CB74ED">
        <w:tc>
          <w:tcPr>
            <w:tcW w:w="2337" w:type="dxa"/>
            <w:vAlign w:val="center"/>
          </w:tcPr>
          <w:p w14:paraId="2ADA479C" w14:textId="12BB47F6" w:rsidR="00CB74ED" w:rsidRDefault="00CB74ED" w:rsidP="00CB74ED">
            <w:pPr>
              <w:jc w:val="both"/>
              <w:rPr>
                <w:rFonts w:ascii="Times New Roman" w:hAnsi="Times New Roman" w:cs="Times New Roman"/>
                <w:color w:val="000000" w:themeColor="text1"/>
              </w:rPr>
            </w:pPr>
            <w:r w:rsidRPr="008E0833">
              <w:rPr>
                <w:b/>
                <w:bCs/>
              </w:rPr>
              <w:t>Income class</w:t>
            </w:r>
          </w:p>
        </w:tc>
        <w:tc>
          <w:tcPr>
            <w:tcW w:w="2337" w:type="dxa"/>
            <w:vAlign w:val="center"/>
          </w:tcPr>
          <w:p w14:paraId="12F9ED74" w14:textId="35C46390" w:rsidR="00CB74ED" w:rsidRDefault="00CB74ED" w:rsidP="00CB74ED">
            <w:pPr>
              <w:jc w:val="both"/>
              <w:rPr>
                <w:rFonts w:ascii="Times New Roman" w:hAnsi="Times New Roman" w:cs="Times New Roman"/>
                <w:color w:val="000000" w:themeColor="text1"/>
              </w:rPr>
            </w:pPr>
            <w:r w:rsidRPr="008E0833">
              <w:rPr>
                <w:b/>
                <w:bCs/>
              </w:rPr>
              <w:t>Agriculture only</w:t>
            </w:r>
          </w:p>
        </w:tc>
        <w:tc>
          <w:tcPr>
            <w:tcW w:w="2337" w:type="dxa"/>
            <w:vAlign w:val="center"/>
          </w:tcPr>
          <w:p w14:paraId="191731CE" w14:textId="4A2C51D2" w:rsidR="00CB74ED" w:rsidRDefault="00CB74ED" w:rsidP="00CB74ED">
            <w:pPr>
              <w:jc w:val="both"/>
              <w:rPr>
                <w:rFonts w:ascii="Times New Roman" w:hAnsi="Times New Roman" w:cs="Times New Roman"/>
                <w:color w:val="000000" w:themeColor="text1"/>
              </w:rPr>
            </w:pPr>
            <w:r w:rsidRPr="008E0833">
              <w:rPr>
                <w:b/>
                <w:bCs/>
              </w:rPr>
              <w:t xml:space="preserve">Agriculture + </w:t>
            </w:r>
            <w:proofErr w:type="spellStart"/>
            <w:r w:rsidRPr="008E0833">
              <w:rPr>
                <w:b/>
                <w:bCs/>
              </w:rPr>
              <w:t>Labour</w:t>
            </w:r>
            <w:proofErr w:type="spellEnd"/>
          </w:p>
        </w:tc>
        <w:tc>
          <w:tcPr>
            <w:tcW w:w="2337" w:type="dxa"/>
            <w:vAlign w:val="center"/>
          </w:tcPr>
          <w:p w14:paraId="29DE5F93" w14:textId="214BBC35" w:rsidR="00CB74ED" w:rsidRDefault="00CB74ED" w:rsidP="00CB74ED">
            <w:pPr>
              <w:jc w:val="both"/>
              <w:rPr>
                <w:rFonts w:ascii="Times New Roman" w:hAnsi="Times New Roman" w:cs="Times New Roman"/>
                <w:color w:val="000000" w:themeColor="text1"/>
              </w:rPr>
            </w:pPr>
            <w:r w:rsidRPr="008E0833">
              <w:rPr>
                <w:b/>
                <w:bCs/>
              </w:rPr>
              <w:t>Agriculture + Government job</w:t>
            </w:r>
          </w:p>
        </w:tc>
      </w:tr>
      <w:tr w:rsidR="00CB74ED" w14:paraId="285A3736" w14:textId="77777777" w:rsidTr="00CB74ED">
        <w:tc>
          <w:tcPr>
            <w:tcW w:w="2337" w:type="dxa"/>
            <w:vAlign w:val="center"/>
          </w:tcPr>
          <w:p w14:paraId="1071E54F" w14:textId="71800BB3" w:rsidR="00CB74ED" w:rsidRDefault="00CB74ED" w:rsidP="00CB74ED">
            <w:pPr>
              <w:jc w:val="both"/>
              <w:rPr>
                <w:rFonts w:ascii="Times New Roman" w:hAnsi="Times New Roman" w:cs="Times New Roman"/>
                <w:color w:val="000000" w:themeColor="text1"/>
              </w:rPr>
            </w:pPr>
            <w:r w:rsidRPr="008E0833">
              <w:t>&lt;20 lakh</w:t>
            </w:r>
          </w:p>
        </w:tc>
        <w:tc>
          <w:tcPr>
            <w:tcW w:w="2337" w:type="dxa"/>
            <w:vAlign w:val="center"/>
          </w:tcPr>
          <w:p w14:paraId="7C76B0E8" w14:textId="584DD90C" w:rsidR="00CB74ED" w:rsidRDefault="00CB74ED" w:rsidP="00CB74ED">
            <w:pPr>
              <w:jc w:val="both"/>
              <w:rPr>
                <w:rFonts w:ascii="Times New Roman" w:hAnsi="Times New Roman" w:cs="Times New Roman"/>
                <w:color w:val="000000" w:themeColor="text1"/>
              </w:rPr>
            </w:pPr>
            <w:r w:rsidRPr="008E0833">
              <w:t>25</w:t>
            </w:r>
          </w:p>
        </w:tc>
        <w:tc>
          <w:tcPr>
            <w:tcW w:w="2337" w:type="dxa"/>
            <w:vAlign w:val="center"/>
          </w:tcPr>
          <w:p w14:paraId="706DB0BC" w14:textId="3D8C877D" w:rsidR="00CB74ED" w:rsidRDefault="00CB74ED" w:rsidP="00CB74ED">
            <w:pPr>
              <w:jc w:val="both"/>
              <w:rPr>
                <w:rFonts w:ascii="Times New Roman" w:hAnsi="Times New Roman" w:cs="Times New Roman"/>
                <w:color w:val="000000" w:themeColor="text1"/>
              </w:rPr>
            </w:pPr>
            <w:r w:rsidRPr="008E0833">
              <w:t>13</w:t>
            </w:r>
          </w:p>
        </w:tc>
        <w:tc>
          <w:tcPr>
            <w:tcW w:w="2337" w:type="dxa"/>
            <w:vAlign w:val="center"/>
          </w:tcPr>
          <w:p w14:paraId="3B221143" w14:textId="53368FFD" w:rsidR="00CB74ED" w:rsidRDefault="00CB74ED" w:rsidP="00CB74ED">
            <w:pPr>
              <w:jc w:val="both"/>
              <w:rPr>
                <w:rFonts w:ascii="Times New Roman" w:hAnsi="Times New Roman" w:cs="Times New Roman"/>
                <w:color w:val="000000" w:themeColor="text1"/>
              </w:rPr>
            </w:pPr>
            <w:r w:rsidRPr="008E0833">
              <w:t>12</w:t>
            </w:r>
          </w:p>
        </w:tc>
      </w:tr>
      <w:tr w:rsidR="00CB74ED" w14:paraId="6754435A" w14:textId="77777777" w:rsidTr="00CB74ED">
        <w:tc>
          <w:tcPr>
            <w:tcW w:w="2337" w:type="dxa"/>
            <w:vAlign w:val="center"/>
          </w:tcPr>
          <w:p w14:paraId="18E841A6" w14:textId="6F3EC4FC" w:rsidR="00CB74ED" w:rsidRDefault="00CB74ED" w:rsidP="00CB74ED">
            <w:pPr>
              <w:jc w:val="both"/>
              <w:rPr>
                <w:rFonts w:ascii="Times New Roman" w:hAnsi="Times New Roman" w:cs="Times New Roman"/>
                <w:color w:val="000000" w:themeColor="text1"/>
              </w:rPr>
            </w:pPr>
            <w:r w:rsidRPr="008E0833">
              <w:t>20–50 lakh</w:t>
            </w:r>
          </w:p>
        </w:tc>
        <w:tc>
          <w:tcPr>
            <w:tcW w:w="2337" w:type="dxa"/>
            <w:vAlign w:val="center"/>
          </w:tcPr>
          <w:p w14:paraId="212B3594" w14:textId="5617DCD9" w:rsidR="00CB74ED" w:rsidRDefault="00CB74ED" w:rsidP="00CB74ED">
            <w:pPr>
              <w:jc w:val="both"/>
              <w:rPr>
                <w:rFonts w:ascii="Times New Roman" w:hAnsi="Times New Roman" w:cs="Times New Roman"/>
                <w:color w:val="000000" w:themeColor="text1"/>
              </w:rPr>
            </w:pPr>
            <w:r w:rsidRPr="008E0833">
              <w:t>70</w:t>
            </w:r>
          </w:p>
        </w:tc>
        <w:tc>
          <w:tcPr>
            <w:tcW w:w="2337" w:type="dxa"/>
            <w:vAlign w:val="center"/>
          </w:tcPr>
          <w:p w14:paraId="11B3320E" w14:textId="6C8060D9" w:rsidR="00CB74ED" w:rsidRDefault="00CB74ED" w:rsidP="00CB74ED">
            <w:pPr>
              <w:jc w:val="both"/>
              <w:rPr>
                <w:rFonts w:ascii="Times New Roman" w:hAnsi="Times New Roman" w:cs="Times New Roman"/>
                <w:color w:val="000000" w:themeColor="text1"/>
              </w:rPr>
            </w:pPr>
            <w:r w:rsidRPr="008E0833">
              <w:t>28</w:t>
            </w:r>
          </w:p>
        </w:tc>
        <w:tc>
          <w:tcPr>
            <w:tcW w:w="2337" w:type="dxa"/>
            <w:vAlign w:val="center"/>
          </w:tcPr>
          <w:p w14:paraId="2293FAE9" w14:textId="141053E1" w:rsidR="00CB74ED" w:rsidRDefault="00CB74ED" w:rsidP="00CB74ED">
            <w:pPr>
              <w:jc w:val="both"/>
              <w:rPr>
                <w:rFonts w:ascii="Times New Roman" w:hAnsi="Times New Roman" w:cs="Times New Roman"/>
                <w:color w:val="000000" w:themeColor="text1"/>
              </w:rPr>
            </w:pPr>
            <w:r w:rsidRPr="008E0833">
              <w:t>10</w:t>
            </w:r>
          </w:p>
        </w:tc>
      </w:tr>
      <w:tr w:rsidR="00CB74ED" w14:paraId="37197487" w14:textId="77777777" w:rsidTr="00CB74ED">
        <w:tc>
          <w:tcPr>
            <w:tcW w:w="2337" w:type="dxa"/>
            <w:vAlign w:val="center"/>
          </w:tcPr>
          <w:p w14:paraId="7A6D7197" w14:textId="516E99B5" w:rsidR="00CB74ED" w:rsidRDefault="00CB74ED" w:rsidP="00CB74ED">
            <w:pPr>
              <w:jc w:val="both"/>
              <w:rPr>
                <w:rFonts w:ascii="Times New Roman" w:hAnsi="Times New Roman" w:cs="Times New Roman"/>
                <w:color w:val="000000" w:themeColor="text1"/>
              </w:rPr>
            </w:pPr>
            <w:r w:rsidRPr="008E0833">
              <w:t>50–80 lakh</w:t>
            </w:r>
          </w:p>
        </w:tc>
        <w:tc>
          <w:tcPr>
            <w:tcW w:w="2337" w:type="dxa"/>
            <w:vAlign w:val="center"/>
          </w:tcPr>
          <w:p w14:paraId="53ABB82C" w14:textId="1B0B8CB9" w:rsidR="00CB74ED" w:rsidRDefault="00CB74ED" w:rsidP="00CB74ED">
            <w:pPr>
              <w:jc w:val="both"/>
              <w:rPr>
                <w:rFonts w:ascii="Times New Roman" w:hAnsi="Times New Roman" w:cs="Times New Roman"/>
                <w:color w:val="000000" w:themeColor="text1"/>
              </w:rPr>
            </w:pPr>
            <w:r w:rsidRPr="008E0833">
              <w:t>8</w:t>
            </w:r>
          </w:p>
        </w:tc>
        <w:tc>
          <w:tcPr>
            <w:tcW w:w="2337" w:type="dxa"/>
            <w:vAlign w:val="center"/>
          </w:tcPr>
          <w:p w14:paraId="7DC555CF" w14:textId="25225220" w:rsidR="00CB74ED" w:rsidRDefault="00CB74ED" w:rsidP="00CB74ED">
            <w:pPr>
              <w:jc w:val="both"/>
              <w:rPr>
                <w:rFonts w:ascii="Times New Roman" w:hAnsi="Times New Roman" w:cs="Times New Roman"/>
                <w:color w:val="000000" w:themeColor="text1"/>
              </w:rPr>
            </w:pPr>
            <w:r w:rsidRPr="008E0833">
              <w:t>0</w:t>
            </w:r>
          </w:p>
        </w:tc>
        <w:tc>
          <w:tcPr>
            <w:tcW w:w="2337" w:type="dxa"/>
            <w:vAlign w:val="center"/>
          </w:tcPr>
          <w:p w14:paraId="1679E0A3" w14:textId="30B562F4" w:rsidR="00CB74ED" w:rsidRDefault="00CB74ED" w:rsidP="00CB74ED">
            <w:pPr>
              <w:jc w:val="both"/>
              <w:rPr>
                <w:rFonts w:ascii="Times New Roman" w:hAnsi="Times New Roman" w:cs="Times New Roman"/>
                <w:color w:val="000000" w:themeColor="text1"/>
              </w:rPr>
            </w:pPr>
            <w:r w:rsidRPr="008E0833">
              <w:t>7</w:t>
            </w:r>
          </w:p>
        </w:tc>
      </w:tr>
    </w:tbl>
    <w:p w14:paraId="1E7C44E5" w14:textId="77777777" w:rsidR="00CB74ED" w:rsidRDefault="00CB74ED" w:rsidP="001569AE">
      <w:pPr>
        <w:jc w:val="both"/>
        <w:rPr>
          <w:rFonts w:ascii="Times New Roman" w:hAnsi="Times New Roman" w:cs="Times New Roman"/>
          <w:color w:val="000000" w:themeColor="text1"/>
        </w:rPr>
      </w:pPr>
    </w:p>
    <w:p w14:paraId="3ED7B792" w14:textId="4F4EFFD4" w:rsidR="00CB74ED" w:rsidRDefault="00072291" w:rsidP="00072291">
      <w:pPr>
        <w:spacing w:after="0"/>
        <w:jc w:val="both"/>
        <w:rPr>
          <w:rFonts w:ascii="Times New Roman" w:hAnsi="Times New Roman" w:cs="Times New Roman"/>
          <w:color w:val="000000" w:themeColor="text1"/>
        </w:rPr>
      </w:pPr>
      <w:r>
        <w:rPr>
          <w:noProof/>
        </w:rPr>
        <w:drawing>
          <wp:inline distT="0" distB="0" distL="0" distR="0" wp14:anchorId="132B3343" wp14:editId="50B4546F">
            <wp:extent cx="5848350" cy="4391025"/>
            <wp:effectExtent l="0" t="0" r="0" b="9525"/>
            <wp:docPr id="19424594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8350" cy="4391025"/>
                    </a:xfrm>
                    <a:prstGeom prst="rect">
                      <a:avLst/>
                    </a:prstGeom>
                    <a:noFill/>
                    <a:ln>
                      <a:noFill/>
                    </a:ln>
                  </pic:spPr>
                </pic:pic>
              </a:graphicData>
            </a:graphic>
          </wp:inline>
        </w:drawing>
      </w:r>
    </w:p>
    <w:p w14:paraId="5829085E" w14:textId="1F32A4B2" w:rsidR="00072291" w:rsidRPr="008E0833" w:rsidRDefault="00072291" w:rsidP="00072291">
      <w:pPr>
        <w:jc w:val="center"/>
        <w:rPr>
          <w:b/>
          <w:bCs/>
        </w:rPr>
      </w:pPr>
      <w:r w:rsidRPr="008E0833">
        <w:rPr>
          <w:b/>
          <w:bCs/>
        </w:rPr>
        <w:t xml:space="preserve">Figure </w:t>
      </w:r>
      <w:r w:rsidR="00A83234">
        <w:rPr>
          <w:b/>
          <w:bCs/>
        </w:rPr>
        <w:t>2</w:t>
      </w:r>
      <w:r w:rsidRPr="008E0833">
        <w:rPr>
          <w:b/>
          <w:bCs/>
        </w:rPr>
        <w:t xml:space="preserve"> – Income × Occupation</w:t>
      </w:r>
    </w:p>
    <w:p w14:paraId="113277C2" w14:textId="77777777" w:rsidR="00072291" w:rsidRPr="001569AE" w:rsidRDefault="00072291" w:rsidP="001569AE">
      <w:pPr>
        <w:jc w:val="both"/>
        <w:rPr>
          <w:rFonts w:ascii="Times New Roman" w:hAnsi="Times New Roman" w:cs="Times New Roman"/>
          <w:color w:val="000000" w:themeColor="text1"/>
        </w:rPr>
      </w:pPr>
    </w:p>
    <w:p w14:paraId="3921FFFC" w14:textId="45CE8097" w:rsidR="000E00D2" w:rsidRPr="008A17FA" w:rsidRDefault="000E00D2" w:rsidP="001569AE">
      <w:pPr>
        <w:jc w:val="both"/>
        <w:rPr>
          <w:rFonts w:ascii="Times New Roman" w:hAnsi="Times New Roman" w:cs="Times New Roman"/>
          <w:i/>
          <w:iCs/>
          <w:color w:val="000000" w:themeColor="text1"/>
        </w:rPr>
      </w:pPr>
      <w:r w:rsidRPr="008A17FA">
        <w:rPr>
          <w:rFonts w:ascii="Times New Roman" w:hAnsi="Times New Roman" w:cs="Times New Roman"/>
          <w:i/>
          <w:iCs/>
          <w:color w:val="000000" w:themeColor="text1"/>
        </w:rPr>
        <w:t>4.3 Livestock Ownership and Income</w:t>
      </w:r>
    </w:p>
    <w:p w14:paraId="69ABA739" w14:textId="1005E395" w:rsidR="00A83234" w:rsidRPr="00A83234" w:rsidRDefault="00A83234" w:rsidP="00142717">
      <w:pPr>
        <w:jc w:val="both"/>
        <w:rPr>
          <w:rFonts w:ascii="Times New Roman" w:hAnsi="Times New Roman" w:cs="Times New Roman"/>
          <w:color w:val="000000" w:themeColor="text1"/>
        </w:rPr>
      </w:pPr>
      <w:r w:rsidRPr="00A83234">
        <w:rPr>
          <w:rFonts w:ascii="Times New Roman" w:hAnsi="Times New Roman" w:cs="Times New Roman"/>
          <w:color w:val="000000" w:themeColor="text1"/>
        </w:rPr>
        <w:t xml:space="preserve">The majority of people from all of the economic classes identified in Table 3 and shown in Figure 2 keep livestock as a primary source of income. The vast majority of households between 20 – 50 </w:t>
      </w:r>
      <w:r w:rsidR="004F500E" w:rsidRPr="00A83234">
        <w:rPr>
          <w:rFonts w:ascii="Times New Roman" w:hAnsi="Times New Roman" w:cs="Times New Roman"/>
          <w:color w:val="000000" w:themeColor="text1"/>
        </w:rPr>
        <w:t>lakhs</w:t>
      </w:r>
      <w:r w:rsidRPr="00A83234">
        <w:rPr>
          <w:rFonts w:ascii="Times New Roman" w:hAnsi="Times New Roman" w:cs="Times New Roman"/>
          <w:color w:val="000000" w:themeColor="text1"/>
        </w:rPr>
        <w:t xml:space="preserve"> had (n=79) had livestock, while 41 households with &lt;20 lakh also kept livestock. The high prevalence of livestock ownership across all income classes indicates that it is used by the majority of households not only as a source of income but as a primary asset for their livelihood</w:t>
      </w:r>
    </w:p>
    <w:p w14:paraId="0465BE69" w14:textId="77777777" w:rsidR="00F37C27" w:rsidRPr="008E0833" w:rsidRDefault="00F37C27" w:rsidP="00F37C27">
      <w:pPr>
        <w:rPr>
          <w:rFonts w:ascii="Times New Roman" w:hAnsi="Times New Roman" w:cs="Times New Roman"/>
          <w:b/>
          <w:bCs/>
        </w:rPr>
      </w:pPr>
      <w:r w:rsidRPr="008E0833">
        <w:rPr>
          <w:rFonts w:ascii="Times New Roman" w:hAnsi="Times New Roman" w:cs="Times New Roman"/>
          <w:b/>
          <w:bCs/>
        </w:rPr>
        <w:t>Table 3. Income class × Livestock ownership</w:t>
      </w:r>
    </w:p>
    <w:tbl>
      <w:tblPr>
        <w:tblStyle w:val="TableGrid"/>
        <w:tblW w:w="9348" w:type="dxa"/>
        <w:tblLook w:val="04A0" w:firstRow="1" w:lastRow="0" w:firstColumn="1" w:lastColumn="0" w:noHBand="0" w:noVBand="1"/>
      </w:tblPr>
      <w:tblGrid>
        <w:gridCol w:w="3116"/>
        <w:gridCol w:w="3116"/>
        <w:gridCol w:w="3116"/>
      </w:tblGrid>
      <w:tr w:rsidR="00F37C27" w:rsidRPr="004D1918" w14:paraId="586D2A0A" w14:textId="77777777" w:rsidTr="00F37C27">
        <w:tc>
          <w:tcPr>
            <w:tcW w:w="3116" w:type="dxa"/>
            <w:vAlign w:val="center"/>
          </w:tcPr>
          <w:p w14:paraId="5183859D" w14:textId="3F616A75"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b/>
                <w:bCs/>
              </w:rPr>
              <w:t>Income class</w:t>
            </w:r>
          </w:p>
        </w:tc>
        <w:tc>
          <w:tcPr>
            <w:tcW w:w="3116" w:type="dxa"/>
            <w:vAlign w:val="center"/>
          </w:tcPr>
          <w:p w14:paraId="3DA9C342" w14:textId="173DD5F6"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b/>
                <w:bCs/>
              </w:rPr>
              <w:t>Livestock – Yes</w:t>
            </w:r>
          </w:p>
        </w:tc>
        <w:tc>
          <w:tcPr>
            <w:tcW w:w="3116" w:type="dxa"/>
            <w:vAlign w:val="center"/>
          </w:tcPr>
          <w:p w14:paraId="34B4920B" w14:textId="3A45EE79"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b/>
                <w:bCs/>
              </w:rPr>
              <w:t>Livestock – No</w:t>
            </w:r>
          </w:p>
        </w:tc>
      </w:tr>
      <w:tr w:rsidR="00F37C27" w:rsidRPr="004D1918" w14:paraId="4FF94C7C" w14:textId="77777777" w:rsidTr="00F37C27">
        <w:tc>
          <w:tcPr>
            <w:tcW w:w="3116" w:type="dxa"/>
            <w:vAlign w:val="center"/>
          </w:tcPr>
          <w:p w14:paraId="363D6405" w14:textId="27DA62F6"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&lt;20 lakh</w:t>
            </w:r>
          </w:p>
        </w:tc>
        <w:tc>
          <w:tcPr>
            <w:tcW w:w="3116" w:type="dxa"/>
            <w:vAlign w:val="center"/>
          </w:tcPr>
          <w:p w14:paraId="6C32D42D" w14:textId="00134A64"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41</w:t>
            </w:r>
          </w:p>
        </w:tc>
        <w:tc>
          <w:tcPr>
            <w:tcW w:w="3116" w:type="dxa"/>
            <w:vAlign w:val="center"/>
          </w:tcPr>
          <w:p w14:paraId="7502C3AC" w14:textId="7F199BB1"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9</w:t>
            </w:r>
          </w:p>
        </w:tc>
      </w:tr>
      <w:tr w:rsidR="00F37C27" w:rsidRPr="004D1918" w14:paraId="7E62A8D5" w14:textId="77777777" w:rsidTr="00F37C27">
        <w:tc>
          <w:tcPr>
            <w:tcW w:w="3116" w:type="dxa"/>
            <w:vAlign w:val="center"/>
          </w:tcPr>
          <w:p w14:paraId="1CFA5AC2" w14:textId="1476CC71"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20–50 lakh</w:t>
            </w:r>
          </w:p>
        </w:tc>
        <w:tc>
          <w:tcPr>
            <w:tcW w:w="3116" w:type="dxa"/>
            <w:vAlign w:val="center"/>
          </w:tcPr>
          <w:p w14:paraId="4B78970C" w14:textId="2C8DC4F9"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79</w:t>
            </w:r>
          </w:p>
        </w:tc>
        <w:tc>
          <w:tcPr>
            <w:tcW w:w="3116" w:type="dxa"/>
            <w:vAlign w:val="center"/>
          </w:tcPr>
          <w:p w14:paraId="6C4787A4" w14:textId="55CA4797"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29</w:t>
            </w:r>
          </w:p>
        </w:tc>
      </w:tr>
      <w:tr w:rsidR="00F37C27" w:rsidRPr="004D1918" w14:paraId="0A9D6E6B" w14:textId="77777777" w:rsidTr="00F37C27">
        <w:tc>
          <w:tcPr>
            <w:tcW w:w="3116" w:type="dxa"/>
            <w:vAlign w:val="center"/>
          </w:tcPr>
          <w:p w14:paraId="14103784" w14:textId="4C296277"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50–80 lakh</w:t>
            </w:r>
          </w:p>
        </w:tc>
        <w:tc>
          <w:tcPr>
            <w:tcW w:w="3116" w:type="dxa"/>
            <w:vAlign w:val="center"/>
          </w:tcPr>
          <w:p w14:paraId="4D2E8B09" w14:textId="6AB35DAC"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14</w:t>
            </w:r>
          </w:p>
        </w:tc>
        <w:tc>
          <w:tcPr>
            <w:tcW w:w="3116" w:type="dxa"/>
            <w:vAlign w:val="center"/>
          </w:tcPr>
          <w:p w14:paraId="0D98A812" w14:textId="7E1D85A5"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1</w:t>
            </w:r>
          </w:p>
        </w:tc>
      </w:tr>
    </w:tbl>
    <w:p w14:paraId="6B7123C8" w14:textId="77777777" w:rsidR="00A83234" w:rsidRPr="004D1918" w:rsidRDefault="00A83234" w:rsidP="00142717">
      <w:pPr>
        <w:jc w:val="both"/>
        <w:rPr>
          <w:rFonts w:ascii="Times New Roman" w:hAnsi="Times New Roman" w:cs="Times New Roman"/>
          <w:color w:val="EE0000"/>
        </w:rPr>
      </w:pPr>
    </w:p>
    <w:p w14:paraId="4C037774" w14:textId="73697F6D" w:rsidR="00EC2DBB" w:rsidRDefault="00EC2DBB" w:rsidP="00EC2DBB">
      <w:pPr>
        <w:spacing w:after="0"/>
        <w:jc w:val="center"/>
        <w:rPr>
          <w:color w:val="EE0000"/>
        </w:rPr>
      </w:pPr>
      <w:r>
        <w:rPr>
          <w:noProof/>
        </w:rPr>
        <w:drawing>
          <wp:inline distT="0" distB="0" distL="0" distR="0" wp14:anchorId="620F2B03" wp14:editId="509E7210">
            <wp:extent cx="5848350" cy="4391025"/>
            <wp:effectExtent l="0" t="0" r="0" b="9525"/>
            <wp:docPr id="19229113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8350" cy="4391025"/>
                    </a:xfrm>
                    <a:prstGeom prst="rect">
                      <a:avLst/>
                    </a:prstGeom>
                    <a:noFill/>
                    <a:ln>
                      <a:noFill/>
                    </a:ln>
                  </pic:spPr>
                </pic:pic>
              </a:graphicData>
            </a:graphic>
          </wp:inline>
        </w:drawing>
      </w:r>
    </w:p>
    <w:p w14:paraId="73316B7F" w14:textId="1FC824EA" w:rsidR="00EC2DBB" w:rsidRPr="008E0833" w:rsidRDefault="00EC2DBB" w:rsidP="00EC2DBB">
      <w:pPr>
        <w:jc w:val="center"/>
        <w:rPr>
          <w:b/>
          <w:bCs/>
        </w:rPr>
      </w:pPr>
      <w:r w:rsidRPr="008E0833">
        <w:rPr>
          <w:b/>
          <w:bCs/>
        </w:rPr>
        <w:t xml:space="preserve">Figure </w:t>
      </w:r>
      <w:r>
        <w:rPr>
          <w:b/>
          <w:bCs/>
        </w:rPr>
        <w:t>3</w:t>
      </w:r>
      <w:r w:rsidRPr="008E0833">
        <w:rPr>
          <w:b/>
          <w:bCs/>
        </w:rPr>
        <w:t xml:space="preserve"> – Income × Livestock</w:t>
      </w:r>
    </w:p>
    <w:p w14:paraId="124833F1" w14:textId="77777777" w:rsidR="00EC2DBB" w:rsidRDefault="00EC2DBB" w:rsidP="00142717">
      <w:pPr>
        <w:jc w:val="both"/>
        <w:rPr>
          <w:color w:val="EE0000"/>
        </w:rPr>
      </w:pPr>
    </w:p>
    <w:p w14:paraId="020632D5" w14:textId="793B1A69" w:rsidR="000E00D2" w:rsidRPr="008A17FA" w:rsidRDefault="000E00D2" w:rsidP="00142717">
      <w:pPr>
        <w:jc w:val="both"/>
        <w:rPr>
          <w:rFonts w:ascii="Times New Roman" w:hAnsi="Times New Roman" w:cs="Times New Roman"/>
          <w:i/>
          <w:iCs/>
          <w:color w:val="000000" w:themeColor="text1"/>
        </w:rPr>
      </w:pPr>
      <w:r w:rsidRPr="008A17FA">
        <w:rPr>
          <w:rFonts w:ascii="Times New Roman" w:hAnsi="Times New Roman" w:cs="Times New Roman"/>
          <w:i/>
          <w:iCs/>
          <w:color w:val="000000" w:themeColor="text1"/>
        </w:rPr>
        <w:t>4.4 Agroforestry Adopted vs. Income Level</w:t>
      </w:r>
    </w:p>
    <w:p w14:paraId="66330017" w14:textId="77777777" w:rsidR="004F500E" w:rsidRDefault="004F500E" w:rsidP="004F500E">
      <w:pPr>
        <w:jc w:val="both"/>
        <w:rPr>
          <w:rFonts w:ascii="Times New Roman" w:hAnsi="Times New Roman" w:cs="Times New Roman"/>
          <w:color w:val="000000" w:themeColor="text1"/>
        </w:rPr>
      </w:pPr>
      <w:r w:rsidRPr="004F500E">
        <w:rPr>
          <w:rFonts w:ascii="Times New Roman" w:hAnsi="Times New Roman" w:cs="Times New Roman"/>
          <w:color w:val="000000" w:themeColor="text1"/>
        </w:rPr>
        <w:lastRenderedPageBreak/>
        <w:t>As demonstrated in Table 4 and Figure 4 by the presence of trees on their farms, all income classes appear to have adopted agroforestry practices. For example, in the 20 – 50 lakh income class, 96 out of 108 households practiced agroforestry. Likewise, in the &lt;20 lakh income class, 49 out of 50 households still taxed their trees. In fact, the adoption rate of agroforestry in the 50 – 80 lakh income class was extremely high as demonstrated by 14 of the 15 households. These data indicate that agroforestry cultivation systems are not only practiced throughout the forest fringe communities but also represent an essential element of the overall livelihood system of these communities.</w:t>
      </w:r>
    </w:p>
    <w:p w14:paraId="7FC0E819" w14:textId="77777777" w:rsidR="00A44A1E" w:rsidRPr="008E0833" w:rsidRDefault="00A44A1E" w:rsidP="00A44A1E">
      <w:pPr>
        <w:spacing w:after="0"/>
        <w:rPr>
          <w:rFonts w:ascii="Times New Roman" w:hAnsi="Times New Roman" w:cs="Times New Roman"/>
          <w:b/>
          <w:bCs/>
        </w:rPr>
      </w:pPr>
      <w:r w:rsidRPr="008E0833">
        <w:rPr>
          <w:rFonts w:ascii="Times New Roman" w:hAnsi="Times New Roman" w:cs="Times New Roman"/>
          <w:b/>
          <w:bCs/>
        </w:rPr>
        <w:t>Table 4. Income class × Agroforestry (Trees on farm)</w:t>
      </w:r>
    </w:p>
    <w:tbl>
      <w:tblPr>
        <w:tblStyle w:val="TableGrid"/>
        <w:tblW w:w="9348" w:type="dxa"/>
        <w:tblLook w:val="04A0" w:firstRow="1" w:lastRow="0" w:firstColumn="1" w:lastColumn="0" w:noHBand="0" w:noVBand="1"/>
      </w:tblPr>
      <w:tblGrid>
        <w:gridCol w:w="3116"/>
        <w:gridCol w:w="3116"/>
        <w:gridCol w:w="3116"/>
      </w:tblGrid>
      <w:tr w:rsidR="00A44A1E" w:rsidRPr="004D1918" w14:paraId="35F6E138" w14:textId="77777777" w:rsidTr="00A44A1E">
        <w:tc>
          <w:tcPr>
            <w:tcW w:w="3116" w:type="dxa"/>
            <w:vAlign w:val="center"/>
          </w:tcPr>
          <w:p w14:paraId="4A3AC05E" w14:textId="38AD659E"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b/>
                <w:bCs/>
              </w:rPr>
              <w:t>Income class</w:t>
            </w:r>
          </w:p>
        </w:tc>
        <w:tc>
          <w:tcPr>
            <w:tcW w:w="3116" w:type="dxa"/>
            <w:vAlign w:val="center"/>
          </w:tcPr>
          <w:p w14:paraId="4AF2A44C" w14:textId="6F2022BB"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b/>
                <w:bCs/>
              </w:rPr>
              <w:t>Trees – Yes</w:t>
            </w:r>
          </w:p>
        </w:tc>
        <w:tc>
          <w:tcPr>
            <w:tcW w:w="3116" w:type="dxa"/>
            <w:vAlign w:val="center"/>
          </w:tcPr>
          <w:p w14:paraId="5995E2C1" w14:textId="3EE152F3"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b/>
                <w:bCs/>
              </w:rPr>
              <w:t>Trees – No</w:t>
            </w:r>
          </w:p>
        </w:tc>
      </w:tr>
      <w:tr w:rsidR="00A44A1E" w:rsidRPr="004D1918" w14:paraId="11A515D8" w14:textId="77777777" w:rsidTr="00A44A1E">
        <w:tc>
          <w:tcPr>
            <w:tcW w:w="3116" w:type="dxa"/>
            <w:vAlign w:val="center"/>
          </w:tcPr>
          <w:p w14:paraId="4D6E73E9" w14:textId="65380739"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&lt;20 lakh</w:t>
            </w:r>
          </w:p>
        </w:tc>
        <w:tc>
          <w:tcPr>
            <w:tcW w:w="3116" w:type="dxa"/>
            <w:vAlign w:val="center"/>
          </w:tcPr>
          <w:p w14:paraId="216189B0" w14:textId="3179F278"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49</w:t>
            </w:r>
          </w:p>
        </w:tc>
        <w:tc>
          <w:tcPr>
            <w:tcW w:w="3116" w:type="dxa"/>
            <w:vAlign w:val="center"/>
          </w:tcPr>
          <w:p w14:paraId="35EBE8D3" w14:textId="2E57BA7D"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w:t>
            </w:r>
          </w:p>
        </w:tc>
      </w:tr>
      <w:tr w:rsidR="00A44A1E" w:rsidRPr="004D1918" w14:paraId="00C35F6B" w14:textId="77777777" w:rsidTr="00A44A1E">
        <w:tc>
          <w:tcPr>
            <w:tcW w:w="3116" w:type="dxa"/>
            <w:vAlign w:val="center"/>
          </w:tcPr>
          <w:p w14:paraId="2A1A5028" w14:textId="769A1F87"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20–50 lakh</w:t>
            </w:r>
          </w:p>
        </w:tc>
        <w:tc>
          <w:tcPr>
            <w:tcW w:w="3116" w:type="dxa"/>
            <w:vAlign w:val="center"/>
          </w:tcPr>
          <w:p w14:paraId="4E81E213" w14:textId="11B8813F"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96</w:t>
            </w:r>
          </w:p>
        </w:tc>
        <w:tc>
          <w:tcPr>
            <w:tcW w:w="3116" w:type="dxa"/>
            <w:vAlign w:val="center"/>
          </w:tcPr>
          <w:p w14:paraId="67CAE10B" w14:textId="6E430375"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12</w:t>
            </w:r>
          </w:p>
        </w:tc>
      </w:tr>
      <w:tr w:rsidR="00A44A1E" w:rsidRPr="004D1918" w14:paraId="67CC959F" w14:textId="77777777" w:rsidTr="00A44A1E">
        <w:tc>
          <w:tcPr>
            <w:tcW w:w="3116" w:type="dxa"/>
            <w:vAlign w:val="center"/>
          </w:tcPr>
          <w:p w14:paraId="4183AC6C" w14:textId="1BE89AD7"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50–80 lakh</w:t>
            </w:r>
          </w:p>
        </w:tc>
        <w:tc>
          <w:tcPr>
            <w:tcW w:w="3116" w:type="dxa"/>
            <w:vAlign w:val="center"/>
          </w:tcPr>
          <w:p w14:paraId="737A9242" w14:textId="4588DCFB"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14</w:t>
            </w:r>
          </w:p>
        </w:tc>
        <w:tc>
          <w:tcPr>
            <w:tcW w:w="3116" w:type="dxa"/>
            <w:vAlign w:val="center"/>
          </w:tcPr>
          <w:p w14:paraId="4049E4D0" w14:textId="2E926FD6"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w:t>
            </w:r>
          </w:p>
        </w:tc>
      </w:tr>
    </w:tbl>
    <w:p w14:paraId="3C6DC643" w14:textId="77777777" w:rsidR="004F500E" w:rsidRDefault="004F500E" w:rsidP="004F500E">
      <w:pPr>
        <w:jc w:val="both"/>
        <w:rPr>
          <w:rFonts w:ascii="Times New Roman" w:hAnsi="Times New Roman" w:cs="Times New Roman"/>
          <w:color w:val="000000" w:themeColor="text1"/>
        </w:rPr>
      </w:pPr>
    </w:p>
    <w:p w14:paraId="0206D626" w14:textId="5D3EE871" w:rsidR="008760C2" w:rsidRDefault="008760C2" w:rsidP="008760C2">
      <w:pPr>
        <w:spacing w:after="0"/>
        <w:jc w:val="center"/>
        <w:rPr>
          <w:rFonts w:ascii="Times New Roman" w:hAnsi="Times New Roman" w:cs="Times New Roman"/>
          <w:color w:val="000000" w:themeColor="text1"/>
        </w:rPr>
      </w:pPr>
      <w:r>
        <w:rPr>
          <w:noProof/>
        </w:rPr>
        <w:drawing>
          <wp:inline distT="0" distB="0" distL="0" distR="0" wp14:anchorId="32E9BD15" wp14:editId="09E97F12">
            <wp:extent cx="5848350" cy="4391025"/>
            <wp:effectExtent l="0" t="0" r="0" b="9525"/>
            <wp:docPr id="20971370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48350" cy="4391025"/>
                    </a:xfrm>
                    <a:prstGeom prst="rect">
                      <a:avLst/>
                    </a:prstGeom>
                    <a:noFill/>
                    <a:ln>
                      <a:noFill/>
                    </a:ln>
                  </pic:spPr>
                </pic:pic>
              </a:graphicData>
            </a:graphic>
          </wp:inline>
        </w:drawing>
      </w:r>
    </w:p>
    <w:p w14:paraId="795FADF7" w14:textId="77777777" w:rsidR="008760C2" w:rsidRPr="008E0833" w:rsidRDefault="008760C2" w:rsidP="008760C2">
      <w:pPr>
        <w:jc w:val="center"/>
        <w:rPr>
          <w:b/>
          <w:bCs/>
        </w:rPr>
      </w:pPr>
      <w:r w:rsidRPr="008E0833">
        <w:rPr>
          <w:b/>
          <w:bCs/>
        </w:rPr>
        <w:t>Figure 4 – Income × Agroforestry</w:t>
      </w:r>
    </w:p>
    <w:p w14:paraId="783A8DD2" w14:textId="77777777" w:rsidR="008760C2" w:rsidRPr="008760C2" w:rsidRDefault="008760C2" w:rsidP="004F500E">
      <w:pPr>
        <w:jc w:val="both"/>
        <w:rPr>
          <w:rFonts w:ascii="Times New Roman" w:hAnsi="Times New Roman" w:cs="Times New Roman"/>
          <w:i/>
          <w:iCs/>
          <w:color w:val="000000" w:themeColor="text1"/>
        </w:rPr>
      </w:pPr>
    </w:p>
    <w:p w14:paraId="595C1459" w14:textId="45574FD8" w:rsidR="008760C2" w:rsidRPr="008760C2" w:rsidRDefault="008760C2" w:rsidP="008760C2">
      <w:pPr>
        <w:jc w:val="both"/>
        <w:rPr>
          <w:rFonts w:ascii="Times New Roman" w:hAnsi="Times New Roman" w:cs="Times New Roman"/>
          <w:i/>
          <w:iCs/>
          <w:color w:val="000000" w:themeColor="text1"/>
        </w:rPr>
      </w:pPr>
      <w:r w:rsidRPr="008760C2">
        <w:rPr>
          <w:rFonts w:ascii="Times New Roman" w:hAnsi="Times New Roman" w:cs="Times New Roman"/>
          <w:i/>
          <w:iCs/>
          <w:color w:val="000000" w:themeColor="text1"/>
        </w:rPr>
        <w:t>4.5 Statistical Verification of the Income-</w:t>
      </w:r>
      <w:r w:rsidR="00BB62FB">
        <w:rPr>
          <w:rFonts w:ascii="Times New Roman" w:hAnsi="Times New Roman" w:cs="Times New Roman"/>
          <w:i/>
          <w:iCs/>
          <w:color w:val="000000" w:themeColor="text1"/>
        </w:rPr>
        <w:t>Livelihood</w:t>
      </w:r>
      <w:r w:rsidRPr="008760C2">
        <w:rPr>
          <w:rFonts w:ascii="Times New Roman" w:hAnsi="Times New Roman" w:cs="Times New Roman"/>
          <w:i/>
          <w:iCs/>
          <w:color w:val="000000" w:themeColor="text1"/>
        </w:rPr>
        <w:t xml:space="preserve"> Connections</w:t>
      </w:r>
    </w:p>
    <w:p w14:paraId="52BF96BB" w14:textId="11456860" w:rsidR="008760C2" w:rsidRDefault="008760C2" w:rsidP="008760C2">
      <w:pPr>
        <w:jc w:val="both"/>
        <w:rPr>
          <w:rFonts w:ascii="Times New Roman" w:hAnsi="Times New Roman" w:cs="Times New Roman"/>
          <w:color w:val="000000" w:themeColor="text1"/>
        </w:rPr>
      </w:pPr>
      <w:r w:rsidRPr="008760C2">
        <w:rPr>
          <w:rFonts w:ascii="Times New Roman" w:hAnsi="Times New Roman" w:cs="Times New Roman"/>
          <w:color w:val="000000" w:themeColor="text1"/>
        </w:rPr>
        <w:t xml:space="preserve">The objective of this section was to statistically test for results showing the association of income range to various sources of income, through the use of chi-square </w:t>
      </w:r>
      <w:r w:rsidR="00BB62FB" w:rsidRPr="008760C2">
        <w:rPr>
          <w:rFonts w:ascii="Times New Roman" w:hAnsi="Times New Roman" w:cs="Times New Roman"/>
          <w:color w:val="000000" w:themeColor="text1"/>
        </w:rPr>
        <w:t>tests. A</w:t>
      </w:r>
      <w:r w:rsidRPr="008760C2">
        <w:rPr>
          <w:rFonts w:ascii="Times New Roman" w:hAnsi="Times New Roman" w:cs="Times New Roman"/>
          <w:color w:val="000000" w:themeColor="text1"/>
        </w:rPr>
        <w:t xml:space="preserve"> significant association </w:t>
      </w:r>
      <w:r w:rsidRPr="008760C2">
        <w:rPr>
          <w:rFonts w:ascii="Times New Roman" w:hAnsi="Times New Roman" w:cs="Times New Roman"/>
          <w:color w:val="000000" w:themeColor="text1"/>
        </w:rPr>
        <w:lastRenderedPageBreak/>
        <w:t>was found between income range to occupational structure was established from the analysis (χ² = 18.45, p = 0.001), which indicates that the distribution of occupations is affected by numerous factors (of which government salaried employment is a very significant contributing factor).There was no significant association between income range to livestock ownership (χ² = 3.90, p = 0.142) or agroforestry use (χ² = 3.86, p = 0.145). Therefore, it appears that livestock and agroforestry are similar throughout all income ranges (or are homogeneously distributed) for livelihood purposes. Livestock and agroforestry do not serve as differential income-generating opportunities for the various income ranges.</w:t>
      </w:r>
    </w:p>
    <w:p w14:paraId="1D7C9E63" w14:textId="512A429F" w:rsidR="00813BE1" w:rsidRPr="00D407CE" w:rsidRDefault="00813BE1" w:rsidP="00813BE1">
      <w:pPr>
        <w:spacing w:after="0"/>
        <w:rPr>
          <w:rFonts w:ascii="Times New Roman" w:hAnsi="Times New Roman" w:cs="Times New Roman"/>
          <w:b/>
          <w:bCs/>
        </w:rPr>
      </w:pPr>
      <w:r w:rsidRPr="008E0833">
        <w:rPr>
          <w:rFonts w:ascii="Times New Roman" w:hAnsi="Times New Roman" w:cs="Times New Roman"/>
          <w:b/>
          <w:bCs/>
        </w:rPr>
        <w:t xml:space="preserve">Table </w:t>
      </w:r>
      <w:r w:rsidRPr="00D407CE">
        <w:rPr>
          <w:rFonts w:ascii="Times New Roman" w:hAnsi="Times New Roman" w:cs="Times New Roman"/>
          <w:b/>
          <w:bCs/>
        </w:rPr>
        <w:t>5. Statistical Summary</w:t>
      </w:r>
    </w:p>
    <w:tbl>
      <w:tblPr>
        <w:tblStyle w:val="TableGrid"/>
        <w:tblW w:w="9348" w:type="dxa"/>
        <w:tblLook w:val="04A0" w:firstRow="1" w:lastRow="0" w:firstColumn="1" w:lastColumn="0" w:noHBand="0" w:noVBand="1"/>
      </w:tblPr>
      <w:tblGrid>
        <w:gridCol w:w="2337"/>
        <w:gridCol w:w="2337"/>
        <w:gridCol w:w="2337"/>
        <w:gridCol w:w="2337"/>
      </w:tblGrid>
      <w:tr w:rsidR="00813BE1" w:rsidRPr="00D407CE" w14:paraId="506C333E" w14:textId="77777777" w:rsidTr="00813BE1">
        <w:tc>
          <w:tcPr>
            <w:tcW w:w="2337" w:type="dxa"/>
            <w:vAlign w:val="center"/>
          </w:tcPr>
          <w:p w14:paraId="62B9E9CF" w14:textId="557B3BEA"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Variable</w:t>
            </w:r>
          </w:p>
        </w:tc>
        <w:tc>
          <w:tcPr>
            <w:tcW w:w="2337" w:type="dxa"/>
            <w:vAlign w:val="center"/>
          </w:tcPr>
          <w:p w14:paraId="114B9C9E" w14:textId="73B652CD"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χ²</w:t>
            </w:r>
          </w:p>
        </w:tc>
        <w:tc>
          <w:tcPr>
            <w:tcW w:w="2337" w:type="dxa"/>
            <w:vAlign w:val="center"/>
          </w:tcPr>
          <w:p w14:paraId="1CC41AE3" w14:textId="349377A9"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p-value</w:t>
            </w:r>
          </w:p>
        </w:tc>
        <w:tc>
          <w:tcPr>
            <w:tcW w:w="2337" w:type="dxa"/>
            <w:vAlign w:val="center"/>
          </w:tcPr>
          <w:p w14:paraId="2A4846DD" w14:textId="18626B88"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Interpretation</w:t>
            </w:r>
          </w:p>
        </w:tc>
      </w:tr>
      <w:tr w:rsidR="00813BE1" w:rsidRPr="00D407CE" w14:paraId="7D86B20F" w14:textId="77777777" w:rsidTr="00813BE1">
        <w:tc>
          <w:tcPr>
            <w:tcW w:w="2337" w:type="dxa"/>
            <w:vAlign w:val="center"/>
          </w:tcPr>
          <w:p w14:paraId="156F11E5" w14:textId="12C411C8" w:rsidR="00813BE1" w:rsidRPr="00D407CE" w:rsidRDefault="00813BE1" w:rsidP="00813BE1">
            <w:pPr>
              <w:rPr>
                <w:rFonts w:ascii="Times New Roman" w:hAnsi="Times New Roman" w:cs="Times New Roman"/>
                <w:b/>
                <w:bCs/>
              </w:rPr>
            </w:pPr>
            <w:r w:rsidRPr="0038533D">
              <w:rPr>
                <w:rFonts w:ascii="Times New Roman" w:hAnsi="Times New Roman" w:cs="Times New Roman"/>
              </w:rPr>
              <w:t>Income × Occupation</w:t>
            </w:r>
          </w:p>
        </w:tc>
        <w:tc>
          <w:tcPr>
            <w:tcW w:w="2337" w:type="dxa"/>
            <w:vAlign w:val="center"/>
          </w:tcPr>
          <w:p w14:paraId="610E4393" w14:textId="06EAE32D" w:rsidR="00813BE1" w:rsidRPr="00D407CE" w:rsidRDefault="00813BE1" w:rsidP="00813BE1">
            <w:pPr>
              <w:rPr>
                <w:rFonts w:ascii="Times New Roman" w:hAnsi="Times New Roman" w:cs="Times New Roman"/>
                <w:b/>
                <w:bCs/>
              </w:rPr>
            </w:pPr>
            <w:r w:rsidRPr="0038533D">
              <w:rPr>
                <w:rFonts w:ascii="Times New Roman" w:hAnsi="Times New Roman" w:cs="Times New Roman"/>
              </w:rPr>
              <w:t>18.45</w:t>
            </w:r>
          </w:p>
        </w:tc>
        <w:tc>
          <w:tcPr>
            <w:tcW w:w="2337" w:type="dxa"/>
            <w:vAlign w:val="center"/>
          </w:tcPr>
          <w:p w14:paraId="7B433FE1" w14:textId="7C19EDB1" w:rsidR="00813BE1" w:rsidRPr="00D407CE" w:rsidRDefault="00813BE1" w:rsidP="00813BE1">
            <w:pPr>
              <w:rPr>
                <w:rFonts w:ascii="Times New Roman" w:hAnsi="Times New Roman" w:cs="Times New Roman"/>
                <w:b/>
                <w:bCs/>
              </w:rPr>
            </w:pPr>
            <w:r w:rsidRPr="0038533D">
              <w:rPr>
                <w:rFonts w:ascii="Times New Roman" w:hAnsi="Times New Roman" w:cs="Times New Roman"/>
              </w:rPr>
              <w:t>0.001</w:t>
            </w:r>
          </w:p>
        </w:tc>
        <w:tc>
          <w:tcPr>
            <w:tcW w:w="2337" w:type="dxa"/>
            <w:vAlign w:val="center"/>
          </w:tcPr>
          <w:p w14:paraId="5DF6A701" w14:textId="09C08FEC" w:rsidR="00813BE1" w:rsidRPr="00D407CE" w:rsidRDefault="00813BE1" w:rsidP="00813BE1">
            <w:pPr>
              <w:rPr>
                <w:rFonts w:ascii="Times New Roman" w:hAnsi="Times New Roman" w:cs="Times New Roman"/>
                <w:b/>
                <w:bCs/>
              </w:rPr>
            </w:pPr>
            <w:r w:rsidRPr="0038533D">
              <w:rPr>
                <w:rFonts w:ascii="Times New Roman" w:hAnsi="Times New Roman" w:cs="Times New Roman"/>
              </w:rPr>
              <w:t>Significant</w:t>
            </w:r>
          </w:p>
        </w:tc>
      </w:tr>
      <w:tr w:rsidR="00813BE1" w:rsidRPr="00D407CE" w14:paraId="6846983B" w14:textId="77777777" w:rsidTr="00813BE1">
        <w:tc>
          <w:tcPr>
            <w:tcW w:w="2337" w:type="dxa"/>
            <w:vAlign w:val="center"/>
          </w:tcPr>
          <w:p w14:paraId="55EFB97E" w14:textId="3B5E0483" w:rsidR="00813BE1" w:rsidRPr="00D407CE" w:rsidRDefault="00813BE1" w:rsidP="00813BE1">
            <w:pPr>
              <w:rPr>
                <w:rFonts w:ascii="Times New Roman" w:hAnsi="Times New Roman" w:cs="Times New Roman"/>
                <w:b/>
                <w:bCs/>
              </w:rPr>
            </w:pPr>
            <w:r w:rsidRPr="0038533D">
              <w:rPr>
                <w:rFonts w:ascii="Times New Roman" w:hAnsi="Times New Roman" w:cs="Times New Roman"/>
              </w:rPr>
              <w:t>Income × Livestock</w:t>
            </w:r>
          </w:p>
        </w:tc>
        <w:tc>
          <w:tcPr>
            <w:tcW w:w="2337" w:type="dxa"/>
            <w:vAlign w:val="center"/>
          </w:tcPr>
          <w:p w14:paraId="68ABFAF3" w14:textId="20DFDCC6" w:rsidR="00813BE1" w:rsidRPr="00D407CE" w:rsidRDefault="00813BE1" w:rsidP="00813BE1">
            <w:pPr>
              <w:rPr>
                <w:rFonts w:ascii="Times New Roman" w:hAnsi="Times New Roman" w:cs="Times New Roman"/>
                <w:b/>
                <w:bCs/>
              </w:rPr>
            </w:pPr>
            <w:r w:rsidRPr="0038533D">
              <w:rPr>
                <w:rFonts w:ascii="Times New Roman" w:hAnsi="Times New Roman" w:cs="Times New Roman"/>
              </w:rPr>
              <w:t>3.90</w:t>
            </w:r>
          </w:p>
        </w:tc>
        <w:tc>
          <w:tcPr>
            <w:tcW w:w="2337" w:type="dxa"/>
            <w:vAlign w:val="center"/>
          </w:tcPr>
          <w:p w14:paraId="28C736DD" w14:textId="472560D6" w:rsidR="00813BE1" w:rsidRPr="00D407CE" w:rsidRDefault="00813BE1" w:rsidP="00813BE1">
            <w:pPr>
              <w:rPr>
                <w:rFonts w:ascii="Times New Roman" w:hAnsi="Times New Roman" w:cs="Times New Roman"/>
                <w:b/>
                <w:bCs/>
              </w:rPr>
            </w:pPr>
            <w:r w:rsidRPr="0038533D">
              <w:rPr>
                <w:rFonts w:ascii="Times New Roman" w:hAnsi="Times New Roman" w:cs="Times New Roman"/>
              </w:rPr>
              <w:t>0.142</w:t>
            </w:r>
          </w:p>
        </w:tc>
        <w:tc>
          <w:tcPr>
            <w:tcW w:w="2337" w:type="dxa"/>
            <w:vAlign w:val="center"/>
          </w:tcPr>
          <w:p w14:paraId="7D90760D" w14:textId="0000C178" w:rsidR="00813BE1" w:rsidRPr="00D407CE" w:rsidRDefault="00813BE1" w:rsidP="00813BE1">
            <w:pPr>
              <w:rPr>
                <w:rFonts w:ascii="Times New Roman" w:hAnsi="Times New Roman" w:cs="Times New Roman"/>
                <w:b/>
                <w:bCs/>
              </w:rPr>
            </w:pPr>
            <w:r w:rsidRPr="0038533D">
              <w:rPr>
                <w:rFonts w:ascii="Times New Roman" w:hAnsi="Times New Roman" w:cs="Times New Roman"/>
              </w:rPr>
              <w:t>Not significant</w:t>
            </w:r>
          </w:p>
        </w:tc>
      </w:tr>
      <w:tr w:rsidR="00813BE1" w:rsidRPr="00D407CE" w14:paraId="1B5CD726" w14:textId="77777777" w:rsidTr="00813BE1">
        <w:tc>
          <w:tcPr>
            <w:tcW w:w="2337" w:type="dxa"/>
            <w:vAlign w:val="center"/>
          </w:tcPr>
          <w:p w14:paraId="6F5702F1" w14:textId="380AD643" w:rsidR="00813BE1" w:rsidRPr="00D407CE" w:rsidRDefault="00813BE1" w:rsidP="00813BE1">
            <w:pPr>
              <w:rPr>
                <w:rFonts w:ascii="Times New Roman" w:hAnsi="Times New Roman" w:cs="Times New Roman"/>
                <w:b/>
                <w:bCs/>
              </w:rPr>
            </w:pPr>
            <w:r w:rsidRPr="0038533D">
              <w:rPr>
                <w:rFonts w:ascii="Times New Roman" w:hAnsi="Times New Roman" w:cs="Times New Roman"/>
              </w:rPr>
              <w:t>Income × Agroforestry</w:t>
            </w:r>
          </w:p>
        </w:tc>
        <w:tc>
          <w:tcPr>
            <w:tcW w:w="2337" w:type="dxa"/>
            <w:vAlign w:val="center"/>
          </w:tcPr>
          <w:p w14:paraId="7818D32E" w14:textId="12CA8EA1" w:rsidR="00813BE1" w:rsidRPr="00D407CE" w:rsidRDefault="00813BE1" w:rsidP="00813BE1">
            <w:pPr>
              <w:rPr>
                <w:rFonts w:ascii="Times New Roman" w:hAnsi="Times New Roman" w:cs="Times New Roman"/>
                <w:b/>
                <w:bCs/>
              </w:rPr>
            </w:pPr>
            <w:r w:rsidRPr="0038533D">
              <w:rPr>
                <w:rFonts w:ascii="Times New Roman" w:hAnsi="Times New Roman" w:cs="Times New Roman"/>
              </w:rPr>
              <w:t>3.86</w:t>
            </w:r>
          </w:p>
        </w:tc>
        <w:tc>
          <w:tcPr>
            <w:tcW w:w="2337" w:type="dxa"/>
            <w:vAlign w:val="center"/>
          </w:tcPr>
          <w:p w14:paraId="6B6A80D2" w14:textId="7FCE5FEC" w:rsidR="00813BE1" w:rsidRPr="00D407CE" w:rsidRDefault="00813BE1" w:rsidP="00813BE1">
            <w:pPr>
              <w:rPr>
                <w:rFonts w:ascii="Times New Roman" w:hAnsi="Times New Roman" w:cs="Times New Roman"/>
                <w:b/>
                <w:bCs/>
              </w:rPr>
            </w:pPr>
            <w:r w:rsidRPr="0038533D">
              <w:rPr>
                <w:rFonts w:ascii="Times New Roman" w:hAnsi="Times New Roman" w:cs="Times New Roman"/>
              </w:rPr>
              <w:t>0.145</w:t>
            </w:r>
          </w:p>
        </w:tc>
        <w:tc>
          <w:tcPr>
            <w:tcW w:w="2337" w:type="dxa"/>
            <w:vAlign w:val="center"/>
          </w:tcPr>
          <w:p w14:paraId="6FDCF4E4" w14:textId="2B42CBBC" w:rsidR="00813BE1" w:rsidRPr="00D407CE" w:rsidRDefault="00813BE1" w:rsidP="00813BE1">
            <w:pPr>
              <w:rPr>
                <w:rFonts w:ascii="Times New Roman" w:hAnsi="Times New Roman" w:cs="Times New Roman"/>
                <w:b/>
                <w:bCs/>
              </w:rPr>
            </w:pPr>
            <w:r w:rsidRPr="0038533D">
              <w:rPr>
                <w:rFonts w:ascii="Times New Roman" w:hAnsi="Times New Roman" w:cs="Times New Roman"/>
              </w:rPr>
              <w:t>Not significant</w:t>
            </w:r>
          </w:p>
        </w:tc>
      </w:tr>
    </w:tbl>
    <w:p w14:paraId="137CD716" w14:textId="77777777" w:rsidR="00813BE1" w:rsidRPr="008E0833" w:rsidRDefault="00813BE1" w:rsidP="00813BE1">
      <w:pPr>
        <w:spacing w:after="0"/>
        <w:rPr>
          <w:rFonts w:ascii="Times New Roman" w:hAnsi="Times New Roman" w:cs="Times New Roman"/>
          <w:b/>
          <w:bCs/>
        </w:rPr>
      </w:pPr>
    </w:p>
    <w:p w14:paraId="6D13DACC" w14:textId="43B1F7CF" w:rsidR="00813BE1" w:rsidRPr="00813BE1" w:rsidRDefault="00813BE1" w:rsidP="008760C2">
      <w:pPr>
        <w:jc w:val="both"/>
        <w:rPr>
          <w:rFonts w:ascii="Times New Roman" w:hAnsi="Times New Roman" w:cs="Times New Roman"/>
          <w:b/>
          <w:bCs/>
          <w:color w:val="000000" w:themeColor="text1"/>
        </w:rPr>
      </w:pPr>
    </w:p>
    <w:p w14:paraId="37C0EF1D" w14:textId="77777777" w:rsidR="00BB62FB" w:rsidRPr="0038533D" w:rsidRDefault="00BB62FB" w:rsidP="008760C2">
      <w:pPr>
        <w:jc w:val="both"/>
        <w:rPr>
          <w:rFonts w:ascii="Times New Roman" w:hAnsi="Times New Roman" w:cs="Times New Roman"/>
          <w:color w:val="000000" w:themeColor="text1"/>
        </w:rPr>
      </w:pPr>
    </w:p>
    <w:p w14:paraId="544B6980" w14:textId="0425F49E" w:rsidR="004D2EED" w:rsidRDefault="00D02372" w:rsidP="00142717">
      <w:pPr>
        <w:jc w:val="both"/>
        <w:rPr>
          <w:rFonts w:ascii="Times New Roman" w:hAnsi="Times New Roman" w:cs="Times New Roman"/>
          <w:b/>
          <w:bCs/>
          <w:color w:val="000000" w:themeColor="text1"/>
        </w:rPr>
      </w:pPr>
      <w:r w:rsidRPr="008A17FA">
        <w:rPr>
          <w:rFonts w:ascii="Times New Roman" w:hAnsi="Times New Roman" w:cs="Times New Roman"/>
          <w:b/>
          <w:bCs/>
          <w:color w:val="000000" w:themeColor="text1"/>
        </w:rPr>
        <w:t>5. Discussion</w:t>
      </w:r>
    </w:p>
    <w:p w14:paraId="0BC825AA" w14:textId="14EFBAE7" w:rsidR="002C39BA" w:rsidRPr="002C39BA"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The current study demonstrates that there is a large number of households that receive their total annual household income from 20 lakh - 50 lakh. This suggests that there is generally </w:t>
      </w:r>
      <w:r w:rsidR="00F53428" w:rsidRPr="002C39BA">
        <w:rPr>
          <w:rFonts w:ascii="Times New Roman" w:hAnsi="Times New Roman" w:cs="Times New Roman"/>
          <w:color w:val="000000" w:themeColor="text1"/>
        </w:rPr>
        <w:t>moderate-income</w:t>
      </w:r>
      <w:r w:rsidRPr="002C39BA">
        <w:rPr>
          <w:rFonts w:ascii="Times New Roman" w:hAnsi="Times New Roman" w:cs="Times New Roman"/>
          <w:color w:val="000000" w:themeColor="text1"/>
        </w:rPr>
        <w:t xml:space="preserve"> stability in the study area’s forest fringe villages. There is no predominant income deprivation in the sample, however, the degree of income differentiation within the community is closely related to patterns of diversification of different types of livelihoods. A statistically significant relationship between income class and the occupational structure of households (χ² = 18.45, p = 0.001) therefore serves to confirm that diversification of livelihood opportunities beyond agriculture is an important factor in shaping overall income levels.</w:t>
      </w:r>
    </w:p>
    <w:p w14:paraId="44682F51" w14:textId="46FDCB8F" w:rsidR="002C39BA" w:rsidRPr="00A30D2D"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A combined agriculture and salaried government employment household is expected to have a higher income level than a household that depends solely on agriculture for its household income. The results of the present analysis are consistent with the broader literature on livelihood diversification and the income-generating activities of rural households (Ellis 2000). Rural households diversify their sources of livelihood through multiple activity types as a strategy to lower their vulnerability and increase their overall economic security. Non-farm or salaried employment have both been well documented in the rural livelihood literature as mechanisms to achieve upward income mobility and decrease exposure to agricultural risk (Reardon et al. 2007), and thus the </w:t>
      </w:r>
      <w:proofErr w:type="spellStart"/>
      <w:r w:rsidRPr="002C39BA">
        <w:rPr>
          <w:rFonts w:ascii="Times New Roman" w:hAnsi="Times New Roman" w:cs="Times New Roman"/>
          <w:color w:val="000000" w:themeColor="text1"/>
        </w:rPr>
        <w:t>centralised</w:t>
      </w:r>
      <w:proofErr w:type="spellEnd"/>
      <w:r w:rsidRPr="002C39BA">
        <w:rPr>
          <w:rFonts w:ascii="Times New Roman" w:hAnsi="Times New Roman" w:cs="Times New Roman"/>
          <w:color w:val="000000" w:themeColor="text1"/>
        </w:rPr>
        <w:t xml:space="preserve"> large proportion of households in the agriculture-plus-government employment income category between 50 lakh and 80 lakh demonstrates the </w:t>
      </w:r>
      <w:proofErr w:type="spellStart"/>
      <w:r w:rsidRPr="002C39BA">
        <w:rPr>
          <w:rFonts w:ascii="Times New Roman" w:hAnsi="Times New Roman" w:cs="Times New Roman"/>
          <w:color w:val="000000" w:themeColor="text1"/>
        </w:rPr>
        <w:t>stabilising</w:t>
      </w:r>
      <w:proofErr w:type="spellEnd"/>
      <w:r w:rsidRPr="002C39BA">
        <w:rPr>
          <w:rFonts w:ascii="Times New Roman" w:hAnsi="Times New Roman" w:cs="Times New Roman"/>
          <w:color w:val="000000" w:themeColor="text1"/>
        </w:rPr>
        <w:t xml:space="preserve"> and income-enhancing effect that secure employment has on mountain-based livelihoods.</w:t>
      </w:r>
    </w:p>
    <w:p w14:paraId="6BEC1BBA" w14:textId="77777777" w:rsidR="002C39BA" w:rsidRPr="002C39BA"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Livestock ownership is very evenly spread out among the different income levels, regardless if they have low or high incomes (χ² = 3.90, p = 0.142). Because livestock are a type of livelihood asset that can be used for structural support rather than simply being a type of investment to </w:t>
      </w:r>
      <w:r w:rsidRPr="002C39BA">
        <w:rPr>
          <w:rFonts w:ascii="Times New Roman" w:hAnsi="Times New Roman" w:cs="Times New Roman"/>
          <w:color w:val="000000" w:themeColor="text1"/>
        </w:rPr>
        <w:lastRenderedPageBreak/>
        <w:t>create wealth, the same findings were found with regards to the ability to provide many different types of benefits for smallholders who raise livestock. These benefits can be used to provide income when annual income fluctuates, provide manure for crops and provide insurance against shock (Herrero et al., 2013). Since livestock are present in both lower-income and middle-income households within the study area, they continue to serve as a basis for rural livelihood resilience.</w:t>
      </w:r>
    </w:p>
    <w:p w14:paraId="3900CF9D" w14:textId="1783CAE6" w:rsidR="002C39BA" w:rsidRPr="00A30D2D"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Similar results were found for agroforestry, as 95% of all farmers regardless of income level, have adopted agroforestry in their farming systems (χ² = 3.86, p = 0.145). The incorporation of trees into the farming systems of these forest-dependent communities makes it an integral part of their traditional farming systems. Farmers use the different outputs from agroforestry such as fodder for livestock, firewood for cooking, fruit for human consumption and timber to build homes as a way to create diverse food sources and decrease their reliance on outside inputs. Studies in rural India have shown that agroforestry can increase rural livelihood resilience, particularly in ecologically fragile areas (D</w:t>
      </w:r>
      <w:r w:rsidR="00F839F8">
        <w:rPr>
          <w:rFonts w:ascii="Times New Roman" w:hAnsi="Times New Roman" w:cs="Times New Roman"/>
          <w:color w:val="000000" w:themeColor="text1"/>
        </w:rPr>
        <w:t>ev</w:t>
      </w:r>
      <w:r w:rsidRPr="002C39BA">
        <w:rPr>
          <w:rFonts w:ascii="Times New Roman" w:hAnsi="Times New Roman" w:cs="Times New Roman"/>
          <w:color w:val="000000" w:themeColor="text1"/>
        </w:rPr>
        <w:t xml:space="preserve"> et al., 20</w:t>
      </w:r>
      <w:r w:rsidR="00F839F8">
        <w:rPr>
          <w:rFonts w:ascii="Times New Roman" w:hAnsi="Times New Roman" w:cs="Times New Roman"/>
          <w:color w:val="000000" w:themeColor="text1"/>
        </w:rPr>
        <w:t>18</w:t>
      </w:r>
      <w:r w:rsidRPr="002C39BA">
        <w:rPr>
          <w:rFonts w:ascii="Times New Roman" w:hAnsi="Times New Roman" w:cs="Times New Roman"/>
          <w:color w:val="000000" w:themeColor="text1"/>
        </w:rPr>
        <w:t>). Therefore, the large number of farms adopting agroforestry can be seen as a mechanism for supporting rural livelihoods rather than just an investment opportunity.</w:t>
      </w:r>
    </w:p>
    <w:p w14:paraId="6F297BD2" w14:textId="77777777" w:rsidR="002C39BA" w:rsidRPr="002C39BA"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Overall, the results taken together support the idea that forest-margin areas are characterized by two distinct types of livelihoods. The first type includes jobs or activities other than what people typically do for their livelihood; e.g., earning a salary for working. Many people in the forest-margin areas are able to find this kind of job and therefore earn a stable income and achieve an upward career path or movement within their community. The second type of </w:t>
      </w:r>
      <w:proofErr w:type="spellStart"/>
      <w:r w:rsidRPr="002C39BA">
        <w:rPr>
          <w:rFonts w:ascii="Times New Roman" w:hAnsi="Times New Roman" w:cs="Times New Roman"/>
          <w:color w:val="000000" w:themeColor="text1"/>
        </w:rPr>
        <w:t>liveli</w:t>
      </w:r>
      <w:proofErr w:type="spellEnd"/>
      <w:r w:rsidRPr="002C39BA">
        <w:rPr>
          <w:rFonts w:ascii="Times New Roman" w:hAnsi="Times New Roman" w:cs="Times New Roman"/>
          <w:color w:val="000000" w:themeColor="text1"/>
        </w:rPr>
        <w:t>-hood is composed of raising livestock and farming in a way that incorporates forests into the farm to create multiple income sources. This practice provides financial stability for all of the different income-earning groups in the margin area.</w:t>
      </w:r>
    </w:p>
    <w:p w14:paraId="3D7B40EC" w14:textId="77777777" w:rsidR="002C39BA"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The integrated total of the two structures mentioned above form a basis for support of the adaptive strategies used by analysis of mountain rural economies; the ecological constraints placed on mountain communities require individuals and families from those communities to develop diversified portfolios of income-earning opportunities, to help distribute risk. The purpose of this study was to look at the structure of livelihoods and income in forest-margin villages in the </w:t>
      </w:r>
      <w:proofErr w:type="spellStart"/>
      <w:r w:rsidRPr="002C39BA">
        <w:rPr>
          <w:rFonts w:ascii="Times New Roman" w:hAnsi="Times New Roman" w:cs="Times New Roman"/>
          <w:color w:val="000000" w:themeColor="text1"/>
        </w:rPr>
        <w:t>Chakrata</w:t>
      </w:r>
      <w:proofErr w:type="spellEnd"/>
      <w:r w:rsidRPr="002C39BA">
        <w:rPr>
          <w:rFonts w:ascii="Times New Roman" w:hAnsi="Times New Roman" w:cs="Times New Roman"/>
          <w:color w:val="000000" w:themeColor="text1"/>
        </w:rPr>
        <w:t xml:space="preserve"> Block by using the responses of 173 households.</w:t>
      </w:r>
    </w:p>
    <w:p w14:paraId="6CDF818C" w14:textId="77777777" w:rsidR="009C2DF9" w:rsidRPr="002C39BA" w:rsidRDefault="009C2DF9" w:rsidP="002C39BA">
      <w:pPr>
        <w:jc w:val="both"/>
        <w:rPr>
          <w:rFonts w:ascii="Times New Roman" w:hAnsi="Times New Roman" w:cs="Times New Roman"/>
          <w:color w:val="000000" w:themeColor="text1"/>
        </w:rPr>
      </w:pPr>
    </w:p>
    <w:p w14:paraId="3071EC70" w14:textId="3AEDD277" w:rsidR="00EE6120" w:rsidRPr="00F53428" w:rsidRDefault="00142717" w:rsidP="00142717">
      <w:pPr>
        <w:jc w:val="both"/>
        <w:rPr>
          <w:rFonts w:ascii="Times New Roman" w:hAnsi="Times New Roman" w:cs="Times New Roman"/>
          <w:b/>
          <w:bCs/>
          <w:color w:val="000000" w:themeColor="text1"/>
        </w:rPr>
      </w:pPr>
      <w:r w:rsidRPr="00F53428">
        <w:rPr>
          <w:rFonts w:ascii="Times New Roman" w:hAnsi="Times New Roman" w:cs="Times New Roman"/>
          <w:b/>
          <w:bCs/>
          <w:color w:val="000000" w:themeColor="text1"/>
        </w:rPr>
        <w:t>6. Conclusion</w:t>
      </w:r>
    </w:p>
    <w:p w14:paraId="212F8064" w14:textId="77DE6356" w:rsidR="009C74EB" w:rsidRP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The study found that most households in the 20-50 lakh income range; therefore, the average incomes of families in the study area are moderate rather than extremes of either wealth or poverty. However, income is directly related to the types of economic activities or occupations that individuals perform.</w:t>
      </w:r>
    </w:p>
    <w:p w14:paraId="32A3451E" w14:textId="714832F5" w:rsidR="009C74EB" w:rsidRP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 xml:space="preserve">Statistical data analysis indicates a significant association between income class and types of jobs or occupations (χ² = 18.45, p = 0.001). Households who perform agriculture and also earn a salary from government jobs are more likely to be in the higher percentage of households than </w:t>
      </w:r>
      <w:r w:rsidRPr="009C74EB">
        <w:rPr>
          <w:rFonts w:ascii="Times New Roman" w:hAnsi="Times New Roman" w:cs="Times New Roman"/>
          <w:color w:val="000000" w:themeColor="text1"/>
        </w:rPr>
        <w:lastRenderedPageBreak/>
        <w:t xml:space="preserve">households that either only farm or rely on government salaries only. Livestock and agroforestry are evenly distributed across all income classes and therefore cannot be relied upon as mechanisms to increase income; these two strategies will serve as the structural and stabilizing components of livelihoods in the forest-margin regions of the </w:t>
      </w:r>
      <w:proofErr w:type="spellStart"/>
      <w:r w:rsidRPr="009C74EB">
        <w:rPr>
          <w:rFonts w:ascii="Times New Roman" w:hAnsi="Times New Roman" w:cs="Times New Roman"/>
          <w:color w:val="000000" w:themeColor="text1"/>
        </w:rPr>
        <w:t>Chakrata</w:t>
      </w:r>
      <w:proofErr w:type="spellEnd"/>
      <w:r w:rsidRPr="009C74EB">
        <w:rPr>
          <w:rFonts w:ascii="Times New Roman" w:hAnsi="Times New Roman" w:cs="Times New Roman"/>
          <w:color w:val="000000" w:themeColor="text1"/>
        </w:rPr>
        <w:t xml:space="preserve"> Block.</w:t>
      </w:r>
    </w:p>
    <w:p w14:paraId="3C9F5FEC" w14:textId="77777777" w:rsidR="009C74EB" w:rsidRP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Forest-fringe communities demonstrate two income structures. One structure promotes wage income through salaries, and the second promotes income stability through the combined use of livestock and agroforestry. In order to develop sustainable rural development policies, interventions must develop employment opportunities that provide safe, steady, or semi-stable paid incomes outside of agricultural sectors. Employment opportunities will enhance rural resident’s ability to enhance their incomes. In addition, support for livestock and agroforestry development must be continuous to ensure food stability, resilience in livelihoods, and ecological sustainability.</w:t>
      </w:r>
    </w:p>
    <w:p w14:paraId="492FBA46" w14:textId="77777777" w:rsid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Forest-fringe areas need to utilize integrated systems of crops, livestock and trees as their fundamental means of livelihood. Policies to promote new jobs through diversification and through strengthening agroforestry and livestock development will result in greater stability of income and less pressure on forest resources in forest-fringe areas. Ultimately these integrated strategies will support economically, socially and environmentally sustainable rural development in the ecologically fragile Himalayan region.</w:t>
      </w:r>
    </w:p>
    <w:p w14:paraId="606B8660" w14:textId="77777777" w:rsidR="00EC279A" w:rsidRPr="0074074D" w:rsidRDefault="00EC279A" w:rsidP="00EC279A">
      <w:pPr>
        <w:jc w:val="both"/>
        <w:rPr>
          <w:rFonts w:ascii="Times New Roman" w:hAnsi="Times New Roman" w:cs="Times New Roman"/>
          <w:color w:val="000000" w:themeColor="text1"/>
        </w:rPr>
      </w:pPr>
    </w:p>
    <w:p w14:paraId="32FBFC6D" w14:textId="6CFDB900" w:rsidR="00EE6120" w:rsidRPr="00142717" w:rsidRDefault="00EE6120" w:rsidP="00142717">
      <w:pPr>
        <w:jc w:val="both"/>
        <w:rPr>
          <w:rFonts w:ascii="Times New Roman" w:hAnsi="Times New Roman" w:cs="Times New Roman"/>
          <w:b/>
          <w:bCs/>
        </w:rPr>
      </w:pPr>
      <w:bookmarkStart w:id="4" w:name="_Hlk222311684"/>
      <w:r w:rsidRPr="00142717">
        <w:rPr>
          <w:rFonts w:ascii="Times New Roman" w:hAnsi="Times New Roman" w:cs="Times New Roman"/>
          <w:b/>
          <w:bCs/>
        </w:rPr>
        <w:t xml:space="preserve">References </w:t>
      </w:r>
    </w:p>
    <w:p w14:paraId="34632744" w14:textId="241F694F" w:rsidR="009B35AA" w:rsidRPr="00AE7CB0" w:rsidRDefault="009B35AA"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t xml:space="preserve">Angelsen, A., Jagger, P., </w:t>
      </w:r>
      <w:proofErr w:type="spellStart"/>
      <w:r w:rsidRPr="00AE7CB0">
        <w:rPr>
          <w:rFonts w:ascii="Times New Roman" w:hAnsi="Times New Roman" w:cs="Times New Roman"/>
          <w:color w:val="000000" w:themeColor="text1"/>
        </w:rPr>
        <w:t>Babigumira</w:t>
      </w:r>
      <w:proofErr w:type="spellEnd"/>
      <w:r w:rsidRPr="00AE7CB0">
        <w:rPr>
          <w:rFonts w:ascii="Times New Roman" w:hAnsi="Times New Roman" w:cs="Times New Roman"/>
          <w:color w:val="000000" w:themeColor="text1"/>
        </w:rPr>
        <w:t xml:space="preserve">, R., Belcher, B., Hogarth, N. J., Bauch, S., Börner, J., Smith-Hall, C., &amp; Wunder, S. (2014). Environmental income and rural livelihoods: A global comparative analysis. </w:t>
      </w:r>
      <w:r w:rsidRPr="00AE7CB0">
        <w:rPr>
          <w:rFonts w:ascii="Times New Roman" w:hAnsi="Times New Roman" w:cs="Times New Roman"/>
          <w:i/>
          <w:iCs/>
          <w:color w:val="000000" w:themeColor="text1"/>
        </w:rPr>
        <w:t>World Development</w:t>
      </w:r>
      <w:r w:rsidRPr="00AE7CB0">
        <w:rPr>
          <w:rFonts w:ascii="Times New Roman" w:hAnsi="Times New Roman" w:cs="Times New Roman"/>
          <w:color w:val="000000" w:themeColor="text1"/>
        </w:rPr>
        <w:t>, 64, S12–S28.</w:t>
      </w:r>
      <w:hyperlink r:id="rId13" w:history="1">
        <w:r w:rsidRPr="00AE7CB0">
          <w:rPr>
            <w:rStyle w:val="Hyperlink"/>
            <w:rFonts w:ascii="Times New Roman" w:hAnsi="Times New Roman" w:cs="Times New Roman"/>
            <w:color w:val="000000" w:themeColor="text1"/>
          </w:rPr>
          <w:t>https://doi.org/10.1016/j.worlddev.2014.03.006</w:t>
        </w:r>
      </w:hyperlink>
    </w:p>
    <w:p w14:paraId="7B41F5F3" w14:textId="77BFA3BE" w:rsidR="009B35AA" w:rsidRPr="00AE7CB0" w:rsidRDefault="00EC1D6B"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t>Dev, Inder &amp; Ram, Asha &amp; Singh, Ramesh &amp; Kumar, Dhiraj &amp; Kumar, Naresh &amp; Chaturvedi, Om Prakash &amp; Handa, A.K. &amp; A R, Uthappa. (2018). Agroforestry for climate resilience and rural livelihood.</w:t>
      </w:r>
      <w:r w:rsidR="007719CE" w:rsidRPr="00AE7CB0">
        <w:rPr>
          <w:rFonts w:ascii="Times New Roman" w:hAnsi="Times New Roman" w:cs="Times New Roman"/>
          <w:color w:val="000000" w:themeColor="text1"/>
        </w:rPr>
        <w:t>https://www.researchgate.net/publication/330080684_Agroforestry_for_climate_resilience_and_rural_livelihood</w:t>
      </w:r>
    </w:p>
    <w:p w14:paraId="187FF32F" w14:textId="77777777" w:rsidR="009B35AA" w:rsidRPr="00AE7CB0" w:rsidRDefault="009B35AA"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t xml:space="preserve">Ellis F (2000). The determinants of rural livelihood diversification in developing countries. </w:t>
      </w:r>
      <w:r w:rsidRPr="00AE7CB0">
        <w:rPr>
          <w:rFonts w:ascii="Times New Roman" w:hAnsi="Times New Roman" w:cs="Times New Roman"/>
          <w:i/>
          <w:iCs/>
          <w:color w:val="000000" w:themeColor="text1"/>
        </w:rPr>
        <w:t>Journal of Agricultural Economics</w:t>
      </w:r>
      <w:r w:rsidRPr="00AE7CB0">
        <w:rPr>
          <w:rFonts w:ascii="Times New Roman" w:hAnsi="Times New Roman" w:cs="Times New Roman"/>
          <w:color w:val="000000" w:themeColor="text1"/>
        </w:rPr>
        <w:t>, 51(2), 289–302.</w:t>
      </w:r>
      <w:r w:rsidRPr="00AE7CB0">
        <w:rPr>
          <w:rFonts w:ascii="Times New Roman" w:hAnsi="Times New Roman" w:cs="Times New Roman"/>
          <w:color w:val="000000" w:themeColor="text1"/>
        </w:rPr>
        <w:br/>
      </w:r>
      <w:hyperlink r:id="rId14" w:history="1">
        <w:r w:rsidRPr="00AE7CB0">
          <w:rPr>
            <w:rStyle w:val="Hyperlink"/>
            <w:rFonts w:ascii="Times New Roman" w:hAnsi="Times New Roman" w:cs="Times New Roman"/>
            <w:color w:val="000000" w:themeColor="text1"/>
          </w:rPr>
          <w:t>https://doi.org/10.1111/j.1477-9552.2000.tb01229.x</w:t>
        </w:r>
      </w:hyperlink>
    </w:p>
    <w:p w14:paraId="6C8C24DF" w14:textId="77777777" w:rsidR="009B35AA" w:rsidRPr="00AE7CB0" w:rsidRDefault="009B35AA"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t xml:space="preserve">Herrero, M., Thornton, P. K., et al. (2013). Livestock and global change: Emerging issues for sustainable food systems. </w:t>
      </w:r>
      <w:r w:rsidRPr="00AE7CB0">
        <w:rPr>
          <w:rFonts w:ascii="Times New Roman" w:hAnsi="Times New Roman" w:cs="Times New Roman"/>
          <w:i/>
          <w:iCs/>
          <w:color w:val="000000" w:themeColor="text1"/>
        </w:rPr>
        <w:t>Proceedings of the National Academy of Sciences</w:t>
      </w:r>
      <w:r w:rsidRPr="00AE7CB0">
        <w:rPr>
          <w:rFonts w:ascii="Times New Roman" w:hAnsi="Times New Roman" w:cs="Times New Roman"/>
          <w:color w:val="000000" w:themeColor="text1"/>
        </w:rPr>
        <w:t xml:space="preserve">, 110(52), 20878–20881. </w:t>
      </w:r>
      <w:hyperlink r:id="rId15" w:history="1">
        <w:r w:rsidRPr="00AE7CB0">
          <w:rPr>
            <w:rStyle w:val="Hyperlink"/>
            <w:rFonts w:ascii="Times New Roman" w:hAnsi="Times New Roman" w:cs="Times New Roman"/>
            <w:color w:val="000000" w:themeColor="text1"/>
          </w:rPr>
          <w:t>https://doi.org/10.1073/pnas.1321844111</w:t>
        </w:r>
      </w:hyperlink>
    </w:p>
    <w:p w14:paraId="421016EC" w14:textId="1421B502" w:rsidR="000846CB" w:rsidRDefault="009B35AA" w:rsidP="00CF02D0">
      <w:pPr>
        <w:ind w:hanging="720"/>
        <w:jc w:val="both"/>
        <w:rPr>
          <w:color w:val="000000" w:themeColor="text1"/>
        </w:rPr>
      </w:pPr>
      <w:r w:rsidRPr="00AE7CB0">
        <w:rPr>
          <w:rFonts w:ascii="Times New Roman" w:hAnsi="Times New Roman" w:cs="Times New Roman"/>
          <w:color w:val="000000" w:themeColor="text1"/>
        </w:rPr>
        <w:t xml:space="preserve">Reardon, T., </w:t>
      </w:r>
      <w:proofErr w:type="spellStart"/>
      <w:r w:rsidRPr="00AE7CB0">
        <w:rPr>
          <w:rFonts w:ascii="Times New Roman" w:hAnsi="Times New Roman" w:cs="Times New Roman"/>
          <w:color w:val="000000" w:themeColor="text1"/>
        </w:rPr>
        <w:t>Berdegué</w:t>
      </w:r>
      <w:proofErr w:type="spellEnd"/>
      <w:r w:rsidRPr="00AE7CB0">
        <w:rPr>
          <w:rFonts w:ascii="Times New Roman" w:hAnsi="Times New Roman" w:cs="Times New Roman"/>
          <w:color w:val="000000" w:themeColor="text1"/>
        </w:rPr>
        <w:t xml:space="preserve">, J., Barrett, C. B., &amp; Stamoulis, K. (2007). Household income diversification into rural nonfarm activities. </w:t>
      </w:r>
      <w:r w:rsidRPr="00AE7CB0">
        <w:rPr>
          <w:rFonts w:ascii="Times New Roman" w:hAnsi="Times New Roman" w:cs="Times New Roman"/>
          <w:i/>
          <w:iCs/>
          <w:color w:val="000000" w:themeColor="text1"/>
        </w:rPr>
        <w:t>World Development</w:t>
      </w:r>
      <w:r w:rsidRPr="00AE7CB0">
        <w:rPr>
          <w:rFonts w:ascii="Times New Roman" w:hAnsi="Times New Roman" w:cs="Times New Roman"/>
          <w:color w:val="000000" w:themeColor="text1"/>
        </w:rPr>
        <w:t>, 35(7), 115–133.</w:t>
      </w:r>
      <w:r w:rsidRPr="00AE7CB0">
        <w:rPr>
          <w:rFonts w:ascii="Times New Roman" w:hAnsi="Times New Roman" w:cs="Times New Roman"/>
          <w:color w:val="000000" w:themeColor="text1"/>
        </w:rPr>
        <w:br/>
      </w:r>
      <w:hyperlink r:id="rId16" w:history="1">
        <w:r w:rsidR="000846CB" w:rsidRPr="00AE7CB0">
          <w:rPr>
            <w:rStyle w:val="Hyperlink"/>
            <w:rFonts w:ascii="Times New Roman" w:hAnsi="Times New Roman" w:cs="Times New Roman"/>
            <w:color w:val="000000" w:themeColor="text1"/>
          </w:rPr>
          <w:t>https://barrett.dyson.cornell.edu/Papers/IFPRIbookchapter2006Final.pdf</w:t>
        </w:r>
      </w:hyperlink>
    </w:p>
    <w:p w14:paraId="4599EEBE" w14:textId="467FF0F3" w:rsidR="00192E3B" w:rsidRPr="00502B44" w:rsidRDefault="00192E3B" w:rsidP="00CF02D0">
      <w:pPr>
        <w:spacing w:after="200" w:line="276" w:lineRule="auto"/>
        <w:ind w:hanging="720"/>
        <w:jc w:val="both"/>
        <w:rPr>
          <w:rFonts w:ascii="Times New Roman" w:eastAsia="Times New Roman" w:hAnsi="Times New Roman" w:cs="Times New Roman"/>
        </w:rPr>
      </w:pPr>
      <w:r w:rsidRPr="00192E3B">
        <w:rPr>
          <w:rFonts w:ascii="Times New Roman" w:eastAsia="Times New Roman" w:hAnsi="Times New Roman" w:cs="Times New Roman"/>
        </w:rPr>
        <w:t>Yamane T. Statistics: An introductory analysis. 2nd ed. New York: Harper and Row; 1967.</w:t>
      </w:r>
      <w:hyperlink r:id="rId17" w:history="1">
        <w:r w:rsidRPr="00192E3B">
          <w:rPr>
            <w:rFonts w:ascii="Times New Roman" w:eastAsia="Times New Roman" w:hAnsi="Times New Roman" w:cs="Times New Roman"/>
            <w:color w:val="0000FF"/>
            <w:u w:val="single"/>
          </w:rPr>
          <w:t>https://doi.org/10.2307/2237558</w:t>
        </w:r>
      </w:hyperlink>
    </w:p>
    <w:p w14:paraId="3D68D9F2" w14:textId="77777777" w:rsidR="00192E3B" w:rsidRPr="005D5C48" w:rsidRDefault="00192E3B" w:rsidP="00CF02D0">
      <w:pPr>
        <w:pStyle w:val="ListParagraph"/>
        <w:ind w:hanging="720"/>
        <w:jc w:val="both"/>
        <w:rPr>
          <w:rFonts w:ascii="Times New Roman" w:hAnsi="Times New Roman" w:cs="Times New Roman"/>
          <w:color w:val="FF0000"/>
        </w:rPr>
      </w:pPr>
    </w:p>
    <w:bookmarkEnd w:id="4"/>
    <w:p w14:paraId="429AA33F" w14:textId="77777777" w:rsidR="00192E3B" w:rsidRPr="00AE7CB0" w:rsidRDefault="00192E3B" w:rsidP="000846CB">
      <w:pPr>
        <w:jc w:val="both"/>
        <w:rPr>
          <w:rFonts w:ascii="Times New Roman" w:hAnsi="Times New Roman" w:cs="Times New Roman"/>
          <w:color w:val="000000" w:themeColor="text1"/>
        </w:rPr>
      </w:pPr>
    </w:p>
    <w:sectPr w:rsidR="00192E3B" w:rsidRPr="00AE7CB0" w:rsidSect="00A17BE1">
      <w:headerReference w:type="even" r:id="rId18"/>
      <w:headerReference w:type="default" r:id="rId19"/>
      <w:footerReference w:type="even" r:id="rId20"/>
      <w:footerReference w:type="default" r:id="rId21"/>
      <w:headerReference w:type="first" r:id="rId22"/>
      <w:footerReference w:type="first" r:id="rId23"/>
      <w:pgSz w:w="12240" w:h="15840"/>
      <w:pgMar w:top="450" w:right="1440" w:bottom="90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6-02-21T19:54:00Z" w:initials="h">
    <w:p w14:paraId="4D7F3A87" w14:textId="081341FA" w:rsidR="00B25E68" w:rsidRDefault="00B25E68">
      <w:pPr>
        <w:pStyle w:val="CommentText"/>
      </w:pPr>
      <w:r>
        <w:rPr>
          <w:rStyle w:val="CommentReference"/>
        </w:rPr>
        <w:annotationRef/>
      </w:r>
      <w:r>
        <w:t>Please provide a supporting evidence for this assertion. You can rely on a particular research upon which you read this information and relied on it. Otherwise, it can be assumed your own general assumption.</w:t>
      </w:r>
    </w:p>
  </w:comment>
  <w:comment w:id="1" w:author="hp" w:date="2026-02-21T20:01:00Z" w:initials="h">
    <w:p w14:paraId="49034B06" w14:textId="0BE3287B" w:rsidR="00CC2EFC" w:rsidRDefault="00CC2EFC">
      <w:pPr>
        <w:pStyle w:val="CommentText"/>
      </w:pPr>
      <w:r>
        <w:rPr>
          <w:rStyle w:val="CommentReference"/>
        </w:rPr>
        <w:annotationRef/>
      </w:r>
      <w:r>
        <w:t xml:space="preserve">Please it may not be factual that there is not even a single empirical study on this </w:t>
      </w:r>
      <w:r w:rsidR="007B3AF1">
        <w:t xml:space="preserve">subject area. It is therefore not scientifically right to make the conclusion as this as this may be challenged by someone who may know of or might have read of a </w:t>
      </w:r>
      <w:r w:rsidR="00A07831">
        <w:t>research on this specific area.</w:t>
      </w:r>
      <w:r w:rsidR="007B3AF1">
        <w:t xml:space="preserve"> </w:t>
      </w:r>
    </w:p>
  </w:comment>
  <w:comment w:id="2" w:author="hp" w:date="2026-02-21T20:06:00Z" w:initials="h">
    <w:p w14:paraId="6E50516B" w14:textId="61E3DD02" w:rsidR="0085691B" w:rsidRDefault="0085691B">
      <w:pPr>
        <w:pStyle w:val="CommentText"/>
      </w:pPr>
      <w:r>
        <w:rPr>
          <w:rStyle w:val="CommentReference"/>
        </w:rPr>
        <w:annotationRef/>
      </w:r>
      <w:r>
        <w:t>Just an encouragement though not a must, it’s always encouraged that when already provided in the abstract, thesis statement or focus of a paper may not b</w:t>
      </w:r>
      <w:r w:rsidR="002B1EC8">
        <w:t xml:space="preserve">e repeated in the introduction or any other section or part of a research </w:t>
      </w:r>
      <w:r w:rsidR="002B1EC8">
        <w:t>paper.</w:t>
      </w:r>
      <w:bookmarkStart w:id="3" w:name="_GoBack"/>
      <w:bookmarkEnd w:id="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88A07" w14:textId="77777777" w:rsidR="008403B0" w:rsidRDefault="008403B0" w:rsidP="00D946B8">
      <w:pPr>
        <w:spacing w:after="0" w:line="240" w:lineRule="auto"/>
      </w:pPr>
      <w:r>
        <w:separator/>
      </w:r>
    </w:p>
  </w:endnote>
  <w:endnote w:type="continuationSeparator" w:id="0">
    <w:p w14:paraId="09A2C48C" w14:textId="77777777" w:rsidR="008403B0" w:rsidRDefault="008403B0" w:rsidP="00D9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353EA" w14:textId="77777777" w:rsidR="00D946B8" w:rsidRDefault="00D946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F16D2" w14:textId="77777777" w:rsidR="00D946B8" w:rsidRDefault="00D946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587D3" w14:textId="77777777" w:rsidR="00D946B8" w:rsidRDefault="00D94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DF74B" w14:textId="77777777" w:rsidR="008403B0" w:rsidRDefault="008403B0" w:rsidP="00D946B8">
      <w:pPr>
        <w:spacing w:after="0" w:line="240" w:lineRule="auto"/>
      </w:pPr>
      <w:r>
        <w:separator/>
      </w:r>
    </w:p>
  </w:footnote>
  <w:footnote w:type="continuationSeparator" w:id="0">
    <w:p w14:paraId="48CCA3BA" w14:textId="77777777" w:rsidR="008403B0" w:rsidRDefault="008403B0" w:rsidP="00D94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A2E23" w14:textId="28706A3B" w:rsidR="00D946B8" w:rsidRDefault="008403B0">
    <w:pPr>
      <w:pStyle w:val="Header"/>
    </w:pPr>
    <w:r>
      <w:rPr>
        <w:noProof/>
      </w:rPr>
      <w:pict w14:anchorId="0F541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77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9EE2A" w14:textId="1A798339" w:rsidR="00D946B8" w:rsidRDefault="008403B0">
    <w:pPr>
      <w:pStyle w:val="Header"/>
    </w:pPr>
    <w:r>
      <w:rPr>
        <w:noProof/>
      </w:rPr>
      <w:pict w14:anchorId="5911C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77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15B6C" w14:textId="3A3A0BB9" w:rsidR="00D946B8" w:rsidRDefault="008403B0">
    <w:pPr>
      <w:pStyle w:val="Header"/>
    </w:pPr>
    <w:r>
      <w:rPr>
        <w:noProof/>
      </w:rPr>
      <w:pict w14:anchorId="46801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77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9013F"/>
    <w:multiLevelType w:val="hybridMultilevel"/>
    <w:tmpl w:val="FEEE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FF24DE"/>
    <w:multiLevelType w:val="multilevel"/>
    <w:tmpl w:val="2D2C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4F"/>
    <w:rsid w:val="00012800"/>
    <w:rsid w:val="00045114"/>
    <w:rsid w:val="00072291"/>
    <w:rsid w:val="000846CB"/>
    <w:rsid w:val="000C2658"/>
    <w:rsid w:val="000E00D2"/>
    <w:rsid w:val="000F1BE9"/>
    <w:rsid w:val="00136CF3"/>
    <w:rsid w:val="00142717"/>
    <w:rsid w:val="001569AE"/>
    <w:rsid w:val="00166BD6"/>
    <w:rsid w:val="00192E3B"/>
    <w:rsid w:val="00213D12"/>
    <w:rsid w:val="00216BCF"/>
    <w:rsid w:val="002B1EC8"/>
    <w:rsid w:val="002C25DD"/>
    <w:rsid w:val="002C39BA"/>
    <w:rsid w:val="002D584F"/>
    <w:rsid w:val="002E2B0A"/>
    <w:rsid w:val="00321615"/>
    <w:rsid w:val="00346044"/>
    <w:rsid w:val="003A2833"/>
    <w:rsid w:val="00496127"/>
    <w:rsid w:val="00497353"/>
    <w:rsid w:val="004C4174"/>
    <w:rsid w:val="004C602B"/>
    <w:rsid w:val="004D1918"/>
    <w:rsid w:val="004D2EED"/>
    <w:rsid w:val="004E334C"/>
    <w:rsid w:val="004F500E"/>
    <w:rsid w:val="00502B44"/>
    <w:rsid w:val="00504B60"/>
    <w:rsid w:val="00515CF7"/>
    <w:rsid w:val="005653C0"/>
    <w:rsid w:val="00586532"/>
    <w:rsid w:val="00594DFA"/>
    <w:rsid w:val="005E5EC8"/>
    <w:rsid w:val="005F5DF2"/>
    <w:rsid w:val="006F1470"/>
    <w:rsid w:val="00721CD9"/>
    <w:rsid w:val="007325B7"/>
    <w:rsid w:val="00732C87"/>
    <w:rsid w:val="0074074D"/>
    <w:rsid w:val="007719CE"/>
    <w:rsid w:val="00771D54"/>
    <w:rsid w:val="007B3AF1"/>
    <w:rsid w:val="00813BE1"/>
    <w:rsid w:val="00823C7D"/>
    <w:rsid w:val="008403B0"/>
    <w:rsid w:val="0085691B"/>
    <w:rsid w:val="0086282A"/>
    <w:rsid w:val="008760C2"/>
    <w:rsid w:val="008A17FA"/>
    <w:rsid w:val="008B6CF0"/>
    <w:rsid w:val="00961C4D"/>
    <w:rsid w:val="009755A4"/>
    <w:rsid w:val="009B35AA"/>
    <w:rsid w:val="009C2DF9"/>
    <w:rsid w:val="009C74EB"/>
    <w:rsid w:val="009F5516"/>
    <w:rsid w:val="00A07831"/>
    <w:rsid w:val="00A17BE1"/>
    <w:rsid w:val="00A44A1E"/>
    <w:rsid w:val="00A83234"/>
    <w:rsid w:val="00A857CC"/>
    <w:rsid w:val="00AB3275"/>
    <w:rsid w:val="00AE7CB0"/>
    <w:rsid w:val="00B20B8F"/>
    <w:rsid w:val="00B25E68"/>
    <w:rsid w:val="00B626E4"/>
    <w:rsid w:val="00B7387D"/>
    <w:rsid w:val="00B829F9"/>
    <w:rsid w:val="00B82AD0"/>
    <w:rsid w:val="00BB62FB"/>
    <w:rsid w:val="00BC0538"/>
    <w:rsid w:val="00BC255F"/>
    <w:rsid w:val="00BE022A"/>
    <w:rsid w:val="00C32888"/>
    <w:rsid w:val="00C35BD6"/>
    <w:rsid w:val="00C410DD"/>
    <w:rsid w:val="00C41B98"/>
    <w:rsid w:val="00C51687"/>
    <w:rsid w:val="00C75E86"/>
    <w:rsid w:val="00C9548A"/>
    <w:rsid w:val="00CA4A87"/>
    <w:rsid w:val="00CB74ED"/>
    <w:rsid w:val="00CC2EFC"/>
    <w:rsid w:val="00CC61B1"/>
    <w:rsid w:val="00CF02D0"/>
    <w:rsid w:val="00CF792A"/>
    <w:rsid w:val="00D02372"/>
    <w:rsid w:val="00D407CE"/>
    <w:rsid w:val="00D9352E"/>
    <w:rsid w:val="00D946B8"/>
    <w:rsid w:val="00DB2313"/>
    <w:rsid w:val="00DE14EE"/>
    <w:rsid w:val="00E85EC0"/>
    <w:rsid w:val="00EC1D6B"/>
    <w:rsid w:val="00EC279A"/>
    <w:rsid w:val="00EC2DBB"/>
    <w:rsid w:val="00EE6120"/>
    <w:rsid w:val="00F16093"/>
    <w:rsid w:val="00F37C27"/>
    <w:rsid w:val="00F53428"/>
    <w:rsid w:val="00F671D8"/>
    <w:rsid w:val="00F67898"/>
    <w:rsid w:val="00F839F8"/>
    <w:rsid w:val="00FB3D4F"/>
    <w:rsid w:val="00FF1161"/>
    <w:rsid w:val="00FF2BD1"/>
    <w:rsid w:val="00FF3E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4B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3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3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3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3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3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3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3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3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3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3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3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D4F"/>
    <w:rPr>
      <w:rFonts w:eastAsiaTheme="majorEastAsia" w:cstheme="majorBidi"/>
      <w:color w:val="272727" w:themeColor="text1" w:themeTint="D8"/>
    </w:rPr>
  </w:style>
  <w:style w:type="paragraph" w:styleId="Title">
    <w:name w:val="Title"/>
    <w:basedOn w:val="Normal"/>
    <w:next w:val="Normal"/>
    <w:link w:val="TitleChar"/>
    <w:uiPriority w:val="10"/>
    <w:qFormat/>
    <w:rsid w:val="00FB3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D4F"/>
    <w:pPr>
      <w:spacing w:before="160"/>
      <w:jc w:val="center"/>
    </w:pPr>
    <w:rPr>
      <w:i/>
      <w:iCs/>
      <w:color w:val="404040" w:themeColor="text1" w:themeTint="BF"/>
    </w:rPr>
  </w:style>
  <w:style w:type="character" w:customStyle="1" w:styleId="QuoteChar">
    <w:name w:val="Quote Char"/>
    <w:basedOn w:val="DefaultParagraphFont"/>
    <w:link w:val="Quote"/>
    <w:uiPriority w:val="29"/>
    <w:rsid w:val="00FB3D4F"/>
    <w:rPr>
      <w:i/>
      <w:iCs/>
      <w:color w:val="404040" w:themeColor="text1" w:themeTint="BF"/>
    </w:rPr>
  </w:style>
  <w:style w:type="paragraph" w:styleId="ListParagraph">
    <w:name w:val="List Paragraph"/>
    <w:basedOn w:val="Normal"/>
    <w:uiPriority w:val="34"/>
    <w:qFormat/>
    <w:rsid w:val="00FB3D4F"/>
    <w:pPr>
      <w:ind w:left="720"/>
      <w:contextualSpacing/>
    </w:pPr>
  </w:style>
  <w:style w:type="character" w:styleId="IntenseEmphasis">
    <w:name w:val="Intense Emphasis"/>
    <w:basedOn w:val="DefaultParagraphFont"/>
    <w:uiPriority w:val="21"/>
    <w:qFormat/>
    <w:rsid w:val="00FB3D4F"/>
    <w:rPr>
      <w:i/>
      <w:iCs/>
      <w:color w:val="2F5496" w:themeColor="accent1" w:themeShade="BF"/>
    </w:rPr>
  </w:style>
  <w:style w:type="paragraph" w:styleId="IntenseQuote">
    <w:name w:val="Intense Quote"/>
    <w:basedOn w:val="Normal"/>
    <w:next w:val="Normal"/>
    <w:link w:val="IntenseQuoteChar"/>
    <w:uiPriority w:val="30"/>
    <w:qFormat/>
    <w:rsid w:val="00FB3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3D4F"/>
    <w:rPr>
      <w:i/>
      <w:iCs/>
      <w:color w:val="2F5496" w:themeColor="accent1" w:themeShade="BF"/>
    </w:rPr>
  </w:style>
  <w:style w:type="character" w:styleId="IntenseReference">
    <w:name w:val="Intense Reference"/>
    <w:basedOn w:val="DefaultParagraphFont"/>
    <w:uiPriority w:val="32"/>
    <w:qFormat/>
    <w:rsid w:val="00FB3D4F"/>
    <w:rPr>
      <w:b/>
      <w:bCs/>
      <w:smallCaps/>
      <w:color w:val="2F5496" w:themeColor="accent1" w:themeShade="BF"/>
      <w:spacing w:val="5"/>
    </w:rPr>
  </w:style>
  <w:style w:type="character" w:styleId="Hyperlink">
    <w:name w:val="Hyperlink"/>
    <w:basedOn w:val="DefaultParagraphFont"/>
    <w:uiPriority w:val="99"/>
    <w:unhideWhenUsed/>
    <w:rsid w:val="00EE6120"/>
    <w:rPr>
      <w:color w:val="0563C1" w:themeColor="hyperlink"/>
      <w:u w:val="single"/>
    </w:rPr>
  </w:style>
  <w:style w:type="table" w:styleId="TableGrid">
    <w:name w:val="Table Grid"/>
    <w:basedOn w:val="TableNormal"/>
    <w:uiPriority w:val="39"/>
    <w:rsid w:val="00E85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A4A87"/>
    <w:rPr>
      <w:color w:val="605E5C"/>
      <w:shd w:val="clear" w:color="auto" w:fill="E1DFDD"/>
    </w:rPr>
  </w:style>
  <w:style w:type="paragraph" w:styleId="Header">
    <w:name w:val="header"/>
    <w:basedOn w:val="Normal"/>
    <w:link w:val="HeaderChar"/>
    <w:uiPriority w:val="99"/>
    <w:unhideWhenUsed/>
    <w:rsid w:val="00D9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B8"/>
  </w:style>
  <w:style w:type="paragraph" w:styleId="Footer">
    <w:name w:val="footer"/>
    <w:basedOn w:val="Normal"/>
    <w:link w:val="FooterChar"/>
    <w:uiPriority w:val="99"/>
    <w:unhideWhenUsed/>
    <w:rsid w:val="00D94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B8"/>
  </w:style>
  <w:style w:type="character" w:styleId="CommentReference">
    <w:name w:val="annotation reference"/>
    <w:basedOn w:val="DefaultParagraphFont"/>
    <w:uiPriority w:val="99"/>
    <w:semiHidden/>
    <w:unhideWhenUsed/>
    <w:rsid w:val="00B25E68"/>
    <w:rPr>
      <w:sz w:val="16"/>
      <w:szCs w:val="16"/>
    </w:rPr>
  </w:style>
  <w:style w:type="paragraph" w:styleId="CommentText">
    <w:name w:val="annotation text"/>
    <w:basedOn w:val="Normal"/>
    <w:link w:val="CommentTextChar"/>
    <w:uiPriority w:val="99"/>
    <w:semiHidden/>
    <w:unhideWhenUsed/>
    <w:rsid w:val="00B25E68"/>
    <w:pPr>
      <w:spacing w:line="240" w:lineRule="auto"/>
    </w:pPr>
    <w:rPr>
      <w:sz w:val="20"/>
      <w:szCs w:val="20"/>
    </w:rPr>
  </w:style>
  <w:style w:type="character" w:customStyle="1" w:styleId="CommentTextChar">
    <w:name w:val="Comment Text Char"/>
    <w:basedOn w:val="DefaultParagraphFont"/>
    <w:link w:val="CommentText"/>
    <w:uiPriority w:val="99"/>
    <w:semiHidden/>
    <w:rsid w:val="00B25E68"/>
    <w:rPr>
      <w:sz w:val="20"/>
      <w:szCs w:val="20"/>
    </w:rPr>
  </w:style>
  <w:style w:type="paragraph" w:styleId="CommentSubject">
    <w:name w:val="annotation subject"/>
    <w:basedOn w:val="CommentText"/>
    <w:next w:val="CommentText"/>
    <w:link w:val="CommentSubjectChar"/>
    <w:uiPriority w:val="99"/>
    <w:semiHidden/>
    <w:unhideWhenUsed/>
    <w:rsid w:val="00B25E68"/>
    <w:rPr>
      <w:b/>
      <w:bCs/>
    </w:rPr>
  </w:style>
  <w:style w:type="character" w:customStyle="1" w:styleId="CommentSubjectChar">
    <w:name w:val="Comment Subject Char"/>
    <w:basedOn w:val="CommentTextChar"/>
    <w:link w:val="CommentSubject"/>
    <w:uiPriority w:val="99"/>
    <w:semiHidden/>
    <w:rsid w:val="00B25E68"/>
    <w:rPr>
      <w:b/>
      <w:bCs/>
      <w:sz w:val="20"/>
      <w:szCs w:val="20"/>
    </w:rPr>
  </w:style>
  <w:style w:type="paragraph" w:styleId="BalloonText">
    <w:name w:val="Balloon Text"/>
    <w:basedOn w:val="Normal"/>
    <w:link w:val="BalloonTextChar"/>
    <w:uiPriority w:val="99"/>
    <w:semiHidden/>
    <w:unhideWhenUsed/>
    <w:rsid w:val="00B25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3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3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3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3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3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3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3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3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3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3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3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D4F"/>
    <w:rPr>
      <w:rFonts w:eastAsiaTheme="majorEastAsia" w:cstheme="majorBidi"/>
      <w:color w:val="272727" w:themeColor="text1" w:themeTint="D8"/>
    </w:rPr>
  </w:style>
  <w:style w:type="paragraph" w:styleId="Title">
    <w:name w:val="Title"/>
    <w:basedOn w:val="Normal"/>
    <w:next w:val="Normal"/>
    <w:link w:val="TitleChar"/>
    <w:uiPriority w:val="10"/>
    <w:qFormat/>
    <w:rsid w:val="00FB3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D4F"/>
    <w:pPr>
      <w:spacing w:before="160"/>
      <w:jc w:val="center"/>
    </w:pPr>
    <w:rPr>
      <w:i/>
      <w:iCs/>
      <w:color w:val="404040" w:themeColor="text1" w:themeTint="BF"/>
    </w:rPr>
  </w:style>
  <w:style w:type="character" w:customStyle="1" w:styleId="QuoteChar">
    <w:name w:val="Quote Char"/>
    <w:basedOn w:val="DefaultParagraphFont"/>
    <w:link w:val="Quote"/>
    <w:uiPriority w:val="29"/>
    <w:rsid w:val="00FB3D4F"/>
    <w:rPr>
      <w:i/>
      <w:iCs/>
      <w:color w:val="404040" w:themeColor="text1" w:themeTint="BF"/>
    </w:rPr>
  </w:style>
  <w:style w:type="paragraph" w:styleId="ListParagraph">
    <w:name w:val="List Paragraph"/>
    <w:basedOn w:val="Normal"/>
    <w:uiPriority w:val="34"/>
    <w:qFormat/>
    <w:rsid w:val="00FB3D4F"/>
    <w:pPr>
      <w:ind w:left="720"/>
      <w:contextualSpacing/>
    </w:pPr>
  </w:style>
  <w:style w:type="character" w:styleId="IntenseEmphasis">
    <w:name w:val="Intense Emphasis"/>
    <w:basedOn w:val="DefaultParagraphFont"/>
    <w:uiPriority w:val="21"/>
    <w:qFormat/>
    <w:rsid w:val="00FB3D4F"/>
    <w:rPr>
      <w:i/>
      <w:iCs/>
      <w:color w:val="2F5496" w:themeColor="accent1" w:themeShade="BF"/>
    </w:rPr>
  </w:style>
  <w:style w:type="paragraph" w:styleId="IntenseQuote">
    <w:name w:val="Intense Quote"/>
    <w:basedOn w:val="Normal"/>
    <w:next w:val="Normal"/>
    <w:link w:val="IntenseQuoteChar"/>
    <w:uiPriority w:val="30"/>
    <w:qFormat/>
    <w:rsid w:val="00FB3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3D4F"/>
    <w:rPr>
      <w:i/>
      <w:iCs/>
      <w:color w:val="2F5496" w:themeColor="accent1" w:themeShade="BF"/>
    </w:rPr>
  </w:style>
  <w:style w:type="character" w:styleId="IntenseReference">
    <w:name w:val="Intense Reference"/>
    <w:basedOn w:val="DefaultParagraphFont"/>
    <w:uiPriority w:val="32"/>
    <w:qFormat/>
    <w:rsid w:val="00FB3D4F"/>
    <w:rPr>
      <w:b/>
      <w:bCs/>
      <w:smallCaps/>
      <w:color w:val="2F5496" w:themeColor="accent1" w:themeShade="BF"/>
      <w:spacing w:val="5"/>
    </w:rPr>
  </w:style>
  <w:style w:type="character" w:styleId="Hyperlink">
    <w:name w:val="Hyperlink"/>
    <w:basedOn w:val="DefaultParagraphFont"/>
    <w:uiPriority w:val="99"/>
    <w:unhideWhenUsed/>
    <w:rsid w:val="00EE6120"/>
    <w:rPr>
      <w:color w:val="0563C1" w:themeColor="hyperlink"/>
      <w:u w:val="single"/>
    </w:rPr>
  </w:style>
  <w:style w:type="table" w:styleId="TableGrid">
    <w:name w:val="Table Grid"/>
    <w:basedOn w:val="TableNormal"/>
    <w:uiPriority w:val="39"/>
    <w:rsid w:val="00E85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A4A87"/>
    <w:rPr>
      <w:color w:val="605E5C"/>
      <w:shd w:val="clear" w:color="auto" w:fill="E1DFDD"/>
    </w:rPr>
  </w:style>
  <w:style w:type="paragraph" w:styleId="Header">
    <w:name w:val="header"/>
    <w:basedOn w:val="Normal"/>
    <w:link w:val="HeaderChar"/>
    <w:uiPriority w:val="99"/>
    <w:unhideWhenUsed/>
    <w:rsid w:val="00D9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B8"/>
  </w:style>
  <w:style w:type="paragraph" w:styleId="Footer">
    <w:name w:val="footer"/>
    <w:basedOn w:val="Normal"/>
    <w:link w:val="FooterChar"/>
    <w:uiPriority w:val="99"/>
    <w:unhideWhenUsed/>
    <w:rsid w:val="00D94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B8"/>
  </w:style>
  <w:style w:type="character" w:styleId="CommentReference">
    <w:name w:val="annotation reference"/>
    <w:basedOn w:val="DefaultParagraphFont"/>
    <w:uiPriority w:val="99"/>
    <w:semiHidden/>
    <w:unhideWhenUsed/>
    <w:rsid w:val="00B25E68"/>
    <w:rPr>
      <w:sz w:val="16"/>
      <w:szCs w:val="16"/>
    </w:rPr>
  </w:style>
  <w:style w:type="paragraph" w:styleId="CommentText">
    <w:name w:val="annotation text"/>
    <w:basedOn w:val="Normal"/>
    <w:link w:val="CommentTextChar"/>
    <w:uiPriority w:val="99"/>
    <w:semiHidden/>
    <w:unhideWhenUsed/>
    <w:rsid w:val="00B25E68"/>
    <w:pPr>
      <w:spacing w:line="240" w:lineRule="auto"/>
    </w:pPr>
    <w:rPr>
      <w:sz w:val="20"/>
      <w:szCs w:val="20"/>
    </w:rPr>
  </w:style>
  <w:style w:type="character" w:customStyle="1" w:styleId="CommentTextChar">
    <w:name w:val="Comment Text Char"/>
    <w:basedOn w:val="DefaultParagraphFont"/>
    <w:link w:val="CommentText"/>
    <w:uiPriority w:val="99"/>
    <w:semiHidden/>
    <w:rsid w:val="00B25E68"/>
    <w:rPr>
      <w:sz w:val="20"/>
      <w:szCs w:val="20"/>
    </w:rPr>
  </w:style>
  <w:style w:type="paragraph" w:styleId="CommentSubject">
    <w:name w:val="annotation subject"/>
    <w:basedOn w:val="CommentText"/>
    <w:next w:val="CommentText"/>
    <w:link w:val="CommentSubjectChar"/>
    <w:uiPriority w:val="99"/>
    <w:semiHidden/>
    <w:unhideWhenUsed/>
    <w:rsid w:val="00B25E68"/>
    <w:rPr>
      <w:b/>
      <w:bCs/>
    </w:rPr>
  </w:style>
  <w:style w:type="character" w:customStyle="1" w:styleId="CommentSubjectChar">
    <w:name w:val="Comment Subject Char"/>
    <w:basedOn w:val="CommentTextChar"/>
    <w:link w:val="CommentSubject"/>
    <w:uiPriority w:val="99"/>
    <w:semiHidden/>
    <w:rsid w:val="00B25E68"/>
    <w:rPr>
      <w:b/>
      <w:bCs/>
      <w:sz w:val="20"/>
      <w:szCs w:val="20"/>
    </w:rPr>
  </w:style>
  <w:style w:type="paragraph" w:styleId="BalloonText">
    <w:name w:val="Balloon Text"/>
    <w:basedOn w:val="Normal"/>
    <w:link w:val="BalloonTextChar"/>
    <w:uiPriority w:val="99"/>
    <w:semiHidden/>
    <w:unhideWhenUsed/>
    <w:rsid w:val="00B25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worlddev.2014.03.006"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2307/223755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rrett.dyson.cornell.edu/Papers/IFPRIbookchapter2006Final.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73/pnas.1321844111"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11/j.1477-9552.2000.tb01229.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11</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manishdolphin2@gmail.com</dc:creator>
  <cp:keywords/>
  <dc:description/>
  <cp:lastModifiedBy>hp</cp:lastModifiedBy>
  <cp:revision>89</cp:revision>
  <dcterms:created xsi:type="dcterms:W3CDTF">2026-02-05T07:55:00Z</dcterms:created>
  <dcterms:modified xsi:type="dcterms:W3CDTF">2026-02-21T17:06:00Z</dcterms:modified>
</cp:coreProperties>
</file>