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F7170" w14:textId="1625FCFC" w:rsidR="00754C9A" w:rsidRPr="001C77C1" w:rsidRDefault="00545CED" w:rsidP="00441B6F">
      <w:pPr>
        <w:pStyle w:val="Title"/>
        <w:spacing w:after="0"/>
        <w:jc w:val="both"/>
        <w:rPr>
          <w:rFonts w:ascii="Arial" w:hAnsi="Arial" w:cs="Arial"/>
        </w:rPr>
      </w:pPr>
      <w:r w:rsidRPr="001C77C1">
        <w:rPr>
          <w:rFonts w:ascii="Arial" w:hAnsi="Arial" w:cs="Arial"/>
        </w:rPr>
        <w:t>Review Article</w:t>
      </w:r>
    </w:p>
    <w:p w14:paraId="52E0E765" w14:textId="77777777" w:rsidR="00545CED" w:rsidRPr="001C77C1" w:rsidRDefault="00545CED" w:rsidP="00233677">
      <w:pPr>
        <w:spacing w:after="80"/>
        <w:contextualSpacing/>
        <w:jc w:val="center"/>
        <w:rPr>
          <w:rFonts w:ascii="Arial" w:hAnsi="Arial" w:cs="Arial"/>
          <w:b/>
          <w:bCs/>
          <w:spacing w:val="-10"/>
          <w:kern w:val="28"/>
          <w:sz w:val="22"/>
          <w:szCs w:val="22"/>
        </w:rPr>
      </w:pPr>
    </w:p>
    <w:p w14:paraId="4108C7EF" w14:textId="0EBBBA25" w:rsidR="00233677" w:rsidRPr="001C77C1" w:rsidRDefault="00233677" w:rsidP="00233677">
      <w:pPr>
        <w:spacing w:after="80"/>
        <w:contextualSpacing/>
        <w:jc w:val="center"/>
        <w:rPr>
          <w:rFonts w:ascii="Arial" w:hAnsi="Arial" w:cs="Arial"/>
          <w:b/>
          <w:bCs/>
          <w:spacing w:val="-10"/>
          <w:kern w:val="28"/>
          <w:sz w:val="22"/>
          <w:szCs w:val="22"/>
        </w:rPr>
      </w:pPr>
      <w:r w:rsidRPr="001C77C1">
        <w:rPr>
          <w:rFonts w:ascii="Arial" w:hAnsi="Arial" w:cs="Arial"/>
          <w:b/>
          <w:bCs/>
          <w:spacing w:val="-10"/>
          <w:kern w:val="28"/>
          <w:sz w:val="22"/>
          <w:szCs w:val="22"/>
        </w:rPr>
        <w:t>Aquaponics Farming System: A Climate-Smart and Sustainable Approach to Global Food Security</w:t>
      </w:r>
      <w:r w:rsidR="00330867" w:rsidRPr="001C77C1">
        <w:rPr>
          <w:rFonts w:ascii="Arial" w:hAnsi="Arial" w:cs="Arial"/>
          <w:b/>
          <w:bCs/>
          <w:spacing w:val="-10"/>
          <w:kern w:val="28"/>
          <w:sz w:val="22"/>
          <w:szCs w:val="22"/>
        </w:rPr>
        <w:t>: A Review</w:t>
      </w:r>
    </w:p>
    <w:p w14:paraId="21BED736" w14:textId="77777777" w:rsidR="007D22CF" w:rsidRPr="001C77C1" w:rsidRDefault="007D22CF" w:rsidP="00EE23D3">
      <w:pPr>
        <w:spacing w:before="100" w:beforeAutospacing="1" w:after="100" w:afterAutospacing="1"/>
        <w:outlineLvl w:val="2"/>
        <w:rPr>
          <w:rFonts w:ascii="Arial" w:hAnsi="Arial" w:cs="Arial"/>
        </w:rPr>
      </w:pPr>
    </w:p>
    <w:p w14:paraId="2E0CEF22" w14:textId="77777777" w:rsidR="002C57D2" w:rsidRPr="001C77C1" w:rsidRDefault="002C57D2" w:rsidP="00441B6F">
      <w:pPr>
        <w:pStyle w:val="Affiliation"/>
        <w:spacing w:after="0" w:line="240" w:lineRule="auto"/>
        <w:jc w:val="both"/>
        <w:rPr>
          <w:rFonts w:ascii="Arial" w:hAnsi="Arial" w:cs="Arial"/>
        </w:rPr>
      </w:pPr>
    </w:p>
    <w:p w14:paraId="413EA9B1" w14:textId="77777777" w:rsidR="00B01FCD" w:rsidRPr="001C77C1" w:rsidRDefault="005C7C32" w:rsidP="00441B6F">
      <w:pPr>
        <w:pStyle w:val="Copyright"/>
        <w:spacing w:after="0" w:line="240" w:lineRule="auto"/>
        <w:jc w:val="both"/>
        <w:rPr>
          <w:rFonts w:ascii="Arial" w:hAnsi="Arial" w:cs="Arial"/>
        </w:rPr>
        <w:sectPr w:rsidR="00B01FCD" w:rsidRPr="001C77C1" w:rsidSect="003202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C77C1">
        <w:rPr>
          <w:rFonts w:ascii="Arial" w:hAnsi="Arial" w:cs="Arial"/>
        </w:rPr>
      </w:r>
      <w:r w:rsidRPr="001C77C1">
        <w:rPr>
          <w:rFonts w:ascii="Arial" w:hAnsi="Arial" w:cs="Arial"/>
        </w:rPr>
        <w:pict w14:anchorId="6375700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1C77C1">
        <w:rPr>
          <w:rFonts w:ascii="Arial" w:hAnsi="Arial" w:cs="Arial"/>
        </w:rPr>
        <w:t>.</w:t>
      </w:r>
    </w:p>
    <w:p w14:paraId="1C00C9F0" w14:textId="7E20116F" w:rsidR="00B01FCD" w:rsidRPr="001C77C1" w:rsidRDefault="00B01FCD" w:rsidP="00441B6F">
      <w:pPr>
        <w:pStyle w:val="AbstHead"/>
        <w:spacing w:after="0"/>
        <w:jc w:val="both"/>
        <w:rPr>
          <w:rFonts w:ascii="Arial" w:hAnsi="Arial" w:cs="Arial"/>
        </w:rPr>
      </w:pPr>
      <w:r w:rsidRPr="001C77C1">
        <w:rPr>
          <w:rFonts w:ascii="Arial" w:hAnsi="Arial" w:cs="Arial"/>
        </w:rPr>
        <w:t>ABSTRACT</w:t>
      </w:r>
      <w:r w:rsidR="0066510A" w:rsidRPr="001C77C1">
        <w:rPr>
          <w:rFonts w:ascii="Arial" w:hAnsi="Arial" w:cs="Arial"/>
        </w:rPr>
        <w:t xml:space="preserve"> </w:t>
      </w:r>
    </w:p>
    <w:p w14:paraId="654FBF79" w14:textId="77777777" w:rsidR="00790ADA" w:rsidRPr="001C77C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C77C1" w:rsidRPr="001C77C1" w14:paraId="55E43F08" w14:textId="77777777" w:rsidTr="001E44FE">
        <w:tc>
          <w:tcPr>
            <w:tcW w:w="9576" w:type="dxa"/>
            <w:shd w:val="clear" w:color="auto" w:fill="F2F2F2"/>
          </w:tcPr>
          <w:p w14:paraId="3B576431" w14:textId="77777777" w:rsidR="00233677" w:rsidRPr="001C77C1" w:rsidRDefault="00233677" w:rsidP="00233677">
            <w:pPr>
              <w:spacing w:before="100" w:beforeAutospacing="1" w:after="100" w:afterAutospacing="1"/>
              <w:jc w:val="both"/>
              <w:rPr>
                <w:rFonts w:ascii="Arial" w:hAnsi="Arial" w:cs="Arial"/>
              </w:rPr>
            </w:pPr>
            <w:r w:rsidRPr="001C77C1">
              <w:rPr>
                <w:rFonts w:ascii="Arial" w:hAnsi="Arial" w:cs="Arial"/>
                <w:b/>
                <w:bCs/>
              </w:rPr>
              <w:t>INTRODUCTION:</w:t>
            </w:r>
            <w:r w:rsidRPr="001C77C1">
              <w:rPr>
                <w:rFonts w:ascii="Arial" w:hAnsi="Arial" w:cs="Arial"/>
              </w:rPr>
              <w:t xml:space="preserve"> Global food security faces increasing threats from population growth, climate change, land degradation, and unsustainable farming practices. Conventional farming been productive, but it depends heavily on chemical inputs that destroy the soil, decrease biodiversity, and pollute the ecosystems. However, a sustainable alternative is aquaponics, which has emerged as an innovative system that integrates aquaculture and hydroponics in a closed-loop process, where fish waste serves as fertilizer for plants. In contrast, the plants act as biofilters, purifying water for the fish. </w:t>
            </w:r>
          </w:p>
          <w:p w14:paraId="22AB7E26" w14:textId="77777777" w:rsidR="00233677" w:rsidRPr="001C77C1" w:rsidRDefault="00233677" w:rsidP="00233677">
            <w:pPr>
              <w:spacing w:before="100" w:beforeAutospacing="1" w:after="100" w:afterAutospacing="1"/>
              <w:jc w:val="both"/>
              <w:rPr>
                <w:rFonts w:ascii="Arial" w:hAnsi="Arial" w:cs="Arial"/>
              </w:rPr>
            </w:pPr>
            <w:r w:rsidRPr="001C77C1">
              <w:rPr>
                <w:rFonts w:ascii="Arial" w:hAnsi="Arial" w:cs="Arial"/>
                <w:b/>
                <w:bCs/>
              </w:rPr>
              <w:t xml:space="preserve">AIMS: </w:t>
            </w:r>
            <w:bookmarkStart w:id="0" w:name="_Hlk219589998"/>
            <w:r w:rsidRPr="001C77C1">
              <w:rPr>
                <w:rFonts w:ascii="Arial" w:eastAsia="Calibri" w:hAnsi="Arial" w:cs="Arial"/>
                <w:kern w:val="2"/>
              </w:rPr>
              <w:t>This review aims to provide a sustainable and eco-friendly method of food production that keeps fish and crops in symbiotic relationship to the benefit of both, solves food insecurity challenges by producing healthy food free from chemical residues, increases the availability of different kinds of food, makes food crops affordable, and overall, combats malnutrition.</w:t>
            </w:r>
            <w:r w:rsidRPr="001C77C1">
              <w:rPr>
                <w:rFonts w:ascii="Arial" w:hAnsi="Arial" w:cs="Arial"/>
              </w:rPr>
              <w:t xml:space="preserve"> </w:t>
            </w:r>
            <w:bookmarkEnd w:id="0"/>
          </w:p>
          <w:p w14:paraId="2813432F" w14:textId="77777777" w:rsidR="00233677" w:rsidRPr="001C77C1" w:rsidRDefault="00233677" w:rsidP="00233677">
            <w:pPr>
              <w:spacing w:before="100" w:beforeAutospacing="1" w:after="100" w:afterAutospacing="1"/>
              <w:jc w:val="both"/>
              <w:rPr>
                <w:rFonts w:ascii="Arial" w:hAnsi="Arial" w:cs="Arial"/>
              </w:rPr>
            </w:pPr>
            <w:r w:rsidRPr="001C77C1">
              <w:rPr>
                <w:rFonts w:ascii="Arial" w:hAnsi="Arial" w:cs="Arial"/>
                <w:b/>
                <w:bCs/>
              </w:rPr>
              <w:t>Methodology:</w:t>
            </w:r>
            <w:r w:rsidRPr="001C77C1">
              <w:rPr>
                <w:rFonts w:ascii="Arial" w:hAnsi="Arial" w:cs="Arial"/>
              </w:rPr>
              <w:t xml:space="preserve"> The information was obtained from current original research articles, review articles, and scientific reports given a total of 60 published articles from the year 2015 to 2025. This review examines aquaponics principles, technologies, and uses, focusing on vertical farming, </w:t>
            </w:r>
            <w:proofErr w:type="spellStart"/>
            <w:r w:rsidRPr="001C77C1">
              <w:rPr>
                <w:rFonts w:ascii="Arial" w:hAnsi="Arial" w:cs="Arial"/>
              </w:rPr>
              <w:t>biofloc</w:t>
            </w:r>
            <w:proofErr w:type="spellEnd"/>
            <w:r w:rsidRPr="001C77C1">
              <w:rPr>
                <w:rFonts w:ascii="Arial" w:hAnsi="Arial" w:cs="Arial"/>
              </w:rPr>
              <w:t xml:space="preserve"> technology, renewable energy, and IoT-based management. </w:t>
            </w:r>
          </w:p>
          <w:p w14:paraId="06053194" w14:textId="77777777" w:rsidR="00233677" w:rsidRPr="001C77C1" w:rsidRDefault="00233677" w:rsidP="00233677">
            <w:pPr>
              <w:spacing w:before="100" w:beforeAutospacing="1" w:after="100" w:afterAutospacing="1"/>
              <w:jc w:val="both"/>
              <w:rPr>
                <w:rFonts w:ascii="Arial" w:hAnsi="Arial" w:cs="Arial"/>
              </w:rPr>
            </w:pPr>
            <w:r w:rsidRPr="001C77C1">
              <w:rPr>
                <w:rFonts w:ascii="Arial" w:hAnsi="Arial" w:cs="Arial"/>
                <w:b/>
                <w:bCs/>
              </w:rPr>
              <w:t>Results:</w:t>
            </w:r>
            <w:r w:rsidRPr="001C77C1">
              <w:rPr>
                <w:rFonts w:ascii="Arial" w:hAnsi="Arial" w:cs="Arial"/>
              </w:rPr>
              <w:t xml:space="preserve"> Studies report that aquaponics improves nutrition, reduces poverty, and creates jobs, especially for youth and women in urban and rural areas. Evidence shows that aquaponics conserves up to 90% more water than traditional farming, reduces synthetic fertilizer application, and allows year-round cultivation of food crops and fish. </w:t>
            </w:r>
          </w:p>
          <w:p w14:paraId="1DD0FB31" w14:textId="38A00A45" w:rsidR="00233677" w:rsidRPr="001C77C1" w:rsidRDefault="00233677" w:rsidP="00233677">
            <w:pPr>
              <w:spacing w:before="100" w:beforeAutospacing="1" w:after="100" w:afterAutospacing="1"/>
              <w:jc w:val="both"/>
              <w:rPr>
                <w:rFonts w:ascii="Arial" w:hAnsi="Arial" w:cs="Arial"/>
              </w:rPr>
            </w:pPr>
            <w:r w:rsidRPr="001C77C1">
              <w:rPr>
                <w:rFonts w:ascii="Arial" w:hAnsi="Arial" w:cs="Arial"/>
                <w:b/>
                <w:bCs/>
              </w:rPr>
              <w:t>Conclusion:</w:t>
            </w:r>
            <w:r w:rsidRPr="001C77C1">
              <w:rPr>
                <w:rFonts w:ascii="Arial" w:hAnsi="Arial" w:cs="Arial"/>
              </w:rPr>
              <w:t xml:space="preserve"> Based on previous findings, aquaponics is an alternative method in solving food insecurity challenges, while achieving several Sustainable Development Goals.</w:t>
            </w:r>
          </w:p>
          <w:p w14:paraId="53649CE7" w14:textId="6D5A38EF" w:rsidR="00505F06" w:rsidRPr="001C77C1" w:rsidRDefault="00505F06" w:rsidP="00441B6F">
            <w:pPr>
              <w:pStyle w:val="Body"/>
              <w:spacing w:after="0"/>
              <w:rPr>
                <w:rFonts w:ascii="Arial" w:eastAsia="Calibri" w:hAnsi="Arial" w:cs="Arial"/>
                <w:szCs w:val="22"/>
              </w:rPr>
            </w:pPr>
          </w:p>
        </w:tc>
      </w:tr>
    </w:tbl>
    <w:p w14:paraId="3052EC13" w14:textId="77777777" w:rsidR="00636EB2" w:rsidRPr="001C77C1" w:rsidRDefault="00636EB2" w:rsidP="00441B6F">
      <w:pPr>
        <w:pStyle w:val="Body"/>
        <w:spacing w:after="0"/>
        <w:rPr>
          <w:rFonts w:ascii="Arial" w:hAnsi="Arial" w:cs="Arial"/>
          <w:i/>
        </w:rPr>
      </w:pPr>
    </w:p>
    <w:p w14:paraId="78376A64" w14:textId="4FBE04C3" w:rsidR="00A24E7E" w:rsidRPr="001C77C1" w:rsidRDefault="00A24E7E" w:rsidP="00441B6F">
      <w:pPr>
        <w:pStyle w:val="Body"/>
        <w:spacing w:after="0"/>
        <w:rPr>
          <w:rFonts w:ascii="Arial" w:hAnsi="Arial" w:cs="Arial"/>
          <w:i/>
        </w:rPr>
      </w:pPr>
      <w:r w:rsidRPr="001C77C1">
        <w:rPr>
          <w:rFonts w:ascii="Arial" w:hAnsi="Arial" w:cs="Arial"/>
          <w:i/>
        </w:rPr>
        <w:t>Keywords: [</w:t>
      </w:r>
      <w:r w:rsidR="00527EB5" w:rsidRPr="001C77C1">
        <w:rPr>
          <w:rFonts w:ascii="Arial" w:hAnsi="Arial" w:cs="Arial"/>
          <w:i/>
          <w:iCs/>
        </w:rPr>
        <w:t>Aquaponics, Sustainable agriculture, Food security, Hydroponics, Aquaculture, Green technology, Climate-smart farming, Sustainable Development Goals (SDGs</w:t>
      </w:r>
      <w:r w:rsidR="007B1638" w:rsidRPr="001C77C1">
        <w:rPr>
          <w:rFonts w:ascii="Arial" w:hAnsi="Arial" w:cs="Arial"/>
          <w:i/>
          <w:iCs/>
        </w:rPr>
        <w:t>]</w:t>
      </w:r>
    </w:p>
    <w:p w14:paraId="00F98833" w14:textId="77777777" w:rsidR="00790ADA" w:rsidRPr="001C77C1" w:rsidRDefault="00790ADA" w:rsidP="00441B6F">
      <w:pPr>
        <w:pStyle w:val="Body"/>
        <w:spacing w:after="0"/>
        <w:rPr>
          <w:rFonts w:ascii="Arial" w:hAnsi="Arial" w:cs="Arial"/>
          <w:i/>
        </w:rPr>
      </w:pPr>
    </w:p>
    <w:p w14:paraId="7BB4867C" w14:textId="77777777" w:rsidR="0024282C" w:rsidRPr="001C77C1" w:rsidRDefault="0024282C" w:rsidP="00441B6F">
      <w:pPr>
        <w:pStyle w:val="Body"/>
        <w:spacing w:after="0"/>
        <w:rPr>
          <w:rFonts w:ascii="Arial" w:hAnsi="Arial" w:cs="Arial"/>
          <w:i/>
          <w:sz w:val="18"/>
        </w:rPr>
      </w:pPr>
    </w:p>
    <w:p w14:paraId="579842E0" w14:textId="77777777" w:rsidR="00505F06" w:rsidRPr="001C77C1" w:rsidRDefault="00505F06" w:rsidP="00441B6F">
      <w:pPr>
        <w:pStyle w:val="Body"/>
        <w:spacing w:after="0"/>
        <w:rPr>
          <w:rFonts w:ascii="Arial" w:hAnsi="Arial" w:cs="Arial"/>
          <w:i/>
        </w:rPr>
      </w:pPr>
    </w:p>
    <w:p w14:paraId="370BCDFF"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lastRenderedPageBreak/>
        <w:t>1.0 INTRODUCTION</w:t>
      </w:r>
      <w:bookmarkStart w:id="1" w:name="_GoBack"/>
      <w:bookmarkEnd w:id="1"/>
    </w:p>
    <w:p w14:paraId="5AEA78FD"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t>1.1 Background of the Study</w:t>
      </w:r>
    </w:p>
    <w:p w14:paraId="70307B71" w14:textId="26019064" w:rsidR="00CC0C1B" w:rsidRPr="001C77C1" w:rsidRDefault="00CC0C1B" w:rsidP="00CC0C1B">
      <w:pPr>
        <w:spacing w:line="360" w:lineRule="auto"/>
        <w:jc w:val="both"/>
        <w:rPr>
          <w:rFonts w:ascii="Arial" w:eastAsia="Calibri" w:hAnsi="Arial" w:cs="Arial"/>
          <w:kern w:val="2"/>
        </w:rPr>
      </w:pPr>
      <w:r w:rsidRPr="001C77C1">
        <w:rPr>
          <w:rFonts w:ascii="Arial" w:eastAsia="Calibri" w:hAnsi="Arial" w:cs="Arial"/>
          <w:kern w:val="2"/>
        </w:rPr>
        <w:t xml:space="preserve">Ensuring the availability of healthy, safe, and environmentally sustainable food remains a global challenge. Rapid population growth, climate change, land degradation, and socio-economic inequalities continue to threaten food security, particularly in Africa, and are confirmed by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{"citationItems":[{"id":"ITEM-1","itemData":{"DOI":"10.1080/14735903.2017.1293929","ISSN":"1473-5903","author":[{"dropping-particle":"","family":"Hall","given":"C","non-dropping-particle":"","parse-names":false,"suffix":""},{"dropping-particle":"","family":"Dawson","given":"T P","non-dropping-particle":"","parse-names":false,"suffix":""},{"dropping-particle":"","family":"Macdiarmid","given":"J I","non-dropping-particle":"","parse-names":false,"suffix":""},{"dropping-particle":"","family":"Matthews","given":"R B","non-dropping-particle":"","parse-names":false,"suffix":""},{"dropping-particle":"","family":"Smith","given":"P","non-dropping-particle":"","parse-names":false,"suffix":""}],"container-title":"International Journal of Agricultural Sustainability","id":"ITEM-1","issue":"2","issued":{"date-parts":[["2017","3","4"]]},"note":"doi: 10.1080/14735903.2017.1293929","page":"124-135","publisher":"Taylor &amp; Francis","title":"The impact of population growth and climate change on food security in Africa: looking ahead to 2050","type":"article-journal","volume":"15"},"uris":["http://www.mendeley.com/documents/?uuid=cb1b9913-75cc-4216-89a8-4aee996d7b6e"]},{"id":"ITEM-2","itemData":{"DOI":"10.3390/foods14020262","ISSN":"23048158","abstract":"Africa is grappling with severe food security challenges driven by population growth, climate change, land degradation, water scarcity, and socio-economic factors such as poverty and inequality. Climate variability and extreme weather events, including droughts, floods, and heatwaves, are intensifying food insecurity by reducing agricultural productivity, water availability, and livelihoods. This study examines the projected threats to food security in Africa, focusing on changes in temperature, precipitation patterns, and the frequency of extreme weather events. Using an Exponential Growth Model, we estimated the population from 2020 to 2050 across Africa’s five sub-regions. The analysis assumes a 5% reduction in crop yields for every degree of warming above historical levels, with a minimum requirement of 225 kg of cereals per person per year. Climate change is a critical factor in Africa’s food systems, with an average temperature increase of approximately +0.3 °C per decade. By 2050, the total food required to meet the 2100-kilocalorie per adult equivalent per day will rise to 558.7 million tons annually, up from 438.3 million tons in 2020. We conclude that Africa’s current food systems are unsustainable, lacking resilience to climate shocks and relying heavily on rain-fed agriculture with inadequate infrastructure and technology. We call for a transformation in food systems through policy reform, technological and structural changes, solutions to land degradation, and proven methods of increasing crop yields that take the needs of communities into account.","author":[{"dropping-particle":"","family":"Simane","given":"Belay","non-dropping-particle":"","parse-names":false,"suffix":""},{"dropping-particle":"","family":"Kapwata","given":"Thandi","non-dropping-particle":"","parse-names":false,"suffix":""},{"dropping-particle":"","family":"Naidoo","given":"Natasha","non-dropping-particle":"","parse-names":false,"suffix":""},{"dropping-particle":"","family":"Cissé","given":"Guéladio","non-dropping-particle":"","parse-names":false,"suffix":""},{"dropping-particle":"","family":"Wright","given":"Caradee Y.","non-dropping-particle":"","parse-names":false,"suffix":""},{"dropping-particle":"","family":"Berhane","given":"Kiros","non-dropping-particle":"","parse-names":false,"suffix":""}],"container-title":"Foods","id":"ITEM-2","issue":"2","issued":{"date-parts":[["2025"]]},"page":"1-16","title":"Ensuring Africa’s Food Security by 2050: The Role of Population Growth, Climate-Resilient Strategies, and Putative Pathways to Resilience","type":"article-journal","volume":"14"},"uris":["http://www.mendeley.com/documents/?uuid=97de1d49-144c-41b2-8acd-82a683b678ce"]}],"mendeley":{"formattedCitation":"(Hall et al., 2017; Simane et al., 2025)","plainTextFormattedCitation":"(Hall et al., 2017; Simane et al., 2025)","previouslyFormattedCitation":"(Hall et al., 2017; Simane et al., 2025)"},"properties":{"noteIndex":0},"schema":"https://github.com/citation-style-language/schema/raw/master/csl-citation.json"}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(Hall </w:t>
      </w:r>
      <w:r w:rsidRPr="001C77C1">
        <w:rPr>
          <w:rFonts w:ascii="Arial" w:eastAsia="Calibri" w:hAnsi="Arial" w:cs="Arial"/>
          <w:i/>
          <w:iCs/>
          <w:noProof/>
          <w:kern w:val="2"/>
        </w:rPr>
        <w:t xml:space="preserve">et al., </w:t>
      </w:r>
      <w:r w:rsidRPr="001C77C1">
        <w:rPr>
          <w:rFonts w:ascii="Arial" w:eastAsia="Calibri" w:hAnsi="Arial" w:cs="Arial"/>
          <w:noProof/>
          <w:kern w:val="2"/>
        </w:rPr>
        <w:t xml:space="preserve">2017; Simane </w:t>
      </w:r>
      <w:r w:rsidRPr="001C77C1">
        <w:rPr>
          <w:rFonts w:ascii="Arial" w:eastAsia="Calibri" w:hAnsi="Arial" w:cs="Arial"/>
          <w:i/>
          <w:iCs/>
          <w:noProof/>
          <w:kern w:val="2"/>
        </w:rPr>
        <w:t>et al.,</w:t>
      </w:r>
      <w:r w:rsidRPr="001C77C1">
        <w:rPr>
          <w:rFonts w:ascii="Arial" w:eastAsia="Calibri" w:hAnsi="Arial" w:cs="Arial"/>
          <w:noProof/>
          <w:kern w:val="2"/>
        </w:rPr>
        <w:t xml:space="preserve"> 2025)</w:t>
      </w:r>
      <w:r w:rsidRPr="001C77C1">
        <w:rPr>
          <w:rFonts w:ascii="Arial" w:eastAsia="Calibri" w:hAnsi="Arial" w:cs="Arial"/>
          <w:kern w:val="2"/>
        </w:rPr>
        <w:fldChar w:fldCharType="end"/>
      </w:r>
      <w:r w:rsidRPr="001C77C1">
        <w:rPr>
          <w:rFonts w:ascii="Arial" w:eastAsia="Calibri" w:hAnsi="Arial" w:cs="Arial"/>
          <w:kern w:val="2"/>
        </w:rPr>
        <w:t xml:space="preserve">. </w:t>
      </w:r>
      <w:commentRangeStart w:id="2"/>
      <w:r w:rsidRPr="001C77C1">
        <w:rPr>
          <w:rFonts w:ascii="Arial" w:eastAsia="Calibri" w:hAnsi="Arial" w:cs="Arial"/>
          <w:kern w:val="2"/>
        </w:rPr>
        <w:t xml:space="preserve">These challenges faced by </w:t>
      </w:r>
      <w:commentRangeStart w:id="3"/>
      <w:r w:rsidRPr="001C77C1">
        <w:rPr>
          <w:rFonts w:ascii="Arial" w:eastAsia="Calibri" w:hAnsi="Arial" w:cs="Arial"/>
          <w:kern w:val="2"/>
        </w:rPr>
        <w:t>my f</w:t>
      </w:r>
      <w:commentRangeEnd w:id="3"/>
      <w:r w:rsidR="00E30BB9">
        <w:rPr>
          <w:rStyle w:val="CommentReference"/>
          <w:rFonts w:ascii="Times New Roman" w:hAnsi="Times New Roman"/>
          <w:lang w:val="nb-NO" w:eastAsia="nb-NO"/>
        </w:rPr>
        <w:commentReference w:id="3"/>
      </w:r>
      <w:r w:rsidRPr="001C77C1">
        <w:rPr>
          <w:rFonts w:ascii="Arial" w:eastAsia="Calibri" w:hAnsi="Arial" w:cs="Arial"/>
          <w:kern w:val="2"/>
        </w:rPr>
        <w:t>armers across the globe have resulted in unpredictable rainfall and severe droughts</w:t>
      </w:r>
      <w:commentRangeEnd w:id="2"/>
      <w:r w:rsidR="008732BC">
        <w:rPr>
          <w:rStyle w:val="CommentReference"/>
          <w:rFonts w:ascii="Times New Roman" w:hAnsi="Times New Roman"/>
          <w:lang w:val="nb-NO" w:eastAsia="nb-NO"/>
        </w:rPr>
        <w:commentReference w:id="2"/>
      </w:r>
      <w:r w:rsidRPr="001C77C1">
        <w:rPr>
          <w:rFonts w:ascii="Arial" w:eastAsia="Calibri" w:hAnsi="Arial" w:cs="Arial"/>
          <w:kern w:val="2"/>
        </w:rPr>
        <w:t xml:space="preserve">. Due to these changes, rainfall patterns are now irregular and unpredictable, thereby disrupting traditional agricultural calendars. Moreover, farmers who depend solely on rainfall to carry out their agricultural activities affect crop productivity, leading to food insecurity, which aligns with </w:t>
      </w:r>
      <w:commentRangeStart w:id="4"/>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{"citationItems":[{"id":"ITEM-1","itemData":{"DOI":"10.51594/ijarss.v6i7.1300","ISSN":"2706-9176","abstract":"This review examines the intricate relationship between climate change and global food security, elucidating the challenges posed by climate variability and exploring potential solutions to mitigate its adverse effects. Climate change presents formidable obstacles to food security worldwide, disrupting agricultural productivity, exacerbating food shortages, and deepening malnutrition. Shifts in temperature and precipitation patterns, coupled with the increasing frequency of extreme weather events, threaten crop yields, livestock health, and food distribution networks, particularly in vulnerable regions. The review identifies key challenges confronting global food security in the context of climate change, including diminished agricultural productivity, heightened food price volatility, and heightened risks of food insecurity and malnutrition. It underscores the disproportionate impact of climate change on marginalized communities, smallholder farmers, and low-income populations, who bear the brunt of environmental degradation and lack the resources to adapt. In response to these challenges, the review explores a range of solutions and strategies aimed at enhancing food security resilience in a changing climate. It discusses the importance of climate-smart agricultural practices, such as agroforestry, crop diversification, and soil conservation, in bolstering the resilience of agricultural systems and improving resource efficiency. Additionally, the review highlights the significance of enhancing access to climate information, investing in sustainable infrastructure, and promoting gender equity in agriculture to foster inclusive and adaptive food systems. Furthermore, the review underscores the critical role of policy interventions, international collaboration, and community engagement in addressing climate-related food security challenges and advancing sustainable development goals. By integrating climate adaptation and mitigation measures into agricultural policies, promoting research and innovation, and fostering multi-stakeholder partnerships, it is possible to build more resilient and equitable food systems that can withstand the impacts of climate change and ensure food security for all. In conclusion, the review emphasizes the urgency of concerted action to address the complex interplay between climate change and global food security. Through collective efforts and targeted interventions, it is feasible to mitigate the adverse effects of climate c…","author":[{"dropping-particle":"","family":"Adekunle Stephen Toromade","given":"","non-dropping-particle":"","parse-names":false,"suffix":""},{"dropping-particle":"","family":"Deborah Aanuoluwa Soyombo","given":"","non-dropping-particle":"","parse-names":false,"suffix":""},{"dropping-particle":"","family":"Eseoghene Kupa","given":"","non-dropping-particle":"","parse-names":false,"suffix":""},{"dropping-particle":"","family":"Tochukwu Ignatius Ijomah","given":"","non-dropping-particle":"","parse-names":false,"suffix":""}],"container-title":"International Journal of Applied Research in Social Sciences","id":"ITEM-1","issue":"7","issued":{"date-parts":[["2024"]]},"page":"1403-1416","title":"Reviewing the impact of climate change on global food security: Challenges and solutions","type":"article-journal","volume":"6"},"uris":["http://www.mendeley.com/documents/?uuid=863fbfd9-5b9e-4f5e-bc38-c8a93e355e07"]}],"mendeley":{"formattedCitation":"(Adekunle Stephen Toromade et al., 2024)","manualFormatting":"(Toromade et al., 2024)","plainTextFormattedCitation":"(Adekunle Stephen Toromade et al., 2024)","previouslyFormattedCitation":"(Adekunle Stephen Toromade et al.,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(Toromade </w:t>
      </w:r>
      <w:r w:rsidRPr="001C77C1">
        <w:rPr>
          <w:rFonts w:ascii="Arial" w:eastAsia="Calibri" w:hAnsi="Arial" w:cs="Arial"/>
          <w:i/>
          <w:iCs/>
          <w:noProof/>
          <w:kern w:val="2"/>
        </w:rPr>
        <w:t>et al.,</w:t>
      </w:r>
      <w:r w:rsidRPr="001C77C1">
        <w:rPr>
          <w:rFonts w:ascii="Arial" w:eastAsia="Calibri" w:hAnsi="Arial" w:cs="Arial"/>
          <w:noProof/>
          <w:kern w:val="2"/>
        </w:rPr>
        <w:t xml:space="preserve"> 2024)</w:t>
      </w:r>
      <w:r w:rsidRPr="001C77C1">
        <w:rPr>
          <w:rFonts w:ascii="Arial" w:eastAsia="Calibri" w:hAnsi="Arial" w:cs="Arial"/>
          <w:kern w:val="2"/>
        </w:rPr>
        <w:fldChar w:fldCharType="end"/>
      </w:r>
      <w:r w:rsidRPr="001C77C1">
        <w:rPr>
          <w:rFonts w:ascii="Arial" w:eastAsia="Calibri" w:hAnsi="Arial" w:cs="Arial"/>
          <w:kern w:val="2"/>
        </w:rPr>
        <w:t xml:space="preserve">, </w:t>
      </w:r>
      <w:commentRangeEnd w:id="4"/>
      <w:r w:rsidR="001C77C1" w:rsidRPr="001C77C1">
        <w:rPr>
          <w:rStyle w:val="CommentReference"/>
          <w:rFonts w:ascii="Times New Roman" w:hAnsi="Times New Roman"/>
          <w:lang w:val="nb-NO" w:eastAsia="nb-NO"/>
        </w:rPr>
        <w:commentReference w:id="4"/>
      </w:r>
      <w:r w:rsidRPr="001C77C1">
        <w:rPr>
          <w:rFonts w:ascii="Arial" w:eastAsia="Calibri" w:hAnsi="Arial" w:cs="Arial"/>
          <w:kern w:val="2"/>
        </w:rPr>
        <w:t xml:space="preserve">that reported changes in temperature, rainfall patterns, and the increased frequency of extreme weather events disrupt crop yields, livestock health, and food productivity. Current intensive farming practices also accelerate soil degradation through nutrient depletion, erosion, salinization, and greenhouse gas emissions, while recurrent droughts have caused nearly half of global grain production losses in the twenty-first century (Kogan </w:t>
      </w:r>
      <w:r w:rsidRPr="001C77C1">
        <w:rPr>
          <w:rFonts w:ascii="Arial" w:eastAsia="Calibri" w:hAnsi="Arial" w:cs="Arial"/>
          <w:i/>
          <w:iCs/>
          <w:kern w:val="2"/>
        </w:rPr>
        <w:t>et al.,</w:t>
      </w:r>
      <w:r w:rsidRPr="001C77C1">
        <w:rPr>
          <w:rFonts w:ascii="Arial" w:eastAsia="Calibri" w:hAnsi="Arial" w:cs="Arial"/>
          <w:kern w:val="2"/>
        </w:rPr>
        <w:t xml:space="preserve"> 2019). Conventional farming practices, such as the application of chemical inputs to enhance the yield and quality of food crops is a major threat to agricultural productivity (</w:t>
      </w:r>
      <w:proofErr w:type="spellStart"/>
      <w:r w:rsidRPr="001C77C1">
        <w:rPr>
          <w:rFonts w:ascii="Arial" w:eastAsia="Calibri" w:hAnsi="Arial" w:cs="Arial"/>
          <w:kern w:val="2"/>
        </w:rPr>
        <w:t>Tayoh</w:t>
      </w:r>
      <w:proofErr w:type="spellEnd"/>
      <w:r w:rsidRPr="001C77C1">
        <w:rPr>
          <w:rFonts w:ascii="Arial" w:eastAsia="Calibri" w:hAnsi="Arial" w:cs="Arial"/>
          <w:kern w:val="2"/>
        </w:rPr>
        <w:t>, 2020). The continuous use of these inputs diminishes soil organic matter, contaminates water, and reduces soil fertility (</w:t>
      </w:r>
      <w:proofErr w:type="spellStart"/>
      <w:r w:rsidRPr="001C77C1">
        <w:rPr>
          <w:rFonts w:ascii="Arial" w:eastAsia="Calibri" w:hAnsi="Arial" w:cs="Arial"/>
          <w:kern w:val="2"/>
        </w:rPr>
        <w:t>Pahalvi</w:t>
      </w:r>
      <w:proofErr w:type="spellEnd"/>
      <w:r w:rsidRPr="001C77C1">
        <w:rPr>
          <w:rFonts w:ascii="Arial" w:eastAsia="Calibri" w:hAnsi="Arial" w:cs="Arial"/>
          <w:kern w:val="2"/>
        </w:rPr>
        <w:t xml:space="preserve"> </w:t>
      </w:r>
      <w:r w:rsidRPr="001C77C1">
        <w:rPr>
          <w:rFonts w:ascii="Arial" w:eastAsia="Calibri" w:hAnsi="Arial" w:cs="Arial"/>
          <w:i/>
          <w:iCs/>
          <w:kern w:val="2"/>
        </w:rPr>
        <w:t>et al.,</w:t>
      </w:r>
      <w:r w:rsidRPr="001C77C1">
        <w:rPr>
          <w:rFonts w:ascii="Arial" w:eastAsia="Calibri" w:hAnsi="Arial" w:cs="Arial"/>
          <w:kern w:val="2"/>
        </w:rPr>
        <w:t xml:space="preserve"> 2021). These also contribute to eutrophication, causing algal blooms and oxygen depletion in aquatic ecosystems (Lan </w:t>
      </w:r>
      <w:r w:rsidRPr="001C77C1">
        <w:rPr>
          <w:rFonts w:ascii="Arial" w:eastAsia="Calibri" w:hAnsi="Arial" w:cs="Arial"/>
          <w:i/>
          <w:iCs/>
          <w:kern w:val="2"/>
        </w:rPr>
        <w:t>et al.,</w:t>
      </w:r>
      <w:r w:rsidRPr="001C77C1">
        <w:rPr>
          <w:rFonts w:ascii="Arial" w:eastAsia="Calibri" w:hAnsi="Arial" w:cs="Arial"/>
          <w:kern w:val="2"/>
        </w:rPr>
        <w:t xml:space="preserve"> 2024). Another major threat is that the global population, projected to reach 9.8 billion by 2050, will place further pressure on already stressed agricultural systems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{"citationItems":[{"id":"ITEM-1","itemData":{"DOI":"10.1016/j.envint.2019.105078","ISSN":"18736750","PMID":"31400601","abstract":"Soils are the most complex and diverse ecosystem in the world. In addition to providing humanity with 98.8% of its food, soils provide a broad range of other services, from carbon storage and greenhouse gas regulation, to flood mitigation and providing support for our sprawling cities. But soil is a finite resource, and rapid human population growth coupled with increasing consumption is placing unprecedented pressure on soils through the intensification of agricultural production – the increasing of crop yield per unit area of soil. Indeed, the human population has increased from ca. 250 million in the year 1000, to 6.1 billion in the year 2000, and is projected to reach 9.8 billion by the year 2050. The current intensification of agricultural practices is already resulting in the unsustainable degradation of soils. Major forms of this degradation include the loss of organic matter and the release of greenhouse gases, the over-application of fertilizers, erosion, contamination, acidification, salinization, and loss of genetic diversity. This ongoing soil degradation is decreasing the long-term ability of soils to provide humans with services, including future food production, and is causing environmental harm. It is imperative that the global society is not shortsighted by focusing solely on the near-immediate benefits of soils, such as food supply. A failure to identify the importance of soil within increasingly intensive agricultural systems will undoubtedly have serious consequences for humanity and represents a failure to consider intergenerational equity. Of utmost importance is the need to unequivocally recognize that the degradation of soils leads to a clear economic cost through the loss of services, with such principles needing to be explicitly considered in economic frameworks and decision-making processes at all levels of governance. We contend that the concept of the Water-Food-Energy nexus must be expanded, forming the Water-Soil-Food-Energy nexus.","author":[{"dropping-particle":"","family":"Kopittke","given":"Peter M.","non-dropping-particle":"","parse-names":false,"suffix":""},{"dropping-particle":"","family":"Menzies","given":"Neal W.","non-dropping-particle":"","parse-names":false,"suffix":""},{"dropping-particle":"","family":"Wang","given":"Peng","non-dropping-particle":"","parse-names":false,"suffix":""},{"dropping-particle":"","family":"McKenna","given":"Brigid A.","non-dropping-particle":"","parse-names":false,"suffix":""},{"dropping-particle":"","family":"Lombi","given":"Enzo","non-dropping-particle":"","parse-names":false,"suffix":""}],"container-title":"Environment International","id":"ITEM-1","issue":"1","issued":{"date-parts":[["2019"]]},"page":"1-8","publisher":"Elsevier","title":"Soil and the intensification of agriculture for global food security","type":"article-journal","volume":"132"},"uris":["http://www.mendeley.com/documents/?uuid=c8174e5c-04b6-418d-92b4-75bfa682bf07"]}],"mendeley":{"formattedCitation":"(Kopittke et al., 2019)","plainTextFormattedCitation":"(Kopittke et al., 2019)","previouslyFormattedCitation":"(Kopittke et al., 2019)"},"properties":{"noteIndex":0},"schema":"https://github.com/citation-style-language/schema/raw/master/csl-citation.json"}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(Kopittke </w:t>
      </w:r>
      <w:r w:rsidRPr="001C77C1">
        <w:rPr>
          <w:rFonts w:ascii="Arial" w:eastAsia="Calibri" w:hAnsi="Arial" w:cs="Arial"/>
          <w:i/>
          <w:iCs/>
          <w:noProof/>
          <w:kern w:val="2"/>
        </w:rPr>
        <w:t xml:space="preserve">et al., </w:t>
      </w:r>
      <w:r w:rsidRPr="001C77C1">
        <w:rPr>
          <w:rFonts w:ascii="Arial" w:eastAsia="Calibri" w:hAnsi="Arial" w:cs="Arial"/>
          <w:noProof/>
          <w:kern w:val="2"/>
        </w:rPr>
        <w:t>2019)</w:t>
      </w:r>
      <w:r w:rsidRPr="001C77C1">
        <w:rPr>
          <w:rFonts w:ascii="Arial" w:eastAsia="Calibri" w:hAnsi="Arial" w:cs="Arial"/>
          <w:kern w:val="2"/>
        </w:rPr>
        <w:fldChar w:fldCharType="end"/>
      </w:r>
      <w:r w:rsidRPr="001C77C1">
        <w:rPr>
          <w:rFonts w:ascii="Arial" w:eastAsia="Calibri" w:hAnsi="Arial" w:cs="Arial"/>
          <w:kern w:val="2"/>
        </w:rPr>
        <w:t xml:space="preserve">.  Notwithstanding, all these challenges also contribute to not achieving some of the Sustainable Development Goals, number 2 – "Zero Hunger", this SDG </w:t>
      </w:r>
      <w:commentRangeStart w:id="5"/>
      <w:r w:rsidRPr="001C77C1">
        <w:rPr>
          <w:rFonts w:ascii="Arial" w:eastAsia="Calibri" w:hAnsi="Arial" w:cs="Arial"/>
          <w:kern w:val="2"/>
        </w:rPr>
        <w:t xml:space="preserve">aimed </w:t>
      </w:r>
      <w:commentRangeEnd w:id="5"/>
      <w:r w:rsidR="00E30BB9">
        <w:rPr>
          <w:rStyle w:val="CommentReference"/>
          <w:rFonts w:ascii="Times New Roman" w:hAnsi="Times New Roman"/>
          <w:lang w:val="nb-NO" w:eastAsia="nb-NO"/>
        </w:rPr>
        <w:commentReference w:id="5"/>
      </w:r>
      <w:r w:rsidRPr="001C77C1">
        <w:rPr>
          <w:rFonts w:ascii="Arial" w:eastAsia="Calibri" w:hAnsi="Arial" w:cs="Arial"/>
          <w:kern w:val="2"/>
        </w:rPr>
        <w:t xml:space="preserve">at the elimination of hunger, the attainment of food security, as well as sustainable agriculture. The growing demand is also critical in the aspect of Sustainable Development Goal number 12 – "Responsible Consumption and Production". This SDG is concerned with the efficient use of resources and sustainable food production systems in a manner that can provide the nutritional demands of the populations around the world without draining the natural resources. By using aquaponics as a productive, sustainable, and versatile system, healthy food availability will be  increased while directly complementing various Sustainable Development Goals, such as zero hunger and sustainable communities, as reported by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{"citationItems":[{"id":"ITEM-1","itemData":{"author":[{"dropping-particle":"","family":"Dayawansha","given":"Sewwandi","non-dropping-particle":"","parse-names":false,"suffix":""}],"container-title":"Agricultural Science","id":"ITEM-1","issue":"1","issued":{"date-parts":[["2024"]]},"page":"1-63","title":"Exploring the Potential of Aquaponics in Addressing Food Security and Future Food Demand in Sweden","type":"article-journal","volume":"1"},"uris":["http://www.mendeley.com/documents/?uuid=de7a09cb-6ebe-4cd5-95c5-d1acb6e6996d"]}],"mendeley":{"formattedCitation":"(Dayawansha, 2024)","plainTextFormattedCitation":"(Dayawansha, 2024)","previouslyFormattedCitation":"(Dayawansha,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(Dayawansha, 2024)</w:t>
      </w:r>
      <w:r w:rsidRPr="001C77C1">
        <w:rPr>
          <w:rFonts w:ascii="Arial" w:eastAsia="Calibri" w:hAnsi="Arial" w:cs="Arial"/>
          <w:kern w:val="2"/>
        </w:rPr>
        <w:fldChar w:fldCharType="end"/>
      </w:r>
      <w:r w:rsidRPr="001C77C1">
        <w:rPr>
          <w:rFonts w:ascii="Arial" w:eastAsia="Calibri" w:hAnsi="Arial" w:cs="Arial"/>
          <w:kern w:val="2"/>
        </w:rPr>
        <w:t>. There therefore, is an urgent need for sustainable agricultural innovations that improve resilience and resource efficiency.</w:t>
      </w:r>
    </w:p>
    <w:p w14:paraId="0EFC8FB8"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lastRenderedPageBreak/>
        <w:t>1.2 Purpose and Scope of the Review</w:t>
      </w:r>
    </w:p>
    <w:p w14:paraId="0A224E74" w14:textId="77777777" w:rsidR="00CC0C1B" w:rsidRPr="001C77C1" w:rsidRDefault="00CC0C1B" w:rsidP="00CC0C1B">
      <w:pPr>
        <w:spacing w:line="360" w:lineRule="auto"/>
        <w:jc w:val="both"/>
        <w:rPr>
          <w:rFonts w:ascii="Arial" w:eastAsia="Calibri" w:hAnsi="Arial" w:cs="Arial"/>
          <w:kern w:val="2"/>
        </w:rPr>
      </w:pPr>
      <w:bookmarkStart w:id="6" w:name="_Hlk219435504"/>
      <w:r w:rsidRPr="001C77C1">
        <w:rPr>
          <w:rFonts w:ascii="Arial" w:eastAsia="Calibri" w:hAnsi="Arial" w:cs="Arial"/>
          <w:kern w:val="2"/>
        </w:rPr>
        <w:t xml:space="preserve">This review aims to provide a sustainable and eco-friendly method of food production that keeps fish and crops in a symbiotic relationship to the benefit of both, solves food insecurity challenges by producing healthy food free from chemical residues, provides the availability of different kinds of food, makes food crops affordable, and overall, combats malnutrition. </w:t>
      </w:r>
      <w:bookmarkEnd w:id="6"/>
      <w:r w:rsidRPr="001C77C1">
        <w:rPr>
          <w:rFonts w:ascii="Arial" w:eastAsia="Calibri" w:hAnsi="Arial" w:cs="Arial"/>
          <w:kern w:val="2"/>
        </w:rPr>
        <w:t>Its application includes farm innovation by using better farming methods, water conservation compared to conventional farming, and nutritional enrichment through the supply of fresh vegetables and fish to mitigate calorie and protein deficiency.</w:t>
      </w:r>
    </w:p>
    <w:p w14:paraId="61286BFD" w14:textId="77777777" w:rsidR="00CC0C1B" w:rsidRPr="001C77C1" w:rsidRDefault="00CC0C1B" w:rsidP="00CC0C1B">
      <w:pPr>
        <w:ind w:left="720"/>
        <w:jc w:val="both"/>
        <w:rPr>
          <w:rFonts w:ascii="Arial" w:eastAsia="Calibri" w:hAnsi="Arial" w:cs="Arial"/>
          <w:kern w:val="2"/>
        </w:rPr>
      </w:pPr>
    </w:p>
    <w:p w14:paraId="66C3BD6C" w14:textId="77777777" w:rsidR="00CC0C1B" w:rsidRPr="001C77C1" w:rsidRDefault="00CC0C1B" w:rsidP="00CC0C1B">
      <w:pPr>
        <w:keepNext/>
        <w:keepLines/>
        <w:spacing w:before="160" w:after="80" w:line="278" w:lineRule="auto"/>
        <w:jc w:val="both"/>
        <w:outlineLvl w:val="1"/>
        <w:rPr>
          <w:rFonts w:ascii="Arial" w:hAnsi="Arial" w:cs="Arial"/>
          <w:b/>
          <w:bCs/>
          <w:kern w:val="2"/>
          <w:sz w:val="22"/>
          <w:szCs w:val="22"/>
        </w:rPr>
      </w:pPr>
      <w:r w:rsidRPr="001C77C1">
        <w:rPr>
          <w:rFonts w:ascii="Arial" w:hAnsi="Arial" w:cs="Arial"/>
          <w:b/>
          <w:bCs/>
          <w:kern w:val="2"/>
          <w:sz w:val="22"/>
          <w:szCs w:val="22"/>
        </w:rPr>
        <w:t>1.3 Methodology of the Review</w:t>
      </w:r>
    </w:p>
    <w:p w14:paraId="7E46C361" w14:textId="77777777" w:rsidR="00CC0C1B" w:rsidRPr="001C77C1" w:rsidRDefault="00CC0C1B" w:rsidP="00CC0C1B">
      <w:pPr>
        <w:spacing w:line="360" w:lineRule="auto"/>
        <w:jc w:val="both"/>
        <w:rPr>
          <w:rFonts w:ascii="Arial" w:eastAsia="Calibri" w:hAnsi="Arial" w:cs="Arial"/>
          <w:kern w:val="2"/>
        </w:rPr>
      </w:pPr>
      <w:r w:rsidRPr="001C77C1">
        <w:rPr>
          <w:rFonts w:ascii="Arial" w:eastAsia="Calibri" w:hAnsi="Arial" w:cs="Arial"/>
          <w:kern w:val="2"/>
        </w:rPr>
        <w:t xml:space="preserve">This review was designed through a systematic search and assessment of aquaponics and its contribution toward attaining food security. Relevant articles were searched using electronic databases such as Google Scholar, PubMed, and ScienceDirect using keywords such as aquaponics, hydroponics, aquaculture, food security, sustainable agriculture, green technologies, and climate-smart agriculture. The search was limited to published articles between 2015 and 2025, comprising </w:t>
      </w:r>
      <w:commentRangeStart w:id="7"/>
      <w:r w:rsidRPr="00E30BB9">
        <w:rPr>
          <w:rFonts w:ascii="Arial" w:eastAsia="Calibri" w:hAnsi="Arial" w:cs="Arial"/>
          <w:color w:val="FF0000"/>
          <w:kern w:val="2"/>
        </w:rPr>
        <w:t>40 research papers, 15 peer-reviewed articles, and 5 scientific reports</w:t>
      </w:r>
      <w:commentRangeEnd w:id="7"/>
      <w:r w:rsidR="00E30BB9">
        <w:rPr>
          <w:rStyle w:val="CommentReference"/>
          <w:rFonts w:ascii="Times New Roman" w:hAnsi="Times New Roman"/>
          <w:lang w:val="nb-NO" w:eastAsia="nb-NO"/>
        </w:rPr>
        <w:commentReference w:id="7"/>
      </w:r>
      <w:r w:rsidRPr="001C77C1">
        <w:rPr>
          <w:rFonts w:ascii="Arial" w:eastAsia="Calibri" w:hAnsi="Arial" w:cs="Arial"/>
          <w:kern w:val="2"/>
        </w:rPr>
        <w:t>.</w:t>
      </w:r>
    </w:p>
    <w:p w14:paraId="7BC256B2" w14:textId="77777777" w:rsidR="00CC0C1B" w:rsidRPr="001C77C1" w:rsidRDefault="00CC0C1B" w:rsidP="00CC0C1B">
      <w:pPr>
        <w:jc w:val="both"/>
        <w:rPr>
          <w:rFonts w:ascii="Arial" w:eastAsia="Calibri" w:hAnsi="Arial" w:cs="Arial"/>
          <w:kern w:val="2"/>
        </w:rPr>
      </w:pPr>
    </w:p>
    <w:p w14:paraId="6984F19C"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t xml:space="preserve">2.0 </w:t>
      </w:r>
      <w:bookmarkStart w:id="8" w:name="_Hlk205377675"/>
      <w:r w:rsidRPr="001C77C1">
        <w:rPr>
          <w:rFonts w:ascii="Arial" w:hAnsi="Arial" w:cs="Arial"/>
          <w:b/>
          <w:bCs/>
          <w:kern w:val="2"/>
          <w:sz w:val="22"/>
          <w:szCs w:val="22"/>
        </w:rPr>
        <w:t>CONCEPTUAL FRAMEWORK OF AQUAPONICS FARMING SYSTEM</w:t>
      </w:r>
    </w:p>
    <w:bookmarkEnd w:id="8"/>
    <w:p w14:paraId="2C35CCC2"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t>2.1 Overview of Aquaponics Farming System</w:t>
      </w:r>
    </w:p>
    <w:p w14:paraId="26FCF536"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 xml:space="preserve">A green </w:t>
      </w:r>
      <w:commentRangeStart w:id="9"/>
      <w:r w:rsidRPr="001C77C1">
        <w:rPr>
          <w:rFonts w:ascii="Arial" w:eastAsia="Calibri" w:hAnsi="Arial" w:cs="Arial"/>
          <w:kern w:val="2"/>
        </w:rPr>
        <w:t>agriculture</w:t>
      </w:r>
      <w:commentRangeEnd w:id="9"/>
      <w:r w:rsidR="00E30BB9">
        <w:rPr>
          <w:rStyle w:val="CommentReference"/>
          <w:rFonts w:ascii="Times New Roman" w:hAnsi="Times New Roman"/>
          <w:lang w:val="nb-NO" w:eastAsia="nb-NO"/>
        </w:rPr>
        <w:commentReference w:id="9"/>
      </w:r>
      <w:r w:rsidRPr="001C77C1">
        <w:rPr>
          <w:rFonts w:ascii="Arial" w:eastAsia="Calibri" w:hAnsi="Arial" w:cs="Arial"/>
          <w:kern w:val="2"/>
        </w:rPr>
        <w:t xml:space="preserve"> practice of fish culture combined with aquatic plant culture in water without soil, using effective and lucrative process optimization through optimized resource utilization, </w:t>
      </w:r>
      <w:commentRangeStart w:id="10"/>
      <w:r w:rsidRPr="001C77C1">
        <w:rPr>
          <w:rFonts w:ascii="Arial" w:eastAsia="Calibri" w:hAnsi="Arial" w:cs="Arial"/>
          <w:kern w:val="2"/>
        </w:rPr>
        <w:t>intimate</w:t>
      </w:r>
      <w:commentRangeEnd w:id="10"/>
      <w:r w:rsidR="00E30BB9">
        <w:rPr>
          <w:rStyle w:val="CommentReference"/>
          <w:rFonts w:ascii="Times New Roman" w:hAnsi="Times New Roman"/>
          <w:lang w:val="nb-NO" w:eastAsia="nb-NO"/>
        </w:rPr>
        <w:commentReference w:id="10"/>
      </w:r>
      <w:r w:rsidRPr="001C77C1">
        <w:rPr>
          <w:rFonts w:ascii="Arial" w:eastAsia="Calibri" w:hAnsi="Arial" w:cs="Arial"/>
          <w:kern w:val="2"/>
        </w:rPr>
        <w:t xml:space="preserve"> management of water quality, and ensuring optimal conditions for plants and fish growth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2024)","plainTextFormattedCitation":"(Zamnuri et al., 2024)","previouslyFormattedCitation":"(Zamnuri et al.,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(Zamnuri </w:t>
      </w:r>
      <w:r w:rsidRPr="001C77C1">
        <w:rPr>
          <w:rFonts w:ascii="Arial" w:eastAsia="Calibri" w:hAnsi="Arial" w:cs="Arial"/>
          <w:i/>
          <w:iCs/>
          <w:noProof/>
          <w:kern w:val="2"/>
        </w:rPr>
        <w:t xml:space="preserve">et al., </w:t>
      </w:r>
      <w:r w:rsidRPr="001C77C1">
        <w:rPr>
          <w:rFonts w:ascii="Arial" w:eastAsia="Calibri" w:hAnsi="Arial" w:cs="Arial"/>
          <w:noProof/>
          <w:kern w:val="2"/>
        </w:rPr>
        <w:t>2024)</w:t>
      </w:r>
      <w:r w:rsidRPr="001C77C1">
        <w:rPr>
          <w:rFonts w:ascii="Arial" w:eastAsia="Calibri" w:hAnsi="Arial" w:cs="Arial"/>
          <w:kern w:val="2"/>
        </w:rPr>
        <w:fldChar w:fldCharType="end"/>
      </w:r>
      <w:r w:rsidRPr="001C77C1">
        <w:rPr>
          <w:rFonts w:ascii="Arial" w:eastAsia="Calibri" w:hAnsi="Arial" w:cs="Arial"/>
          <w:kern w:val="2"/>
        </w:rPr>
        <w:t>. Aquaponics integrates aquaculture and hydroponics in a closed-loop system where fish and plants coexist symbiotically (</w:t>
      </w:r>
      <w:proofErr w:type="spellStart"/>
      <w:r w:rsidRPr="001C77C1">
        <w:rPr>
          <w:rFonts w:ascii="Arial" w:eastAsia="Calibri" w:hAnsi="Arial" w:cs="Arial"/>
          <w:kern w:val="2"/>
        </w:rPr>
        <w:t>Balusamy</w:t>
      </w:r>
      <w:proofErr w:type="spellEnd"/>
      <w:r w:rsidRPr="001C77C1">
        <w:rPr>
          <w:rFonts w:ascii="Arial" w:eastAsia="Calibri" w:hAnsi="Arial" w:cs="Arial"/>
          <w:kern w:val="2"/>
        </w:rPr>
        <w:t xml:space="preserve"> &amp; </w:t>
      </w:r>
      <w:proofErr w:type="spellStart"/>
      <w:r w:rsidRPr="001C77C1">
        <w:rPr>
          <w:rFonts w:ascii="Arial" w:eastAsia="Calibri" w:hAnsi="Arial" w:cs="Arial"/>
          <w:kern w:val="2"/>
        </w:rPr>
        <w:t>Selvakumari</w:t>
      </w:r>
      <w:proofErr w:type="spellEnd"/>
      <w:r w:rsidRPr="001C77C1">
        <w:rPr>
          <w:rFonts w:ascii="Arial" w:eastAsia="Calibri" w:hAnsi="Arial" w:cs="Arial"/>
          <w:kern w:val="2"/>
        </w:rPr>
        <w:t>, 2024). Aquaculture is the cultivation of aquatic animals such as fish, mollusks, crustaceans, and aquatic plants. They contribute important animal protein to the human diet of the entire population (</w:t>
      </w:r>
      <w:proofErr w:type="spellStart"/>
      <w:r w:rsidRPr="001C77C1">
        <w:rPr>
          <w:rFonts w:ascii="Arial" w:eastAsia="Calibri" w:hAnsi="Arial" w:cs="Arial"/>
          <w:kern w:val="2"/>
        </w:rPr>
        <w:t>Pradeepkiran</w:t>
      </w:r>
      <w:proofErr w:type="spellEnd"/>
      <w:r w:rsidRPr="001C77C1">
        <w:rPr>
          <w:rFonts w:ascii="Arial" w:eastAsia="Calibri" w:hAnsi="Arial" w:cs="Arial"/>
          <w:kern w:val="2"/>
        </w:rPr>
        <w:t xml:space="preserve">, 2019).  It is a major farm practice with the prospect of eliminating global nutritional needs as well as poverty (Kaleem &amp; Bio, 2021).  </w:t>
      </w:r>
      <w:bookmarkStart w:id="11" w:name="_Hlk206223623"/>
      <w:r w:rsidRPr="001C77C1">
        <w:rPr>
          <w:rFonts w:ascii="Arial" w:eastAsia="Calibri" w:hAnsi="Arial" w:cs="Arial"/>
          <w:kern w:val="2"/>
        </w:rPr>
        <w:t>However, hydroponic farming is the trade name for plant cultivation in nutrient solutions without soil</w:t>
      </w:r>
      <w:bookmarkEnd w:id="11"/>
      <w:r w:rsidRPr="001C77C1">
        <w:rPr>
          <w:rFonts w:ascii="Arial" w:eastAsia="Calibri" w:hAnsi="Arial" w:cs="Arial"/>
          <w:kern w:val="2"/>
        </w:rPr>
        <w:t xml:space="preserve">. Leafy vegetables, tomatoes, herbs, and strawberries are better crops for soilless cultivation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Abiodun","given":"Muyiwa","non-dropping-particle":"","parse-names":false,"suffix":""},{"dropping-particle":"","family":"Dare","given":"Samuel","non-dropping-particle":"","parse-names":false,"suffix":""}],"container-title":"International Journal of Women in Technical Education and Employment","id":"ITEM-1","issue":"1","issued":{"date-parts":[["2024"]]},"page":"1-18","title":"Hydroponic Farming : A Modern Way of Addressing Production Constraints of INTERNATIONAL JOURNAL OF WOMEN IN TECHNICAL EDUCATION AND EMPLOYMENT ( IJOWITED ) Hydroponic Farming : A Modern Way of Addressing Production Constraints of Tomato Farming","type":"article-journal","volume":"5"},"uris":["http://www.mendeley.com/documents/?uuid=71473ef7-a85c-430b-9b94-bf9750ddb3ad"]}],"mendeley":{"formattedCitation":"(Abiodun &amp; Dare, 2024)","plainTextFormattedCitation":"(Abiodun &amp; Dare, 2024)","previouslyFormattedCitation":"(Abiodun &amp; Dare,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(Abiodun &amp; Dare, 2024)</w:t>
      </w:r>
      <w:r w:rsidRPr="001C77C1">
        <w:rPr>
          <w:rFonts w:ascii="Arial" w:eastAsia="Calibri" w:hAnsi="Arial" w:cs="Arial"/>
          <w:kern w:val="2"/>
        </w:rPr>
        <w:fldChar w:fldCharType="end"/>
      </w:r>
      <w:r w:rsidRPr="001C77C1">
        <w:rPr>
          <w:rFonts w:ascii="Arial" w:eastAsia="Calibri" w:hAnsi="Arial" w:cs="Arial"/>
          <w:kern w:val="2"/>
        </w:rPr>
        <w:t xml:space="preserve">. Nutritional value, flavor, and yield of end products delivered by hydroponic cultivation are always superior to those of conventional soil farming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{"citationItems":[{"id":"ITEM-1","itemData":{"DOI":"10.20546/ijcmas.2020.908.206","ISSN":"23197692","abstract":"Soil based cultivation is now facing difficulties due to different man made reasons such as industrialization and urbanization. Also, sudden natural disasters, climate change and unrestricted utilization of chemicals for agriculture purposes cause the depletion of soil fertility and quality. That is why, scientists have developed a new alternative approach for cultivation system namely soil-less cultivation or hydroponics. Hydroponics is a method of growing plants in a water based, nutrient rich solution. Through hydroponics a large number of plants and crops or vegetables can be grown. The quality of yield, taste and nutritive value of end products produced through hydroponically is generally higher than the natural soil based cultivation. This cultivation is cost effective, disease free, eco- friendly and is gaining popularity all over the world, in both the developed and the developing countries. It has a great prospect in many countries along with high space research to fulfil the lack of arable land where proper cultivable land is not available. So, hydroponics would be a better technique to produce the different kinds of fruits, vegetables and fodder as well as meet the global nutrition demand with making advance future. In the future, hydroponics could be emerging techniques for the supplying of food to the world wide population.","author":[{"dropping-particle":"","family":"Jan","given":"Seerat","non-dropping-particle":"","parse-names":false,"suffix":""},{"dropping-particle":"","family":"Rashid","given":"Zahida","non-dropping-particle":"","parse-names":false,"suffix":""},{"dropping-particle":"","family":"Ahngar","given":"Tanveer Ahmad","non-dropping-particle":"","parse-names":false,"suffix":""},{"dropping-particle":"","family":"Iqbal","given":"Sadaf","non-dropping-particle":"","parse-names":false,"suffix":""},{"dropping-particle":"","family":"Naikoo","given":"M. Abbass","non-dropping-particle":"","parse-names":false,"suffix":""},{"dropping-particle":"","family":"Majeed","given":"Shabina","non-dropping-particle":"","parse-names":false,"suffix":""},{"dropping-particle":"","family":"Bhat","given":"Tauseef Ahmad","non-dropping-particle":"","parse-names":false,"suffix":""},{"dropping-particle":"","family":"Gul","given":"Razia","non-dropping-particle":"","parse-names":false,"suffix":""},{"dropping-particle":"","family":"Nazir","given":"Insha","non-dropping-particle":"","parse-names":false,"suffix":""}],"container-title":"International Journal of Current Microbiology and Applied Sciences","id":"ITEM-1","issue":"8","issued":{"date-parts":[["2020"]]},"page":"1779-1787","title":"Hydroponics – A Review","type":"article-journal","volume":"9"},"uris":["http://www.mendeley.com/documents/?uuid=edfb3847-948d-418a-a3be-d21b8751e4bb"]}],"mendeley":{"formattedCitation":"(Jan et al., 2020)","plainTextFormattedCitation":"(Jan et al., 2020)","previouslyFormattedCitation":"(Jan et al., 2020)"},"properties":{"noteIndex":0},"schema":"https://github.com/citation-style-language/schema/raw/master/csl-citation.json"}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(Jan </w:t>
      </w:r>
      <w:r w:rsidRPr="001C77C1">
        <w:rPr>
          <w:rFonts w:ascii="Arial" w:eastAsia="Calibri" w:hAnsi="Arial" w:cs="Arial"/>
          <w:i/>
          <w:iCs/>
          <w:noProof/>
          <w:kern w:val="2"/>
        </w:rPr>
        <w:t xml:space="preserve">et al., </w:t>
      </w:r>
      <w:r w:rsidRPr="001C77C1">
        <w:rPr>
          <w:rFonts w:ascii="Arial" w:eastAsia="Calibri" w:hAnsi="Arial" w:cs="Arial"/>
          <w:noProof/>
          <w:kern w:val="2"/>
        </w:rPr>
        <w:t>2020)</w:t>
      </w:r>
      <w:r w:rsidRPr="001C77C1">
        <w:rPr>
          <w:rFonts w:ascii="Arial" w:eastAsia="Calibri" w:hAnsi="Arial" w:cs="Arial"/>
          <w:kern w:val="2"/>
        </w:rPr>
        <w:fldChar w:fldCharType="end"/>
      </w:r>
      <w:r w:rsidRPr="001C77C1">
        <w:rPr>
          <w:rFonts w:ascii="Arial" w:eastAsia="Calibri" w:hAnsi="Arial" w:cs="Arial"/>
          <w:kern w:val="2"/>
        </w:rPr>
        <w:t xml:space="preserve">. Media Bed (MB), Deep Water Culture (DWC), and the Nutrient Film Technique (NFT) are hydroponic methods also used in the cultivation of food crops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2024)","plainTextFormattedCitation":"(Zamnuri et al., 2024)","previouslyFormattedCitation":"(Zamnuri et al.,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(Zamnuri </w:t>
      </w:r>
      <w:r w:rsidRPr="001C77C1">
        <w:rPr>
          <w:rFonts w:ascii="Arial" w:eastAsia="Calibri" w:hAnsi="Arial" w:cs="Arial"/>
          <w:i/>
          <w:iCs/>
          <w:noProof/>
          <w:kern w:val="2"/>
        </w:rPr>
        <w:t>et al.,</w:t>
      </w:r>
      <w:r w:rsidRPr="001C77C1">
        <w:rPr>
          <w:rFonts w:ascii="Arial" w:eastAsia="Calibri" w:hAnsi="Arial" w:cs="Arial"/>
          <w:noProof/>
          <w:kern w:val="2"/>
        </w:rPr>
        <w:t xml:space="preserve"> 2024)</w:t>
      </w:r>
      <w:r w:rsidRPr="001C77C1">
        <w:rPr>
          <w:rFonts w:ascii="Arial" w:eastAsia="Calibri" w:hAnsi="Arial" w:cs="Arial"/>
          <w:kern w:val="2"/>
        </w:rPr>
        <w:fldChar w:fldCharType="end"/>
      </w:r>
      <w:r w:rsidRPr="001C77C1">
        <w:rPr>
          <w:rFonts w:ascii="Arial" w:eastAsia="Calibri" w:hAnsi="Arial" w:cs="Arial"/>
          <w:kern w:val="2"/>
        </w:rPr>
        <w:t xml:space="preserve">. Its </w:t>
      </w:r>
      <w:r w:rsidRPr="001C77C1">
        <w:rPr>
          <w:rFonts w:ascii="Arial" w:eastAsia="Calibri" w:hAnsi="Arial" w:cs="Arial"/>
          <w:kern w:val="2"/>
        </w:rPr>
        <w:lastRenderedPageBreak/>
        <w:t xml:space="preserve">application includes fish waste, which serves as nutrients for the plants to grow, while plants filter and recycle water for the fish. This system eliminates the need for chemical fertilizers, reduces the use of water by 90% compared to soil-based farming, and allows year-round cultivation of food crops and fish (Nair, 2025; </w:t>
      </w:r>
      <w:proofErr w:type="spellStart"/>
      <w:r w:rsidRPr="001C77C1">
        <w:rPr>
          <w:rFonts w:ascii="Arial" w:eastAsia="Calibri" w:hAnsi="Arial" w:cs="Arial"/>
          <w:kern w:val="2"/>
        </w:rPr>
        <w:t>Obirikorang</w:t>
      </w:r>
      <w:proofErr w:type="spellEnd"/>
      <w:r w:rsidRPr="001C77C1">
        <w:rPr>
          <w:rFonts w:ascii="Arial" w:eastAsia="Calibri" w:hAnsi="Arial" w:cs="Arial"/>
          <w:kern w:val="2"/>
        </w:rPr>
        <w:t xml:space="preserve"> </w:t>
      </w:r>
      <w:r w:rsidRPr="001C77C1">
        <w:rPr>
          <w:rFonts w:ascii="Arial" w:eastAsia="Calibri" w:hAnsi="Arial" w:cs="Arial"/>
          <w:i/>
          <w:iCs/>
          <w:kern w:val="2"/>
        </w:rPr>
        <w:t>et al.,</w:t>
      </w:r>
      <w:r w:rsidRPr="001C77C1">
        <w:rPr>
          <w:rFonts w:ascii="Arial" w:eastAsia="Calibri" w:hAnsi="Arial" w:cs="Arial"/>
          <w:kern w:val="2"/>
        </w:rPr>
        <w:t xml:space="preserve"> 2021).  </w:t>
      </w:r>
    </w:p>
    <w:p w14:paraId="5157DE13" w14:textId="77777777" w:rsidR="00CC0C1B" w:rsidRPr="001C77C1" w:rsidRDefault="00CC0C1B" w:rsidP="00CC0C1B">
      <w:pPr>
        <w:keepNext/>
        <w:keepLines/>
        <w:spacing w:before="160" w:after="80" w:line="278" w:lineRule="auto"/>
        <w:jc w:val="both"/>
        <w:outlineLvl w:val="1"/>
        <w:rPr>
          <w:rFonts w:ascii="Arial" w:hAnsi="Arial" w:cs="Arial"/>
          <w:b/>
          <w:bCs/>
          <w:kern w:val="2"/>
          <w:sz w:val="22"/>
          <w:szCs w:val="22"/>
        </w:rPr>
      </w:pPr>
      <w:r w:rsidRPr="001C77C1">
        <w:rPr>
          <w:rFonts w:ascii="Arial" w:hAnsi="Arial" w:cs="Arial"/>
          <w:b/>
          <w:bCs/>
          <w:kern w:val="2"/>
          <w:sz w:val="22"/>
          <w:szCs w:val="22"/>
        </w:rPr>
        <w:t>2.2 Principle of Operation of Aquaponics Systems</w:t>
      </w:r>
    </w:p>
    <w:p w14:paraId="32EF675A" w14:textId="77777777" w:rsidR="00CC0C1B" w:rsidRPr="001C77C1" w:rsidRDefault="00CC0C1B" w:rsidP="00CC0C1B">
      <w:pPr>
        <w:spacing w:after="160" w:line="360" w:lineRule="auto"/>
        <w:jc w:val="both"/>
        <w:rPr>
          <w:rFonts w:ascii="Arial" w:hAnsi="Arial" w:cs="Arial"/>
          <w:kern w:val="2"/>
        </w:rPr>
      </w:pPr>
      <w:r w:rsidRPr="001C77C1">
        <w:rPr>
          <w:rFonts w:ascii="Arial" w:hAnsi="Arial" w:cs="Arial"/>
          <w:kern w:val="2"/>
        </w:rPr>
        <w:t xml:space="preserve">The efficiency of the aquaponics system varies to a great degree with the type of fish and plant in use, two of the most versatile and widespread being the tilapia and catfish </w:t>
      </w:r>
      <w:r w:rsidRPr="001C77C1">
        <w:rPr>
          <w:rFonts w:ascii="Arial" w:hAnsi="Arial" w:cs="Arial"/>
          <w:kern w:val="2"/>
        </w:rPr>
        <w:fldChar w:fldCharType="begin" w:fldLock="1"/>
      </w:r>
      <w:r w:rsidRPr="001C77C1">
        <w:rPr>
          <w:rFonts w:ascii="Arial" w:hAnsi="Arial" w:cs="Arial"/>
          <w:kern w:val="2"/>
        </w:rPr>
        <w:instrText>ADDIN CSL_CITATION {"citationItems":[{"id":"ITEM-1","itemData":{"ISBN":"9789358505887","author":[{"dropping-particle":"","family":"Balusamy","given":"Keerthana","non-dropping-particle":"","parse-names":false,"suffix":""},{"dropping-particle":"","family":"Selvakumari","given":"Govindarajan","non-dropping-particle":"","parse-names":false,"suffix":""}],"id":"ITEM-1","issue":"1","issued":{"date-parts":[["2024"]]},"number-of-pages":"45-61","title":"DIMENSION IN AGRICULTURAL SCIENCES : A WAY FORWARD FOR SUSTAINABILITY Publishers and Distributors","type":"book"},"uris":["http://www.mendeley.com/documents/?uuid=d60d5e49-3695-489b-8548-d142968e352a"]}],"mendeley":{"formattedCitation":"(Balusamy &amp; Selvakumari, 2024)","plainTextFormattedCitation":"(Balusamy &amp; Selvakumari, 2024)","previouslyFormattedCitation":"(Balusamy &amp; Selvakumari, 2024)"},"properties":{"noteIndex":0},"schema":"https://github.com/citation-style-language/schema/raw/master/csl-citation.json"}</w:instrText>
      </w:r>
      <w:r w:rsidRPr="001C77C1">
        <w:rPr>
          <w:rFonts w:ascii="Arial" w:hAnsi="Arial" w:cs="Arial"/>
          <w:kern w:val="2"/>
        </w:rPr>
        <w:fldChar w:fldCharType="separate"/>
      </w:r>
      <w:r w:rsidRPr="001C77C1">
        <w:rPr>
          <w:rFonts w:ascii="Arial" w:hAnsi="Arial" w:cs="Arial"/>
          <w:noProof/>
          <w:kern w:val="2"/>
        </w:rPr>
        <w:t>(Balusamy &amp; Selvakumari, 2024)</w:t>
      </w:r>
      <w:r w:rsidRPr="001C77C1">
        <w:rPr>
          <w:rFonts w:ascii="Arial" w:hAnsi="Arial" w:cs="Arial"/>
          <w:kern w:val="2"/>
        </w:rPr>
        <w:fldChar w:fldCharType="end"/>
      </w:r>
      <w:r w:rsidRPr="001C77C1">
        <w:rPr>
          <w:rFonts w:ascii="Arial" w:hAnsi="Arial" w:cs="Arial"/>
          <w:kern w:val="2"/>
        </w:rPr>
        <w:t xml:space="preserve">. The system follows symbiotic bacteria-controlled nutrient cycling, where they break down fish wastes into plant nutrients and control water quality. The fish excreta in the process of the closed cycle supply the ammonia, which is non-consumable directly for plants. Beneficial nitrifying bacteria transform ammonia into nitrite and then nitrate, a stable form consumable for plants </w:t>
      </w:r>
      <w:r w:rsidRPr="001C77C1">
        <w:rPr>
          <w:rFonts w:ascii="Arial" w:hAnsi="Arial" w:cs="Arial"/>
          <w:kern w:val="2"/>
        </w:rPr>
        <w:fldChar w:fldCharType="begin" w:fldLock="1"/>
      </w:r>
      <w:r w:rsidRPr="001C77C1">
        <w:rPr>
          <w:rFonts w:ascii="Arial" w:hAnsi="Arial" w:cs="Arial"/>
          <w:kern w:val="2"/>
        </w:rPr>
        <w:instrText>ADDIN CSL_CITATION {"citationItems":[{"id":"ITEM-1","itemData":{"author":[{"dropping-particle":"","family":"Prasetiawan","given":"Haniif","non-dropping-particle":"","parse-names":false,"suffix":""},{"dropping-particle":"","family":"Mukadis","given":"Aulia","non-dropping-particle":"","parse-names":false,"suffix":""},{"dropping-particle":"","family":"Motti","given":"Afrissa Viola","non-dropping-particle":"","parse-names":false,"suffix":""}],"container-title":"Journal of Clean Technology","id":"ITEM-1","issue":"2","issued":{"date-parts":[["2024"]]},"page":"1-7","title":"Study of Nitrification Process in a Media Raised Bed Based Aquaponic System","type":"article-journal","volume":"1"},"uris":["http://www.mendeley.com/documents/?uuid=b9cfeed2-36e1-408c-a78f-44b848d4f868"]}],"mendeley":{"formattedCitation":"(Prasetiawan et al., 2024)","plainTextFormattedCitation":"(Prasetiawan et al., 2024)","previouslyFormattedCitation":"(Prasetiawan et al., 2024)"},"properties":{"noteIndex":0},"schema":"https://github.com/citation-style-language/schema/raw/master/csl-citation.json"}</w:instrText>
      </w:r>
      <w:r w:rsidRPr="001C77C1">
        <w:rPr>
          <w:rFonts w:ascii="Arial" w:hAnsi="Arial" w:cs="Arial"/>
          <w:kern w:val="2"/>
        </w:rPr>
        <w:fldChar w:fldCharType="separate"/>
      </w:r>
      <w:r w:rsidRPr="001C77C1">
        <w:rPr>
          <w:rFonts w:ascii="Arial" w:hAnsi="Arial" w:cs="Arial"/>
          <w:noProof/>
          <w:kern w:val="2"/>
        </w:rPr>
        <w:t xml:space="preserve">(Prasetiawan </w:t>
      </w:r>
      <w:r w:rsidRPr="001C77C1">
        <w:rPr>
          <w:rFonts w:ascii="Arial" w:hAnsi="Arial" w:cs="Arial"/>
          <w:i/>
          <w:iCs/>
          <w:noProof/>
          <w:kern w:val="2"/>
        </w:rPr>
        <w:t xml:space="preserve">et al., </w:t>
      </w:r>
      <w:r w:rsidRPr="001C77C1">
        <w:rPr>
          <w:rFonts w:ascii="Arial" w:hAnsi="Arial" w:cs="Arial"/>
          <w:noProof/>
          <w:kern w:val="2"/>
        </w:rPr>
        <w:t>2024)</w:t>
      </w:r>
      <w:r w:rsidRPr="001C77C1">
        <w:rPr>
          <w:rFonts w:ascii="Arial" w:hAnsi="Arial" w:cs="Arial"/>
          <w:kern w:val="2"/>
        </w:rPr>
        <w:fldChar w:fldCharType="end"/>
      </w:r>
      <w:r w:rsidRPr="001C77C1">
        <w:rPr>
          <w:rFonts w:ascii="Arial" w:hAnsi="Arial" w:cs="Arial"/>
          <w:kern w:val="2"/>
        </w:rPr>
        <w:t xml:space="preserve">. This nitrification is necessary, not only for the detoxification of water for the fish but also to ensure the provision of nutrients for the growth of plants. </w:t>
      </w:r>
    </w:p>
    <w:p w14:paraId="255CC97B" w14:textId="77777777" w:rsidR="00CC0C1B" w:rsidRPr="001C77C1" w:rsidRDefault="00CC0C1B" w:rsidP="00CC0C1B">
      <w:pPr>
        <w:spacing w:after="160" w:line="360" w:lineRule="auto"/>
        <w:jc w:val="both"/>
        <w:rPr>
          <w:rFonts w:ascii="Arial" w:hAnsi="Arial" w:cs="Arial"/>
          <w:kern w:val="2"/>
        </w:rPr>
      </w:pPr>
      <w:r w:rsidRPr="001C77C1">
        <w:rPr>
          <w:rFonts w:ascii="Arial" w:hAnsi="Arial" w:cs="Arial"/>
          <w:kern w:val="2"/>
        </w:rPr>
        <w:t xml:space="preserve">Plant roots also serve as the natural biofilter that takes out excess nutrients and cleanses the water before it is recirculated back to the fish tank. The effectiveness of this nutrient exchange mainly depends on the stability and biodiversity of the microbial community in the system, which dictates fish growth, plant production, and system health directly </w:t>
      </w:r>
      <w:r w:rsidRPr="001C77C1">
        <w:rPr>
          <w:rFonts w:ascii="Arial" w:hAnsi="Arial" w:cs="Arial"/>
          <w:kern w:val="2"/>
        </w:rPr>
        <w:fldChar w:fldCharType="begin" w:fldLock="1"/>
      </w:r>
      <w:r w:rsidRPr="001C77C1">
        <w:rPr>
          <w:rFonts w:ascii="Arial" w:hAnsi="Arial" w:cs="Arial"/>
          <w:kern w:val="2"/>
        </w:rPr>
        <w:instrText>ADDIN CSL_CITATION {"citationItems":[{"id":"ITEM-1","itemData":{"ISBN":"9783030159429","author":[{"dropping-particle":"","family":"Goddek","given":"Simon","non-dropping-particle":"","parse-names":false,"suffix":""}],"id":"ITEM-1","issued":{"date-parts":[["2019"]]},"number-of-pages":"1 - 619","title":"Aquaponics Food Production Systems","type":"book"},"uris":["http://www.mendeley.com/documents/?uuid=da2cc9d1-8efe-4006-a396-a9e89213e6f3"]}],"mendeley":{"formattedCitation":"(Goddek, 2019)","plainTextFormattedCitation":"(Goddek, 2019)","previouslyFormattedCitation":"(Goddek, 2019)"},"properties":{"noteIndex":0},"schema":"https://github.com/citation-style-language/schema/raw/master/csl-citation.json"}</w:instrText>
      </w:r>
      <w:r w:rsidRPr="001C77C1">
        <w:rPr>
          <w:rFonts w:ascii="Arial" w:hAnsi="Arial" w:cs="Arial"/>
          <w:kern w:val="2"/>
        </w:rPr>
        <w:fldChar w:fldCharType="separate"/>
      </w:r>
      <w:r w:rsidRPr="001C77C1">
        <w:rPr>
          <w:rFonts w:ascii="Arial" w:hAnsi="Arial" w:cs="Arial"/>
          <w:noProof/>
          <w:kern w:val="2"/>
        </w:rPr>
        <w:t>(Goddek, 2019)</w:t>
      </w:r>
      <w:r w:rsidRPr="001C77C1">
        <w:rPr>
          <w:rFonts w:ascii="Arial" w:hAnsi="Arial" w:cs="Arial"/>
          <w:kern w:val="2"/>
        </w:rPr>
        <w:fldChar w:fldCharType="end"/>
      </w:r>
      <w:r w:rsidRPr="001C77C1">
        <w:rPr>
          <w:rFonts w:ascii="Arial" w:hAnsi="Arial" w:cs="Arial"/>
          <w:kern w:val="2"/>
        </w:rPr>
        <w:t>. For optimal yield, the correct selection and handling of biofilter media are imperative because such surfaces are utilized for microbial growth and improve water quality control, thereby increasing crop yields.</w:t>
      </w:r>
    </w:p>
    <w:p w14:paraId="73AA28BB"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t xml:space="preserve">2.3 Types </w:t>
      </w:r>
      <w:bookmarkStart w:id="12" w:name="_Hlk206425108"/>
      <w:r w:rsidRPr="001C77C1">
        <w:rPr>
          <w:rFonts w:ascii="Arial" w:hAnsi="Arial" w:cs="Arial"/>
          <w:b/>
          <w:bCs/>
          <w:kern w:val="2"/>
          <w:sz w:val="22"/>
          <w:szCs w:val="22"/>
        </w:rPr>
        <w:t>of Aquaponics Systems</w:t>
      </w:r>
    </w:p>
    <w:bookmarkEnd w:id="12"/>
    <w:p w14:paraId="61E97ED9"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 xml:space="preserve">The aquaponics system includes </w:t>
      </w:r>
      <w:proofErr w:type="spellStart"/>
      <w:r w:rsidRPr="001C77C1">
        <w:rPr>
          <w:rFonts w:ascii="Arial" w:eastAsia="Calibri" w:hAnsi="Arial" w:cs="Arial"/>
          <w:kern w:val="2"/>
        </w:rPr>
        <w:t>algaeponics</w:t>
      </w:r>
      <w:proofErr w:type="spellEnd"/>
      <w:r w:rsidRPr="001C77C1">
        <w:rPr>
          <w:rFonts w:ascii="Arial" w:eastAsia="Calibri" w:hAnsi="Arial" w:cs="Arial"/>
          <w:kern w:val="2"/>
        </w:rPr>
        <w:t xml:space="preserve">, </w:t>
      </w:r>
      <w:proofErr w:type="spellStart"/>
      <w:r w:rsidRPr="001C77C1">
        <w:rPr>
          <w:rFonts w:ascii="Arial" w:eastAsia="Calibri" w:hAnsi="Arial" w:cs="Arial"/>
          <w:kern w:val="2"/>
        </w:rPr>
        <w:t>aeroponics</w:t>
      </w:r>
      <w:proofErr w:type="spellEnd"/>
      <w:r w:rsidRPr="001C77C1">
        <w:rPr>
          <w:rFonts w:ascii="Arial" w:eastAsia="Calibri" w:hAnsi="Arial" w:cs="Arial"/>
          <w:kern w:val="2"/>
        </w:rPr>
        <w:t xml:space="preserve">, </w:t>
      </w:r>
      <w:proofErr w:type="spellStart"/>
      <w:r w:rsidRPr="001C77C1">
        <w:rPr>
          <w:rFonts w:ascii="Arial" w:eastAsia="Calibri" w:hAnsi="Arial" w:cs="Arial"/>
          <w:kern w:val="2"/>
        </w:rPr>
        <w:t>aeroaquaponics</w:t>
      </w:r>
      <w:proofErr w:type="spellEnd"/>
      <w:r w:rsidRPr="001C77C1">
        <w:rPr>
          <w:rFonts w:ascii="Arial" w:eastAsia="Calibri" w:hAnsi="Arial" w:cs="Arial"/>
          <w:kern w:val="2"/>
        </w:rPr>
        <w:t xml:space="preserve">, </w:t>
      </w:r>
      <w:proofErr w:type="spellStart"/>
      <w:r w:rsidRPr="001C77C1">
        <w:rPr>
          <w:rFonts w:ascii="Arial" w:eastAsia="Calibri" w:hAnsi="Arial" w:cs="Arial"/>
          <w:kern w:val="2"/>
        </w:rPr>
        <w:t>maraponics</w:t>
      </w:r>
      <w:proofErr w:type="spellEnd"/>
      <w:r w:rsidRPr="001C77C1">
        <w:rPr>
          <w:rFonts w:ascii="Arial" w:eastAsia="Calibri" w:hAnsi="Arial" w:cs="Arial"/>
          <w:kern w:val="2"/>
        </w:rPr>
        <w:t xml:space="preserve">, </w:t>
      </w:r>
      <w:proofErr w:type="spellStart"/>
      <w:r w:rsidRPr="001C77C1">
        <w:rPr>
          <w:rFonts w:ascii="Arial" w:eastAsia="Calibri" w:hAnsi="Arial" w:cs="Arial"/>
          <w:kern w:val="2"/>
        </w:rPr>
        <w:t>haloponics</w:t>
      </w:r>
      <w:proofErr w:type="spellEnd"/>
      <w:r w:rsidRPr="001C77C1">
        <w:rPr>
          <w:rFonts w:ascii="Arial" w:eastAsia="Calibri" w:hAnsi="Arial" w:cs="Arial"/>
          <w:kern w:val="2"/>
        </w:rPr>
        <w:t xml:space="preserve">, </w:t>
      </w:r>
      <w:proofErr w:type="spellStart"/>
      <w:r w:rsidRPr="001C77C1">
        <w:rPr>
          <w:rFonts w:ascii="Arial" w:eastAsia="Calibri" w:hAnsi="Arial" w:cs="Arial"/>
          <w:kern w:val="2"/>
        </w:rPr>
        <w:t>biofloc</w:t>
      </w:r>
      <w:proofErr w:type="spellEnd"/>
      <w:r w:rsidRPr="001C77C1">
        <w:rPr>
          <w:rFonts w:ascii="Arial" w:eastAsia="Calibri" w:hAnsi="Arial" w:cs="Arial"/>
          <w:kern w:val="2"/>
        </w:rPr>
        <w:t xml:space="preserve"> technology, and vertical aquaponics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ISBN":"9783030159429","author":[{"dropping-particle":"","family":"Goddek","given":"Simon","non-dropping-particle":"","parse-names":false,"suffix":""}],"id":"ITEM-1","issued":{"date-parts":[["2019"]]},"number-of-pages":"1 - 619","title":"Aquaponics Food Production Systems","type":"book"},"uris":["http://www.mendeley.com/documents/?uuid=da2cc9d1-8efe-4006-a396-a9e89213e6f3"]}],"mendeley":{"formattedCitation":"(Goddek, 2019)","plainTextFormattedCitation":"(Goddek, 2019)","previouslyFormattedCitation":"(Goddek, 2019)"},"properties":{"noteIndex":0},"schema":"https://github.com/citation-style-language/schema/raw/master/csl-citation.json"}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(Goddek, 2019)</w:t>
      </w:r>
      <w:r w:rsidRPr="001C77C1">
        <w:rPr>
          <w:rFonts w:ascii="Arial" w:eastAsia="Calibri" w:hAnsi="Arial" w:cs="Arial"/>
          <w:kern w:val="2"/>
        </w:rPr>
        <w:fldChar w:fldCharType="end"/>
      </w:r>
      <w:r w:rsidRPr="001C77C1">
        <w:rPr>
          <w:rFonts w:ascii="Arial" w:eastAsia="Calibri" w:hAnsi="Arial" w:cs="Arial"/>
          <w:kern w:val="2"/>
        </w:rPr>
        <w:t xml:space="preserve">. But the vertical farming and </w:t>
      </w:r>
      <w:proofErr w:type="spellStart"/>
      <w:r w:rsidRPr="001C77C1">
        <w:rPr>
          <w:rFonts w:ascii="Arial" w:eastAsia="Calibri" w:hAnsi="Arial" w:cs="Arial"/>
          <w:kern w:val="2"/>
        </w:rPr>
        <w:t>Biofloc</w:t>
      </w:r>
      <w:proofErr w:type="spellEnd"/>
      <w:r w:rsidRPr="001C77C1">
        <w:rPr>
          <w:rFonts w:ascii="Arial" w:eastAsia="Calibri" w:hAnsi="Arial" w:cs="Arial"/>
          <w:kern w:val="2"/>
        </w:rPr>
        <w:t xml:space="preserve"> technology are discussed in this review. </w:t>
      </w:r>
    </w:p>
    <w:p w14:paraId="55B440D8" w14:textId="77777777" w:rsidR="00CC0C1B" w:rsidRPr="001C77C1" w:rsidRDefault="00CC0C1B" w:rsidP="00CC0C1B">
      <w:pPr>
        <w:keepNext/>
        <w:keepLines/>
        <w:spacing w:before="160" w:after="80" w:line="278" w:lineRule="auto"/>
        <w:jc w:val="both"/>
        <w:outlineLvl w:val="2"/>
        <w:rPr>
          <w:rFonts w:ascii="Arial" w:hAnsi="Arial" w:cs="Arial"/>
          <w:b/>
          <w:bCs/>
          <w:kern w:val="2"/>
          <w:sz w:val="22"/>
          <w:szCs w:val="22"/>
        </w:rPr>
      </w:pPr>
      <w:r w:rsidRPr="001C77C1">
        <w:rPr>
          <w:rFonts w:ascii="Arial" w:hAnsi="Arial" w:cs="Arial"/>
          <w:b/>
          <w:bCs/>
          <w:kern w:val="2"/>
          <w:sz w:val="22"/>
          <w:szCs w:val="22"/>
        </w:rPr>
        <w:t>2.3.1 Vertical Farming and Sustainable Urban Food Production</w:t>
      </w:r>
    </w:p>
    <w:p w14:paraId="7F287B87" w14:textId="13DA39E0" w:rsidR="00CC0C1B" w:rsidRPr="001C77C1" w:rsidRDefault="00CC0C1B" w:rsidP="00CC0C1B">
      <w:pPr>
        <w:spacing w:after="160" w:line="360" w:lineRule="auto"/>
        <w:jc w:val="both"/>
        <w:rPr>
          <w:rFonts w:ascii="Arial" w:eastAsia="Calibri" w:hAnsi="Arial" w:cs="Arial"/>
          <w:noProof/>
          <w:kern w:val="2"/>
        </w:rPr>
      </w:pPr>
      <w:r w:rsidRPr="001C77C1">
        <w:rPr>
          <w:rFonts w:ascii="Arial" w:eastAsia="Calibri" w:hAnsi="Arial" w:cs="Arial"/>
          <w:kern w:val="2"/>
        </w:rPr>
        <w:t xml:space="preserve">Vertical farming constitutes the growth of plants in stacked layers vertically within controlled spaces such as warehouses, skyscrapers, and constructed buildings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{"citationItems":[{"id":"ITEM-1","itemData":{"author":[{"dropping-particle":"","family":"Akintuyi","given":"Olabimpe Banke","non-dropping-particle":"","parse-names":false,"suffix":""}],"container-title":"Open Access Research Journal of Biology and Pharmacy","id":"ITEM-1","issue":"02","issued":{"date-parts":[["2024"]]},"page":"114-126","title":"Vertical farming in urban environments : A review of architectural integration and food security","type":"article-journal","volume":"10"},"uris":["http://www.mendeley.com/documents/?uuid=94ca12a6-3b42-4217-94e8-156922c69a5e"]}],"mendeley":{"formattedCitation":"(Akintuyi, 2024)","plainTextFormattedCitation":"(Akintuyi, 2024)","previouslyFormattedCitation":"(Akintuyi,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(Akintuyi, 2024)</w:t>
      </w:r>
      <w:r w:rsidRPr="001C77C1">
        <w:rPr>
          <w:rFonts w:ascii="Arial" w:eastAsia="Calibri" w:hAnsi="Arial" w:cs="Arial"/>
          <w:kern w:val="2"/>
        </w:rPr>
        <w:fldChar w:fldCharType="end"/>
      </w:r>
      <w:r w:rsidRPr="001C77C1">
        <w:rPr>
          <w:rFonts w:ascii="Arial" w:eastAsia="Calibri" w:hAnsi="Arial" w:cs="Arial"/>
          <w:kern w:val="2"/>
        </w:rPr>
        <w:t xml:space="preserve">. In urban areas, it maximizes the use of space, employs greener practices, and minimizes the reliance on cultivatable land. The controlled environment reduces the impacts of climatic variation, and yield is uniform, along with stability in food quality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{"citationItems":[{"id":"ITEM-1","itemData":{"author":[{"dropping-particle":"","family":"Akintuyi","given":"Olabimpe Banke","non-dropping-particle":"","parse-names":false,"suffix":""}],"container-title":"Open Access Research Journal of Biology and Pharmacy","id":"ITEM-1","issue":"02","issued":{"date-parts":[["2024"]]},"page":"114-126","title":"Vertical farming in urban environments : A review of architectural integration and food security","type":"article-journal","volume":"10"},"uris":["http://www.mendeley.com/documents/?uuid=94ca12a6-3b42-4217-94e8-156922c69a5e"]}],"mendeley":{"formattedCitation":"(Akintuyi, 2024)","plainTextFormattedCitation":"(Akintuyi, 2024)","previouslyFormattedCitation":"(Akintuyi,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(Akintuyi, 2024)</w:t>
      </w:r>
      <w:r w:rsidRPr="001C77C1">
        <w:rPr>
          <w:rFonts w:ascii="Arial" w:eastAsia="Calibri" w:hAnsi="Arial" w:cs="Arial"/>
          <w:kern w:val="2"/>
        </w:rPr>
        <w:fldChar w:fldCharType="end"/>
      </w:r>
      <w:r w:rsidRPr="001C77C1">
        <w:rPr>
          <w:rFonts w:ascii="Arial" w:eastAsia="Calibri" w:hAnsi="Arial" w:cs="Arial"/>
          <w:kern w:val="2"/>
        </w:rPr>
        <w:t xml:space="preserve">. Its capacity to maintain high levels of production and safety, vertical farming ensures urban food systems, and reduces the need for long-distance food transportation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{"citationItems":[{"id":"ITEM-1","itemData":{"author":[{"dropping-particle":"","family":"Lumpur","given":"Kuala","non-dropping-particle":"","parse-names":false,"suffix":""}],"container-title":"Journal of Landscape Ecology","id":"ITEM-1","issue":"1","issued":{"date-parts":[["2018"]]},"page":"35-60","title":"OPPORTUNITIES AND CHALLENGES IN SUSTAINABILITY OF VERTICAL FARMING : A REVIEW","type":"article-journal","volume":"2050"},"uris":["http://www.mendeley.com/documents/?uuid=98ba6fc8-70d6-4bd1-9f56-29a1f4ad69e0"]}],"mendeley":{"formattedCitation":"(Lumpur, 2018)","plainTextFormattedCitation":"(Lumpur, 2018)","previouslyFormattedCitation":"(Lumpur, 2018)"},"properties":{"noteIndex":0},"schema":"https://github.com/citation-style-language/schema/raw/master/csl-citation.json"}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(Lumpur, 2018)</w:t>
      </w:r>
      <w:r w:rsidRPr="001C77C1">
        <w:rPr>
          <w:rFonts w:ascii="Arial" w:eastAsia="Calibri" w:hAnsi="Arial" w:cs="Arial"/>
          <w:kern w:val="2"/>
        </w:rPr>
        <w:fldChar w:fldCharType="end"/>
      </w:r>
      <w:r w:rsidRPr="001C77C1">
        <w:rPr>
          <w:rFonts w:ascii="Arial" w:eastAsia="Calibri" w:hAnsi="Arial" w:cs="Arial"/>
          <w:kern w:val="2"/>
        </w:rPr>
        <w:t xml:space="preserve">. Taken </w:t>
      </w:r>
      <w:r w:rsidRPr="001C77C1">
        <w:rPr>
          <w:rFonts w:ascii="Arial" w:eastAsia="Calibri" w:hAnsi="Arial" w:cs="Arial"/>
          <w:kern w:val="2"/>
        </w:rPr>
        <w:lastRenderedPageBreak/>
        <w:t>together, vertical farming, therefore, is a great way to make urban life more sustainable and reduce food shortages across the globe.</w:t>
      </w:r>
    </w:p>
    <w:p w14:paraId="4F17DACF" w14:textId="77777777" w:rsidR="00CC0C1B" w:rsidRPr="001C77C1" w:rsidRDefault="00CC0C1B" w:rsidP="00CC0C1B">
      <w:pPr>
        <w:keepNext/>
        <w:keepLines/>
        <w:spacing w:before="160" w:after="80" w:line="278" w:lineRule="auto"/>
        <w:outlineLvl w:val="2"/>
        <w:rPr>
          <w:rFonts w:ascii="Arial" w:hAnsi="Arial" w:cs="Arial"/>
          <w:b/>
          <w:bCs/>
          <w:kern w:val="2"/>
          <w:sz w:val="22"/>
          <w:szCs w:val="22"/>
        </w:rPr>
      </w:pPr>
      <w:r w:rsidRPr="001C77C1">
        <w:rPr>
          <w:rFonts w:ascii="Arial" w:hAnsi="Arial" w:cs="Arial"/>
          <w:b/>
          <w:bCs/>
          <w:kern w:val="2"/>
          <w:sz w:val="22"/>
          <w:szCs w:val="22"/>
        </w:rPr>
        <w:t xml:space="preserve">2.3.2 </w:t>
      </w:r>
      <w:proofErr w:type="spellStart"/>
      <w:r w:rsidRPr="001C77C1">
        <w:rPr>
          <w:rFonts w:ascii="Arial" w:hAnsi="Arial" w:cs="Arial"/>
          <w:b/>
          <w:bCs/>
          <w:kern w:val="2"/>
          <w:sz w:val="22"/>
          <w:szCs w:val="22"/>
        </w:rPr>
        <w:t>Biofloc</w:t>
      </w:r>
      <w:proofErr w:type="spellEnd"/>
      <w:r w:rsidRPr="001C77C1">
        <w:rPr>
          <w:rFonts w:ascii="Arial" w:hAnsi="Arial" w:cs="Arial"/>
          <w:b/>
          <w:bCs/>
          <w:kern w:val="2"/>
          <w:sz w:val="22"/>
          <w:szCs w:val="22"/>
        </w:rPr>
        <w:t xml:space="preserve"> Technology (BFT) for Sustainable Aquaculture</w:t>
      </w:r>
    </w:p>
    <w:p w14:paraId="61321F46" w14:textId="77777777" w:rsidR="00CC0C1B" w:rsidRPr="001C77C1" w:rsidRDefault="00CC0C1B" w:rsidP="00CC0C1B">
      <w:pPr>
        <w:spacing w:after="160" w:line="360" w:lineRule="auto"/>
        <w:jc w:val="both"/>
        <w:rPr>
          <w:rFonts w:ascii="Arial" w:eastAsia="Calibri" w:hAnsi="Arial" w:cs="Arial"/>
          <w:kern w:val="2"/>
        </w:rPr>
      </w:pPr>
      <w:proofErr w:type="spellStart"/>
      <w:r w:rsidRPr="001C77C1">
        <w:rPr>
          <w:rFonts w:ascii="Arial" w:eastAsia="Calibri" w:hAnsi="Arial" w:cs="Arial"/>
          <w:kern w:val="2"/>
        </w:rPr>
        <w:t>Biofloc</w:t>
      </w:r>
      <w:proofErr w:type="spellEnd"/>
      <w:r w:rsidRPr="001C77C1">
        <w:rPr>
          <w:rFonts w:ascii="Arial" w:eastAsia="Calibri" w:hAnsi="Arial" w:cs="Arial"/>
          <w:kern w:val="2"/>
        </w:rPr>
        <w:t xml:space="preserve"> technology, commonly known as </w:t>
      </w:r>
      <w:commentRangeStart w:id="13"/>
      <w:r w:rsidRPr="001C77C1">
        <w:rPr>
          <w:rFonts w:ascii="Arial" w:eastAsia="Calibri" w:hAnsi="Arial" w:cs="Arial"/>
          <w:kern w:val="2"/>
        </w:rPr>
        <w:t xml:space="preserve">the </w:t>
      </w:r>
      <w:commentRangeEnd w:id="13"/>
      <w:r w:rsidR="00486DE9">
        <w:rPr>
          <w:rStyle w:val="CommentReference"/>
          <w:rFonts w:ascii="Times New Roman" w:hAnsi="Times New Roman"/>
          <w:lang w:val="nb-NO" w:eastAsia="nb-NO"/>
        </w:rPr>
        <w:commentReference w:id="13"/>
      </w:r>
      <w:r w:rsidRPr="001C77C1">
        <w:rPr>
          <w:rFonts w:ascii="Arial" w:eastAsia="Calibri" w:hAnsi="Arial" w:cs="Arial"/>
          <w:kern w:val="2"/>
        </w:rPr>
        <w:t xml:space="preserve">BTF, is a green technology that utilizes microbial associations to control the nutrients in aquaculture systems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{"citationItems":[{"id":"ITEM-1","itemData":{"DOI":"10.1002/aff2.108","author":[{"dropping-particle":"","family":"Davies","given":"Simon J","non-dropping-particle":"","parse-names":false,"suffix":""},{"dropping-particle":"","family":"Warberg","given":"Majbritt Bolton","non-dropping-particle":"","parse-names":false,"suffix":""},{"dropping-particle":"","family":"Mccusker","given":"Stephen","non-dropping-particle":"","parse-names":false,"suffix":""},{"dropping-particle":"","family":"Valente","given":"Cecilia De Souza","non-dropping-particle":"","parse-names":false,"suffix":""},{"dropping-particle":"","family":"Johnson","given":"Mark P","non-dropping-particle":"","parse-names":false,"suffix":""},{"dropping-particle":"","family":"Cooney","given":"Ronan","non-dropping-particle":"","parse-names":false,"suffix":""},{"dropping-particle":"","family":"Wan","given":"Alex H L","non-dropping-particle":"","parse-names":false,"suffix":""}],"container-title":"Aquaculture Fish and Fisheries","id":"ITEM-1","issue":"1","issued":{"date-parts":[["2023"]]},"page":"331-352","title":"Biofloc technology as part of a sustainable aquaculture system : A review on the status and innovations for its expansion","type":"article-journal","volume":"3"},"uris":["http://www.mendeley.com/documents/?uuid=59883308-c386-4f62-9f48-a7a771e9ec9e"]}],"mendeley":{"formattedCitation":"(Davies et al., 2023)","plainTextFormattedCitation":"(Davies et al., 2023)","previouslyFormattedCitation":"(Davies et al., 2023)"},"properties":{"noteIndex":0},"schema":"https://github.com/citation-style-language/schema/raw/master/csl-citation.json"}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(Davies </w:t>
      </w:r>
      <w:r w:rsidRPr="001C77C1">
        <w:rPr>
          <w:rFonts w:ascii="Arial" w:eastAsia="Calibri" w:hAnsi="Arial" w:cs="Arial"/>
          <w:i/>
          <w:iCs/>
          <w:noProof/>
          <w:kern w:val="2"/>
        </w:rPr>
        <w:t>et al.,</w:t>
      </w:r>
      <w:r w:rsidRPr="001C77C1">
        <w:rPr>
          <w:rFonts w:ascii="Arial" w:eastAsia="Calibri" w:hAnsi="Arial" w:cs="Arial"/>
          <w:noProof/>
          <w:kern w:val="2"/>
        </w:rPr>
        <w:t xml:space="preserve"> 2023)</w:t>
      </w:r>
      <w:r w:rsidRPr="001C77C1">
        <w:rPr>
          <w:rFonts w:ascii="Arial" w:eastAsia="Calibri" w:hAnsi="Arial" w:cs="Arial"/>
          <w:kern w:val="2"/>
        </w:rPr>
        <w:fldChar w:fldCharType="end"/>
      </w:r>
      <w:r w:rsidRPr="001C77C1">
        <w:rPr>
          <w:rFonts w:ascii="Arial" w:eastAsia="Calibri" w:hAnsi="Arial" w:cs="Arial"/>
          <w:kern w:val="2"/>
        </w:rPr>
        <w:t xml:space="preserve">. It functions to transform aquaculture effluent inorganic nitrogen into microbial protein, enhancing water quality and also acting as an effective aquatic animal feed supplement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{"citationItems":[{"id":"ITEM-1","itemData":{"DOI":"10.1111/raq.12412","ISBN":"7516989177","author":[{"dropping-particle":"","family":"Khanjani","given":"Mohammad Hossein","non-dropping-particle":"","parse-names":false,"suffix":""},{"dropping-particle":"","family":"Sharifinia","given":"Moslem","non-dropping-particle":"","parse-names":false,"suffix":""}],"container-title":"Wiley Publishing Asia Pty Ltd","id":"ITEM-1","issue":"1","issued":{"date-parts":[["2020"]]},"page":"1836-1850","title":"Biofloc technology as a promising tool to improve aquaculture production","type":"article-journal","volume":"12"},"uris":["http://www.mendeley.com/documents/?uuid=e2f49296-00dc-445a-8276-35bdd377a2f6"]}],"mendeley":{"formattedCitation":"(Khanjani &amp; Sharifinia, 2020)","plainTextFormattedCitation":"(Khanjani &amp; Sharifinia, 2020)","previouslyFormattedCitation":"(Khanjani &amp; Sharifinia, 2020)"},"properties":{"noteIndex":0},"schema":"https://github.com/citation-style-language/schema/raw/master/csl-citation.json"}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(Khanjani &amp; Sharifinia, 2020)</w:t>
      </w:r>
      <w:r w:rsidRPr="001C77C1">
        <w:rPr>
          <w:rFonts w:ascii="Arial" w:eastAsia="Calibri" w:hAnsi="Arial" w:cs="Arial"/>
          <w:kern w:val="2"/>
        </w:rPr>
        <w:fldChar w:fldCharType="end"/>
      </w:r>
      <w:r w:rsidRPr="001C77C1">
        <w:rPr>
          <w:rFonts w:ascii="Arial" w:eastAsia="Calibri" w:hAnsi="Arial" w:cs="Arial"/>
          <w:kern w:val="2"/>
        </w:rPr>
        <w:t xml:space="preserve">. By recycling nutrients within the system, BFT minimizes waste disposal into neighboring water bodies and generates effluents that are organic, nutrient-rich, and mostly pathogen-free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10.1111/lre.12449","author":[{"dropping-particle":"","family":"Kumar","given":"Sudhir","non-dropping-particle":"","parse-names":false,"suffix":""},{"dropping-particle":"","family":"Kumar","given":"Praveen","non-dropping-particle":"","parse-names":false,"suffix":""},{"dropping-particle":"","family":"Vineet","given":"Srivastava","non-dropping-particle":"","parse-names":false,"suffix":""},{"dropping-particle":"","family":"Seth","given":"Chandra Shekhar","non-dropping-particle":"","parse-names":false,"suffix":""}],"container-title":"Lakes Reservoirs","id":"ITEM-1","issue":"12449","issued":{"date-parts":[["2024"]]},"page":"1-17","title":"Biofloc technology : A sustainable approach towards wastewater utilization and fish production","type":"article-journal","volume":"29"},"uris":["http://www.mendeley.com/documents/?uuid=933dc791-9af4-4ea6-9884-d951f6165bcc"]}],"mendeley":{"formattedCitation":"(Kumar et al., 2024)","plainTextFormattedCitation":"(Kumar et al., 2024)","previouslyFormattedCitation":"(Kumar et al.,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(Kumar e</w:t>
      </w:r>
      <w:r w:rsidRPr="001C77C1">
        <w:rPr>
          <w:rFonts w:ascii="Arial" w:eastAsia="Calibri" w:hAnsi="Arial" w:cs="Arial"/>
          <w:i/>
          <w:iCs/>
          <w:noProof/>
          <w:kern w:val="2"/>
        </w:rPr>
        <w:t>t al.,</w:t>
      </w:r>
      <w:r w:rsidRPr="001C77C1">
        <w:rPr>
          <w:rFonts w:ascii="Arial" w:eastAsia="Calibri" w:hAnsi="Arial" w:cs="Arial"/>
          <w:noProof/>
          <w:kern w:val="2"/>
        </w:rPr>
        <w:t xml:space="preserve"> 2024)</w:t>
      </w:r>
      <w:r w:rsidRPr="001C77C1">
        <w:rPr>
          <w:rFonts w:ascii="Arial" w:eastAsia="Calibri" w:hAnsi="Arial" w:cs="Arial"/>
          <w:kern w:val="2"/>
        </w:rPr>
        <w:fldChar w:fldCharType="end"/>
      </w:r>
      <w:r w:rsidRPr="001C77C1">
        <w:rPr>
          <w:rFonts w:ascii="Arial" w:eastAsia="Calibri" w:hAnsi="Arial" w:cs="Arial"/>
          <w:kern w:val="2"/>
        </w:rPr>
        <w:t>.</w:t>
      </w:r>
    </w:p>
    <w:p w14:paraId="5AE6A5BB"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 xml:space="preserve">Aside from enhancing water quality, </w:t>
      </w:r>
      <w:proofErr w:type="spellStart"/>
      <w:r w:rsidRPr="001C77C1">
        <w:rPr>
          <w:rFonts w:ascii="Arial" w:eastAsia="Calibri" w:hAnsi="Arial" w:cs="Arial"/>
          <w:kern w:val="2"/>
        </w:rPr>
        <w:t>biofloc</w:t>
      </w:r>
      <w:proofErr w:type="spellEnd"/>
      <w:r w:rsidRPr="001C77C1">
        <w:rPr>
          <w:rFonts w:ascii="Arial" w:eastAsia="Calibri" w:hAnsi="Arial" w:cs="Arial"/>
          <w:kern w:val="2"/>
        </w:rPr>
        <w:t xml:space="preserve"> is also a biosecurity biological solution that reduces the use of antibiotics and compensates for their resulting environmental footprint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{"citationItems":[{"id":"ITEM-1","itemData":{"DOI":"10.1016/j.sciaf.2021.e01053","ISSN":"2468-2276","author":[{"dropping-particle":"","family":"Ogello","given":"Erick O","non-dropping-particle":"","parse-names":false,"suffix":""},{"dropping-particle":"","family":"Outa","given":"Nicholas O","non-dropping-particle":"","parse-names":false,"suffix":""},{"dropping-particle":"","family":"Obiero","given":"Kevin O","non-dropping-particle":"","parse-names":false,"suffix":""},{"dropping-particle":"","family":"Kyule","given":"Domitila N","non-dropping-particle":"","parse-names":false,"suffix":""},{"dropping-particle":"","family":"Munguti","given":"Jonathan M","non-dropping-particle":"","parse-names":false,"suffix":""}],"container-title":"Scientific African","id":"ITEM-1","issue":"01053","issued":{"date-parts":[["2021"]]},"page":"1-11","publisher":"Elsevier B.V.","title":"The prospects of biofloc technology ( BFT ) for sustainable aquaculture development","type":"article-journal","volume":"14"},"uris":["http://www.mendeley.com/documents/?uuid=ba8aab23-70b4-4639-b2e5-2ab72fd7341e"]}],"mendeley":{"formattedCitation":"(Ogello et al., 2021)","plainTextFormattedCitation":"(Ogello et al., 2021)","previouslyFormattedCitation":"(Ogello et al., 2021)"},"properties":{"noteIndex":0},"schema":"https://github.com/citation-style-language/schema/raw/master/csl-citation.json"}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(Ogello </w:t>
      </w:r>
      <w:r w:rsidRPr="001C77C1">
        <w:rPr>
          <w:rFonts w:ascii="Arial" w:eastAsia="Calibri" w:hAnsi="Arial" w:cs="Arial"/>
          <w:i/>
          <w:iCs/>
          <w:noProof/>
          <w:kern w:val="2"/>
        </w:rPr>
        <w:t xml:space="preserve">et al., </w:t>
      </w:r>
      <w:r w:rsidRPr="001C77C1">
        <w:rPr>
          <w:rFonts w:ascii="Arial" w:eastAsia="Calibri" w:hAnsi="Arial" w:cs="Arial"/>
          <w:noProof/>
          <w:kern w:val="2"/>
        </w:rPr>
        <w:t>2021)</w:t>
      </w:r>
      <w:r w:rsidRPr="001C77C1">
        <w:rPr>
          <w:rFonts w:ascii="Arial" w:eastAsia="Calibri" w:hAnsi="Arial" w:cs="Arial"/>
          <w:kern w:val="2"/>
        </w:rPr>
        <w:fldChar w:fldCharType="end"/>
      </w:r>
      <w:r w:rsidRPr="001C77C1">
        <w:rPr>
          <w:rFonts w:ascii="Arial" w:eastAsia="Calibri" w:hAnsi="Arial" w:cs="Arial"/>
          <w:kern w:val="2"/>
        </w:rPr>
        <w:t xml:space="preserve">. The application of BFT in aquaculture reduces dependence on processed feed, with economic as well as environmental benefits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{"citationItems":[{"id":"ITEM-1","itemData":{"author":[{"dropping-particle":"","family":"Choo","given":"Han X","non-dropping-particle":"","parse-names":false,"suffix":""},{"dropping-particle":"","family":"Caipang","given":"Christopher Marlowe A","non-dropping-particle":"","parse-names":false,"suffix":""}],"container-title":"AACL Bioflux","id":"ITEM-1","issue":"3","issued":{"date-parts":[["2015"]]},"page":"362-366","title":"tilapia culture","type":"article-journal","volume":"8"},"uris":["http://www.mendeley.com/documents/?uuid=183afe51-44a3-49c6-bb81-da7565940fa1"]}],"mendeley":{"formattedCitation":"(Choo &amp; Caipang, 2015)","plainTextFormattedCitation":"(Choo &amp; Caipang, 2015)","previouslyFormattedCitation":"(Choo &amp; Caipang, 2015)"},"properties":{"noteIndex":0},"schema":"https://github.com/citation-style-language/schema/raw/master/csl-citation.json"}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(Choo &amp; Caipang, 2015)</w:t>
      </w:r>
      <w:r w:rsidRPr="001C77C1">
        <w:rPr>
          <w:rFonts w:ascii="Arial" w:eastAsia="Calibri" w:hAnsi="Arial" w:cs="Arial"/>
          <w:kern w:val="2"/>
        </w:rPr>
        <w:fldChar w:fldCharType="end"/>
      </w:r>
      <w:r w:rsidRPr="001C77C1">
        <w:rPr>
          <w:rFonts w:ascii="Arial" w:eastAsia="Calibri" w:hAnsi="Arial" w:cs="Arial"/>
          <w:kern w:val="2"/>
        </w:rPr>
        <w:t xml:space="preserve">. Relative to traditional aquaculture technologies, BFT reduces water exchange, feed expense, and enhances sustainability, thus a low-cost, scalable technology for contemporary aquaculture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{"citationItems":[{"id":"ITEM-1","itemData":{"DOI":"10.1111/raq.12412","ISBN":"7516989177","author":[{"dropping-particle":"","family":"Khanjani","given":"Mohammad Hossein","non-dropping-particle":"","parse-names":false,"suffix":""},{"dropping-particle":"","family":"Sharifinia","given":"Moslem","non-dropping-particle":"","parse-names":false,"suffix":""}],"container-title":"Wiley Publishing Asia Pty Ltd","id":"ITEM-1","issue":"1","issued":{"date-parts":[["2020"]]},"page":"1836-1850","title":"Biofloc technology as a promising tool to improve aquaculture production","type":"article-journal","volume":"12"},"uris":["http://www.mendeley.com/documents/?uuid=e2f49296-00dc-445a-8276-35bdd377a2f6"]}],"mendeley":{"formattedCitation":"(Khanjani &amp; Sharifinia, 2020)","plainTextFormattedCitation":"(Khanjani &amp; Sharifinia, 2020)","previouslyFormattedCitation":"(Khanjani &amp; Sharifinia, 2020)"},"properties":{"noteIndex":0},"schema":"https://github.com/citation-style-language/schema/raw/master/csl-citation.json"}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(Khanjani &amp; Sharifinia, 2020)</w:t>
      </w:r>
      <w:r w:rsidRPr="001C77C1">
        <w:rPr>
          <w:rFonts w:ascii="Arial" w:eastAsia="Calibri" w:hAnsi="Arial" w:cs="Arial"/>
          <w:kern w:val="2"/>
        </w:rPr>
        <w:fldChar w:fldCharType="end"/>
      </w:r>
      <w:r w:rsidRPr="001C77C1">
        <w:rPr>
          <w:rFonts w:ascii="Arial" w:eastAsia="Calibri" w:hAnsi="Arial" w:cs="Arial"/>
          <w:kern w:val="2"/>
        </w:rPr>
        <w:t>.</w:t>
      </w:r>
    </w:p>
    <w:p w14:paraId="5D70E6F3"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t>2.4 AQUAPONICS FOR SUSTAINABLE FOOD SECURITY</w:t>
      </w:r>
    </w:p>
    <w:p w14:paraId="4F58E752"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 xml:space="preserve">Aquaponics can potentially supply vegetables, fruits, and fish throughout the year, providing households with a year-round cultivation that boosts dietary diversity and protein consumption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{"citationItems":[{"id":"ITEM-1","itemData":{"author":[{"dropping-particle":"","family":"Garnida","given":"Yudi","non-dropping-particle":"","parse-names":false,"suffix":""}],"container-title":"Jurnal Multidisiplin Sahombu","id":"ITEM-1","issue":"1","issued":{"date-parts":[["2021"]]},"page":"146-152","title":"AQUAPONICS AS A SOLUTION FOR FAMILY FOOD SECURITY IN","type":"article-journal","volume":"3"},"uris":["http://www.mendeley.com/documents/?uuid=f75357c9-fd6c-4698-9268-ae652e61fc34"]}],"mendeley":{"formattedCitation":"(Garnida, 2021)","plainTextFormattedCitation":"(Garnida, 2021)","previouslyFormattedCitation":"(Garnida, 2021)"},"properties":{"noteIndex":0},"schema":"https://github.com/citation-style-language/schema/raw/master/csl-citation.json"}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(Garnida, 2021)</w:t>
      </w:r>
      <w:r w:rsidRPr="001C77C1">
        <w:rPr>
          <w:rFonts w:ascii="Arial" w:eastAsia="Calibri" w:hAnsi="Arial" w:cs="Arial"/>
          <w:kern w:val="2"/>
        </w:rPr>
        <w:fldChar w:fldCharType="end"/>
      </w:r>
      <w:r w:rsidRPr="001C77C1">
        <w:rPr>
          <w:rFonts w:ascii="Arial" w:eastAsia="Calibri" w:hAnsi="Arial" w:cs="Arial"/>
          <w:kern w:val="2"/>
        </w:rPr>
        <w:t xml:space="preserve">. Previous studies confirmed by </w:t>
      </w:r>
      <w:proofErr w:type="spellStart"/>
      <w:r w:rsidRPr="001C77C1">
        <w:rPr>
          <w:rFonts w:ascii="Arial" w:eastAsia="Calibri" w:hAnsi="Arial" w:cs="Arial"/>
          <w:kern w:val="2"/>
        </w:rPr>
        <w:t>Garnida</w:t>
      </w:r>
      <w:proofErr w:type="spellEnd"/>
      <w:r w:rsidRPr="001C77C1">
        <w:rPr>
          <w:rFonts w:ascii="Arial" w:eastAsia="Calibri" w:hAnsi="Arial" w:cs="Arial"/>
          <w:kern w:val="2"/>
        </w:rPr>
        <w:t xml:space="preserve">. 2021, identify its huge role in improving food security for urban poor communities, where access to cheaper and nutritious food is limited. From the perspective of using resources, aquaponics promotes sustainable production as it saves 90% of water compared to traditional farming, and also lessens the use of chemical fertilizers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{"citationItems":[{"id":"ITEM-1","itemData":{"DOI":"10.1111/jwas.13116","author":[{"dropping-particle":"","family":"Nair","given":"Chythra Somanathan","non-dropping-particle":"","parse-names":false,"suffix":""}],"container-title":"Journal World Aquaculture Society","id":"ITEM-1","issue":"1","issued":{"date-parts":[["2025"]]},"page":"1-39","title":"Recent advancements in aquaponics with special emphasis on its sustainability","type":"article-journal","volume":"10"},"uris":["http://www.mendeley.com/documents/?uuid=68b47c0c-7e1c-4ee0-9312-d449919770d3"]}],"mendeley":{"formattedCitation":"(Nair, 2025)","plainTextFormattedCitation":"(Nair, 2025)","previouslyFormattedCitation":"(Nair, 2025)"},"properties":{"noteIndex":0},"schema":"https://github.com/citation-style-language/schema/raw/master/csl-citation.json"}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(Nair, 2025)</w:t>
      </w:r>
      <w:r w:rsidRPr="001C77C1">
        <w:rPr>
          <w:rFonts w:ascii="Arial" w:eastAsia="Calibri" w:hAnsi="Arial" w:cs="Arial"/>
          <w:kern w:val="2"/>
        </w:rPr>
        <w:fldChar w:fldCharType="end"/>
      </w:r>
      <w:r w:rsidRPr="001C77C1">
        <w:rPr>
          <w:rFonts w:ascii="Arial" w:eastAsia="Calibri" w:hAnsi="Arial" w:cs="Arial"/>
          <w:kern w:val="2"/>
        </w:rPr>
        <w:t xml:space="preserve">. However, it is robust enough to be employed under harsh conditions, including deserts and drylands, where repeated cycles of production for vegetables and herbs have been shown to enhance growth performance and efficiency in the use of resources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{"citationItems":[{"id":"ITEM-1","itemData":{"DOI":"10.1111/jwas.13049","author":[{"dropping-particle":"","family":"Nishanth","given":"Drishya","non-dropping-particle":"","parse-names":false,"suffix":""},{"dropping-particle":"","family":"Alnuaimi","given":"Shamma H K","non-dropping-particle":"","parse-names":false,"suffix":""},{"dropping-particle":"","family":"Somanathan","given":"Chythra","non-dropping-particle":"","parse-names":false,"suffix":""}],"container-title":"Journal World Aquaculture Society","id":"ITEM-1","issue":"1","issued":{"date-parts":[["2023"]]},"page":"1-24","title":"Aquaponics as a climate-smart technology for sustainable food production : A comparison with conventional production system in United Arab Emirates","type":"article-journal","volume":"10"},"uris":["http://www.mendeley.com/documents/?uuid=56a14f9c-209c-4942-9389-2e685534c7b0"]}],"mendeley":{"formattedCitation":"(Nishanth et al., 2023)","plainTextFormattedCitation":"(Nishanth et al., 2023)","previouslyFormattedCitation":"(Nishanth et al., 2023)"},"properties":{"noteIndex":0},"schema":"https://github.com/citation-style-language/schema/raw/master/csl-citation.json"}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(Nishanth </w:t>
      </w:r>
      <w:r w:rsidRPr="001C77C1">
        <w:rPr>
          <w:rFonts w:ascii="Arial" w:eastAsia="Calibri" w:hAnsi="Arial" w:cs="Arial"/>
          <w:i/>
          <w:iCs/>
          <w:noProof/>
          <w:kern w:val="2"/>
        </w:rPr>
        <w:t xml:space="preserve">et al., </w:t>
      </w:r>
      <w:r w:rsidRPr="001C77C1">
        <w:rPr>
          <w:rFonts w:ascii="Arial" w:eastAsia="Calibri" w:hAnsi="Arial" w:cs="Arial"/>
          <w:noProof/>
          <w:kern w:val="2"/>
        </w:rPr>
        <w:t>2023)</w:t>
      </w:r>
      <w:r w:rsidRPr="001C77C1">
        <w:rPr>
          <w:rFonts w:ascii="Arial" w:eastAsia="Calibri" w:hAnsi="Arial" w:cs="Arial"/>
          <w:kern w:val="2"/>
        </w:rPr>
        <w:fldChar w:fldCharType="end"/>
      </w:r>
      <w:r w:rsidRPr="001C77C1">
        <w:rPr>
          <w:rFonts w:ascii="Arial" w:eastAsia="Calibri" w:hAnsi="Arial" w:cs="Arial"/>
          <w:kern w:val="2"/>
        </w:rPr>
        <w:t>.  Likewise, aquaponic production of herbs like basil (</w:t>
      </w:r>
      <w:proofErr w:type="spellStart"/>
      <w:r w:rsidRPr="001C77C1">
        <w:rPr>
          <w:rFonts w:ascii="Arial" w:eastAsia="Calibri" w:hAnsi="Arial" w:cs="Arial"/>
          <w:i/>
          <w:iCs/>
          <w:kern w:val="2"/>
        </w:rPr>
        <w:t>Ocimum</w:t>
      </w:r>
      <w:proofErr w:type="spellEnd"/>
      <w:r w:rsidRPr="001C77C1">
        <w:rPr>
          <w:rFonts w:ascii="Arial" w:eastAsia="Calibri" w:hAnsi="Arial" w:cs="Arial"/>
          <w:i/>
          <w:iCs/>
          <w:kern w:val="2"/>
        </w:rPr>
        <w:t xml:space="preserve"> </w:t>
      </w:r>
      <w:proofErr w:type="spellStart"/>
      <w:r w:rsidRPr="001C77C1">
        <w:rPr>
          <w:rFonts w:ascii="Arial" w:eastAsia="Calibri" w:hAnsi="Arial" w:cs="Arial"/>
          <w:i/>
          <w:iCs/>
          <w:kern w:val="2"/>
        </w:rPr>
        <w:t>basilicum</w:t>
      </w:r>
      <w:proofErr w:type="spellEnd"/>
      <w:r w:rsidRPr="001C77C1">
        <w:rPr>
          <w:rFonts w:ascii="Arial" w:eastAsia="Calibri" w:hAnsi="Arial" w:cs="Arial"/>
          <w:i/>
          <w:iCs/>
          <w:kern w:val="2"/>
        </w:rPr>
        <w:t xml:space="preserve"> L</w:t>
      </w:r>
      <w:r w:rsidRPr="001C77C1">
        <w:rPr>
          <w:rFonts w:ascii="Arial" w:eastAsia="Calibri" w:hAnsi="Arial" w:cs="Arial"/>
          <w:kern w:val="2"/>
        </w:rPr>
        <w:t>.) and coriander (</w:t>
      </w:r>
      <w:r w:rsidRPr="001C77C1">
        <w:rPr>
          <w:rFonts w:ascii="Arial" w:eastAsia="Calibri" w:hAnsi="Arial" w:cs="Arial"/>
          <w:i/>
          <w:iCs/>
          <w:kern w:val="2"/>
        </w:rPr>
        <w:t>Coriandrum sativum L</w:t>
      </w:r>
      <w:r w:rsidRPr="001C77C1">
        <w:rPr>
          <w:rFonts w:ascii="Arial" w:eastAsia="Calibri" w:hAnsi="Arial" w:cs="Arial"/>
          <w:kern w:val="2"/>
        </w:rPr>
        <w:t xml:space="preserve">.) has proven to be effective in the deserts, demonstrating sustainability and resilience in arid environments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{"citationItems":[{"id":"ITEM-1","itemData":{"DOI":"10.1111/jwas.13049","author":[{"dropping-particle":"","family":"Nishanth","given":"Drishya","non-dropping-particle":"","parse-names":false,"suffix":""},{"dropping-particle":"","family":"Alnuaimi","given":"Shamma H K","non-dropping-particle":"","parse-names":false,"suffix":""},{"dropping-particle":"","family":"Somanathan","given":"Chythra","non-dropping-particle":"","parse-names":false,"suffix":""}],"container-title":"Journal World Aquaculture Society","id":"ITEM-1","issue":"1","issued":{"date-parts":[["2023"]]},"page":"1-24","title":"Aquaponics as a climate-smart technology for sustainable food production : A comparison with conventional production system in United Arab Emirates","type":"article-journal","volume":"10"},"uris":["http://www.mendeley.com/documents/?uuid=56a14f9c-209c-4942-9389-2e685534c7b0"]}],"mendeley":{"formattedCitation":"(Nishanth et al., 2023)","plainTextFormattedCitation":"(Nishanth et al., 2023)","previouslyFormattedCitation":"(Nishanth et al., 2023)"},"properties":{"noteIndex":0},"schema":"https://github.com/citation-style-language/schema/raw/master/csl-citation.json"}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(Nishanth </w:t>
      </w:r>
      <w:r w:rsidRPr="001C77C1">
        <w:rPr>
          <w:rFonts w:ascii="Arial" w:eastAsia="Calibri" w:hAnsi="Arial" w:cs="Arial"/>
          <w:i/>
          <w:iCs/>
          <w:noProof/>
          <w:kern w:val="2"/>
        </w:rPr>
        <w:t>et al.,</w:t>
      </w:r>
      <w:r w:rsidRPr="001C77C1">
        <w:rPr>
          <w:rFonts w:ascii="Arial" w:eastAsia="Calibri" w:hAnsi="Arial" w:cs="Arial"/>
          <w:noProof/>
          <w:kern w:val="2"/>
        </w:rPr>
        <w:t xml:space="preserve"> 2023)</w:t>
      </w:r>
      <w:r w:rsidRPr="001C77C1">
        <w:rPr>
          <w:rFonts w:ascii="Arial" w:eastAsia="Calibri" w:hAnsi="Arial" w:cs="Arial"/>
          <w:kern w:val="2"/>
        </w:rPr>
        <w:fldChar w:fldCharType="end"/>
      </w:r>
      <w:r w:rsidRPr="001C77C1">
        <w:rPr>
          <w:rFonts w:ascii="Arial" w:eastAsia="Calibri" w:hAnsi="Arial" w:cs="Arial"/>
          <w:kern w:val="2"/>
        </w:rPr>
        <w:t xml:space="preserve">. Aquaponics has been very effective in crop yield and the use of resources. Hydroponic tomatoes, for example, have yields ranging from 4.5 to 18 kg/plant, a figure that is up to four times that of soil farming, as reported by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Abiodun","given":"Muyiwa","non-dropping-particle":"","parse-names":false,"suffix":""},{"dropping-particle":"","family":"Dare","given":"Samuel","non-dropping-particle":"","parse-names":false,"suffix":""}],"container-title":"International Journal of Women in Technical Education and Employment","id":"ITEM-1","issue":"1","issued":{"date-parts":[["2024"]]},"page":"1-18","title":"Hydroponic Farming : A Modern Way of Addressing Production Constraints of INTERNATIONAL JOURNAL OF WOMEN IN TECHNICAL EDUCATION AND EMPLOYMENT ( IJOWITED ) Hydroponic Farming : A Modern Way of Addressing Production Constraints of Tomato Farming","type":"article-journal","volume":"5"},"uris":["http://www.mendeley.com/documents/?uuid=71473ef7-a85c-430b-9b94-bf9750ddb3ad"]}],"mendeley":{"formattedCitation":"(Abiodun &amp; Dare, 2024)","plainTextFormattedCitation":"(Abiodun &amp; Dare, 2024)","previouslyFormattedCitation":"(Abiodun &amp; Dare,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(Abiodun &amp; Dare, 2024)</w:t>
      </w:r>
      <w:r w:rsidRPr="001C77C1">
        <w:rPr>
          <w:rFonts w:ascii="Arial" w:eastAsia="Calibri" w:hAnsi="Arial" w:cs="Arial"/>
          <w:kern w:val="2"/>
        </w:rPr>
        <w:fldChar w:fldCharType="end"/>
      </w:r>
      <w:r w:rsidRPr="001C77C1">
        <w:rPr>
          <w:rFonts w:ascii="Arial" w:eastAsia="Calibri" w:hAnsi="Arial" w:cs="Arial"/>
          <w:kern w:val="2"/>
        </w:rPr>
        <w:t xml:space="preserve">. Swedish aquaponics has also been promoted as an innovative and sustainable way of </w:t>
      </w:r>
      <w:r w:rsidRPr="001C77C1">
        <w:rPr>
          <w:rFonts w:ascii="Arial" w:eastAsia="Calibri" w:hAnsi="Arial" w:cs="Arial"/>
          <w:kern w:val="2"/>
        </w:rPr>
        <w:lastRenderedPageBreak/>
        <w:t xml:space="preserve">providing food in urban areas, as well as working toward the Sustainable Development Goals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{"citationItems":[{"id":"ITEM-1","itemData":{"author":[{"dropping-particle":"","family":"Dayawansha","given":"Sewwandi","non-dropping-particle":"","parse-names":false,"suffix":""}],"container-title":"Agricultural Science","id":"ITEM-1","issue":"1","issued":{"date-parts":[["2024"]]},"page":"1-63","title":"Exploring the Potential of Aquaponics in Addressing Food Security and Future Food Demand in Sweden","type":"article-journal","volume":"1"},"uris":["http://www.mendeley.com/documents/?uuid=de7a09cb-6ebe-4cd5-95c5-d1acb6e6996d"]}],"mendeley":{"formattedCitation":"(Dayawansha, 2024)","plainTextFormattedCitation":"(Dayawansha, 2024)","previouslyFormattedCitation":"(Dayawansha,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(Dayawansha, 2024)</w:t>
      </w:r>
      <w:r w:rsidRPr="001C77C1">
        <w:rPr>
          <w:rFonts w:ascii="Arial" w:eastAsia="Calibri" w:hAnsi="Arial" w:cs="Arial"/>
          <w:kern w:val="2"/>
        </w:rPr>
        <w:fldChar w:fldCharType="end"/>
      </w:r>
      <w:r w:rsidRPr="001C77C1">
        <w:rPr>
          <w:rFonts w:ascii="Arial" w:eastAsia="Calibri" w:hAnsi="Arial" w:cs="Arial"/>
          <w:kern w:val="2"/>
        </w:rPr>
        <w:t xml:space="preserve">.  Other advantages are water conservation, improved food safety, lower environmental pollution, and relatively lower energy requirements than other intensive production systems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{"citationItems":[{"id":"ITEM-1","itemData":{"DOI":"10.1002/fsn3.3154","author":[{"dropping-particle":"","family":"Okomoda","given":"Victor Tosin","non-dropping-particle":"","parse-names":false,"suffix":""},{"dropping-particle":"","family":"Abraham","given":"Sunday","non-dropping-particle":"","parse-names":false,"suffix":""},{"dropping-particle":"","family":"Shola","given":"Oladimeji","non-dropping-particle":"","parse-names":false,"suffix":""},{"dropping-particle":"","family":"Solomon","given":"Gabriel","non-dropping-particle":"","parse-names":false,"suffix":""},{"dropping-particle":"","family":"Olabode","given":"Samuel","non-dropping-particle":"","parse-names":false,"suffix":""},{"dropping-particle":"","family":"Samuel","given":"Olufeagba","non-dropping-particle":"","parse-names":false,"suffix":""},{"dropping-particle":"","family":"Ogah","given":"Ijabo","non-dropping-particle":"","parse-names":false,"suffix":""},{"dropping-particle":"","family":"Ikhwanuddin","given":"Mhd","non-dropping-particle":"","parse-names":false,"suffix":""}],"container-title":"Journal of Food Science and Nutrition","id":"ITEM-1","issue":"1","issued":{"date-parts":[["2022"]]},"page":"1157-1165","title":"Aquaponics production system : A review of historical perspective , opportunities , and challenges of its adoption","type":"article-journal","volume":"10"},"uris":["http://www.mendeley.com/documents/?uuid=4c1cfb83-860c-4f82-96b2-8bd1f23d5d3e"]}],"mendeley":{"formattedCitation":"(Okomoda et al., 2022)","plainTextFormattedCitation":"(Okomoda et al., 2022)","previouslyFormattedCitation":"(Okomoda et al., 2022)"},"properties":{"noteIndex":0},"schema":"https://github.com/citation-style-language/schema/raw/master/csl-citation.json"}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(Okomoda </w:t>
      </w:r>
      <w:r w:rsidRPr="001C77C1">
        <w:rPr>
          <w:rFonts w:ascii="Arial" w:eastAsia="Calibri" w:hAnsi="Arial" w:cs="Arial"/>
          <w:i/>
          <w:iCs/>
          <w:noProof/>
          <w:kern w:val="2"/>
        </w:rPr>
        <w:t>et al.,</w:t>
      </w:r>
      <w:r w:rsidRPr="001C77C1">
        <w:rPr>
          <w:rFonts w:ascii="Arial" w:eastAsia="Calibri" w:hAnsi="Arial" w:cs="Arial"/>
          <w:noProof/>
          <w:kern w:val="2"/>
        </w:rPr>
        <w:t xml:space="preserve"> 2022)</w:t>
      </w:r>
      <w:r w:rsidRPr="001C77C1">
        <w:rPr>
          <w:rFonts w:ascii="Arial" w:eastAsia="Calibri" w:hAnsi="Arial" w:cs="Arial"/>
          <w:kern w:val="2"/>
        </w:rPr>
        <w:fldChar w:fldCharType="end"/>
      </w:r>
      <w:r w:rsidRPr="001C77C1">
        <w:rPr>
          <w:rFonts w:ascii="Arial" w:eastAsia="Calibri" w:hAnsi="Arial" w:cs="Arial"/>
          <w:kern w:val="2"/>
        </w:rPr>
        <w:t>.  Taken together, these benefits place aquaponics at the frontier of climate-resilient smart technologies for sustainable and resilient food production in urban and resource-limited settings.</w:t>
      </w:r>
    </w:p>
    <w:p w14:paraId="20AF15F9"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t xml:space="preserve">2.5 NUTRITIONAL AND ECONOMIC CONTRIBUTIONS OF AQUAPONICS PRODUCES </w:t>
      </w:r>
    </w:p>
    <w:p w14:paraId="77EABB7C"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Aquaponics integrates vegetable and fish farming, both of which are used for subsistence and nutritional purposes. Besides enhancing food and nutrition security, aquaponics alleviates poverty, enhances employment, and supports sustainable agriculture, which is in line with the United Nations Sustainable Development Goals (SDGs).</w:t>
      </w:r>
    </w:p>
    <w:p w14:paraId="03276F93" w14:textId="77777777" w:rsidR="00CC0C1B" w:rsidRPr="001C77C1" w:rsidRDefault="00CC0C1B" w:rsidP="00CC0C1B">
      <w:pPr>
        <w:keepNext/>
        <w:keepLines/>
        <w:spacing w:before="160" w:after="80" w:line="278" w:lineRule="auto"/>
        <w:outlineLvl w:val="2"/>
        <w:rPr>
          <w:rFonts w:ascii="Arial" w:hAnsi="Arial" w:cs="Arial"/>
          <w:b/>
          <w:bCs/>
          <w:kern w:val="2"/>
          <w:sz w:val="22"/>
          <w:szCs w:val="22"/>
        </w:rPr>
      </w:pPr>
      <w:r w:rsidRPr="001C77C1">
        <w:rPr>
          <w:rFonts w:ascii="Arial" w:hAnsi="Arial" w:cs="Arial"/>
          <w:b/>
          <w:bCs/>
          <w:kern w:val="2"/>
          <w:sz w:val="22"/>
          <w:szCs w:val="22"/>
        </w:rPr>
        <w:t>2.5.1 Nutritional Contributions</w:t>
      </w:r>
    </w:p>
    <w:p w14:paraId="1AF000B1"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 xml:space="preserve">The significance of fruit and vegetable consumption lies in their nutritional density, high vitamin content, and diversity of natural, health-benefiting bioactive polyphenolic compounds </w:t>
      </w:r>
      <w:commentRangeStart w:id="14"/>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{"citationItems":[{"id":"ITEM-1","itemData":{"author":[{"dropping-particle":"","family":"Kaparapu","given":"Jyothi","non-dropping-particle":"","parse-names":false,"suffix":""},{"dropping-particle":"","family":"Pragada","given":"Prayaga Murthy","non-dropping-particle":"","parse-names":false,"suffix":""},{"dropping-particle":"","family":"Geddada","given":"Mohana Narasimha Rao","non-dropping-particle":"","parse-names":false,"suffix":""}],"container-title":"Functional Foods and Nutraceuticals: Bioactive Components, Formulations and Innovations","id":"ITEM-1","issued":{"date-parts":[["2020"]]},"page":"241-260","publisher":"Springer","title":"Fruits and vegetables and its nutritional benefits","type":"chapter"},"uris":["http://www.mendeley.com/documents/?uuid=e90fa6aa-707c-4c91-8a2e-ef62a70c48b0"]}],"mendeley":{"formattedCitation":"(Kaparapu et al., 2020)","plainTextFormattedCitation":"(Kaparapu et al., 2020)","previouslyFormattedCitation":"(Kaparapu et al., 2020)"},"properties":{"noteIndex":0},"schema":"https://github.com/citation-style-language/schema/raw/master/csl-citation.json"}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(Kaparapu </w:t>
      </w:r>
      <w:r w:rsidRPr="001C77C1">
        <w:rPr>
          <w:rFonts w:ascii="Arial" w:eastAsia="Calibri" w:hAnsi="Arial" w:cs="Arial"/>
          <w:i/>
          <w:iCs/>
          <w:noProof/>
          <w:kern w:val="2"/>
        </w:rPr>
        <w:t xml:space="preserve">et al., </w:t>
      </w:r>
      <w:r w:rsidRPr="001C77C1">
        <w:rPr>
          <w:rFonts w:ascii="Arial" w:eastAsia="Calibri" w:hAnsi="Arial" w:cs="Arial"/>
          <w:noProof/>
          <w:kern w:val="2"/>
        </w:rPr>
        <w:t>2020)</w:t>
      </w:r>
      <w:r w:rsidRPr="001C77C1">
        <w:rPr>
          <w:rFonts w:ascii="Arial" w:eastAsia="Calibri" w:hAnsi="Arial" w:cs="Arial"/>
          <w:kern w:val="2"/>
        </w:rPr>
        <w:fldChar w:fldCharType="end"/>
      </w:r>
      <w:r w:rsidRPr="001C77C1">
        <w:rPr>
          <w:rFonts w:ascii="Arial" w:eastAsia="Calibri" w:hAnsi="Arial" w:cs="Arial"/>
          <w:kern w:val="2"/>
        </w:rPr>
        <w:t xml:space="preserve">. Some fruits and vegetables are advertised as superfoods because they provide significant nutrients that can power-packed meals and improve overall eating habits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{"citationItems":[{"id":"ITEM-1","itemData":{"author":[{"dropping-particle":"","family":"Kaparapu","given":"Jyothi","non-dropping-particle":"","parse-names":false,"suffix":""},{"dropping-particle":"","family":"Pragada","given":"Prayaga Murthy","non-dropping-particle":"","parse-names":false,"suffix":""},{"dropping-particle":"","family":"Geddada","given":"Mohana Narasimha Rao","non-dropping-particle":"","parse-names":false,"suffix":""}],"container-title":"Functional Foods and Nutraceuticals: Bioactive Components, Formulations and Innovations","id":"ITEM-1","issued":{"date-parts":[["2020"]]},"page":"241-260","publisher":"Springer","title":"Fruits and vegetables and its nutritional benefits","type":"chapter"},"uris":["http://www.mendeley.com/documents/?uuid=e90fa6aa-707c-4c91-8a2e-ef62a70c48b0"]}],"mendeley":{"formattedCitation":"(Kaparapu et al., 2020)","plainTextFormattedCitation":"(Kaparapu et al., 2020)","previouslyFormattedCitation":"(Kaparapu et al., 2020)"},"properties":{"noteIndex":0},"schema":"https://github.com/citation-style-language/schema/raw/master/csl-citation.json"}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(Kaparapu </w:t>
      </w:r>
      <w:r w:rsidRPr="001C77C1">
        <w:rPr>
          <w:rFonts w:ascii="Arial" w:eastAsia="Calibri" w:hAnsi="Arial" w:cs="Arial"/>
          <w:i/>
          <w:iCs/>
          <w:noProof/>
          <w:kern w:val="2"/>
        </w:rPr>
        <w:t>et al.,</w:t>
      </w:r>
      <w:r w:rsidRPr="001C77C1">
        <w:rPr>
          <w:rFonts w:ascii="Arial" w:eastAsia="Calibri" w:hAnsi="Arial" w:cs="Arial"/>
          <w:noProof/>
          <w:kern w:val="2"/>
        </w:rPr>
        <w:t xml:space="preserve"> 2020)</w:t>
      </w:r>
      <w:r w:rsidRPr="001C77C1">
        <w:rPr>
          <w:rFonts w:ascii="Arial" w:eastAsia="Calibri" w:hAnsi="Arial" w:cs="Arial"/>
          <w:kern w:val="2"/>
        </w:rPr>
        <w:fldChar w:fldCharType="end"/>
      </w:r>
      <w:r w:rsidRPr="001C77C1">
        <w:rPr>
          <w:rFonts w:ascii="Arial" w:eastAsia="Calibri" w:hAnsi="Arial" w:cs="Arial"/>
          <w:kern w:val="2"/>
        </w:rPr>
        <w:t>.</w:t>
      </w:r>
      <w:commentRangeEnd w:id="14"/>
      <w:r w:rsidR="0083254F" w:rsidRPr="001C77C1">
        <w:rPr>
          <w:rStyle w:val="CommentReference"/>
          <w:rFonts w:ascii="Times New Roman" w:hAnsi="Times New Roman"/>
          <w:lang w:val="nb-NO" w:eastAsia="nb-NO"/>
        </w:rPr>
        <w:commentReference w:id="14"/>
      </w:r>
      <w:r w:rsidRPr="001C77C1">
        <w:rPr>
          <w:rFonts w:ascii="Arial" w:eastAsia="Calibri" w:hAnsi="Arial" w:cs="Arial"/>
          <w:kern w:val="2"/>
        </w:rPr>
        <w:t xml:space="preserve">  They lessen the prevalence of chronic diseases, like coronary heart problems, cancer, diabetes, and Alzheimer’s disease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{"citationItems":[{"id":"ITEM-1","itemData":{"DOI":"10.3390/foods9030369","ISSN":"23048158","abstract":"We edited this Special Issue with the objective of bringing forth new data on the phytochemicals from vegetables and fruits, which are recommended for their health-promoting properties. Epidemiological, toxicological and nutritional studies suggested an association between fruit and vegetable consumption and lower incidence of chronic diseases, such as coronary heart problems, cancer, diabetes, and Alzheimer’s disease. In this Special Issue, the protective roles (antioxidant and others bioactivities), new sustainable approaches to determine the quality, and the processing techniques that can modify the initial nutritional and antioxidant content of fruits, vegetables and additives have been addressed.","author":[{"dropping-particle":"","family":"Río-Celestino","given":"Mercedes","non-dropping-particle":"Del","parse-names":false,"suffix":""},{"dropping-particle":"","family":"Font","given":"Rafael","non-dropping-particle":"","parse-names":false,"suffix":""}],"container-title":"Foods","id":"ITEM-1","issue":"3","issued":{"date-parts":[["2020"]]},"page":"1-4","title":"The health benefits of fruits and vegetables","type":"article-journal","volume":"9"},"uris":["http://www.mendeley.com/documents/?uuid=d4e6fe28-e88a-4e7f-9e90-562c8f5939fe"]}],"mendeley":{"formattedCitation":"(Del Río-Celestino &amp; Font, 2020)","plainTextFormattedCitation":"(Del Río-Celestino &amp; Font, 2020)","previouslyFormattedCitation":"(Del Río-Celestino &amp; Font, 2020)"},"properties":{"noteIndex":0},"schema":"https://github.com/citation-style-language/schema/raw/master/csl-citation.json"}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(Del Río-Celestino &amp; Font, 2020)</w:t>
      </w:r>
      <w:r w:rsidRPr="001C77C1">
        <w:rPr>
          <w:rFonts w:ascii="Arial" w:eastAsia="Calibri" w:hAnsi="Arial" w:cs="Arial"/>
          <w:kern w:val="2"/>
        </w:rPr>
        <w:fldChar w:fldCharType="end"/>
      </w:r>
      <w:r w:rsidRPr="001C77C1">
        <w:rPr>
          <w:rFonts w:ascii="Arial" w:eastAsia="Calibri" w:hAnsi="Arial" w:cs="Arial"/>
          <w:kern w:val="2"/>
        </w:rPr>
        <w:t xml:space="preserve">. However, fish are rich in well-proportioned nutrients, a good source of polyunsaturated fatty acids, and provide numerous health benefits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Ali","given":"Ahtisham","non-dropping-particle":"","parse-names":false,"suffix":""},{"dropping-particle":"","family":"Wei","given":"Shuai","non-dropping-particle":"","parse-names":false,"suffix":""},{"dropping-particle":"","family":"Ali","given":"Adnan","non-dropping-particle":"","parse-names":false,"suffix":""},{"dropping-particle":"","family":"Khan","given":"Imran","non-dropping-particle":"","parse-names":false,"suffix":""},{"dropping-particle":"","family":"Sun","given":"Qinxiu","non-dropping-particle":"","parse-names":false,"suffix":""},{"dropping-particle":"","family":"Xia","given":"Qiuyu","non-dropping-particle":"","parse-names":false,"suffix":""},{"dropping-particle":"","family":"Wang","given":"Zefu","non-dropping-particle":"","parse-names":false,"suffix":""},{"dropping-particle":"","family":"Han","given":"Zongyuan","non-dropping-particle":"","parse-names":false,"suffix":""},{"dropping-particle":"","family":"Liu","given":"Yang","non-dropping-particle":"","parse-names":false,"suffix":""},{"dropping-particle":"","family":"Liu","given":"Shucheng","non-dropping-particle":"","parse-names":false,"suffix":""}],"container-title":"Foods","id":"ITEM-1","issue":"3669","issued":{"date-parts":[["2022"]]},"page":"1-25","title":"and Processing of Fish — A Review","type":"article-journal","volume":"11"},"uris":["http://www.mendeley.com/documents/?uuid=5c11b652-f4a1-4232-9f94-3de39d2bca9b"]}],"mendeley":{"formattedCitation":"(Ali et al., 2022)","plainTextFormattedCitation":"(Ali et al., 2022)","previouslyFormattedCitation":"(Ali et al., 2022)"},"properties":{"noteIndex":0},"schema":"https://github.com/citation-style-language/schema/raw/master/csl-citation.json"}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(Ali </w:t>
      </w:r>
      <w:r w:rsidRPr="001C77C1">
        <w:rPr>
          <w:rFonts w:ascii="Arial" w:eastAsia="Calibri" w:hAnsi="Arial" w:cs="Arial"/>
          <w:i/>
          <w:iCs/>
          <w:noProof/>
          <w:kern w:val="2"/>
        </w:rPr>
        <w:t>et al.,</w:t>
      </w:r>
      <w:r w:rsidRPr="001C77C1">
        <w:rPr>
          <w:rFonts w:ascii="Arial" w:eastAsia="Calibri" w:hAnsi="Arial" w:cs="Arial"/>
          <w:noProof/>
          <w:kern w:val="2"/>
        </w:rPr>
        <w:t xml:space="preserve"> 2022)</w:t>
      </w:r>
      <w:r w:rsidRPr="001C77C1">
        <w:rPr>
          <w:rFonts w:ascii="Arial" w:eastAsia="Calibri" w:hAnsi="Arial" w:cs="Arial"/>
          <w:kern w:val="2"/>
        </w:rPr>
        <w:fldChar w:fldCharType="end"/>
      </w:r>
      <w:r w:rsidRPr="001C77C1">
        <w:rPr>
          <w:rFonts w:ascii="Arial" w:eastAsia="Calibri" w:hAnsi="Arial" w:cs="Arial"/>
          <w:kern w:val="2"/>
        </w:rPr>
        <w:t xml:space="preserve">. Proteins in the fish have immunoglobulins that perform as a protection mechanism against viral and bacterial infections, and avoid protein-calorie malnutrition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10.2478/mjhr-2019-0012","author":[{"dropping-particle":"","family":"Balami","given":"Sujita","non-dropping-particle":"","parse-names":false,"suffix":""},{"dropping-particle":"","family":"Sharma","given":"Ayushma","non-dropping-particle":"","parse-names":false,"suffix":""},{"dropping-particle":"","family":"Karn","given":"Rupak","non-dropping-particle":"","parse-names":false,"suffix":""}],"container-title":"Malaysian Journal of Halal Research Journal (MJHR)","id":"ITEM-1","issue":"2","issued":{"date-parts":[["2019"]]},"page":"32-34","title":"Significance Of Nutritional Value Of Fish For Human Health","type":"article-journal","volume":"2"},"uris":["http://www.mendeley.com/documents/?uuid=066061cb-3643-49c0-bbb4-991ccfdd514c"]}],"mendeley":{"formattedCitation":"(Balami et al., 2019)","plainTextFormattedCitation":"(Balami et al., 2019)","previouslyFormattedCitation":"(Balami et al., 2019)"},"properties":{"noteIndex":0},"schema":"https://github.com/citation-style-language/schema/raw/master/csl-citation.json"}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(Balami </w:t>
      </w:r>
      <w:r w:rsidRPr="001C77C1">
        <w:rPr>
          <w:rFonts w:ascii="Arial" w:eastAsia="Calibri" w:hAnsi="Arial" w:cs="Arial"/>
          <w:i/>
          <w:iCs/>
          <w:noProof/>
          <w:kern w:val="2"/>
        </w:rPr>
        <w:t>et al.,</w:t>
      </w:r>
      <w:r w:rsidRPr="001C77C1">
        <w:rPr>
          <w:rFonts w:ascii="Arial" w:eastAsia="Calibri" w:hAnsi="Arial" w:cs="Arial"/>
          <w:noProof/>
          <w:kern w:val="2"/>
        </w:rPr>
        <w:t xml:space="preserve"> 2019)</w:t>
      </w:r>
      <w:r w:rsidRPr="001C77C1">
        <w:rPr>
          <w:rFonts w:ascii="Arial" w:eastAsia="Calibri" w:hAnsi="Arial" w:cs="Arial"/>
          <w:kern w:val="2"/>
        </w:rPr>
        <w:fldChar w:fldCharType="end"/>
      </w:r>
      <w:r w:rsidRPr="001C77C1">
        <w:rPr>
          <w:rFonts w:ascii="Arial" w:eastAsia="Calibri" w:hAnsi="Arial" w:cs="Arial"/>
          <w:kern w:val="2"/>
        </w:rPr>
        <w:t xml:space="preserve">. As an extremely healthy food, fish consumption is also highly endorsed for children and expectant mothers for standard growth and development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10.3389/fnut.2021.780844","author":[{"dropping-particle":"","family":"Maulu","given":"Sahya","non-dropping-particle":"","parse-names":false,"suffix":""},{"dropping-particle":"","family":"Nawanzi","given":"Kundananji","non-dropping-particle":"","parse-names":false,"suffix":""},{"dropping-particle":"","family":"Abdel-tawwab","given":"Mohsen","non-dropping-particle":"","parse-names":false,"suffix":""},{"dropping-particle":"","family":"Khalil","given":"Hala Saber","non-dropping-particle":"","parse-names":false,"suffix":""}],"container-title":"Frontiers in Nutrition","id":"ITEM-1","issue":"December","issued":{"date-parts":[["2021"]]},"page":"1-10","title":"Fish Nutritional Value as an Approach to Children ’ s Nutrition","type":"article-journal","volume":"8"},"uris":["http://www.mendeley.com/documents/?uuid=0d1949ef-6878-43bf-bff2-ec06c3c23a53"]}],"mendeley":{"formattedCitation":"(Maulu et al., 2021)","plainTextFormattedCitation":"(Maulu et al., 2021)","previouslyFormattedCitation":"(Maulu et al., 2021)"},"properties":{"noteIndex":0},"schema":"https://github.com/citation-style-language/schema/raw/master/csl-citation.json"}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(Maulu </w:t>
      </w:r>
      <w:r w:rsidRPr="001C77C1">
        <w:rPr>
          <w:rFonts w:ascii="Arial" w:eastAsia="Calibri" w:hAnsi="Arial" w:cs="Arial"/>
          <w:i/>
          <w:iCs/>
          <w:noProof/>
          <w:kern w:val="2"/>
        </w:rPr>
        <w:t>et al.,</w:t>
      </w:r>
      <w:r w:rsidRPr="001C77C1">
        <w:rPr>
          <w:rFonts w:ascii="Arial" w:eastAsia="Calibri" w:hAnsi="Arial" w:cs="Arial"/>
          <w:noProof/>
          <w:kern w:val="2"/>
        </w:rPr>
        <w:t xml:space="preserve"> 2021)</w:t>
      </w:r>
      <w:r w:rsidRPr="001C77C1">
        <w:rPr>
          <w:rFonts w:ascii="Arial" w:eastAsia="Calibri" w:hAnsi="Arial" w:cs="Arial"/>
          <w:kern w:val="2"/>
        </w:rPr>
        <w:fldChar w:fldCharType="end"/>
      </w:r>
      <w:r w:rsidRPr="001C77C1">
        <w:rPr>
          <w:rFonts w:ascii="Arial" w:eastAsia="Calibri" w:hAnsi="Arial" w:cs="Arial"/>
          <w:kern w:val="2"/>
        </w:rPr>
        <w:t xml:space="preserve">. </w:t>
      </w:r>
    </w:p>
    <w:p w14:paraId="0457592E" w14:textId="77777777" w:rsidR="00CC0C1B" w:rsidRPr="001C77C1" w:rsidRDefault="00CC0C1B" w:rsidP="00CC0C1B">
      <w:pPr>
        <w:keepNext/>
        <w:keepLines/>
        <w:spacing w:before="160" w:after="80" w:line="278" w:lineRule="auto"/>
        <w:outlineLvl w:val="2"/>
        <w:rPr>
          <w:rFonts w:ascii="Arial" w:hAnsi="Arial" w:cs="Arial"/>
          <w:b/>
          <w:bCs/>
          <w:kern w:val="2"/>
          <w:sz w:val="22"/>
          <w:szCs w:val="22"/>
        </w:rPr>
      </w:pPr>
      <w:r w:rsidRPr="001C77C1">
        <w:rPr>
          <w:rFonts w:ascii="Arial" w:hAnsi="Arial" w:cs="Arial"/>
          <w:b/>
          <w:bCs/>
          <w:kern w:val="2"/>
          <w:sz w:val="22"/>
          <w:szCs w:val="22"/>
        </w:rPr>
        <w:t>2.5.2 Economic Contributions</w:t>
      </w:r>
    </w:p>
    <w:p w14:paraId="2604D9C8"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 xml:space="preserve">Vegetable production also delivers a favorable economic prospect for decreasing rural poverty and joblessness in developing countries, and is a vital component of farm modification approaches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{"citationItems":[{"id":"ITEM-1","itemData":{"DOI":"10.1016/j.gfs.2017.09.005","ISSN":"22119124","abstract":"Vegetables are increasingly recognized as essential for food and nutrition security. Vegetable production provides a promising economic opportunity for reducing rural poverty and unemployment in developing countries and is a key component of farm diversification strategies. Vegetables are mankind's most affordable source of vitamins and minerals needed for good health. Today, neither the economic nor nutritional power of vegetables is sufficiently realized. To tap the economic power of vegetables, governments will need to increase their investment in farm productivity (including improved varieties, alternatives to chemical pesticides, and the use of protected cultivation), good postharvest management, food safety, and market access. To tap the nutritional power of vegetables, consumers need to know how vegetables contribute to health, and find them at affordable prices or be able to grow them themselves. Vegetable consumption must therefore be nurtured through a combination of supply-side interventions and behavioral change communication emphasizing the importance of eating vegetables for good nutrition and health. To fully tap the economic and nutritional power of vegetables, governments and donors will need to give vegetables much greater priority than they currently receive. Now is the time to prioritize investments in vegetables, providing increased economic opportunities for smallholder farmers and providing healthy diets for all.","author":[{"dropping-particle":"","family":"Schreinemachers","given":"Pepijn","non-dropping-particle":"","parse-names":false,"suffix":""},{"dropping-particle":"","family":"Simmons","given":"Emmy B.","non-dropping-particle":"","parse-names":false,"suffix":""},{"dropping-particle":"","family":"Wopereis","given":"Marco C.S.","non-dropping-particle":"","parse-names":false,"suffix":""}],"container-title":"Global Food Security","id":"ITEM-1","issue":"September 2017","issued":{"date-parts":[["2018"]]},"page":"36-45","publisher":"Elsevier B.V.","title":"Tapping the economic and nutritional power of vegetables","type":"article-journal","volume":"16"},"uris":["http://www.mendeley.com/documents/?uuid=dd96ae15-1e08-4e8c-be97-56ef6d5f8d49"]}],"mendeley":{"formattedCitation":"(Schreinemachers et al., 2018)","plainTextFormattedCitation":"(Schreinemachers et al., 2018)","previouslyFormattedCitation":"(Schreinemachers et al., 2018)"},"properties":{"noteIndex":0},"schema":"https://github.com/citation-style-language/schema/raw/master/csl-citation.json"}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(Schreinemachers </w:t>
      </w:r>
      <w:r w:rsidRPr="001C77C1">
        <w:rPr>
          <w:rFonts w:ascii="Arial" w:eastAsia="Calibri" w:hAnsi="Arial" w:cs="Arial"/>
          <w:i/>
          <w:iCs/>
          <w:noProof/>
          <w:kern w:val="2"/>
        </w:rPr>
        <w:t>et al.,</w:t>
      </w:r>
      <w:r w:rsidRPr="001C77C1">
        <w:rPr>
          <w:rFonts w:ascii="Arial" w:eastAsia="Calibri" w:hAnsi="Arial" w:cs="Arial"/>
          <w:noProof/>
          <w:kern w:val="2"/>
        </w:rPr>
        <w:t xml:space="preserve"> 2018)</w:t>
      </w:r>
      <w:r w:rsidRPr="001C77C1">
        <w:rPr>
          <w:rFonts w:ascii="Arial" w:eastAsia="Calibri" w:hAnsi="Arial" w:cs="Arial"/>
          <w:kern w:val="2"/>
        </w:rPr>
        <w:fldChar w:fldCharType="end"/>
      </w:r>
      <w:r w:rsidRPr="001C77C1">
        <w:rPr>
          <w:rFonts w:ascii="Arial" w:eastAsia="Calibri" w:hAnsi="Arial" w:cs="Arial"/>
          <w:kern w:val="2"/>
        </w:rPr>
        <w:t xml:space="preserve">. Fish farming is a feasible source of food, producing employment prospects and income in an environment of urban deprivation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{"citationItems":[{"id":"ITEM-1","itemData":{"DOI":"10.3390/agriculture8070110","author":[{"dropping-particle":"","family":"Rampedi","given":"Isaac Tebogo","non-dropping-particle":"","parse-names":false,"suffix":""}],"container-title":"Agriculture","id":"ITEM-1","issue":"110","issued":{"date-parts":[["2018"]]},"page":"1-16","title":"Fish Farming Nigeria : Contributions towards Employment Opportunities , Income Fish Farming in Jos , Nigeria : Contributions ds Employment Opportunities , Poverty Alleviation for Income towards Employment Poverty Alleviation for Improved Livelihoods Gener","type":"article-journal","volume":"8"},"uris":["http://www.mendeley.com/documents/?uuid=e309490a-1886-49eb-bce8-f7c332c08672"]}],"mendeley":{"formattedCitation":"(Rampedi, 2018)","plainTextFormattedCitation":"(Rampedi, 2018)","previouslyFormattedCitation":"(Rampedi, 2018)"},"properties":{"noteIndex":0},"schema":"https://github.com/citation-style-language/schema/raw/master/csl-citation.json"}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(Rampedi, 2018)</w:t>
      </w:r>
      <w:r w:rsidRPr="001C77C1">
        <w:rPr>
          <w:rFonts w:ascii="Arial" w:eastAsia="Calibri" w:hAnsi="Arial" w:cs="Arial"/>
          <w:kern w:val="2"/>
        </w:rPr>
        <w:fldChar w:fldCharType="end"/>
      </w:r>
      <w:r w:rsidRPr="001C77C1">
        <w:rPr>
          <w:rFonts w:ascii="Arial" w:eastAsia="Calibri" w:hAnsi="Arial" w:cs="Arial"/>
          <w:kern w:val="2"/>
        </w:rPr>
        <w:t xml:space="preserve">.  However, using food wastes, like vegetable and fruit by-products, can also enhance food sustainability, as well as the United Nations Sustainable Development Goal (SDG) to safeguard sustainable consumption and production patterns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{"citationItems":[{"id":"ITEM-1","itemData":{"DOI":"10.3389/fnut.2021.661693","abstract":"With the constant growth of the human population, the global demand for food is increasing annually. Food security is an arising issue due to decreased resources and massive waste production from the agricultural sector. For example, not all parts of fruits and vegetables are consumed by consumers, and this phenomenon can lead to huge amounts of food wastes that are produced globally. Moreover, non-utilized agriculture by-products, including seed coat, hull, husk, peels, seeds, and pomace, can cause environmental issues. Hence, efficiently utilizing food wastes, such as vegetable and fruit by-products, could be a way to increase food sustainability, and in line with the United Nations Sustainable Development Goal (SDG) to ensure sustainable consumption and production patterns. Moreover, certain agriculture by-products are reported to have a high nutritional value and could be potentially used as functional ingredient and food in the food industry. This review article summarizes findings on the development of new functional foods by utilizing different types of agriculture by-products, that is, vegetable and fruit by-products as ingredients. Furthermore, the nutritional values, processing methods, product acceptability, and potential uses of these vegetable and fruit by-products are also discussed. These by-products can be an alternative source of nutrients to support the global demand for functional foods and as one of the strategies to cope with food insecurity. Studies have shown that different types of fruit and vegetable by-products were well-incorporated in the development of functional foods, such as bakery products and dairy products. Of great importance, this review article provides an insight of the nutritional value, health benefits, and utilization of fruit and vegetable by-products.","author":[{"dropping-particle":"","family":"Lau","given":"Ke Qi","non-dropping-particle":"","parse-names":false,"suffix":""},{"dropping-particle":"","family":"Sabran","given":"Mohd Redzwan","non-dropping-particle":"","parse-names":false,"suffix":""},{"dropping-particle":"","family":"Shafie","given":"Siti Raihanah","non-dropping-particle":"","parse-names":false,"suffix":""}],"container-title":"Frontiers in Nutrition","id":"ITEM-1","issue":"June","issued":{"date-parts":[["2021"]]},"page":"1-12","title":"Utilization of Vegetable and Fruit By-products as Functional Ingredient and Food","type":"article-journal","volume":"8"},"uris":["http://www.mendeley.com/documents/?uuid=47022685-760a-463c-8ba6-637d1fc327bf"]}],"mendeley":{"formattedCitation":"(Lau et al., 2021)","plainTextFormattedCitation":"(Lau et al., 2021)","previouslyFormattedCitation":"(Lau et al., 2021)"},"properties":{"noteIndex":0},"schema":"https://github.com/citation-style-language/schema/raw/master/csl-citation.json"}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(Lau </w:t>
      </w:r>
      <w:r w:rsidRPr="001C77C1">
        <w:rPr>
          <w:rFonts w:ascii="Arial" w:eastAsia="Calibri" w:hAnsi="Arial" w:cs="Arial"/>
          <w:i/>
          <w:iCs/>
          <w:noProof/>
          <w:kern w:val="2"/>
        </w:rPr>
        <w:t>et al.,</w:t>
      </w:r>
      <w:r w:rsidRPr="001C77C1">
        <w:rPr>
          <w:rFonts w:ascii="Arial" w:eastAsia="Calibri" w:hAnsi="Arial" w:cs="Arial"/>
          <w:noProof/>
          <w:kern w:val="2"/>
        </w:rPr>
        <w:t xml:space="preserve"> 2021)</w:t>
      </w:r>
      <w:r w:rsidRPr="001C77C1">
        <w:rPr>
          <w:rFonts w:ascii="Arial" w:eastAsia="Calibri" w:hAnsi="Arial" w:cs="Arial"/>
          <w:kern w:val="2"/>
        </w:rPr>
        <w:fldChar w:fldCharType="end"/>
      </w:r>
      <w:r w:rsidRPr="001C77C1">
        <w:rPr>
          <w:rFonts w:ascii="Arial" w:eastAsia="Calibri" w:hAnsi="Arial" w:cs="Arial"/>
          <w:kern w:val="2"/>
        </w:rPr>
        <w:t xml:space="preserve">. Moreover, certain agricultural by-products are testified to have a high nutritive value </w:t>
      </w:r>
      <w:r w:rsidRPr="001C77C1">
        <w:rPr>
          <w:rFonts w:ascii="Arial" w:eastAsia="Calibri" w:hAnsi="Arial" w:cs="Arial"/>
          <w:kern w:val="2"/>
        </w:rPr>
        <w:lastRenderedPageBreak/>
        <w:t xml:space="preserve">and are used as efficient ingredients and food in the food industry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{"citationItems":[{"id":"ITEM-1","itemData":{"DOI":"10.3389/fnut.2021.661693","abstract":"With the constant growth of the human population, the global demand for food is increasing annually. Food security is an arising issue due to decreased resources and massive waste production from the agricultural sector. For example, not all parts of fruits and vegetables are consumed by consumers, and this phenomenon can lead to huge amounts of food wastes that are produced globally. Moreover, non-utilized agriculture by-products, including seed coat, hull, husk, peels, seeds, and pomace, can cause environmental issues. Hence, efficiently utilizing food wastes, such as vegetable and fruit by-products, could be a way to increase food sustainability, and in line with the United Nations Sustainable Development Goal (SDG) to ensure sustainable consumption and production patterns. Moreover, certain agriculture by-products are reported to have a high nutritional value and could be potentially used as functional ingredient and food in the food industry. This review article summarizes findings on the development of new functional foods by utilizing different types of agriculture by-products, that is, vegetable and fruit by-products as ingredients. Furthermore, the nutritional values, processing methods, product acceptability, and potential uses of these vegetable and fruit by-products are also discussed. These by-products can be an alternative source of nutrients to support the global demand for functional foods and as one of the strategies to cope with food insecurity. Studies have shown that different types of fruit and vegetable by-products were well-incorporated in the development of functional foods, such as bakery products and dairy products. Of great importance, this review article provides an insight of the nutritional value, health benefits, and utilization of fruit and vegetable by-products.","author":[{"dropping-particle":"","family":"Lau","given":"Ke Qi","non-dropping-particle":"","parse-names":false,"suffix":""},{"dropping-particle":"","family":"Sabran","given":"Mohd Redzwan","non-dropping-particle":"","parse-names":false,"suffix":""},{"dropping-particle":"","family":"Shafie","given":"Siti Raihanah","non-dropping-particle":"","parse-names":false,"suffix":""}],"container-title":"Frontiers in Nutrition","id":"ITEM-1","issue":"June","issued":{"date-parts":[["2021"]]},"page":"1-12","title":"Utilization of Vegetable and Fruit By-products as Functional Ingredient and Food","type":"article-journal","volume":"8"},"uris":["http://www.mendeley.com/documents/?uuid=47022685-760a-463c-8ba6-637d1fc327bf"]}],"mendeley":{"formattedCitation":"(Lau et al., 2021)","plainTextFormattedCitation":"(Lau et al., 2021)","previouslyFormattedCitation":"(Lau et al., 2021)"},"properties":{"noteIndex":0},"schema":"https://github.com/citation-style-language/schema/raw/master/csl-citation.json"}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(Lau </w:t>
      </w:r>
      <w:r w:rsidRPr="001C77C1">
        <w:rPr>
          <w:rFonts w:ascii="Arial" w:eastAsia="Calibri" w:hAnsi="Arial" w:cs="Arial"/>
          <w:i/>
          <w:iCs/>
          <w:noProof/>
          <w:kern w:val="2"/>
        </w:rPr>
        <w:t xml:space="preserve">et al., </w:t>
      </w:r>
      <w:r w:rsidRPr="001C77C1">
        <w:rPr>
          <w:rFonts w:ascii="Arial" w:eastAsia="Calibri" w:hAnsi="Arial" w:cs="Arial"/>
          <w:noProof/>
          <w:kern w:val="2"/>
        </w:rPr>
        <w:t>2021)</w:t>
      </w:r>
      <w:r w:rsidRPr="001C77C1">
        <w:rPr>
          <w:rFonts w:ascii="Arial" w:eastAsia="Calibri" w:hAnsi="Arial" w:cs="Arial"/>
          <w:kern w:val="2"/>
        </w:rPr>
        <w:fldChar w:fldCharType="end"/>
      </w:r>
      <w:r w:rsidRPr="001C77C1">
        <w:rPr>
          <w:rFonts w:ascii="Arial" w:eastAsia="Calibri" w:hAnsi="Arial" w:cs="Arial"/>
          <w:kern w:val="2"/>
        </w:rPr>
        <w:t xml:space="preserve">.  Africa’s fish industry is expected to provide 20.7 million jobs in 2030, and 21.6 million by 2050 under the  business-as-usual (BAU) scenario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10.1371/journal.pone.0261615","ISBN":"1111111111","author":[{"dropping-particle":"","family":"Yee","given":"Chin","non-dropping-particle":"","parse-names":false,"suffix":""},{"dropping-particle":"","family":"Id","given":"Chan","non-dropping-particle":"","parse-names":false,"suffix":""},{"dropping-particle":"","family":"Id","given":"Nhuong Tran","non-dropping-particle":"","parse-names":false,"suffix":""},{"dropping-particle":"","family":"Ching","given":"Kai","non-dropping-particle":"","parse-names":false,"suffix":""},{"dropping-particle":"","family":"Id","given":"Cheong","non-dropping-particle":"","parse-names":false,"suffix":""},{"dropping-particle":"","family":"Id","given":"Timothy B Sulser","non-dropping-particle":"","parse-names":false,"suffix":""},{"dropping-particle":"","family":"Cohen","given":"Philippa J","non-dropping-particle":"","parse-names":false,"suffix":""},{"dropping-particle":"","family":"Wiebe","given":"Keith","non-dropping-particle":"","parse-names":false,"suffix":""},{"dropping-particle":"","family":"Nasr-allah","given":"Ahmed Mohamed","non-dropping-particle":"","parse-names":false,"suffix":""}],"container-title":". PLoS ONE","id":"ITEM-1","issue":"12","issued":{"date-parts":[["2021"]]},"page":"1-21","title":"The future of fish in Africa : Employment and investment opportunities","type":"article-journal","volume":"16"},"uris":["http://www.mendeley.com/documents/?uuid=190a5e70-fbd3-4e48-bbc5-cae419874ed3"]}],"mendeley":{"formattedCitation":"(Yee et al., 2021)","manualFormatting":"(Yee et al. 2021)","plainTextFormattedCitation":"(Yee et al., 2021)","previouslyFormattedCitation":"(Yee et al., 2021)"},"properties":{"noteIndex":0},"schema":"https://github.com/citation-style-language/schema/raw/master/csl-citation.json"}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(Yee </w:t>
      </w:r>
      <w:r w:rsidRPr="001C77C1">
        <w:rPr>
          <w:rFonts w:ascii="Arial" w:eastAsia="Calibri" w:hAnsi="Arial" w:cs="Arial"/>
          <w:i/>
          <w:iCs/>
          <w:noProof/>
          <w:kern w:val="2"/>
        </w:rPr>
        <w:t xml:space="preserve">et al. </w:t>
      </w:r>
      <w:r w:rsidRPr="001C77C1">
        <w:rPr>
          <w:rFonts w:ascii="Arial" w:eastAsia="Calibri" w:hAnsi="Arial" w:cs="Arial"/>
          <w:noProof/>
          <w:kern w:val="2"/>
        </w:rPr>
        <w:t>2021)</w:t>
      </w:r>
      <w:r w:rsidRPr="001C77C1">
        <w:rPr>
          <w:rFonts w:ascii="Arial" w:eastAsia="Calibri" w:hAnsi="Arial" w:cs="Arial"/>
          <w:kern w:val="2"/>
        </w:rPr>
        <w:fldChar w:fldCharType="end"/>
      </w:r>
      <w:r w:rsidRPr="001C77C1">
        <w:rPr>
          <w:rFonts w:ascii="Arial" w:eastAsia="Calibri" w:hAnsi="Arial" w:cs="Arial"/>
          <w:kern w:val="2"/>
        </w:rPr>
        <w:t xml:space="preserve">. Aquaculture, therefore, has contributed significantly to the development of the nation's economy in terms of food safety, income generation, a reshuffled approach in agriculture, global trade, and the application of starvation mitigation and poverty diminishing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Nn","given":"Tri","non-dropping-particle":"","parse-names":false,"suffix":""},{"dropping-particle":"","family":"Npc","given":"Tu","non-dropping-particle":"","parse-names":false,"suffix":""},{"dropping-particle":"","family":"Dt","given":"Nhan","non-dropping-particle":"","parse-names":false,"suffix":""},{"dropping-particle":"","family":"Nv","given":"Tu","non-dropping-particle":"","parse-names":false,"suffix":""}],"container-title":"Proceedings of the International Conference on Fisheries and Aquaculture","id":"ITEM-1","issue":"1","issued":{"date-parts":[["2021"]]},"page":"53-71","title":"AN OVERVIEW OF AQUACULTURE","type":"article-journal","volume":"7"},"uris":["http://www.mendeley.com/documents/?uuid=60aae083-abeb-47fe-9610-6b51a3a06734"]}],"mendeley":{"formattedCitation":"(Nn et al., 2021)","plainTextFormattedCitation":"(Nn et al., 2021)","previouslyFormattedCitation":"(Nn et al., 2021)"},"properties":{"noteIndex":0},"schema":"https://github.com/citation-style-language/schema/raw/master/csl-citation.json"}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(Nn </w:t>
      </w:r>
      <w:r w:rsidRPr="001C77C1">
        <w:rPr>
          <w:rFonts w:ascii="Arial" w:eastAsia="Calibri" w:hAnsi="Arial" w:cs="Arial"/>
          <w:i/>
          <w:iCs/>
          <w:noProof/>
          <w:kern w:val="2"/>
        </w:rPr>
        <w:t>et al.,</w:t>
      </w:r>
      <w:r w:rsidRPr="001C77C1">
        <w:rPr>
          <w:rFonts w:ascii="Arial" w:eastAsia="Calibri" w:hAnsi="Arial" w:cs="Arial"/>
          <w:noProof/>
          <w:kern w:val="2"/>
        </w:rPr>
        <w:t xml:space="preserve"> 2021)</w:t>
      </w:r>
      <w:r w:rsidRPr="001C77C1">
        <w:rPr>
          <w:rFonts w:ascii="Arial" w:eastAsia="Calibri" w:hAnsi="Arial" w:cs="Arial"/>
          <w:kern w:val="2"/>
        </w:rPr>
        <w:fldChar w:fldCharType="end"/>
      </w:r>
      <w:r w:rsidRPr="001C77C1">
        <w:rPr>
          <w:rFonts w:ascii="Arial" w:eastAsia="Calibri" w:hAnsi="Arial" w:cs="Arial"/>
          <w:kern w:val="2"/>
        </w:rPr>
        <w:t xml:space="preserve">. </w:t>
      </w:r>
    </w:p>
    <w:p w14:paraId="23239D9B" w14:textId="77777777" w:rsidR="00CC0C1B" w:rsidRPr="001C77C1" w:rsidRDefault="00CC0C1B" w:rsidP="00CC0C1B">
      <w:pPr>
        <w:keepNext/>
        <w:keepLines/>
        <w:spacing w:before="160" w:after="80" w:line="278" w:lineRule="auto"/>
        <w:outlineLvl w:val="2"/>
        <w:rPr>
          <w:rFonts w:ascii="Arial" w:hAnsi="Arial" w:cs="Arial"/>
          <w:b/>
          <w:bCs/>
          <w:kern w:val="2"/>
          <w:sz w:val="22"/>
          <w:szCs w:val="22"/>
        </w:rPr>
      </w:pPr>
      <w:r w:rsidRPr="001C77C1">
        <w:rPr>
          <w:rFonts w:ascii="Arial" w:hAnsi="Arial" w:cs="Arial"/>
          <w:b/>
          <w:bCs/>
          <w:kern w:val="2"/>
          <w:sz w:val="22"/>
          <w:szCs w:val="22"/>
        </w:rPr>
        <w:t>2.6 CHALLENGES AND LIMITATIONS OF AQUAPONICS FARMING SYSTEM</w:t>
      </w:r>
    </w:p>
    <w:p w14:paraId="286215E2"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 xml:space="preserve">Despite its potential, aquaponics faces several challenges that constrain its widespread adoption. These limitations can be grouped into </w:t>
      </w:r>
      <w:r w:rsidRPr="001C77C1">
        <w:rPr>
          <w:rFonts w:ascii="Arial" w:eastAsia="Calibri" w:hAnsi="Arial" w:cs="Arial"/>
          <w:b/>
          <w:bCs/>
          <w:kern w:val="2"/>
        </w:rPr>
        <w:t>technical, economic, and social dimensions</w:t>
      </w:r>
      <w:r w:rsidRPr="001C77C1">
        <w:rPr>
          <w:rFonts w:ascii="Arial" w:eastAsia="Calibri" w:hAnsi="Arial" w:cs="Arial"/>
          <w:kern w:val="2"/>
        </w:rPr>
        <w:t>:</w:t>
      </w:r>
    </w:p>
    <w:p w14:paraId="55EE3905" w14:textId="77777777" w:rsidR="00CC0C1B" w:rsidRPr="001C77C1" w:rsidRDefault="00CC0C1B" w:rsidP="00CC0C1B">
      <w:pPr>
        <w:keepNext/>
        <w:keepLines/>
        <w:spacing w:before="160" w:after="80" w:line="278" w:lineRule="auto"/>
        <w:outlineLvl w:val="2"/>
        <w:rPr>
          <w:rFonts w:ascii="Arial" w:hAnsi="Arial" w:cs="Arial"/>
          <w:b/>
          <w:bCs/>
          <w:kern w:val="2"/>
          <w:sz w:val="22"/>
          <w:szCs w:val="22"/>
        </w:rPr>
      </w:pPr>
      <w:r w:rsidRPr="001C77C1">
        <w:rPr>
          <w:rFonts w:ascii="Arial" w:hAnsi="Arial" w:cs="Arial"/>
          <w:b/>
          <w:bCs/>
          <w:kern w:val="2"/>
          <w:sz w:val="22"/>
          <w:szCs w:val="22"/>
        </w:rPr>
        <w:t>2.6.1 Technical Challenges</w:t>
      </w:r>
    </w:p>
    <w:p w14:paraId="2F0E5E51"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 xml:space="preserve">Aquaponics systems are complex and require careful management of water quality, nutrient cycling, and microbial communities. Farmers often lack sufficient knowledge of water chemistry, biofilter management, and system maintenance, which can lead to imbalances and reduced productivity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2024)","plainTextFormattedCitation":"(Zamnuri et al., 2024)","previouslyFormattedCitation":"(Zamnuri et al.,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(Zamnuri </w:t>
      </w:r>
      <w:r w:rsidRPr="001C77C1">
        <w:rPr>
          <w:rFonts w:ascii="Arial" w:eastAsia="Calibri" w:hAnsi="Arial" w:cs="Arial"/>
          <w:i/>
          <w:iCs/>
          <w:noProof/>
          <w:kern w:val="2"/>
        </w:rPr>
        <w:t>et al.,</w:t>
      </w:r>
      <w:r w:rsidRPr="001C77C1">
        <w:rPr>
          <w:rFonts w:ascii="Arial" w:eastAsia="Calibri" w:hAnsi="Arial" w:cs="Arial"/>
          <w:noProof/>
          <w:kern w:val="2"/>
        </w:rPr>
        <w:t xml:space="preserve"> 2024)</w:t>
      </w:r>
      <w:r w:rsidRPr="001C77C1">
        <w:rPr>
          <w:rFonts w:ascii="Arial" w:eastAsia="Calibri" w:hAnsi="Arial" w:cs="Arial"/>
          <w:kern w:val="2"/>
        </w:rPr>
        <w:fldChar w:fldCharType="end"/>
      </w:r>
      <w:r w:rsidRPr="001C77C1">
        <w:rPr>
          <w:rFonts w:ascii="Arial" w:eastAsia="Calibri" w:hAnsi="Arial" w:cs="Arial"/>
          <w:kern w:val="2"/>
        </w:rPr>
        <w:t xml:space="preserve">. System sensitivity to temperature fluctuations, risk of disease outbreaks, and the need for reliable pathogen control further complicate operations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ISBN":"9783030159429","author":[{"dropping-particle":"","family":"Goddek","given":"Simon","non-dropping-particle":"","parse-names":false,"suffix":""}],"id":"ITEM-1","issued":{"date-parts":[["2019"]]},"number-of-pages":"1 - 619","title":"Aquaponics Food Production Systems","type":"book"},"uris":["http://www.mendeley.com/documents/?uuid=da2cc9d1-8efe-4006-a396-a9e89213e6f3"]},{"id":"ITEM-2","itemData":{"ISBN":"9789358505887","author":[{"dropping-particle":"","family":"Balusamy","given":"Keerthana","non-dropping-particle":"","parse-names":false,"suffix":""},{"dropping-particle":"","family":"Selvakumari","given":"Govindarajan","non-dropping-particle":"","parse-names":false,"suffix":""}],"id":"ITEM-2","issue":"1","issued":{"date-parts":[["2024"]]},"number-of-pages":"45-61","title":"DIMENSION IN AGRICULTURAL SCIENCES : A WAY FORWARD FOR SUSTAINABILITY Publishers and Distributors","type":"book"},"uris":["http://www.mendeley.com/documents/?uuid=d60d5e49-3695-489b-8548-d142968e352a"]}],"mendeley":{"formattedCitation":"(Balusamy &amp; Selvakumari, 2024; Goddek, 2019)","plainTextFormattedCitation":"(Balusamy &amp; Selvakumari, 2024; Goddek, 2019)","previouslyFormattedCitation":"(Balusamy &amp; Selvakumari, 2024; Goddek, 2019)"},"properties":{"noteIndex":0},"schema":"https://github.com/citation-style-language/schema/raw/master/csl-citation.json"}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(Balusamy &amp; Selvakumari, 2024; Goddek, 2019)</w:t>
      </w:r>
      <w:r w:rsidRPr="001C77C1">
        <w:rPr>
          <w:rFonts w:ascii="Arial" w:eastAsia="Calibri" w:hAnsi="Arial" w:cs="Arial"/>
          <w:kern w:val="2"/>
        </w:rPr>
        <w:fldChar w:fldCharType="end"/>
      </w:r>
      <w:r w:rsidRPr="001C77C1">
        <w:rPr>
          <w:rFonts w:ascii="Arial" w:eastAsia="Calibri" w:hAnsi="Arial" w:cs="Arial"/>
          <w:kern w:val="2"/>
        </w:rPr>
        <w:t>. In addition, maintaining the right balance between fish and plants remains a challenge, and mosquito breeding in stagnant water can pose health risks.</w:t>
      </w:r>
    </w:p>
    <w:p w14:paraId="554519AC" w14:textId="77777777" w:rsidR="00CC0C1B" w:rsidRPr="001C77C1" w:rsidRDefault="00CC0C1B" w:rsidP="00CC0C1B">
      <w:pPr>
        <w:keepNext/>
        <w:keepLines/>
        <w:spacing w:before="160" w:after="80" w:line="278" w:lineRule="auto"/>
        <w:outlineLvl w:val="2"/>
        <w:rPr>
          <w:rFonts w:ascii="Arial" w:hAnsi="Arial" w:cs="Arial"/>
          <w:b/>
          <w:bCs/>
          <w:kern w:val="2"/>
          <w:sz w:val="22"/>
          <w:szCs w:val="22"/>
        </w:rPr>
      </w:pPr>
      <w:r w:rsidRPr="001C77C1">
        <w:rPr>
          <w:rFonts w:ascii="Arial" w:hAnsi="Arial" w:cs="Arial"/>
          <w:b/>
          <w:bCs/>
          <w:kern w:val="2"/>
          <w:sz w:val="22"/>
          <w:szCs w:val="22"/>
        </w:rPr>
        <w:t>2.6.2 Economic Challenges</w:t>
      </w:r>
    </w:p>
    <w:p w14:paraId="56F6C9ED"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 xml:space="preserve">High start-up costs remain one of the greatest barriers to adoption. The need for pumps, tanks, biofilters, sensors, and backup systems drives initial investment beyond the reach of many smallholder farmers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{"citationItems":[{"id":"ITEM-1","itemData":{"author":[{"dropping-particle":"","family":"Serey","given":"Yoeurm Chhainon and","non-dropping-particle":"","parse-names":false,"suffix":""},{"dropping-particle":"","family":"Mardy","given":"Serey","non-dropping-particle":"","parse-names":false,"suffix":""}],"container-title":"Indonesian Journal ofSocial Economics andAgricultural Policy","id":"ITEM-1","issue":"01","issued":{"date-parts":[["2024"]]},"page":"1-9","title":"The potential of aquaponics systems for enhancing","type":"article-journal","volume":"01"},"uris":["http://www.mendeley.com/documents/?uuid=f5c05051-5509-476d-b6e8-bc4375534846"]}],"mendeley":{"formattedCitation":"(Serey &amp; Mardy, 2024)","plainTextFormattedCitation":"(Serey &amp; Mardy, 2024)","previouslyFormattedCitation":"(Serey &amp; Mardy,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(Serey &amp; Mardy, 2024)</w:t>
      </w:r>
      <w:r w:rsidRPr="001C77C1">
        <w:rPr>
          <w:rFonts w:ascii="Arial" w:eastAsia="Calibri" w:hAnsi="Arial" w:cs="Arial"/>
          <w:kern w:val="2"/>
        </w:rPr>
        <w:fldChar w:fldCharType="end"/>
      </w:r>
      <w:r w:rsidRPr="001C77C1">
        <w:rPr>
          <w:rFonts w:ascii="Arial" w:eastAsia="Calibri" w:hAnsi="Arial" w:cs="Arial"/>
          <w:kern w:val="2"/>
        </w:rPr>
        <w:t xml:space="preserve">. Ongoing operational expenses, particularly electricity for pumps and aeration, as well as the cost of fish feed, also reduce profitability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{"citationItems":[{"id":"ITEM-1","itemData":{"DOI":"10.1002/fsn3.3154","author":[{"dropping-particle":"","family":"Okomoda","given":"Victor Tosin","non-dropping-particle":"","parse-names":false,"suffix":""},{"dropping-particle":"","family":"Abraham","given":"Sunday","non-dropping-particle":"","parse-names":false,"suffix":""},{"dropping-particle":"","family":"Shola","given":"Oladimeji","non-dropping-particle":"","parse-names":false,"suffix":""},{"dropping-particle":"","family":"Solomon","given":"Gabriel","non-dropping-particle":"","parse-names":false,"suffix":""},{"dropping-particle":"","family":"Olabode","given":"Samuel","non-dropping-particle":"","parse-names":false,"suffix":""},{"dropping-particle":"","family":"Samuel","given":"Olufeagba","non-dropping-particle":"","parse-names":false,"suffix":""},{"dropping-particle":"","family":"Ogah","given":"Ijabo","non-dropping-particle":"","parse-names":false,"suffix":""},{"dropping-particle":"","family":"Ikhwanuddin","given":"Mhd","non-dropping-particle":"","parse-names":false,"suffix":""}],"container-title":"Journal of Food Science and Nutrition","id":"ITEM-1","issue":"1","issued":{"date-parts":[["2022"]]},"page":"1157-1165","title":"Aquaponics production system : A review of historical perspective , opportunities , and challenges of its adoption","type":"article-journal","volume":"10"},"uris":["http://www.mendeley.com/documents/?uuid=4c1cfb83-860c-4f82-96b2-8bd1f23d5d3e"]}],"mendeley":{"formattedCitation":"(Okomoda et al., 2022)","plainTextFormattedCitation":"(Okomoda et al., 2022)","previouslyFormattedCitation":"(Okomoda et al., 2022)"},"properties":{"noteIndex":0},"schema":"https://github.com/citation-style-language/schema/raw/master/csl-citation.json"}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(Okomoda </w:t>
      </w:r>
      <w:r w:rsidRPr="001C77C1">
        <w:rPr>
          <w:rFonts w:ascii="Arial" w:eastAsia="Calibri" w:hAnsi="Arial" w:cs="Arial"/>
          <w:i/>
          <w:iCs/>
          <w:noProof/>
          <w:kern w:val="2"/>
        </w:rPr>
        <w:t>et al.,</w:t>
      </w:r>
      <w:r w:rsidRPr="001C77C1">
        <w:rPr>
          <w:rFonts w:ascii="Arial" w:eastAsia="Calibri" w:hAnsi="Arial" w:cs="Arial"/>
          <w:noProof/>
          <w:kern w:val="2"/>
        </w:rPr>
        <w:t xml:space="preserve"> 2022)</w:t>
      </w:r>
      <w:r w:rsidRPr="001C77C1">
        <w:rPr>
          <w:rFonts w:ascii="Arial" w:eastAsia="Calibri" w:hAnsi="Arial" w:cs="Arial"/>
          <w:kern w:val="2"/>
        </w:rPr>
        <w:fldChar w:fldCharType="end"/>
      </w:r>
      <w:r w:rsidRPr="001C77C1">
        <w:rPr>
          <w:rFonts w:ascii="Arial" w:eastAsia="Calibri" w:hAnsi="Arial" w:cs="Arial"/>
          <w:kern w:val="2"/>
        </w:rPr>
        <w:t>. Limited access to affordable credit and financial incentives further constrain expansion.</w:t>
      </w:r>
    </w:p>
    <w:p w14:paraId="54AD7F42" w14:textId="77777777" w:rsidR="00CC0C1B" w:rsidRPr="001C77C1" w:rsidRDefault="00CC0C1B" w:rsidP="00CC0C1B">
      <w:pPr>
        <w:keepNext/>
        <w:keepLines/>
        <w:spacing w:before="160" w:after="80" w:line="278" w:lineRule="auto"/>
        <w:outlineLvl w:val="2"/>
        <w:rPr>
          <w:rFonts w:ascii="Arial" w:hAnsi="Arial" w:cs="Arial"/>
          <w:b/>
          <w:bCs/>
          <w:kern w:val="2"/>
          <w:sz w:val="22"/>
          <w:szCs w:val="22"/>
        </w:rPr>
      </w:pPr>
      <w:r w:rsidRPr="001C77C1">
        <w:rPr>
          <w:rFonts w:ascii="Arial" w:hAnsi="Arial" w:cs="Arial"/>
          <w:b/>
          <w:bCs/>
          <w:kern w:val="2"/>
          <w:sz w:val="22"/>
          <w:szCs w:val="22"/>
        </w:rPr>
        <w:t>2.6.3 Social Challenges</w:t>
      </w:r>
    </w:p>
    <w:p w14:paraId="1EF7F1FA"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 xml:space="preserve">Limited awareness, inadequate technical expertise, and a shortage of skilled labor hinder aquaponics adoption, especially in rural areas. Farmers may also face difficulties accessing quality fingerlings and inputs, while cultural resistance to unfamiliar technologies can slow uptake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{"citationItems":[{"id":"ITEM-1","itemData":{"DOI":"10.1016/j.aaf.2020.07.017","ISSN":"2468550X","abstract":"Fish farming is considered an important agricultural activity that is capable of ending nutritional deficiencies of the world and contributing to poverty reduction. Its proponents argue that aquaculture will meet the food security needs of millions of people in developing countries who will benefit from relatively inexpensive protein, while depleted capture fisheries are allowed to replenish. Egypt is Africa's leading aquaculture country, followed by Nigeria with similar production systems. The dominant species of fish cultured in Egypt and Nigeria are Tilapia and African catfish, respectively. The aquaculture industries in these two counties are very promising, as there is a presence of water bodies, some institutional commitment, and high demand for fish among others. Despite some gains made by the countries and the huge potential of the aquaculture sector, it is however bedeviled with constraints such as low technology adoption, inadequate supply of fingerlings, high cost of fish feed, etc. This work is an overview of the aquaculture sectors of Egypt and Nigeria, which includes the production systems, prospects, and potentials of the sector and the constraints that affect aquaculture.","author":[{"dropping-particle":"","family":"Kaleem","given":"Oliver","non-dropping-particle":"","parse-names":false,"suffix":""},{"dropping-particle":"","family":"Bio Singou Sabi","given":"Abudou Fadel","non-dropping-particle":"","parse-names":false,"suffix":""}],"container-title":"Aquaculture and Fisheries","id":"ITEM-1","issue":"6","issued":{"date-parts":[["2021"]]},"page":"535-547","publisher":"Elsevier B.V.","title":"Overview of aquaculture systems in Egypt and Nigeria, prospects, potentials, and constraints","type":"article-journal","volume":"6"},"uris":["http://www.mendeley.com/documents/?uuid=35f4c186-fc9f-4ce6-a1d8-b80c2c8a6d00"]}],"mendeley":{"formattedCitation":"(Kaleem &amp; Bio Singou Sabi, 2021)","plainTextFormattedCitation":"(Kaleem &amp; Bio Singou Sabi, 2021)","previouslyFormattedCitation":"(Kaleem &amp; Bio Singou Sabi, 2021)"},"properties":{"noteIndex":0},"schema":"https://github.com/citation-style-language/schema/raw/master/csl-citation.json"}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(Kaleem &amp; Bio, 2021)</w:t>
      </w:r>
      <w:r w:rsidRPr="001C77C1">
        <w:rPr>
          <w:rFonts w:ascii="Arial" w:eastAsia="Calibri" w:hAnsi="Arial" w:cs="Arial"/>
          <w:kern w:val="2"/>
        </w:rPr>
        <w:fldChar w:fldCharType="end"/>
      </w:r>
      <w:r w:rsidRPr="001C77C1">
        <w:rPr>
          <w:rFonts w:ascii="Arial" w:eastAsia="Calibri" w:hAnsi="Arial" w:cs="Arial"/>
          <w:kern w:val="2"/>
        </w:rPr>
        <w:t>. In many regions, aquaponics is still perceived as experimental rather than a mainstream farming practice, leading to low policy prioritization and limited institutional support.</w:t>
      </w:r>
    </w:p>
    <w:p w14:paraId="290AC5FC"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lastRenderedPageBreak/>
        <w:t>2.7 TECHNOLOGICAL INNOVATION AND GREEN PRACTICES</w:t>
      </w:r>
    </w:p>
    <w:p w14:paraId="1D5A16F0" w14:textId="77777777" w:rsidR="00CC0C1B" w:rsidRPr="001C77C1" w:rsidRDefault="00CC0C1B" w:rsidP="00CC0C1B">
      <w:pPr>
        <w:keepNext/>
        <w:keepLines/>
        <w:spacing w:before="160" w:after="80" w:line="278" w:lineRule="auto"/>
        <w:outlineLvl w:val="2"/>
        <w:rPr>
          <w:rFonts w:ascii="Arial" w:hAnsi="Arial" w:cs="Arial"/>
          <w:b/>
          <w:bCs/>
          <w:kern w:val="2"/>
          <w:sz w:val="22"/>
          <w:szCs w:val="22"/>
        </w:rPr>
      </w:pPr>
      <w:r w:rsidRPr="001C77C1">
        <w:rPr>
          <w:rFonts w:ascii="Arial" w:hAnsi="Arial" w:cs="Arial"/>
          <w:b/>
          <w:bCs/>
          <w:kern w:val="2"/>
          <w:sz w:val="22"/>
          <w:szCs w:val="22"/>
        </w:rPr>
        <w:t>2.7.1 Smart Aquaponics Systems</w:t>
      </w:r>
    </w:p>
    <w:p w14:paraId="242EA61E" w14:textId="738D2E41" w:rsidR="00CC0C1B" w:rsidRPr="001C77C1" w:rsidRDefault="00CC0C1B" w:rsidP="00CC0C1B">
      <w:pPr>
        <w:spacing w:after="160" w:line="360" w:lineRule="auto"/>
        <w:jc w:val="both"/>
        <w:rPr>
          <w:rFonts w:ascii="Arial" w:eastAsia="Calibri" w:hAnsi="Arial" w:cs="Arial"/>
          <w:noProof/>
          <w:kern w:val="2"/>
        </w:rPr>
      </w:pPr>
      <w:r w:rsidRPr="001C77C1">
        <w:rPr>
          <w:rFonts w:ascii="Arial" w:eastAsia="Calibri" w:hAnsi="Arial" w:cs="Arial"/>
          <w:kern w:val="2"/>
        </w:rPr>
        <w:t xml:space="preserve">Smart Aquaponics is a system that combines plant cultivation and fish farming in one unit, utilizing Internet of Things technology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10.1088/1757-899X/835/1/012026","author":[{"dropping-particle":"","family":"Taufik","given":"I","non-dropping-particle":"","parse-names":false,"suffix":""},{"dropping-particle":"","family":"Setijaningsih","given":"L","non-dropping-particle":"","parse-names":false,"suffix":""}],"container-title":"IOP Conference Series: Materials Science and Engineering","id":"ITEM-1","issue":"012026","issued":{"date-parts":[["2020"]]},"page":"1-5","title":"Smart Aquaponics Design Using Internet of Things Technology Smart Aquaponics Technology Design Using Internet of Things","type":"article-journal","volume":"835"},"uris":["http://www.mendeley.com/documents/?uuid=7b3bf9b8-9ccf-4038-8b4e-49ac2030cee7"]}],"mendeley":{"formattedCitation":"(Taufik &amp; Setijaningsih, 2020)","plainTextFormattedCitation":"(Taufik &amp; Setijaningsih, 2020)","previouslyFormattedCitation":"(Taufik &amp; Setijaningsih, 2020)"},"properties":{"noteIndex":0},"schema":"https://github.com/citation-style-language/schema/raw/master/csl-citation.json"}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(Taufik &amp; Setijaningsih, 2020)</w:t>
      </w:r>
      <w:r w:rsidRPr="001C77C1">
        <w:rPr>
          <w:rFonts w:ascii="Arial" w:eastAsia="Calibri" w:hAnsi="Arial" w:cs="Arial"/>
          <w:kern w:val="2"/>
        </w:rPr>
        <w:fldChar w:fldCharType="end"/>
      </w:r>
      <w:r w:rsidRPr="001C77C1">
        <w:rPr>
          <w:rFonts w:ascii="Arial" w:eastAsia="Calibri" w:hAnsi="Arial" w:cs="Arial"/>
          <w:kern w:val="2"/>
        </w:rPr>
        <w:t xml:space="preserve">. The smart fish feeder applies solar power tracking and Internet of Things technology to improve the efficiency of fish feeding in fish farm systems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{"citationItems":[{"id":"ITEM-1","itemData":{"DOI":"10.1109/UPCON59197.2023.10434688","ISBN":"9798350382471","author":[{"dropping-particle":"","family":"Deepthi","given":"Challmalla Sai","non-dropping-particle":"","parse-names":false,"suffix":""}],"container-title":"2023 10th IEEE Uttar Pradesh Section International Conference on Electrical, Electronics and Computer Engineering (UPCON)","id":"ITEM-1","issue":"1","issued":{"date-parts":[["2023"]]},"page":"311-315","publisher":"IEEE","title":"Automatic Fish Feeder Using Tracking Of Solar Energy and Internet of Things","type":"article-journal","volume":"10"},"uris":["http://www.mendeley.com/documents/?uuid=5a501e50-820f-47d4-82c7-70202f84d55e"]}],"mendeley":{"formattedCitation":"(Deepthi, 2023)","plainTextFormattedCitation":"(Deepthi, 2023)","previouslyFormattedCitation":"(Deepthi, 2023)"},"properties":{"noteIndex":0},"schema":"https://github.com/citation-style-language/schema/raw/master/csl-citation.json"}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w:t>
      </w:r>
      <w:r w:rsidRPr="001C77C1">
        <w:rPr>
          <w:rFonts w:ascii="Arial" w:eastAsia="Calibri" w:hAnsi="Arial" w:cs="Arial"/>
          <w:b/>
          <w:noProof/>
          <w:kern w:val="2"/>
        </w:rPr>
        <w:t>Deepthi</w:t>
      </w:r>
      <w:r w:rsidRPr="001C77C1">
        <w:rPr>
          <w:rFonts w:ascii="Arial" w:eastAsia="Calibri" w:hAnsi="Arial" w:cs="Arial"/>
          <w:noProof/>
          <w:kern w:val="2"/>
        </w:rPr>
        <w:t>, 2023)</w:t>
      </w:r>
      <w:r w:rsidRPr="001C77C1">
        <w:rPr>
          <w:rFonts w:ascii="Arial" w:eastAsia="Calibri" w:hAnsi="Arial" w:cs="Arial"/>
          <w:kern w:val="2"/>
        </w:rPr>
        <w:fldChar w:fldCharType="end"/>
      </w:r>
      <w:r w:rsidRPr="001C77C1">
        <w:rPr>
          <w:rFonts w:ascii="Arial" w:eastAsia="Calibri" w:hAnsi="Arial" w:cs="Arial"/>
          <w:kern w:val="2"/>
        </w:rPr>
        <w:t xml:space="preserve">. This feeder system, however, uses a solar panel that powers the motor as it maintains the panel in position following the direction of the sun to ensure proper energy production. Aquaponics involves sensors that function as actuators as well as monitors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10.1088/1757-899X/835/1/012026","author":[{"dropping-particle":"","family":"Taufik","given":"I","non-dropping-particle":"","parse-names":false,"suffix":""},{"dropping-particle":"","family":"Setijaningsih","given":"L","non-dropping-particle":"","parse-names":false,"suffix":""}],"container-title":"IOP Conference Series: Materials Science and Engineering","id":"ITEM-1","issue":"012026","issued":{"date-parts":[["2020"]]},"page":"1-5","title":"Smart Aquaponics Design Using Internet of Things Technology Smart Aquaponics Technology Design Using Internet of Things","type":"article-journal","volume":"835"},"uris":["http://www.mendeley.com/documents/?uuid=7b3bf9b8-9ccf-4038-8b4e-49ac2030cee7"]}],"mendeley":{"formattedCitation":"(Taufik &amp; Setijaningsih, 2020)","plainTextFormattedCitation":"(Taufik &amp; Setijaningsih, 2020)","previouslyFormattedCitation":"(Taufik &amp; Setijaningsih, 2020)"},"properties":{"noteIndex":0},"schema":"https://github.com/citation-style-language/schema/raw/master/csl-citation.json"}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(Taufik &amp; Setijaningsih, 2020)</w:t>
      </w:r>
      <w:r w:rsidRPr="001C77C1">
        <w:rPr>
          <w:rFonts w:ascii="Arial" w:eastAsia="Calibri" w:hAnsi="Arial" w:cs="Arial"/>
          <w:kern w:val="2"/>
        </w:rPr>
        <w:fldChar w:fldCharType="end"/>
      </w:r>
      <w:r w:rsidRPr="001C77C1">
        <w:rPr>
          <w:rFonts w:ascii="Arial" w:eastAsia="Calibri" w:hAnsi="Arial" w:cs="Arial"/>
          <w:kern w:val="2"/>
        </w:rPr>
        <w:t xml:space="preserve">. The IoT technology also enables the control and monitoring of the feeder through a smartphone application that provides data on the feeding schedules and food intake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{"citationItems":[{"id":"ITEM-1","itemData":{"DOI":"10.1109/UPCON59197.2023.10434688","ISBN":"9798350382471","author":[{"dropping-particle":"","family":"Deepthi","given":"Challmalla Sai","non-dropping-particle":"","parse-names":false,"suffix":""}],"container-title":"2023 10th IEEE Uttar Pradesh Section International Conference on Electrical, Electronics and Computer Engineering (UPCON)","id":"ITEM-1","issue":"1","issued":{"date-parts":[["2023"]]},"page":"311-315","publisher":"IEEE","title":"Automatic Fish Feeder Using Tracking Of Solar Energy and Internet of Things","type":"article-journal","volume":"10"},"uris":["http://www.mendeley.com/documents/?uuid=5a501e50-820f-47d4-82c7-70202f84d55e"]}],"mendeley":{"formattedCitation":"(Deepthi, 2023)","plainTextFormattedCitation":"(Deepthi, 2023)","previouslyFormattedCitation":"(Deepthi, 2023)"},"properties":{"noteIndex":0},"schema":"https://github.com/citation-style-language/schema/raw/master/csl-citation.json"}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(Deepthi, 2023)</w:t>
      </w:r>
      <w:r w:rsidRPr="001C77C1">
        <w:rPr>
          <w:rFonts w:ascii="Arial" w:eastAsia="Calibri" w:hAnsi="Arial" w:cs="Arial"/>
          <w:kern w:val="2"/>
        </w:rPr>
        <w:fldChar w:fldCharType="end"/>
      </w:r>
      <w:r w:rsidRPr="001C77C1">
        <w:rPr>
          <w:rFonts w:ascii="Arial" w:eastAsia="Calibri" w:hAnsi="Arial" w:cs="Arial"/>
          <w:kern w:val="2"/>
        </w:rPr>
        <w:t xml:space="preserve">. The microcontroller system has the capacity to monitor water quality in terms of pH, temperature, and oxygen content using different sensors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{"citationItems":[{"id":"ITEM-1","itemData":{"ISBN":"9780735444003","author":[{"dropping-particle":"","family":"Dawa","given":"Maritel","non-dropping-particle":"","parse-names":false,"suffix":""},{"dropping-particle":"","family":"Lausa","given":"Samson M","non-dropping-particle":"","parse-names":false,"suffix":""},{"dropping-particle":"","family":"Tibon","given":"Maria Rodelyn","non-dropping-particle":"","parse-names":false,"suffix":""}],"container-title":"AIP Conference Proceedings","id":"ITEM-1","issue":"1","issued":{"date-parts":[["2022"]]},"page":"1-16","title":"Internet of things ( IoT ) based aquaponics management system adaptive to climate change Internet of Things ( IoT ) based Aquaponics Management System Adaptive to Climate Change","type":"article-journal","volume":"050004"},"uris":["http://www.mendeley.com/documents/?uuid=0b68fe7c-ca8c-4b8c-bd18-a8c3cea4457b"]}],"mendeley":{"formattedCitation":"(Dawa et al., 2022)","plainTextFormattedCitation":"(Dawa et al., 2022)","previouslyFormattedCitation":"(Dawa et al., 2022)"},"properties":{"noteIndex":0},"schema":"https://github.com/citation-style-language/schema/raw/master/csl-citation.json"}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 xml:space="preserve">(Dawa </w:t>
      </w:r>
      <w:r w:rsidRPr="001C77C1">
        <w:rPr>
          <w:rFonts w:ascii="Arial" w:eastAsia="Calibri" w:hAnsi="Arial" w:cs="Arial"/>
          <w:i/>
          <w:iCs/>
          <w:noProof/>
          <w:kern w:val="2"/>
        </w:rPr>
        <w:t xml:space="preserve">et al., </w:t>
      </w:r>
      <w:r w:rsidRPr="001C77C1">
        <w:rPr>
          <w:rFonts w:ascii="Arial" w:eastAsia="Calibri" w:hAnsi="Arial" w:cs="Arial"/>
          <w:noProof/>
          <w:kern w:val="2"/>
        </w:rPr>
        <w:t>2022)</w:t>
      </w:r>
      <w:r w:rsidRPr="001C77C1">
        <w:rPr>
          <w:rFonts w:ascii="Arial" w:eastAsia="Calibri" w:hAnsi="Arial" w:cs="Arial"/>
          <w:kern w:val="2"/>
        </w:rPr>
        <w:fldChar w:fldCharType="end"/>
      </w:r>
      <w:r w:rsidRPr="001C77C1">
        <w:rPr>
          <w:rFonts w:ascii="Arial" w:eastAsia="Calibri" w:hAnsi="Arial" w:cs="Arial"/>
          <w:kern w:val="2"/>
        </w:rPr>
        <w:t xml:space="preserve">. Furthermore, these systems also increase productivity and cost-effectiveness through efficient usage of resources, monitoring water quality, and providing optimal growing conditions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2024)","plainTextFormattedCitation":"(Zamnuri et al., 2024)","previouslyFormattedCitation":"(Zamnuri et al.,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(Z</w:t>
      </w:r>
      <w:r w:rsidR="001C77C1" w:rsidRPr="001C77C1">
        <w:rPr>
          <w:rFonts w:ascii="Arial" w:eastAsia="Calibri" w:hAnsi="Arial" w:cs="Arial"/>
          <w:noProof/>
          <w:kern w:val="2"/>
        </w:rPr>
        <w:t xml:space="preserve"> </w:t>
      </w:r>
      <w:r w:rsidRPr="001C77C1">
        <w:rPr>
          <w:rFonts w:ascii="Arial" w:eastAsia="Calibri" w:hAnsi="Arial" w:cs="Arial"/>
          <w:noProof/>
          <w:kern w:val="2"/>
        </w:rPr>
        <w:t>024)</w:t>
      </w:r>
      <w:r w:rsidRPr="001C77C1">
        <w:rPr>
          <w:rFonts w:ascii="Arial" w:eastAsia="Calibri" w:hAnsi="Arial" w:cs="Arial"/>
          <w:kern w:val="2"/>
        </w:rPr>
        <w:fldChar w:fldCharType="end"/>
      </w:r>
      <w:r w:rsidRPr="001C77C1">
        <w:rPr>
          <w:rFonts w:ascii="Arial" w:eastAsia="Calibri" w:hAnsi="Arial" w:cs="Arial"/>
          <w:kern w:val="2"/>
        </w:rPr>
        <w:t xml:space="preserve">. Therefore, increasing the efficiency of agricultural practices has the potential to greatly increase the value of produce, lower labor costs, and ultimately change farming practices </w:t>
      </w:r>
      <w:r w:rsidRPr="001C77C1">
        <w:rPr>
          <w:rFonts w:ascii="Arial" w:eastAsia="Calibri" w:hAnsi="Arial" w:cs="Arial"/>
          <w:kern w:val="2"/>
        </w:rPr>
        <w:fldChar w:fldCharType="begin" w:fldLock="1"/>
      </w:r>
      <w:r w:rsidRPr="001C77C1">
        <w:rPr>
          <w:rFonts w:ascii="Arial" w:eastAsia="Calibri" w:hAnsi="Arial" w:cs="Arial"/>
          <w:kern w:val="2"/>
        </w:rPr>
        <w:instrText>ADDIN CSL_CITATION {"citationItems":[{"id":"ITEM-1","itemData":{"ISBN":"9789358505887","author":[{"dropping-particle":"","family":"Balusamy","given":"Keerthana","non-dropping-particle":"","parse-names":false,"suffix":""},{"dropping-particle":"","family":"Selvakumari","given":"Govindarajan","non-dropping-particle":"","parse-names":false,"suffix":""}],"id":"ITEM-1","issue":"1","issued":{"date-parts":[["2024"]]},"number-of-pages":"45-61","title":"DIMENSION IN AGRICULTURAL SCIENCES : A WAY FORWARD FOR SUSTAINABILITY Publishers and Distributors","type":"book"},"uris":["http://www.mendeley.com/documents/?uuid=d60d5e49-3695-489b-8548-d142968e352a"]}],"mendeley":{"formattedCitation":"(Balusamy &amp; Selvakumari, 2024)","plainTextFormattedCitation":"(Balusamy &amp; Selvakumari, 2024)","previouslyFormattedCitation":"(Balusamy &amp; Selvakumari, 2024)"},"properties":{"noteIndex":0},"schema":"https://github.com/citation-style-language/schema/raw/master/csl-citation.json"}</w:instrText>
      </w:r>
      <w:r w:rsidRPr="001C77C1">
        <w:rPr>
          <w:rFonts w:ascii="Arial" w:eastAsia="Calibri" w:hAnsi="Arial" w:cs="Arial"/>
          <w:kern w:val="2"/>
        </w:rPr>
        <w:fldChar w:fldCharType="separate"/>
      </w:r>
      <w:r w:rsidRPr="001C77C1">
        <w:rPr>
          <w:rFonts w:ascii="Arial" w:eastAsia="Calibri" w:hAnsi="Arial" w:cs="Arial"/>
          <w:noProof/>
          <w:kern w:val="2"/>
        </w:rPr>
        <w:t>(Balusamy &amp; Selvakumari, 2024)</w:t>
      </w:r>
      <w:r w:rsidRPr="001C77C1">
        <w:rPr>
          <w:rFonts w:ascii="Arial" w:eastAsia="Calibri" w:hAnsi="Arial" w:cs="Arial"/>
          <w:kern w:val="2"/>
        </w:rPr>
        <w:fldChar w:fldCharType="end"/>
      </w:r>
      <w:r w:rsidRPr="001C77C1">
        <w:rPr>
          <w:rFonts w:ascii="Arial" w:eastAsia="Calibri" w:hAnsi="Arial" w:cs="Arial"/>
          <w:kern w:val="2"/>
        </w:rPr>
        <w:t>.</w:t>
      </w:r>
    </w:p>
    <w:p w14:paraId="2CA797D4"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t>2.8 DISCUSSION</w:t>
      </w:r>
    </w:p>
    <w:p w14:paraId="34786C12" w14:textId="77777777" w:rsidR="00CC0C1B" w:rsidRPr="001C77C1" w:rsidRDefault="00CC0C1B" w:rsidP="00CC0C1B">
      <w:pPr>
        <w:spacing w:after="160" w:line="360" w:lineRule="auto"/>
        <w:jc w:val="both"/>
        <w:rPr>
          <w:rFonts w:ascii="Arial" w:hAnsi="Arial" w:cs="Arial"/>
          <w:kern w:val="2"/>
        </w:rPr>
      </w:pPr>
      <w:r w:rsidRPr="001C77C1">
        <w:rPr>
          <w:rFonts w:ascii="Arial" w:hAnsi="Arial" w:cs="Arial"/>
          <w:kern w:val="2"/>
        </w:rPr>
        <w:t xml:space="preserve">The findings of this review characterize aquaponics as a breakthrough technology in tackling food security, environmental degradation, and climate change on the global scene. In contrast to traditional farming, which leads to land degradation, loss of biodiversity, and greenhouse gas emissions </w:t>
      </w:r>
      <w:r w:rsidRPr="001C77C1">
        <w:rPr>
          <w:rFonts w:ascii="Arial" w:hAnsi="Arial" w:cs="Arial"/>
          <w:kern w:val="2"/>
        </w:rPr>
        <w:fldChar w:fldCharType="begin" w:fldLock="1"/>
      </w:r>
      <w:r w:rsidRPr="001C77C1">
        <w:rPr>
          <w:rFonts w:ascii="Arial" w:hAnsi="Arial" w:cs="Arial"/>
          <w:kern w:val="2"/>
        </w:rPr>
        <w:instrText>ADDIN CSL_CITATION {"citationItems":[{"id":"ITEM-1","itemData":{"DOI":"10.1016/j.envint.2019.105078","ISSN":"18736750","PMID":"31400601","abstract":"Soils are the most complex and diverse ecosystem in the world. In addition to providing humanity with 98.8% of its food, soils provide a broad range of other services, from carbon storage and greenhouse gas regulation, to flood mitigation and providing support for our sprawling cities. But soil is a finite resource, and rapid human population growth coupled with increasing consumption is placing unprecedented pressure on soils through the intensification of agricultural production – the increasing of crop yield per unit area of soil. Indeed, the human population has increased from ca. 250 million in the year 1000, to 6.1 billion in the year 2000, and is projected to reach 9.8 billion by the year 2050. The current intensification of agricultural practices is already resulting in the unsustainable degradation of soils. Major forms of this degradation include the loss of organic matter and the release of greenhouse gases, the over-application of fertilizers, erosion, contamination, acidification, salinization, and loss of genetic diversity. This ongoing soil degradation is decreasing the long-term ability of soils to provide humans with services, including future food production, and is causing environmental harm. It is imperative that the global society is not shortsighted by focusing solely on the near-immediate benefits of soils, such as food supply. A failure to identify the importance of soil within increasingly intensive agricultural systems will undoubtedly have serious consequences for humanity and represents a failure to consider intergenerational equity. Of utmost importance is the need to unequivocally recognize that the degradation of soils leads to a clear economic cost through the loss of services, with such principles needing to be explicitly considered in economic frameworks and decision-making processes at all levels of governance. We contend that the concept of the Water-Food-Energy nexus must be expanded, forming the Water-Soil-Food-Energy nexus.","author":[{"dropping-particle":"","family":"Kopittke","given":"Peter M.","non-dropping-particle":"","parse-names":false,"suffix":""},{"dropping-particle":"","family":"Menzies","given":"Neal W.","non-dropping-particle":"","parse-names":false,"suffix":""},{"dropping-particle":"","family":"Wang","given":"Peng","non-dropping-particle":"","parse-names":false,"suffix":""},{"dropping-particle":"","family":"McKenna","given":"Brigid A.","non-dropping-particle":"","parse-names":false,"suffix":""},{"dropping-particle":"","family":"Lombi","given":"Enzo","non-dropping-particle":"","parse-names":false,"suffix":""}],"container-title":"Environment International","id":"ITEM-1","issue":"1","issued":{"date-parts":[["2019"]]},"page":"1-8","publisher":"Elsevier","title":"Soil and the intensification of agriculture for global food security","type":"article-journal","volume":"132"},"uris":["http://www.mendeley.com/documents/?uuid=c8174e5c-04b6-418d-92b4-75bfa682bf07"]},{"id":"ITEM-2","itemData":{"author":[{"dropping-particle":"","family":"Pahalvi","given":"Heena Nisar","non-dropping-particle":"","parse-names":false,"suffix":""},{"dropping-particle":"","family":"Rafiya","given":"Lone","non-dropping-particle":"","parse-names":false,"suffix":""},{"dropping-particle":"","family":"Rashid","given":"Sumaira","non-dropping-particle":"","parse-names":false,"suffix":""},{"dropping-particle":"","family":"Nisar","given":"Bisma","non-dropping-particle":"","parse-names":false,"suffix":""},{"dropping-particle":"","family":"Kamili","given":"Azra N","non-dropping-particle":"","parse-names":false,"suffix":""}],"container-title":"Microbiota and biofertilizers, Vol 2: Ecofriendly tools for reclamation of degraded soil environs","id":"ITEM-2","issued":{"date-parts":[["2021"]]},"page":"1-20","publisher":"Springer","title":"Chemical fertilizers and their impact on soil health","type":"chapter"},"uris":["http://www.mendeley.com/documents/?uuid=d933055c-0b14-4f3a-afbd-db5b693636e3"]}],"mendeley":{"formattedCitation":"(Kopittke et al., 2019; Pahalvi et al., 2021)","plainTextFormattedCitation":"(Kopittke et al., 2019; Pahalvi et al., 2021)","previouslyFormattedCitation":"(Kopittke et al., 2019; Pahalvi et al., 2021)"},"properties":{"noteIndex":0},"schema":"https://github.com/citation-style-language/schema/raw/master/csl-citation.json"}</w:instrText>
      </w:r>
      <w:r w:rsidRPr="001C77C1">
        <w:rPr>
          <w:rFonts w:ascii="Arial" w:hAnsi="Arial" w:cs="Arial"/>
          <w:kern w:val="2"/>
        </w:rPr>
        <w:fldChar w:fldCharType="separate"/>
      </w:r>
      <w:r w:rsidRPr="001C77C1">
        <w:rPr>
          <w:rFonts w:ascii="Arial" w:hAnsi="Arial" w:cs="Arial"/>
          <w:noProof/>
          <w:kern w:val="2"/>
        </w:rPr>
        <w:t xml:space="preserve">(Kopittke </w:t>
      </w:r>
      <w:r w:rsidRPr="001C77C1">
        <w:rPr>
          <w:rFonts w:ascii="Arial" w:hAnsi="Arial" w:cs="Arial"/>
          <w:i/>
          <w:iCs/>
          <w:noProof/>
          <w:kern w:val="2"/>
        </w:rPr>
        <w:t>et al.</w:t>
      </w:r>
      <w:r w:rsidRPr="001C77C1">
        <w:rPr>
          <w:rFonts w:ascii="Arial" w:hAnsi="Arial" w:cs="Arial"/>
          <w:noProof/>
          <w:kern w:val="2"/>
        </w:rPr>
        <w:t xml:space="preserve">, 2019; Pahalvi </w:t>
      </w:r>
      <w:r w:rsidRPr="001C77C1">
        <w:rPr>
          <w:rFonts w:ascii="Arial" w:hAnsi="Arial" w:cs="Arial"/>
          <w:i/>
          <w:iCs/>
          <w:noProof/>
          <w:kern w:val="2"/>
        </w:rPr>
        <w:t>et al.,</w:t>
      </w:r>
      <w:r w:rsidRPr="001C77C1">
        <w:rPr>
          <w:rFonts w:ascii="Arial" w:hAnsi="Arial" w:cs="Arial"/>
          <w:noProof/>
          <w:kern w:val="2"/>
        </w:rPr>
        <w:t xml:space="preserve"> 2021)</w:t>
      </w:r>
      <w:r w:rsidRPr="001C77C1">
        <w:rPr>
          <w:rFonts w:ascii="Arial" w:hAnsi="Arial" w:cs="Arial"/>
          <w:kern w:val="2"/>
        </w:rPr>
        <w:fldChar w:fldCharType="end"/>
      </w:r>
      <w:r w:rsidRPr="001C77C1">
        <w:rPr>
          <w:rFonts w:ascii="Arial" w:hAnsi="Arial" w:cs="Arial"/>
          <w:kern w:val="2"/>
        </w:rPr>
        <w:t xml:space="preserve">. Aquaponics is an indoor, closed-loop, soilless system that saves 90% or more water, eliminates chemical inputs of fertilizer, and grows vegetables and protein-carrying fish at the same time </w:t>
      </w:r>
      <w:r w:rsidRPr="001C77C1">
        <w:rPr>
          <w:rFonts w:ascii="Arial" w:hAnsi="Arial" w:cs="Arial"/>
          <w:kern w:val="2"/>
        </w:rPr>
        <w:fldChar w:fldCharType="begin" w:fldLock="1"/>
      </w:r>
      <w:r w:rsidRPr="001C77C1">
        <w:rPr>
          <w:rFonts w:ascii="Arial" w:hAnsi="Arial" w:cs="Arial"/>
          <w:kern w:val="2"/>
        </w:rPr>
        <w:instrText>ADDIN CSL_CITATION {"citationItems":[{"id":"ITEM-1","itemData":{"DOI":"10.1111/jwas.13116","author":[{"dropping-particle":"","family":"Nair","given":"Chythra Somanathan","non-dropping-particle":"","parse-names":false,"suffix":""}],"container-title":"Journal World Aquaculture Society","id":"ITEM-1","issue":"1","issued":{"date-parts":[["2025"]]},"page":"1-39","title":"Recent advancements in aquaponics with special emphasis on its sustainability","type":"article-journal","volume":"10"},"uris":["http://www.mendeley.com/documents/?uuid=68b47c0c-7e1c-4ee0-9312-d449919770d3"]},{"id":"ITEM-2","itemData":{"DOI":"10.3389/fsufs.2021.705549","ISSN":"2571581X","abstract":"Increasing demand on water resources, reduced land water availability, and concerns over food security have spurred the evolution of many innovative and complex food production. An aquaponic system is a productive, innovative, and sustainable fish and vegetable production system that is revolutionizing agriculture in the face of drought, soil fertility losses, and climate change. Aquaponics, as an advanced aquaculture-agriculture system, is expected to improve food security in developing countries. However, as an emerging technology, there is very limited information on the system in Africa. Questions about the ecological and socio-economic sustainability of aquaponics are answered in this comprehensive review. This review considers aquaponics projects in Africa, categorizes the technology by evidences of their effectiveness, fish and plant yields, and juxtaposes the technology within best-use practices to make recommendations that will inform evidence-based policymaking. It also maps the present spatial adoption of the technology in sub-Saharan Africa and highlights the system's contribution to improving food security on the continent. Egypt and South Africa are countries where aquaponics is emerging and being adopted at faster rates and contributing to food security. In West Africa, significantly lower net-discounted benefit-cost ratios were realized when aquaponics systems were constructed using imported materials compared to using locally available materials. Despite aquaponics systems generally having higher start-up costs currently, its potential to be economically viable when undertaken with local materials is very high.","author":[{"dropping-particle":"","family":"Obirikorang","given":"Kwasi Adu","non-dropping-particle":"","parse-names":false,"suffix":""},{"dropping-particle":"","family":"Sekey","given":"Wonder","non-dropping-particle":"","parse-names":false,"suffix":""},{"dropping-particle":"","family":"Gyampoh","given":"Benjamin Apraku","non-dropping-particle":"","parse-names":false,"suffix":""},{"dropping-particle":"","family":"Ashiagbor","given":"George","non-dropping-particle":"","parse-names":false,"suffix":""},{"dropping-particle":"","family":"Asante","given":"Winston","non-dropping-particle":"","parse-names":false,"suffix":""}],"container-title":"Frontiers in Sustainable Food Systems","id":"ITEM-2","issue":"1","issued":{"date-parts":[["2021"]]},"page":"1-10","title":"Aquaponics for Improved Food Security in Africa: A Review","type":"article-journal","volume":"5"},"uris":["http://www.mendeley.com/documents/?uuid=54b16771-cc08-4091-84bf-61fe568dcd35"]}],"mendeley":{"formattedCitation":"(Nair, 2025; Obirikorang et al., 2021)","plainTextFormattedCitation":"(Nair, 2025; Obirikorang et al., 2021)","previouslyFormattedCitation":"(Nair, 2025; Obirikorang et al., 2021)"},"properties":{"noteIndex":0},"schema":"https://github.com/citation-style-language/schema/raw/master/csl-citation.json"}</w:instrText>
      </w:r>
      <w:r w:rsidRPr="001C77C1">
        <w:rPr>
          <w:rFonts w:ascii="Arial" w:hAnsi="Arial" w:cs="Arial"/>
          <w:kern w:val="2"/>
        </w:rPr>
        <w:fldChar w:fldCharType="separate"/>
      </w:r>
      <w:r w:rsidRPr="001C77C1">
        <w:rPr>
          <w:rFonts w:ascii="Arial" w:hAnsi="Arial" w:cs="Arial"/>
          <w:noProof/>
          <w:kern w:val="2"/>
        </w:rPr>
        <w:t xml:space="preserve">(Nair, 2025; Obirikorang </w:t>
      </w:r>
      <w:r w:rsidRPr="001C77C1">
        <w:rPr>
          <w:rFonts w:ascii="Arial" w:hAnsi="Arial" w:cs="Arial"/>
          <w:i/>
          <w:iCs/>
          <w:noProof/>
          <w:kern w:val="2"/>
        </w:rPr>
        <w:t>et al.,</w:t>
      </w:r>
      <w:r w:rsidRPr="001C77C1">
        <w:rPr>
          <w:rFonts w:ascii="Arial" w:hAnsi="Arial" w:cs="Arial"/>
          <w:noProof/>
          <w:kern w:val="2"/>
        </w:rPr>
        <w:t xml:space="preserve"> 2021)</w:t>
      </w:r>
      <w:r w:rsidRPr="001C77C1">
        <w:rPr>
          <w:rFonts w:ascii="Arial" w:hAnsi="Arial" w:cs="Arial"/>
          <w:kern w:val="2"/>
        </w:rPr>
        <w:fldChar w:fldCharType="end"/>
      </w:r>
      <w:r w:rsidRPr="001C77C1">
        <w:rPr>
          <w:rFonts w:ascii="Arial" w:hAnsi="Arial" w:cs="Arial"/>
          <w:kern w:val="2"/>
        </w:rPr>
        <w:t xml:space="preserve">. The aquaponics recycling of nutrients strategy reduces waste emissions to a minimum while guaranteeing environmental sustainability. In addition to environmental advantages, aquaponics yields tremendous nutritional and socio-economic benefits. </w:t>
      </w:r>
      <w:proofErr w:type="spellStart"/>
      <w:r w:rsidRPr="001C77C1">
        <w:rPr>
          <w:rFonts w:ascii="Arial" w:hAnsi="Arial" w:cs="Arial"/>
          <w:kern w:val="2"/>
        </w:rPr>
        <w:t>Aquaponic</w:t>
      </w:r>
      <w:proofErr w:type="spellEnd"/>
      <w:r w:rsidRPr="001C77C1">
        <w:rPr>
          <w:rFonts w:ascii="Arial" w:hAnsi="Arial" w:cs="Arial"/>
          <w:kern w:val="2"/>
        </w:rPr>
        <w:t xml:space="preserve"> produce </w:t>
      </w:r>
      <w:commentRangeStart w:id="15"/>
      <w:r w:rsidRPr="001C77C1">
        <w:rPr>
          <w:rFonts w:ascii="Arial" w:hAnsi="Arial" w:cs="Arial"/>
          <w:kern w:val="2"/>
        </w:rPr>
        <w:t>has</w:t>
      </w:r>
      <w:commentRangeEnd w:id="15"/>
      <w:r w:rsidR="005968D1">
        <w:rPr>
          <w:rStyle w:val="CommentReference"/>
          <w:rFonts w:ascii="Times New Roman" w:hAnsi="Times New Roman"/>
          <w:lang w:val="nb-NO" w:eastAsia="nb-NO"/>
        </w:rPr>
        <w:commentReference w:id="15"/>
      </w:r>
      <w:r w:rsidRPr="001C77C1">
        <w:rPr>
          <w:rFonts w:ascii="Arial" w:hAnsi="Arial" w:cs="Arial"/>
          <w:kern w:val="2"/>
        </w:rPr>
        <w:t xml:space="preserve"> high concentrations of vitamins, minerals, and bioactive compounds with minimal chronic disease risks </w:t>
      </w:r>
      <w:r w:rsidRPr="001C77C1">
        <w:rPr>
          <w:rFonts w:ascii="Arial" w:hAnsi="Arial" w:cs="Arial"/>
          <w:kern w:val="2"/>
        </w:rPr>
        <w:fldChar w:fldCharType="begin" w:fldLock="1"/>
      </w:r>
      <w:r w:rsidRPr="001C77C1">
        <w:rPr>
          <w:rFonts w:ascii="Arial" w:hAnsi="Arial" w:cs="Arial"/>
          <w:kern w:val="2"/>
        </w:rPr>
        <w:instrText>ADDIN CSL_CITATION {"citationItems":[{"id":"ITEM-1","itemData":{"DOI":"10.3390/foods9030369","ISSN":"23048158","abstract":"We edited this Special Issue with the objective of bringing forth new data on the phytochemicals from vegetables and fruits, which are recommended for their health-promoting properties. Epidemiological, toxicological and nutritional studies suggested an association between fruit and vegetable consumption and lower incidence of chronic diseases, such as coronary heart problems, cancer, diabetes, and Alzheimer’s disease. In this Special Issue, the protective roles (antioxidant and others bioactivities), new sustainable approaches to determine the quality, and the processing techniques that can modify the initial nutritional and antioxidant content of fruits, vegetables and additives have been addressed.","author":[{"dropping-particle":"","family":"Río-Celestino","given":"Mercedes","non-dropping-particle":"Del","parse-names":false,"suffix":""},{"dropping-particle":"","family":"Font","given":"Rafael","non-dropping-particle":"","parse-names":false,"suffix":""}],"container-title":"Foods","id":"ITEM-1","issue":"3","issued":{"date-parts":[["2020"]]},"page":"1-4","title":"The health benefits of fruits and vegetables","type":"article-journal","volume":"9"},"uris":["http://www.mendeley.com/documents/?uuid=d4e6fe28-e88a-4e7f-9e90-562c8f5939fe"]},{"id":"ITEM-2","itemData":{"author":[{"dropping-particle":"","family":"Kaparapu","given":"Jyothi","non-dropping-particle":"","parse-names":false,"suffix":""},{"dropping-particle":"","family":"Pragada","given":"Prayaga Murthy","non-dropping-particle":"","parse-names":false,"suffix":""},{"dropping-particle":"","family":"Geddada","given":"Mohana Narasimha Rao","non-dropping-particle":"","parse-names":false,"suffix":""}],"container-title":"Functional Foods and Nutraceuticals: Bioactive Components, Formulations and Innovations","id":"ITEM-2","issued":{"date-parts":[["2020"]]},"page":"241-260","publisher":"Springer","title":"Fruits and vegetables and its nutritional benefits","type":"chapter"},"uris":["http://www.mendeley.com/documents/?uuid=e90fa6aa-707c-4c91-8a2e-ef62a70c48b0"]}],"mendeley":{"formattedCitation":"(Del Río-Celestino &amp; Font, 2020; Kaparapu et al., 2020)","plainTextFormattedCitation":"(Del Río-Celestino &amp; Font, 2020; Kaparapu et al., 2020)","previouslyFormattedCitation":"(Del Río-Celestino &amp; Font, 2020; Kaparapu et al., 2020)"},"properties":{"noteIndex":0},"schema":"https://github.com/citation-style-language/schema/raw/master/csl-citation.json"}</w:instrText>
      </w:r>
      <w:r w:rsidRPr="001C77C1">
        <w:rPr>
          <w:rFonts w:ascii="Arial" w:hAnsi="Arial" w:cs="Arial"/>
          <w:kern w:val="2"/>
        </w:rPr>
        <w:fldChar w:fldCharType="separate"/>
      </w:r>
      <w:r w:rsidRPr="001C77C1">
        <w:rPr>
          <w:rFonts w:ascii="Arial" w:hAnsi="Arial" w:cs="Arial"/>
          <w:noProof/>
          <w:kern w:val="2"/>
        </w:rPr>
        <w:t>(Del Río-Celestino &amp; Font, 2020; Kaparapu et al., 2020)</w:t>
      </w:r>
      <w:r w:rsidRPr="001C77C1">
        <w:rPr>
          <w:rFonts w:ascii="Arial" w:hAnsi="Arial" w:cs="Arial"/>
          <w:kern w:val="2"/>
        </w:rPr>
        <w:fldChar w:fldCharType="end"/>
      </w:r>
      <w:r w:rsidRPr="001C77C1">
        <w:rPr>
          <w:rFonts w:ascii="Arial" w:hAnsi="Arial" w:cs="Arial"/>
          <w:kern w:val="2"/>
        </w:rPr>
        <w:t xml:space="preserve">, and while fish provide high-quality protein and polyunsaturated fatty acids crucial for growth and immune function </w:t>
      </w:r>
      <w:r w:rsidRPr="001C77C1">
        <w:rPr>
          <w:rFonts w:ascii="Arial" w:hAnsi="Arial" w:cs="Arial"/>
          <w:kern w:val="2"/>
        </w:rPr>
        <w:fldChar w:fldCharType="begin" w:fldLock="1"/>
      </w:r>
      <w:r w:rsidRPr="001C77C1">
        <w:rPr>
          <w:rFonts w:ascii="Arial" w:hAnsi="Arial" w:cs="Arial"/>
          <w:kern w:val="2"/>
        </w:rPr>
        <w:instrText>ADDIN CSL_CITATION {"citationItems":[{"id":"ITEM-1","itemData":{"DOI":"10.2478/mjhr-2019-0012","author":[{"dropping-particle":"","family":"Balami","given":"Sujita","non-dropping-particle":"","parse-names":false,"suffix":""},{"dropping-particle":"","family":"Sharma","given":"Ayushma","non-dropping-particle":"","parse-names":false,"suffix":""},{"dropping-particle":"","family":"Karn","given":"Rupak","non-dropping-particle":"","parse-names":false,"suffix":""}],"container-title":"Malaysian Journal of Halal Research Journal (MJHR)","id":"ITEM-1","issue":"2","issued":{"date-parts":[["2019"]]},"page":"32-34","title":"Significance Of Nutritional Value Of Fish For Human Health","type":"article-journal","volume":"2"},"uris":["http://www.mendeley.com/documents/?uuid=066061cb-3643-49c0-bbb4-991ccfdd514c"]},{"id":"ITEM-2","itemData":{"DOI":"10.3389/fnut.2021.780844","author":[{"dropping-particle":"","family":"Maulu","given":"Sahya","non-dropping-particle":"","parse-names":false,"suffix":""},{"dropping-particle":"","family":"Nawanzi","given":"Kundananji","non-dropping-particle":"","parse-names":false,"suffix":""},{"dropping-particle":"","family":"Abdel-tawwab","given":"Mohsen","non-dropping-particle":"","parse-names":false,"suffix":""},{"dropping-particle":"","family":"Khalil","given":"Hala Saber","non-dropping-particle":"","parse-names":false,"suffix":""}],"container-title":"Frontiers in Nutrition","id":"ITEM-2","issue":"December","issued":{"date-parts":[["2021"]]},"page":"1-10","title":"Fish Nutritional Value as an Approach to Children ’ s Nutrition","type":"article-journal","volume":"8"},"uris":["http://www.mendeley.com/documents/?uuid=0d1949ef-6878-43bf-bff2-ec06c3c23a53"]}],"mendeley":{"formattedCitation":"(Balami et al., 2019; Maulu et al., 2021)","plainTextFormattedCitation":"(Balami et al., 2019; Maulu et al., 2021)"},"properties":{"noteIndex":0},"schema":"https://github.com/citation-style-language/schema/raw/master/csl-citation.json"}</w:instrText>
      </w:r>
      <w:r w:rsidRPr="001C77C1">
        <w:rPr>
          <w:rFonts w:ascii="Arial" w:hAnsi="Arial" w:cs="Arial"/>
          <w:kern w:val="2"/>
        </w:rPr>
        <w:fldChar w:fldCharType="separate"/>
      </w:r>
      <w:r w:rsidRPr="001C77C1">
        <w:rPr>
          <w:rFonts w:ascii="Arial" w:hAnsi="Arial" w:cs="Arial"/>
          <w:noProof/>
          <w:kern w:val="2"/>
        </w:rPr>
        <w:t xml:space="preserve">(Balami </w:t>
      </w:r>
      <w:r w:rsidRPr="001C77C1">
        <w:rPr>
          <w:rFonts w:ascii="Arial" w:hAnsi="Arial" w:cs="Arial"/>
          <w:i/>
          <w:iCs/>
          <w:noProof/>
          <w:kern w:val="2"/>
        </w:rPr>
        <w:t>et al.,</w:t>
      </w:r>
      <w:r w:rsidRPr="001C77C1">
        <w:rPr>
          <w:rFonts w:ascii="Arial" w:hAnsi="Arial" w:cs="Arial"/>
          <w:noProof/>
          <w:kern w:val="2"/>
        </w:rPr>
        <w:t xml:space="preserve"> 2019; Maulu </w:t>
      </w:r>
      <w:r w:rsidRPr="001C77C1">
        <w:rPr>
          <w:rFonts w:ascii="Arial" w:hAnsi="Arial" w:cs="Arial"/>
          <w:i/>
          <w:iCs/>
          <w:noProof/>
          <w:kern w:val="2"/>
        </w:rPr>
        <w:t xml:space="preserve">et al., </w:t>
      </w:r>
      <w:r w:rsidRPr="001C77C1">
        <w:rPr>
          <w:rFonts w:ascii="Arial" w:hAnsi="Arial" w:cs="Arial"/>
          <w:noProof/>
          <w:kern w:val="2"/>
        </w:rPr>
        <w:t>2021)</w:t>
      </w:r>
      <w:r w:rsidRPr="001C77C1">
        <w:rPr>
          <w:rFonts w:ascii="Arial" w:hAnsi="Arial" w:cs="Arial"/>
          <w:kern w:val="2"/>
        </w:rPr>
        <w:fldChar w:fldCharType="end"/>
      </w:r>
      <w:r w:rsidRPr="001C77C1">
        <w:rPr>
          <w:rFonts w:ascii="Arial" w:hAnsi="Arial" w:cs="Arial"/>
          <w:kern w:val="2"/>
        </w:rPr>
        <w:t xml:space="preserve">. However, there are notable knowledge gaps in its adoption by rural communities, codified into farm policies, and capable of replacing or complementing traditional farming practices in resource-poor environments. Bridging such gaps is important towards avoiding overstating aquaponics' </w:t>
      </w:r>
      <w:r w:rsidRPr="001C77C1">
        <w:rPr>
          <w:rFonts w:ascii="Arial" w:hAnsi="Arial" w:cs="Arial"/>
          <w:kern w:val="2"/>
        </w:rPr>
        <w:lastRenderedPageBreak/>
        <w:t>existing prospects, but rather developing practical means for scaling technology across varied environments.</w:t>
      </w:r>
    </w:p>
    <w:p w14:paraId="0AD6B008"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t>2.9 FUTURE PROSPECTS AND RESEARCH DIRECTIONS</w:t>
      </w:r>
    </w:p>
    <w:p w14:paraId="692BCCF0" w14:textId="77777777" w:rsidR="00CC0C1B" w:rsidRPr="001C77C1" w:rsidRDefault="00CC0C1B" w:rsidP="00CC0C1B">
      <w:pPr>
        <w:spacing w:before="100" w:beforeAutospacing="1" w:after="100" w:afterAutospacing="1" w:line="360" w:lineRule="auto"/>
        <w:jc w:val="both"/>
        <w:rPr>
          <w:rFonts w:ascii="Arial" w:hAnsi="Arial" w:cs="Arial"/>
        </w:rPr>
      </w:pPr>
      <w:r w:rsidRPr="001C77C1">
        <w:rPr>
          <w:rFonts w:ascii="Arial" w:hAnsi="Arial" w:cs="Arial"/>
        </w:rPr>
        <w:t xml:space="preserve">The future of aquaponics will be determined by the extent to which it succeeds in integrating technological innovation, ecological sustainability, and socio-economic inclusivity. Development should be directed toward building low-cost, modular, and expandable systems utilizing locally sourced materials, for use by smallholder farmers and urban dwellers. Augmentation with renewable power sources such as solar, wind, and biogas in aquaponic systems will be necessary to minimize the use of grid electricity and reduce operational costs. Microbial and nutrient dynamics are another significant area of emphasis. Further studies on microbial community structure and function, and the optimization of biofilter media, can optimize nutrient supply, improve disease resistance, and minimize chemical additive use. Technologies like </w:t>
      </w:r>
      <w:proofErr w:type="spellStart"/>
      <w:r w:rsidRPr="001C77C1">
        <w:rPr>
          <w:rFonts w:ascii="Arial" w:hAnsi="Arial" w:cs="Arial"/>
        </w:rPr>
        <w:t>biofloc</w:t>
      </w:r>
      <w:proofErr w:type="spellEnd"/>
      <w:r w:rsidRPr="001C77C1">
        <w:rPr>
          <w:rFonts w:ascii="Arial" w:hAnsi="Arial" w:cs="Arial"/>
        </w:rPr>
        <w:t xml:space="preserve"> technology, algae culture, and organic waste recycling as waste-to-resource options are also possible areas of enhanced system efficiency and resilience.</w:t>
      </w:r>
    </w:p>
    <w:p w14:paraId="50620F91" w14:textId="77777777" w:rsidR="00CC0C1B" w:rsidRPr="001C77C1" w:rsidRDefault="00CC0C1B" w:rsidP="00CC0C1B">
      <w:pPr>
        <w:spacing w:before="100" w:beforeAutospacing="1" w:after="100" w:afterAutospacing="1" w:line="360" w:lineRule="auto"/>
        <w:jc w:val="both"/>
        <w:rPr>
          <w:rFonts w:ascii="Arial" w:hAnsi="Arial" w:cs="Arial"/>
        </w:rPr>
      </w:pPr>
      <w:r w:rsidRPr="001C77C1">
        <w:rPr>
          <w:rFonts w:ascii="Arial" w:hAnsi="Arial" w:cs="Arial"/>
        </w:rPr>
        <w:t>Socio-economic studies are also important. Long-term economic viability of aquaponics, particularly in low- and middle-income economies where there are still financial and technical limitations, should be examined. Moreover, the youth and gender aspects of aquaponics adoption should also be explored further because this technology has the potential to empower women and provide youth employment opportunities. Lastly, improved policy frameworks and public–private partnerships will need to be established to include aquaponics in agricultural development plans. By bridging these research and implementation gaps, aquaponics can transition from niche innovation to a globally important pillar of climate-smart and sustainable food systems.</w:t>
      </w:r>
    </w:p>
    <w:p w14:paraId="5CFC1B98" w14:textId="77777777" w:rsidR="00CC0C1B" w:rsidRPr="001C77C1" w:rsidRDefault="00CC0C1B" w:rsidP="00CC0C1B">
      <w:pPr>
        <w:keepNext/>
        <w:keepLines/>
        <w:spacing w:before="160" w:after="80" w:line="278" w:lineRule="auto"/>
        <w:outlineLvl w:val="1"/>
        <w:rPr>
          <w:rFonts w:ascii="Arial" w:hAnsi="Arial" w:cs="Arial"/>
          <w:b/>
          <w:bCs/>
          <w:kern w:val="2"/>
          <w:sz w:val="22"/>
          <w:szCs w:val="22"/>
        </w:rPr>
      </w:pPr>
      <w:r w:rsidRPr="001C77C1">
        <w:rPr>
          <w:rFonts w:ascii="Arial" w:hAnsi="Arial" w:cs="Arial"/>
          <w:b/>
          <w:bCs/>
          <w:kern w:val="2"/>
          <w:sz w:val="22"/>
          <w:szCs w:val="22"/>
        </w:rPr>
        <w:t>3.0 CONCLUSION</w:t>
      </w:r>
    </w:p>
    <w:p w14:paraId="4EBB81F7" w14:textId="77777777" w:rsidR="00CC0C1B" w:rsidRPr="001C77C1" w:rsidRDefault="00CC0C1B" w:rsidP="00CC0C1B">
      <w:pPr>
        <w:spacing w:after="160" w:line="360" w:lineRule="auto"/>
        <w:jc w:val="both"/>
        <w:rPr>
          <w:rFonts w:ascii="Arial" w:eastAsia="Calibri" w:hAnsi="Arial" w:cs="Arial"/>
          <w:kern w:val="2"/>
        </w:rPr>
      </w:pPr>
      <w:r w:rsidRPr="001C77C1">
        <w:rPr>
          <w:rFonts w:ascii="Arial" w:eastAsia="Calibri" w:hAnsi="Arial" w:cs="Arial"/>
          <w:kern w:val="2"/>
        </w:rPr>
        <w:t xml:space="preserve">Aquaponics is a novel and sustainable farming model that circumvents the limitations of conventional farming and ensures global food security. Through the combination of aquaculture and hydroponics, a closed ecosystem is created that saves water, eliminates chemical inputs, and produces vegetables and proteins with equal nutrient density simultaneously. In addition to guaranteeing food availability, aquaponics also improves food quality, generates employment, and guarantees climate resilience. Its congruence with the Sustainable Development Goals underscores its promise as a transformational path to sustainable agriculture and sustainable development. In the future, the scale-up of </w:t>
      </w:r>
      <w:r w:rsidRPr="001C77C1">
        <w:rPr>
          <w:rFonts w:ascii="Arial" w:eastAsia="Calibri" w:hAnsi="Arial" w:cs="Arial"/>
          <w:kern w:val="2"/>
        </w:rPr>
        <w:lastRenderedPageBreak/>
        <w:t>aquaponics using accessible technologies, connectivity to renewable energy sources, and policy enabling could place it at the center of climate-smart food systems globally.</w:t>
      </w:r>
    </w:p>
    <w:p w14:paraId="124C59B5" w14:textId="77777777" w:rsidR="00CC0C1B" w:rsidRPr="001C77C1" w:rsidRDefault="00CC0C1B" w:rsidP="00CC0C1B">
      <w:pPr>
        <w:keepNext/>
        <w:keepLines/>
        <w:spacing w:before="360" w:after="80" w:line="278" w:lineRule="auto"/>
        <w:outlineLvl w:val="0"/>
        <w:rPr>
          <w:rFonts w:ascii="Arial" w:hAnsi="Arial" w:cs="Arial"/>
          <w:b/>
          <w:bCs/>
          <w:kern w:val="2"/>
          <w:sz w:val="22"/>
          <w:szCs w:val="22"/>
        </w:rPr>
      </w:pPr>
      <w:r w:rsidRPr="001C77C1">
        <w:rPr>
          <w:rFonts w:ascii="Arial" w:hAnsi="Arial" w:cs="Arial"/>
          <w:b/>
          <w:bCs/>
          <w:kern w:val="2"/>
          <w:sz w:val="22"/>
          <w:szCs w:val="22"/>
        </w:rPr>
        <w:t>REFERENCES</w:t>
      </w:r>
    </w:p>
    <w:p w14:paraId="161A4275"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Abiodun, M., &amp; Dare, S. (2024). Hydroponic farming: A modern way of addressing production constraints of tomato farming. </w:t>
      </w:r>
      <w:r w:rsidRPr="001C77C1">
        <w:rPr>
          <w:rFonts w:ascii="Arial" w:hAnsi="Arial" w:cs="Arial"/>
          <w:i/>
          <w:iCs/>
        </w:rPr>
        <w:t>International Journal of Women in Technical Education and Employment, 5</w:t>
      </w:r>
      <w:r w:rsidRPr="001C77C1">
        <w:rPr>
          <w:rFonts w:ascii="Arial" w:hAnsi="Arial" w:cs="Arial"/>
        </w:rPr>
        <w:t>(1), 1–18.</w:t>
      </w:r>
    </w:p>
    <w:p w14:paraId="087443D8"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commentRangeStart w:id="16"/>
      <w:r w:rsidRPr="001C77C1">
        <w:rPr>
          <w:rFonts w:ascii="Arial" w:eastAsia="Calibri" w:hAnsi="Arial" w:cs="Arial"/>
          <w:noProof/>
        </w:rPr>
        <w:t xml:space="preserve">Adekunle Stephen </w:t>
      </w:r>
      <w:proofErr w:type="spellStart"/>
      <w:r w:rsidRPr="001C77C1">
        <w:rPr>
          <w:rFonts w:ascii="Arial" w:hAnsi="Arial" w:cs="Arial"/>
        </w:rPr>
        <w:t>Toromade</w:t>
      </w:r>
      <w:proofErr w:type="spellEnd"/>
      <w:r w:rsidRPr="001C77C1">
        <w:rPr>
          <w:rFonts w:ascii="Arial" w:hAnsi="Arial" w:cs="Arial"/>
        </w:rPr>
        <w:t xml:space="preserve">, A. S., </w:t>
      </w:r>
      <w:proofErr w:type="spellStart"/>
      <w:r w:rsidRPr="001C77C1">
        <w:rPr>
          <w:rFonts w:ascii="Arial" w:hAnsi="Arial" w:cs="Arial"/>
        </w:rPr>
        <w:t>Soyombo</w:t>
      </w:r>
      <w:proofErr w:type="spellEnd"/>
      <w:r w:rsidRPr="001C77C1">
        <w:rPr>
          <w:rFonts w:ascii="Arial" w:hAnsi="Arial" w:cs="Arial"/>
        </w:rPr>
        <w:t xml:space="preserve">, D. A., </w:t>
      </w:r>
      <w:proofErr w:type="spellStart"/>
      <w:r w:rsidRPr="001C77C1">
        <w:rPr>
          <w:rFonts w:ascii="Arial" w:hAnsi="Arial" w:cs="Arial"/>
        </w:rPr>
        <w:t>Kupa</w:t>
      </w:r>
      <w:proofErr w:type="spellEnd"/>
      <w:r w:rsidRPr="001C77C1">
        <w:rPr>
          <w:rFonts w:ascii="Arial" w:hAnsi="Arial" w:cs="Arial"/>
        </w:rPr>
        <w:t xml:space="preserve">, E., &amp; </w:t>
      </w:r>
      <w:proofErr w:type="spellStart"/>
      <w:r w:rsidRPr="001C77C1">
        <w:rPr>
          <w:rFonts w:ascii="Arial" w:hAnsi="Arial" w:cs="Arial"/>
        </w:rPr>
        <w:t>Ijomah</w:t>
      </w:r>
      <w:proofErr w:type="spellEnd"/>
      <w:r w:rsidRPr="001C77C1">
        <w:rPr>
          <w:rFonts w:ascii="Arial" w:hAnsi="Arial" w:cs="Arial"/>
        </w:rPr>
        <w:t xml:space="preserve">, T. I. (2024). Reviewing the impact of climate change on global food security: Challenges and solutions. </w:t>
      </w:r>
      <w:r w:rsidRPr="001C77C1">
        <w:rPr>
          <w:rFonts w:ascii="Arial" w:hAnsi="Arial" w:cs="Arial"/>
          <w:i/>
          <w:iCs/>
        </w:rPr>
        <w:t>International Journal of Applied Research in Social Sciences, 6</w:t>
      </w:r>
      <w:r w:rsidRPr="001C77C1">
        <w:rPr>
          <w:rFonts w:ascii="Arial" w:hAnsi="Arial" w:cs="Arial"/>
        </w:rPr>
        <w:t xml:space="preserve">(7), 1403–1416. </w:t>
      </w:r>
      <w:bookmarkStart w:id="17" w:name="_Hlk209727335"/>
      <w:r w:rsidRPr="001C77C1">
        <w:rPr>
          <w:rFonts w:ascii="Arial" w:hAnsi="Arial" w:cs="Arial"/>
        </w:rPr>
        <w:fldChar w:fldCharType="begin"/>
      </w:r>
      <w:r w:rsidRPr="001C77C1">
        <w:rPr>
          <w:rFonts w:ascii="Arial" w:hAnsi="Arial" w:cs="Arial"/>
        </w:rPr>
        <w:instrText>HYPERLINK "https://doi.org/10.51594/ijarss.v6i7.1300" \t "_new"</w:instrText>
      </w:r>
      <w:r w:rsidRPr="001C77C1">
        <w:rPr>
          <w:rFonts w:ascii="Arial" w:hAnsi="Arial" w:cs="Arial"/>
        </w:rPr>
        <w:fldChar w:fldCharType="separate"/>
      </w:r>
      <w:r w:rsidRPr="001C77C1">
        <w:rPr>
          <w:rFonts w:ascii="Arial" w:hAnsi="Arial" w:cs="Arial"/>
          <w:u w:val="single"/>
        </w:rPr>
        <w:t>https://doi.org/10.51594/ijarss.v6i7.1300</w:t>
      </w:r>
      <w:r w:rsidRPr="001C77C1">
        <w:rPr>
          <w:rFonts w:ascii="Arial" w:hAnsi="Arial" w:cs="Arial"/>
        </w:rPr>
        <w:fldChar w:fldCharType="end"/>
      </w:r>
      <w:commentRangeEnd w:id="16"/>
      <w:r w:rsidR="001C77C1" w:rsidRPr="001C77C1">
        <w:rPr>
          <w:rStyle w:val="CommentReference"/>
          <w:rFonts w:ascii="Times New Roman" w:hAnsi="Times New Roman"/>
          <w:lang w:val="nb-NO" w:eastAsia="nb-NO"/>
        </w:rPr>
        <w:commentReference w:id="16"/>
      </w:r>
    </w:p>
    <w:bookmarkEnd w:id="17"/>
    <w:p w14:paraId="6F5B77ED"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Akintuyi</w:t>
      </w:r>
      <w:proofErr w:type="spellEnd"/>
      <w:r w:rsidRPr="001C77C1">
        <w:rPr>
          <w:rFonts w:ascii="Arial" w:hAnsi="Arial" w:cs="Arial"/>
        </w:rPr>
        <w:t xml:space="preserve">, O. B. (2024). Vertical farming in urban environments: A review of architectural integration and food security. </w:t>
      </w:r>
      <w:r w:rsidRPr="001C77C1">
        <w:rPr>
          <w:rFonts w:ascii="Arial" w:hAnsi="Arial" w:cs="Arial"/>
          <w:i/>
          <w:iCs/>
        </w:rPr>
        <w:t>Open Access Research Journal of Biology and Pharmacy, 10</w:t>
      </w:r>
      <w:r w:rsidRPr="001C77C1">
        <w:rPr>
          <w:rFonts w:ascii="Arial" w:hAnsi="Arial" w:cs="Arial"/>
        </w:rPr>
        <w:t>(2), 114–126.</w:t>
      </w:r>
    </w:p>
    <w:p w14:paraId="2314C3B9"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Ali, A., Wei, S., Ali, A., Khan, I., Sun, Q., Xia, Q</w:t>
      </w:r>
      <w:proofErr w:type="gramStart"/>
      <w:r w:rsidRPr="001C77C1">
        <w:rPr>
          <w:rFonts w:ascii="Arial" w:hAnsi="Arial" w:cs="Arial"/>
        </w:rPr>
        <w:t>., …</w:t>
      </w:r>
      <w:proofErr w:type="gramEnd"/>
      <w:r w:rsidRPr="001C77C1">
        <w:rPr>
          <w:rFonts w:ascii="Arial" w:hAnsi="Arial" w:cs="Arial"/>
        </w:rPr>
        <w:t xml:space="preserve"> Liu, S. (2022). Research progress on nutritional value, preservation, and processing of fish—A review. </w:t>
      </w:r>
      <w:r w:rsidRPr="001C77C1">
        <w:rPr>
          <w:rFonts w:ascii="Arial" w:hAnsi="Arial" w:cs="Arial"/>
          <w:i/>
          <w:iCs/>
        </w:rPr>
        <w:t>Foods, 11</w:t>
      </w:r>
      <w:r w:rsidRPr="001C77C1">
        <w:rPr>
          <w:rFonts w:ascii="Arial" w:hAnsi="Arial" w:cs="Arial"/>
        </w:rPr>
        <w:t>(22), 3669. https://doi.org/10.3390/foods11223669</w:t>
      </w:r>
    </w:p>
    <w:p w14:paraId="6EA55729"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Balami</w:t>
      </w:r>
      <w:proofErr w:type="spellEnd"/>
      <w:r w:rsidRPr="001C77C1">
        <w:rPr>
          <w:rFonts w:ascii="Arial" w:hAnsi="Arial" w:cs="Arial"/>
        </w:rPr>
        <w:t xml:space="preserve">, S., Sharma, A., &amp; </w:t>
      </w:r>
      <w:proofErr w:type="spellStart"/>
      <w:r w:rsidRPr="001C77C1">
        <w:rPr>
          <w:rFonts w:ascii="Arial" w:hAnsi="Arial" w:cs="Arial"/>
        </w:rPr>
        <w:t>Karn</w:t>
      </w:r>
      <w:proofErr w:type="spellEnd"/>
      <w:r w:rsidRPr="001C77C1">
        <w:rPr>
          <w:rFonts w:ascii="Arial" w:hAnsi="Arial" w:cs="Arial"/>
        </w:rPr>
        <w:t xml:space="preserve">, R. (2019). Significance of the nutritional value of fish for human health. </w:t>
      </w:r>
      <w:r w:rsidRPr="001C77C1">
        <w:rPr>
          <w:rFonts w:ascii="Arial" w:hAnsi="Arial" w:cs="Arial"/>
          <w:i/>
          <w:iCs/>
        </w:rPr>
        <w:t>Malaysian Journal of Halal Research (MJHR), 2</w:t>
      </w:r>
      <w:r w:rsidRPr="001C77C1">
        <w:rPr>
          <w:rFonts w:ascii="Arial" w:hAnsi="Arial" w:cs="Arial"/>
        </w:rPr>
        <w:t xml:space="preserve">(2), 32–34. </w:t>
      </w:r>
      <w:hyperlink r:id="rId16" w:tgtFrame="_new" w:history="1">
        <w:r w:rsidRPr="001C77C1">
          <w:rPr>
            <w:rFonts w:ascii="Arial" w:hAnsi="Arial" w:cs="Arial"/>
            <w:u w:val="single"/>
          </w:rPr>
          <w:t>https://doi.org/10.2478/mjhr-2019-0012</w:t>
        </w:r>
      </w:hyperlink>
    </w:p>
    <w:p w14:paraId="580DC09F"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Balusamy</w:t>
      </w:r>
      <w:proofErr w:type="spellEnd"/>
      <w:r w:rsidRPr="001C77C1">
        <w:rPr>
          <w:rFonts w:ascii="Arial" w:hAnsi="Arial" w:cs="Arial"/>
        </w:rPr>
        <w:t xml:space="preserve">, K., &amp; </w:t>
      </w:r>
      <w:proofErr w:type="spellStart"/>
      <w:r w:rsidRPr="001C77C1">
        <w:rPr>
          <w:rFonts w:ascii="Arial" w:hAnsi="Arial" w:cs="Arial"/>
        </w:rPr>
        <w:t>Selvakumari</w:t>
      </w:r>
      <w:proofErr w:type="spellEnd"/>
      <w:r w:rsidRPr="001C77C1">
        <w:rPr>
          <w:rFonts w:ascii="Arial" w:hAnsi="Arial" w:cs="Arial"/>
        </w:rPr>
        <w:t xml:space="preserve">, G. (2024). </w:t>
      </w:r>
      <w:r w:rsidRPr="001C77C1">
        <w:rPr>
          <w:rFonts w:ascii="Arial" w:hAnsi="Arial" w:cs="Arial"/>
          <w:i/>
          <w:iCs/>
        </w:rPr>
        <w:t>Dimension in agricultural sciences: A way forward for sustainability.</w:t>
      </w:r>
      <w:r w:rsidRPr="001C77C1">
        <w:rPr>
          <w:rFonts w:ascii="Arial" w:hAnsi="Arial" w:cs="Arial"/>
        </w:rPr>
        <w:t xml:space="preserve"> Publishers and Distributors.</w:t>
      </w:r>
    </w:p>
    <w:p w14:paraId="22A37000"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Choo, H. X., &amp; </w:t>
      </w:r>
      <w:proofErr w:type="spellStart"/>
      <w:r w:rsidRPr="001C77C1">
        <w:rPr>
          <w:rFonts w:ascii="Arial" w:hAnsi="Arial" w:cs="Arial"/>
        </w:rPr>
        <w:t>Caipang</w:t>
      </w:r>
      <w:proofErr w:type="spellEnd"/>
      <w:r w:rsidRPr="001C77C1">
        <w:rPr>
          <w:rFonts w:ascii="Arial" w:hAnsi="Arial" w:cs="Arial"/>
        </w:rPr>
        <w:t xml:space="preserve">, C. M. A. (2015). </w:t>
      </w:r>
      <w:proofErr w:type="spellStart"/>
      <w:r w:rsidRPr="001C77C1">
        <w:rPr>
          <w:rFonts w:ascii="Arial" w:hAnsi="Arial" w:cs="Arial"/>
        </w:rPr>
        <w:t>Biofloc</w:t>
      </w:r>
      <w:proofErr w:type="spellEnd"/>
      <w:r w:rsidRPr="001C77C1">
        <w:rPr>
          <w:rFonts w:ascii="Arial" w:hAnsi="Arial" w:cs="Arial"/>
        </w:rPr>
        <w:t xml:space="preserve"> technology (BFT) and its application towards improved production in freshwater tilapia culture. </w:t>
      </w:r>
      <w:r w:rsidRPr="001C77C1">
        <w:rPr>
          <w:rFonts w:ascii="Arial" w:hAnsi="Arial" w:cs="Arial"/>
          <w:i/>
          <w:iCs/>
        </w:rPr>
        <w:t>Aquaculture, Aquarium, Conservation &amp; Legislation, 8</w:t>
      </w:r>
      <w:r w:rsidRPr="001C77C1">
        <w:rPr>
          <w:rFonts w:ascii="Arial" w:hAnsi="Arial" w:cs="Arial"/>
        </w:rPr>
        <w:t>(3), 362–366.</w:t>
      </w:r>
    </w:p>
    <w:p w14:paraId="730C7A7A"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Davies, S. J., </w:t>
      </w:r>
      <w:proofErr w:type="spellStart"/>
      <w:r w:rsidRPr="001C77C1">
        <w:rPr>
          <w:rFonts w:ascii="Arial" w:hAnsi="Arial" w:cs="Arial"/>
        </w:rPr>
        <w:t>Warberg</w:t>
      </w:r>
      <w:proofErr w:type="spellEnd"/>
      <w:r w:rsidRPr="001C77C1">
        <w:rPr>
          <w:rFonts w:ascii="Arial" w:hAnsi="Arial" w:cs="Arial"/>
        </w:rPr>
        <w:t xml:space="preserve">, M. B., </w:t>
      </w:r>
      <w:proofErr w:type="spellStart"/>
      <w:r w:rsidRPr="001C77C1">
        <w:rPr>
          <w:rFonts w:ascii="Arial" w:hAnsi="Arial" w:cs="Arial"/>
        </w:rPr>
        <w:t>McCusker</w:t>
      </w:r>
      <w:proofErr w:type="spellEnd"/>
      <w:r w:rsidRPr="001C77C1">
        <w:rPr>
          <w:rFonts w:ascii="Arial" w:hAnsi="Arial" w:cs="Arial"/>
        </w:rPr>
        <w:t xml:space="preserve">, S., Valente, C. D. S., Johnson, M. P., Cooney, R., &amp; Wan, A. H. L. (2023). </w:t>
      </w:r>
      <w:proofErr w:type="spellStart"/>
      <w:r w:rsidRPr="001C77C1">
        <w:rPr>
          <w:rFonts w:ascii="Arial" w:hAnsi="Arial" w:cs="Arial"/>
        </w:rPr>
        <w:t>Biofloc</w:t>
      </w:r>
      <w:proofErr w:type="spellEnd"/>
      <w:r w:rsidRPr="001C77C1">
        <w:rPr>
          <w:rFonts w:ascii="Arial" w:hAnsi="Arial" w:cs="Arial"/>
        </w:rPr>
        <w:t xml:space="preserve"> technology as part of a sustainable aquaculture system: A review on the status and innovations for its expansion. </w:t>
      </w:r>
      <w:r w:rsidRPr="001C77C1">
        <w:rPr>
          <w:rFonts w:ascii="Arial" w:hAnsi="Arial" w:cs="Arial"/>
          <w:i/>
          <w:iCs/>
        </w:rPr>
        <w:t>Aquaculture, Fish and Fisheries, 3</w:t>
      </w:r>
      <w:r w:rsidRPr="001C77C1">
        <w:rPr>
          <w:rFonts w:ascii="Arial" w:hAnsi="Arial" w:cs="Arial"/>
        </w:rPr>
        <w:t xml:space="preserve">(1), 331–352. </w:t>
      </w:r>
      <w:hyperlink r:id="rId17" w:tgtFrame="_new" w:history="1">
        <w:r w:rsidRPr="001C77C1">
          <w:rPr>
            <w:rFonts w:ascii="Arial" w:hAnsi="Arial" w:cs="Arial"/>
            <w:u w:val="single"/>
          </w:rPr>
          <w:t>https://doi.org/10.1002/aff2.108</w:t>
        </w:r>
      </w:hyperlink>
    </w:p>
    <w:p w14:paraId="40C3894A"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Dawa</w:t>
      </w:r>
      <w:proofErr w:type="spellEnd"/>
      <w:r w:rsidRPr="001C77C1">
        <w:rPr>
          <w:rFonts w:ascii="Arial" w:hAnsi="Arial" w:cs="Arial"/>
        </w:rPr>
        <w:t xml:space="preserve">, M., </w:t>
      </w:r>
      <w:proofErr w:type="spellStart"/>
      <w:r w:rsidRPr="001C77C1">
        <w:rPr>
          <w:rFonts w:ascii="Arial" w:hAnsi="Arial" w:cs="Arial"/>
        </w:rPr>
        <w:t>Lausa</w:t>
      </w:r>
      <w:proofErr w:type="spellEnd"/>
      <w:r w:rsidRPr="001C77C1">
        <w:rPr>
          <w:rFonts w:ascii="Arial" w:hAnsi="Arial" w:cs="Arial"/>
        </w:rPr>
        <w:t xml:space="preserve">, S. M., &amp; </w:t>
      </w:r>
      <w:proofErr w:type="spellStart"/>
      <w:r w:rsidRPr="001C77C1">
        <w:rPr>
          <w:rFonts w:ascii="Arial" w:hAnsi="Arial" w:cs="Arial"/>
        </w:rPr>
        <w:t>Tibon</w:t>
      </w:r>
      <w:proofErr w:type="spellEnd"/>
      <w:r w:rsidRPr="001C77C1">
        <w:rPr>
          <w:rFonts w:ascii="Arial" w:hAnsi="Arial" w:cs="Arial"/>
        </w:rPr>
        <w:t xml:space="preserve">, M. R. (2022). Internet of Things (IoT)-based aquaponics management system adaptive to climate change. </w:t>
      </w:r>
      <w:r w:rsidRPr="001C77C1">
        <w:rPr>
          <w:rFonts w:ascii="Arial" w:hAnsi="Arial" w:cs="Arial"/>
          <w:i/>
          <w:iCs/>
        </w:rPr>
        <w:t>AIP Conference Proceedings, 050004</w:t>
      </w:r>
      <w:r w:rsidRPr="001C77C1">
        <w:rPr>
          <w:rFonts w:ascii="Arial" w:hAnsi="Arial" w:cs="Arial"/>
        </w:rPr>
        <w:t>(1), 1–16.</w:t>
      </w:r>
    </w:p>
    <w:p w14:paraId="2876B62C"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Dayawansha</w:t>
      </w:r>
      <w:proofErr w:type="spellEnd"/>
      <w:r w:rsidRPr="001C77C1">
        <w:rPr>
          <w:rFonts w:ascii="Arial" w:hAnsi="Arial" w:cs="Arial"/>
        </w:rPr>
        <w:t xml:space="preserve">, S. (2024). Exploring the potential of aquaponics in addressing food security and future food demand in Sweden. </w:t>
      </w:r>
      <w:r w:rsidRPr="001C77C1">
        <w:rPr>
          <w:rFonts w:ascii="Arial" w:hAnsi="Arial" w:cs="Arial"/>
          <w:i/>
          <w:iCs/>
        </w:rPr>
        <w:t>Agricultural Science, 1</w:t>
      </w:r>
      <w:r w:rsidRPr="001C77C1">
        <w:rPr>
          <w:rFonts w:ascii="Arial" w:hAnsi="Arial" w:cs="Arial"/>
        </w:rPr>
        <w:t>(1), 1–63.</w:t>
      </w:r>
    </w:p>
    <w:p w14:paraId="6D378B1A"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Deepthi, C. S. (2023). Automatic fish feeder using tracking of solar energy and the Internet of Things. In </w:t>
      </w:r>
      <w:r w:rsidRPr="001C77C1">
        <w:rPr>
          <w:rFonts w:ascii="Arial" w:hAnsi="Arial" w:cs="Arial"/>
          <w:i/>
          <w:iCs/>
        </w:rPr>
        <w:t>2023, the 10th IEEE Uttar Pradesh Section International Conference on Electrical, Electronics, and Computer Engineering (UPCON)</w:t>
      </w:r>
      <w:r w:rsidRPr="001C77C1">
        <w:rPr>
          <w:rFonts w:ascii="Arial" w:hAnsi="Arial" w:cs="Arial"/>
        </w:rPr>
        <w:t xml:space="preserve"> (pp. 311–315). IEEE. </w:t>
      </w:r>
      <w:hyperlink r:id="rId18" w:tgtFrame="_new" w:history="1">
        <w:r w:rsidRPr="001C77C1">
          <w:rPr>
            <w:rFonts w:ascii="Arial" w:hAnsi="Arial" w:cs="Arial"/>
            <w:u w:val="single"/>
          </w:rPr>
          <w:t>https://doi.org/10.1109/UPCON59197.2023.10434688</w:t>
        </w:r>
      </w:hyperlink>
    </w:p>
    <w:p w14:paraId="06E04B7A"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Del Río-Celestino, M., &amp; Font, R. (2020). The health benefits of fruits and vegetables. </w:t>
      </w:r>
      <w:r w:rsidRPr="001C77C1">
        <w:rPr>
          <w:rFonts w:ascii="Arial" w:hAnsi="Arial" w:cs="Arial"/>
          <w:i/>
          <w:iCs/>
        </w:rPr>
        <w:t>Foods, 9</w:t>
      </w:r>
      <w:r w:rsidRPr="001C77C1">
        <w:rPr>
          <w:rFonts w:ascii="Arial" w:hAnsi="Arial" w:cs="Arial"/>
        </w:rPr>
        <w:t xml:space="preserve">(3), 1–4. </w:t>
      </w:r>
      <w:hyperlink r:id="rId19" w:tgtFrame="_new" w:history="1">
        <w:r w:rsidRPr="001C77C1">
          <w:rPr>
            <w:rFonts w:ascii="Arial" w:hAnsi="Arial" w:cs="Arial"/>
            <w:u w:val="single"/>
          </w:rPr>
          <w:t>https://doi.org/10.3390/foods9030369</w:t>
        </w:r>
      </w:hyperlink>
    </w:p>
    <w:p w14:paraId="65BC3181"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Garnida</w:t>
      </w:r>
      <w:proofErr w:type="spellEnd"/>
      <w:r w:rsidRPr="001C77C1">
        <w:rPr>
          <w:rFonts w:ascii="Arial" w:hAnsi="Arial" w:cs="Arial"/>
        </w:rPr>
        <w:t xml:space="preserve">, Y. (2021). Aquaponics as a solution for family food security in urban areas. </w:t>
      </w:r>
      <w:r w:rsidRPr="001C77C1">
        <w:rPr>
          <w:rFonts w:ascii="Arial" w:hAnsi="Arial" w:cs="Arial"/>
          <w:i/>
          <w:iCs/>
        </w:rPr>
        <w:t xml:space="preserve">Journal Multidiscipline </w:t>
      </w:r>
      <w:proofErr w:type="spellStart"/>
      <w:r w:rsidRPr="001C77C1">
        <w:rPr>
          <w:rFonts w:ascii="Arial" w:hAnsi="Arial" w:cs="Arial"/>
          <w:i/>
          <w:iCs/>
        </w:rPr>
        <w:t>Sahombu</w:t>
      </w:r>
      <w:proofErr w:type="spellEnd"/>
      <w:r w:rsidRPr="001C77C1">
        <w:rPr>
          <w:rFonts w:ascii="Arial" w:hAnsi="Arial" w:cs="Arial"/>
          <w:i/>
          <w:iCs/>
        </w:rPr>
        <w:t>, 3</w:t>
      </w:r>
      <w:r w:rsidRPr="001C77C1">
        <w:rPr>
          <w:rFonts w:ascii="Arial" w:hAnsi="Arial" w:cs="Arial"/>
        </w:rPr>
        <w:t>(1), 146–152.</w:t>
      </w:r>
    </w:p>
    <w:p w14:paraId="7FC405D0"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Goddek</w:t>
      </w:r>
      <w:proofErr w:type="spellEnd"/>
      <w:r w:rsidRPr="001C77C1">
        <w:rPr>
          <w:rFonts w:ascii="Arial" w:hAnsi="Arial" w:cs="Arial"/>
        </w:rPr>
        <w:t xml:space="preserve">, S., Joyce, A., </w:t>
      </w:r>
      <w:proofErr w:type="spellStart"/>
      <w:r w:rsidRPr="001C77C1">
        <w:rPr>
          <w:rFonts w:ascii="Arial" w:hAnsi="Arial" w:cs="Arial"/>
        </w:rPr>
        <w:t>Kotzen</w:t>
      </w:r>
      <w:proofErr w:type="spellEnd"/>
      <w:r w:rsidRPr="001C77C1">
        <w:rPr>
          <w:rFonts w:ascii="Arial" w:hAnsi="Arial" w:cs="Arial"/>
        </w:rPr>
        <w:t xml:space="preserve">, B., &amp; Burnell, G. M. (2019). </w:t>
      </w:r>
      <w:r w:rsidRPr="001C77C1">
        <w:rPr>
          <w:rFonts w:ascii="Arial" w:hAnsi="Arial" w:cs="Arial"/>
          <w:i/>
          <w:iCs/>
        </w:rPr>
        <w:t>Aquaponics food production systems: Combined aquaculture and hydroponic production technologies for the future.</w:t>
      </w:r>
      <w:r w:rsidRPr="001C77C1">
        <w:rPr>
          <w:rFonts w:ascii="Arial" w:hAnsi="Arial" w:cs="Arial"/>
        </w:rPr>
        <w:t xml:space="preserve"> Springer Nature.</w:t>
      </w:r>
    </w:p>
    <w:p w14:paraId="1E20089B"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Hall, C., Dawson, T. P., </w:t>
      </w:r>
      <w:proofErr w:type="spellStart"/>
      <w:r w:rsidRPr="001C77C1">
        <w:rPr>
          <w:rFonts w:ascii="Arial" w:hAnsi="Arial" w:cs="Arial"/>
        </w:rPr>
        <w:t>Macdiarmid</w:t>
      </w:r>
      <w:proofErr w:type="spellEnd"/>
      <w:r w:rsidRPr="001C77C1">
        <w:rPr>
          <w:rFonts w:ascii="Arial" w:hAnsi="Arial" w:cs="Arial"/>
        </w:rPr>
        <w:t xml:space="preserve">, J. I., Matthews, R. B., &amp; Smith, P. (2017). The impact of population growth and climate change on food security in Africa: Looking ahead to 2050. </w:t>
      </w:r>
      <w:r w:rsidRPr="001C77C1">
        <w:rPr>
          <w:rFonts w:ascii="Arial" w:hAnsi="Arial" w:cs="Arial"/>
          <w:i/>
          <w:iCs/>
        </w:rPr>
        <w:t>International Journal of Agricultural Sustainability, 15</w:t>
      </w:r>
      <w:r w:rsidRPr="001C77C1">
        <w:rPr>
          <w:rFonts w:ascii="Arial" w:hAnsi="Arial" w:cs="Arial"/>
        </w:rPr>
        <w:t xml:space="preserve">(2), 124–135. </w:t>
      </w:r>
      <w:hyperlink r:id="rId20" w:tgtFrame="_new" w:history="1">
        <w:r w:rsidRPr="001C77C1">
          <w:rPr>
            <w:rFonts w:ascii="Arial" w:hAnsi="Arial" w:cs="Arial"/>
            <w:u w:val="single"/>
          </w:rPr>
          <w:t>https://doi.org/10.1080/14735903.2017.1293929</w:t>
        </w:r>
      </w:hyperlink>
    </w:p>
    <w:p w14:paraId="4DF6E884"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lastRenderedPageBreak/>
        <w:t xml:space="preserve">Jan, S., Rashid, Z., </w:t>
      </w:r>
      <w:proofErr w:type="spellStart"/>
      <w:r w:rsidRPr="001C77C1">
        <w:rPr>
          <w:rFonts w:ascii="Arial" w:hAnsi="Arial" w:cs="Arial"/>
        </w:rPr>
        <w:t>Ahngar</w:t>
      </w:r>
      <w:proofErr w:type="spellEnd"/>
      <w:r w:rsidRPr="001C77C1">
        <w:rPr>
          <w:rFonts w:ascii="Arial" w:hAnsi="Arial" w:cs="Arial"/>
        </w:rPr>
        <w:t xml:space="preserve">, T. A., Iqbal, S., </w:t>
      </w:r>
      <w:proofErr w:type="spellStart"/>
      <w:r w:rsidRPr="001C77C1">
        <w:rPr>
          <w:rFonts w:ascii="Arial" w:hAnsi="Arial" w:cs="Arial"/>
        </w:rPr>
        <w:t>Naikoo</w:t>
      </w:r>
      <w:proofErr w:type="spellEnd"/>
      <w:r w:rsidRPr="001C77C1">
        <w:rPr>
          <w:rFonts w:ascii="Arial" w:hAnsi="Arial" w:cs="Arial"/>
        </w:rPr>
        <w:t xml:space="preserve">, M. A., Majeed, S., Bhat, T. A., Gul, R., &amp; Nazir, I. (2020). Hydroponics: A review. </w:t>
      </w:r>
      <w:r w:rsidRPr="001C77C1">
        <w:rPr>
          <w:rFonts w:ascii="Arial" w:hAnsi="Arial" w:cs="Arial"/>
          <w:i/>
          <w:iCs/>
        </w:rPr>
        <w:t>International Journal of Current Microbiology and Applied Sciences, 9</w:t>
      </w:r>
      <w:r w:rsidRPr="001C77C1">
        <w:rPr>
          <w:rFonts w:ascii="Arial" w:hAnsi="Arial" w:cs="Arial"/>
        </w:rPr>
        <w:t xml:space="preserve">(8), 1779–1787. </w:t>
      </w:r>
      <w:hyperlink r:id="rId21" w:tgtFrame="_new" w:history="1">
        <w:r w:rsidRPr="001C77C1">
          <w:rPr>
            <w:rFonts w:ascii="Arial" w:hAnsi="Arial" w:cs="Arial"/>
            <w:u w:val="single"/>
          </w:rPr>
          <w:t>https://doi.org/10.20546/ijcmas.2020.908.206</w:t>
        </w:r>
      </w:hyperlink>
    </w:p>
    <w:p w14:paraId="1442F15D"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commentRangeStart w:id="18"/>
      <w:r w:rsidRPr="001C77C1">
        <w:rPr>
          <w:rFonts w:ascii="Arial" w:hAnsi="Arial" w:cs="Arial"/>
        </w:rPr>
        <w:t xml:space="preserve">K.C., S., Thapa, R., </w:t>
      </w:r>
      <w:proofErr w:type="spellStart"/>
      <w:r w:rsidRPr="001C77C1">
        <w:rPr>
          <w:rFonts w:ascii="Arial" w:hAnsi="Arial" w:cs="Arial"/>
        </w:rPr>
        <w:t>Lamsal</w:t>
      </w:r>
      <w:proofErr w:type="spellEnd"/>
      <w:r w:rsidRPr="001C77C1">
        <w:rPr>
          <w:rFonts w:ascii="Arial" w:hAnsi="Arial" w:cs="Arial"/>
        </w:rPr>
        <w:t xml:space="preserve">, A., Ghimire, S., </w:t>
      </w:r>
      <w:proofErr w:type="spellStart"/>
      <w:r w:rsidRPr="001C77C1">
        <w:rPr>
          <w:rFonts w:ascii="Arial" w:hAnsi="Arial" w:cs="Arial"/>
        </w:rPr>
        <w:t>Kurunju</w:t>
      </w:r>
      <w:proofErr w:type="spellEnd"/>
      <w:r w:rsidRPr="001C77C1">
        <w:rPr>
          <w:rFonts w:ascii="Arial" w:hAnsi="Arial" w:cs="Arial"/>
        </w:rPr>
        <w:t xml:space="preserve">, K., &amp; Shrestha, P. (2022). Aquaponics: A modern approach for integrated farming and wise utilization of components for sustainability of food security: A review. </w:t>
      </w:r>
      <w:r w:rsidRPr="001C77C1">
        <w:rPr>
          <w:rFonts w:ascii="Arial" w:hAnsi="Arial" w:cs="Arial"/>
          <w:i/>
          <w:iCs/>
        </w:rPr>
        <w:t>Archives of Agriculture and Environmental Science, 7</w:t>
      </w:r>
      <w:r w:rsidRPr="001C77C1">
        <w:rPr>
          <w:rFonts w:ascii="Arial" w:hAnsi="Arial" w:cs="Arial"/>
        </w:rPr>
        <w:t xml:space="preserve">(1), 121–126. </w:t>
      </w:r>
      <w:hyperlink r:id="rId22" w:tgtFrame="_new" w:history="1">
        <w:r w:rsidRPr="001C77C1">
          <w:rPr>
            <w:rFonts w:ascii="Arial" w:hAnsi="Arial" w:cs="Arial"/>
            <w:u w:val="single"/>
          </w:rPr>
          <w:t>https://doi.org/10.26832/24566632.2022.0701017</w:t>
        </w:r>
      </w:hyperlink>
      <w:commentRangeEnd w:id="18"/>
      <w:r w:rsidR="00047CFC" w:rsidRPr="001C77C1">
        <w:rPr>
          <w:rStyle w:val="CommentReference"/>
          <w:rFonts w:ascii="Times New Roman" w:hAnsi="Times New Roman"/>
          <w:lang w:val="nb-NO" w:eastAsia="nb-NO"/>
        </w:rPr>
        <w:commentReference w:id="18"/>
      </w:r>
    </w:p>
    <w:p w14:paraId="6732355B"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Kaleem, O., &amp; Bio </w:t>
      </w:r>
      <w:proofErr w:type="spellStart"/>
      <w:r w:rsidRPr="001C77C1">
        <w:rPr>
          <w:rFonts w:ascii="Arial" w:hAnsi="Arial" w:cs="Arial"/>
        </w:rPr>
        <w:t>Singou</w:t>
      </w:r>
      <w:proofErr w:type="spellEnd"/>
      <w:r w:rsidRPr="001C77C1">
        <w:rPr>
          <w:rFonts w:ascii="Arial" w:hAnsi="Arial" w:cs="Arial"/>
        </w:rPr>
        <w:t xml:space="preserve"> </w:t>
      </w:r>
      <w:proofErr w:type="spellStart"/>
      <w:r w:rsidRPr="001C77C1">
        <w:rPr>
          <w:rFonts w:ascii="Arial" w:hAnsi="Arial" w:cs="Arial"/>
        </w:rPr>
        <w:t>Sabi</w:t>
      </w:r>
      <w:proofErr w:type="spellEnd"/>
      <w:r w:rsidRPr="001C77C1">
        <w:rPr>
          <w:rFonts w:ascii="Arial" w:hAnsi="Arial" w:cs="Arial"/>
        </w:rPr>
        <w:t xml:space="preserve">, A. F. (2021). Overview of aquaculture systems in Egypt and Nigeria: Prospects, potentials, and constraints. </w:t>
      </w:r>
      <w:r w:rsidRPr="001C77C1">
        <w:rPr>
          <w:rFonts w:ascii="Arial" w:hAnsi="Arial" w:cs="Arial"/>
          <w:i/>
          <w:iCs/>
        </w:rPr>
        <w:t>Aquaculture and Fisheries, 6</w:t>
      </w:r>
      <w:r w:rsidRPr="001C77C1">
        <w:rPr>
          <w:rFonts w:ascii="Arial" w:hAnsi="Arial" w:cs="Arial"/>
        </w:rPr>
        <w:t xml:space="preserve">(6), 535–547. </w:t>
      </w:r>
      <w:hyperlink r:id="rId23" w:tgtFrame="_new" w:history="1">
        <w:r w:rsidRPr="001C77C1">
          <w:rPr>
            <w:rFonts w:ascii="Arial" w:hAnsi="Arial" w:cs="Arial"/>
            <w:u w:val="single"/>
          </w:rPr>
          <w:t>https://doi.org/10.1016/j.aaf.2020.07.017</w:t>
        </w:r>
      </w:hyperlink>
    </w:p>
    <w:p w14:paraId="0C35C339"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Kaparapu</w:t>
      </w:r>
      <w:proofErr w:type="spellEnd"/>
      <w:r w:rsidRPr="001C77C1">
        <w:rPr>
          <w:rFonts w:ascii="Arial" w:hAnsi="Arial" w:cs="Arial"/>
        </w:rPr>
        <w:t xml:space="preserve">, J., </w:t>
      </w:r>
      <w:proofErr w:type="spellStart"/>
      <w:r w:rsidRPr="001C77C1">
        <w:rPr>
          <w:rFonts w:ascii="Arial" w:hAnsi="Arial" w:cs="Arial"/>
        </w:rPr>
        <w:t>Pragada</w:t>
      </w:r>
      <w:proofErr w:type="spellEnd"/>
      <w:r w:rsidRPr="001C77C1">
        <w:rPr>
          <w:rFonts w:ascii="Arial" w:hAnsi="Arial" w:cs="Arial"/>
        </w:rPr>
        <w:t xml:space="preserve">, P. M., &amp; </w:t>
      </w:r>
      <w:proofErr w:type="spellStart"/>
      <w:r w:rsidRPr="001C77C1">
        <w:rPr>
          <w:rFonts w:ascii="Arial" w:hAnsi="Arial" w:cs="Arial"/>
        </w:rPr>
        <w:t>Geddada</w:t>
      </w:r>
      <w:proofErr w:type="spellEnd"/>
      <w:r w:rsidRPr="001C77C1">
        <w:rPr>
          <w:rFonts w:ascii="Arial" w:hAnsi="Arial" w:cs="Arial"/>
        </w:rPr>
        <w:t xml:space="preserve">, M. N. R. (2020). Fruits and vegetables and their nutritional benefits. In </w:t>
      </w:r>
      <w:r w:rsidRPr="001C77C1">
        <w:rPr>
          <w:rFonts w:ascii="Arial" w:hAnsi="Arial" w:cs="Arial"/>
          <w:i/>
          <w:iCs/>
        </w:rPr>
        <w:t>Functional foods and nutraceuticals: Bioactive components, formulations and innovations</w:t>
      </w:r>
      <w:r w:rsidRPr="001C77C1">
        <w:rPr>
          <w:rFonts w:ascii="Arial" w:hAnsi="Arial" w:cs="Arial"/>
        </w:rPr>
        <w:t xml:space="preserve"> (pp. 241–260). Springer.</w:t>
      </w:r>
    </w:p>
    <w:p w14:paraId="058F090C"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Khanjani</w:t>
      </w:r>
      <w:proofErr w:type="spellEnd"/>
      <w:r w:rsidRPr="001C77C1">
        <w:rPr>
          <w:rFonts w:ascii="Arial" w:hAnsi="Arial" w:cs="Arial"/>
        </w:rPr>
        <w:t xml:space="preserve">, M. H., &amp; </w:t>
      </w:r>
      <w:proofErr w:type="spellStart"/>
      <w:r w:rsidRPr="001C77C1">
        <w:rPr>
          <w:rFonts w:ascii="Arial" w:hAnsi="Arial" w:cs="Arial"/>
        </w:rPr>
        <w:t>Sharifinia</w:t>
      </w:r>
      <w:proofErr w:type="spellEnd"/>
      <w:r w:rsidRPr="001C77C1">
        <w:rPr>
          <w:rFonts w:ascii="Arial" w:hAnsi="Arial" w:cs="Arial"/>
        </w:rPr>
        <w:t xml:space="preserve">, M. (2020). </w:t>
      </w:r>
      <w:proofErr w:type="spellStart"/>
      <w:r w:rsidRPr="001C77C1">
        <w:rPr>
          <w:rFonts w:ascii="Arial" w:hAnsi="Arial" w:cs="Arial"/>
        </w:rPr>
        <w:t>Biofloc</w:t>
      </w:r>
      <w:proofErr w:type="spellEnd"/>
      <w:r w:rsidRPr="001C77C1">
        <w:rPr>
          <w:rFonts w:ascii="Arial" w:hAnsi="Arial" w:cs="Arial"/>
        </w:rPr>
        <w:t xml:space="preserve"> technology is a promising tool to improve aquaculture production. </w:t>
      </w:r>
      <w:r w:rsidRPr="001C77C1">
        <w:rPr>
          <w:rFonts w:ascii="Arial" w:hAnsi="Arial" w:cs="Arial"/>
          <w:i/>
          <w:iCs/>
        </w:rPr>
        <w:t>Reviews in Aquaculture, 12</w:t>
      </w:r>
      <w:r w:rsidRPr="001C77C1">
        <w:rPr>
          <w:rFonts w:ascii="Arial" w:hAnsi="Arial" w:cs="Arial"/>
        </w:rPr>
        <w:t xml:space="preserve">(1), 1836–1850. </w:t>
      </w:r>
      <w:hyperlink r:id="rId24" w:tgtFrame="_new" w:history="1">
        <w:r w:rsidRPr="001C77C1">
          <w:rPr>
            <w:rFonts w:ascii="Arial" w:hAnsi="Arial" w:cs="Arial"/>
            <w:u w:val="single"/>
          </w:rPr>
          <w:t>https://doi.org/10.1111/raq.12412</w:t>
        </w:r>
      </w:hyperlink>
    </w:p>
    <w:p w14:paraId="5B5AD2B2"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Kogan, F., Guo, W., &amp; Yang, W. (2019). Drought and food security prediction from NOAA's new generation of operational satellites. </w:t>
      </w:r>
      <w:r w:rsidRPr="001C77C1">
        <w:rPr>
          <w:rFonts w:ascii="Arial" w:hAnsi="Arial" w:cs="Arial"/>
          <w:i/>
          <w:iCs/>
        </w:rPr>
        <w:t>Geomatics, Natural Hazards and Risk, 10</w:t>
      </w:r>
      <w:r w:rsidRPr="001C77C1">
        <w:rPr>
          <w:rFonts w:ascii="Arial" w:hAnsi="Arial" w:cs="Arial"/>
        </w:rPr>
        <w:t xml:space="preserve">(1), 651–666. </w:t>
      </w:r>
      <w:hyperlink r:id="rId25" w:tgtFrame="_new" w:history="1">
        <w:r w:rsidRPr="001C77C1">
          <w:rPr>
            <w:rFonts w:ascii="Arial" w:hAnsi="Arial" w:cs="Arial"/>
            <w:u w:val="single"/>
          </w:rPr>
          <w:t>https://doi.org/10.1080/19475705.2018.1541257</w:t>
        </w:r>
      </w:hyperlink>
    </w:p>
    <w:p w14:paraId="4651DF7D"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Kopittke</w:t>
      </w:r>
      <w:proofErr w:type="spellEnd"/>
      <w:r w:rsidRPr="001C77C1">
        <w:rPr>
          <w:rFonts w:ascii="Arial" w:hAnsi="Arial" w:cs="Arial"/>
        </w:rPr>
        <w:t xml:space="preserve">, P. M., Menzies, N. W., Wang, P., McKenna, B. A., &amp; </w:t>
      </w:r>
      <w:proofErr w:type="spellStart"/>
      <w:r w:rsidRPr="001C77C1">
        <w:rPr>
          <w:rFonts w:ascii="Arial" w:hAnsi="Arial" w:cs="Arial"/>
        </w:rPr>
        <w:t>Lombi</w:t>
      </w:r>
      <w:proofErr w:type="spellEnd"/>
      <w:r w:rsidRPr="001C77C1">
        <w:rPr>
          <w:rFonts w:ascii="Arial" w:hAnsi="Arial" w:cs="Arial"/>
        </w:rPr>
        <w:t xml:space="preserve">, E. (2019). Soil and the intensification of agriculture for global food security. </w:t>
      </w:r>
      <w:r w:rsidRPr="001C77C1">
        <w:rPr>
          <w:rFonts w:ascii="Arial" w:hAnsi="Arial" w:cs="Arial"/>
          <w:i/>
          <w:iCs/>
        </w:rPr>
        <w:t>Environment International, 132</w:t>
      </w:r>
      <w:r w:rsidRPr="001C77C1">
        <w:rPr>
          <w:rFonts w:ascii="Arial" w:hAnsi="Arial" w:cs="Arial"/>
        </w:rPr>
        <w:t xml:space="preserve">, 105078. </w:t>
      </w:r>
      <w:hyperlink r:id="rId26" w:tgtFrame="_new" w:history="1">
        <w:r w:rsidRPr="001C77C1">
          <w:rPr>
            <w:rFonts w:ascii="Arial" w:hAnsi="Arial" w:cs="Arial"/>
            <w:u w:val="single"/>
          </w:rPr>
          <w:t>https://doi.org/10.1016/j.envint.2019.105078</w:t>
        </w:r>
      </w:hyperlink>
    </w:p>
    <w:p w14:paraId="4DF79CAB"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Kumar, S., Kumar, P., Vineet, S., &amp; Seth, C. S. (2024). </w:t>
      </w:r>
      <w:proofErr w:type="spellStart"/>
      <w:r w:rsidRPr="001C77C1">
        <w:rPr>
          <w:rFonts w:ascii="Arial" w:hAnsi="Arial" w:cs="Arial"/>
        </w:rPr>
        <w:t>Biofloc</w:t>
      </w:r>
      <w:proofErr w:type="spellEnd"/>
      <w:r w:rsidRPr="001C77C1">
        <w:rPr>
          <w:rFonts w:ascii="Arial" w:hAnsi="Arial" w:cs="Arial"/>
        </w:rPr>
        <w:t xml:space="preserve"> technology: A sustainable approach towards wastewater utilization and fish production. </w:t>
      </w:r>
      <w:r w:rsidRPr="001C77C1">
        <w:rPr>
          <w:rFonts w:ascii="Arial" w:hAnsi="Arial" w:cs="Arial"/>
          <w:i/>
          <w:iCs/>
        </w:rPr>
        <w:t>Lakes and Reservoirs, 29</w:t>
      </w:r>
      <w:r w:rsidRPr="001C77C1">
        <w:rPr>
          <w:rFonts w:ascii="Arial" w:hAnsi="Arial" w:cs="Arial"/>
        </w:rPr>
        <w:t xml:space="preserve">(12449), 1–17. </w:t>
      </w:r>
      <w:hyperlink r:id="rId27" w:tgtFrame="_new" w:history="1">
        <w:r w:rsidRPr="001C77C1">
          <w:rPr>
            <w:rFonts w:ascii="Arial" w:hAnsi="Arial" w:cs="Arial"/>
            <w:u w:val="single"/>
          </w:rPr>
          <w:t>https://doi.org/10.1111/lre.12449</w:t>
        </w:r>
      </w:hyperlink>
    </w:p>
    <w:p w14:paraId="2F42394B"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gramStart"/>
      <w:r w:rsidRPr="001C77C1">
        <w:rPr>
          <w:rFonts w:ascii="Arial" w:hAnsi="Arial" w:cs="Arial"/>
        </w:rPr>
        <w:t>Lan</w:t>
      </w:r>
      <w:proofErr w:type="gramEnd"/>
      <w:r w:rsidRPr="001C77C1">
        <w:rPr>
          <w:rFonts w:ascii="Arial" w:hAnsi="Arial" w:cs="Arial"/>
        </w:rPr>
        <w:t xml:space="preserve">, J., Liu, P., Hu, X., &amp; Zhu, S. (2024). Harmful algal blooms in eutrophic marine environments: Causes, monitoring, and treatment. </w:t>
      </w:r>
      <w:r w:rsidRPr="001C77C1">
        <w:rPr>
          <w:rFonts w:ascii="Arial" w:hAnsi="Arial" w:cs="Arial"/>
          <w:i/>
          <w:iCs/>
        </w:rPr>
        <w:t>Water, 16</w:t>
      </w:r>
      <w:r w:rsidRPr="001C77C1">
        <w:rPr>
          <w:rFonts w:ascii="Arial" w:hAnsi="Arial" w:cs="Arial"/>
        </w:rPr>
        <w:t xml:space="preserve">(17), 1–64. </w:t>
      </w:r>
      <w:hyperlink r:id="rId28" w:tgtFrame="_new" w:history="1">
        <w:r w:rsidRPr="001C77C1">
          <w:rPr>
            <w:rFonts w:ascii="Arial" w:hAnsi="Arial" w:cs="Arial"/>
            <w:u w:val="single"/>
          </w:rPr>
          <w:t>https://doi.org/10.3390/w16172525</w:t>
        </w:r>
      </w:hyperlink>
    </w:p>
    <w:p w14:paraId="1A9CBEAD"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Lau, K. Q., </w:t>
      </w:r>
      <w:proofErr w:type="spellStart"/>
      <w:r w:rsidRPr="001C77C1">
        <w:rPr>
          <w:rFonts w:ascii="Arial" w:hAnsi="Arial" w:cs="Arial"/>
        </w:rPr>
        <w:t>Sabran</w:t>
      </w:r>
      <w:proofErr w:type="spellEnd"/>
      <w:r w:rsidRPr="001C77C1">
        <w:rPr>
          <w:rFonts w:ascii="Arial" w:hAnsi="Arial" w:cs="Arial"/>
        </w:rPr>
        <w:t xml:space="preserve">, M. R., &amp; </w:t>
      </w:r>
      <w:proofErr w:type="spellStart"/>
      <w:r w:rsidRPr="001C77C1">
        <w:rPr>
          <w:rFonts w:ascii="Arial" w:hAnsi="Arial" w:cs="Arial"/>
        </w:rPr>
        <w:t>Shafie</w:t>
      </w:r>
      <w:proofErr w:type="spellEnd"/>
      <w:r w:rsidRPr="001C77C1">
        <w:rPr>
          <w:rFonts w:ascii="Arial" w:hAnsi="Arial" w:cs="Arial"/>
        </w:rPr>
        <w:t xml:space="preserve">, S. R. (2021). Utilization of vegetable and fruit by-products as functional ingredients and food. </w:t>
      </w:r>
      <w:r w:rsidRPr="001C77C1">
        <w:rPr>
          <w:rFonts w:ascii="Arial" w:hAnsi="Arial" w:cs="Arial"/>
          <w:i/>
          <w:iCs/>
        </w:rPr>
        <w:t>Frontiers in Nutrition, 8</w:t>
      </w:r>
      <w:r w:rsidRPr="001C77C1">
        <w:rPr>
          <w:rFonts w:ascii="Arial" w:hAnsi="Arial" w:cs="Arial"/>
        </w:rPr>
        <w:t xml:space="preserve">, 661693. </w:t>
      </w:r>
      <w:hyperlink r:id="rId29" w:tgtFrame="_new" w:history="1">
        <w:r w:rsidRPr="001C77C1">
          <w:rPr>
            <w:rFonts w:ascii="Arial" w:hAnsi="Arial" w:cs="Arial"/>
            <w:u w:val="single"/>
          </w:rPr>
          <w:t>https://doi.org/10.3389/fnut.2021.661693</w:t>
        </w:r>
      </w:hyperlink>
    </w:p>
    <w:p w14:paraId="0A4BB0D1"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Lumpur, K. (2018). Opportunities and challenges in the sustainability of vertical farming: A review. </w:t>
      </w:r>
      <w:r w:rsidRPr="001C77C1">
        <w:rPr>
          <w:rFonts w:ascii="Arial" w:hAnsi="Arial" w:cs="Arial"/>
          <w:i/>
          <w:iCs/>
        </w:rPr>
        <w:t>Journal of Landscape Ecology, 2050</w:t>
      </w:r>
      <w:r w:rsidRPr="001C77C1">
        <w:rPr>
          <w:rFonts w:ascii="Arial" w:hAnsi="Arial" w:cs="Arial"/>
        </w:rPr>
        <w:t>(1), 35–60.</w:t>
      </w:r>
    </w:p>
    <w:p w14:paraId="14CAFDB9"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Maulu</w:t>
      </w:r>
      <w:proofErr w:type="spellEnd"/>
      <w:r w:rsidRPr="001C77C1">
        <w:rPr>
          <w:rFonts w:ascii="Arial" w:hAnsi="Arial" w:cs="Arial"/>
        </w:rPr>
        <w:t xml:space="preserve">, S., </w:t>
      </w:r>
      <w:proofErr w:type="spellStart"/>
      <w:r w:rsidRPr="001C77C1">
        <w:rPr>
          <w:rFonts w:ascii="Arial" w:hAnsi="Arial" w:cs="Arial"/>
        </w:rPr>
        <w:t>Nawanzi</w:t>
      </w:r>
      <w:proofErr w:type="spellEnd"/>
      <w:r w:rsidRPr="001C77C1">
        <w:rPr>
          <w:rFonts w:ascii="Arial" w:hAnsi="Arial" w:cs="Arial"/>
        </w:rPr>
        <w:t>, K., Abdel-</w:t>
      </w:r>
      <w:proofErr w:type="spellStart"/>
      <w:r w:rsidRPr="001C77C1">
        <w:rPr>
          <w:rFonts w:ascii="Arial" w:hAnsi="Arial" w:cs="Arial"/>
        </w:rPr>
        <w:t>tawwab</w:t>
      </w:r>
      <w:proofErr w:type="spellEnd"/>
      <w:r w:rsidRPr="001C77C1">
        <w:rPr>
          <w:rFonts w:ascii="Arial" w:hAnsi="Arial" w:cs="Arial"/>
        </w:rPr>
        <w:t xml:space="preserve">, M., &amp; Khalil, H. S. (2021). Fish nutritional value as an approach to children's nutrition. </w:t>
      </w:r>
      <w:r w:rsidRPr="001C77C1">
        <w:rPr>
          <w:rFonts w:ascii="Arial" w:hAnsi="Arial" w:cs="Arial"/>
          <w:i/>
          <w:iCs/>
        </w:rPr>
        <w:t>Frontiers in Nutrition, 8</w:t>
      </w:r>
      <w:r w:rsidRPr="001C77C1">
        <w:rPr>
          <w:rFonts w:ascii="Arial" w:hAnsi="Arial" w:cs="Arial"/>
        </w:rPr>
        <w:t xml:space="preserve">, 780844. </w:t>
      </w:r>
      <w:hyperlink r:id="rId30" w:tgtFrame="_new" w:history="1">
        <w:r w:rsidRPr="001C77C1">
          <w:rPr>
            <w:rFonts w:ascii="Arial" w:hAnsi="Arial" w:cs="Arial"/>
            <w:u w:val="single"/>
          </w:rPr>
          <w:t>https://doi.org/10.3389/fnut.2021.780844</w:t>
        </w:r>
      </w:hyperlink>
    </w:p>
    <w:p w14:paraId="4A7453BC"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Nair, C. S. (2025). Recent advancements in aquaponics with special emphasis on its sustainability. </w:t>
      </w:r>
      <w:r w:rsidRPr="001C77C1">
        <w:rPr>
          <w:rFonts w:ascii="Arial" w:hAnsi="Arial" w:cs="Arial"/>
          <w:i/>
          <w:iCs/>
        </w:rPr>
        <w:t>Journal of the World Aquaculture Society, 10</w:t>
      </w:r>
      <w:r w:rsidRPr="001C77C1">
        <w:rPr>
          <w:rFonts w:ascii="Arial" w:hAnsi="Arial" w:cs="Arial"/>
        </w:rPr>
        <w:t xml:space="preserve">(1), 1–39. </w:t>
      </w:r>
      <w:hyperlink r:id="rId31" w:tgtFrame="_new" w:history="1">
        <w:r w:rsidRPr="001C77C1">
          <w:rPr>
            <w:rFonts w:ascii="Arial" w:hAnsi="Arial" w:cs="Arial"/>
            <w:u w:val="single"/>
          </w:rPr>
          <w:t>https://doi.org/10.1111/jwas.13116</w:t>
        </w:r>
      </w:hyperlink>
    </w:p>
    <w:p w14:paraId="6BBD2F9B"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 xml:space="preserve">Nishanth, D., </w:t>
      </w:r>
      <w:proofErr w:type="spellStart"/>
      <w:r w:rsidRPr="001C77C1">
        <w:rPr>
          <w:rFonts w:ascii="Arial" w:hAnsi="Arial" w:cs="Arial"/>
        </w:rPr>
        <w:t>Alnuaimi</w:t>
      </w:r>
      <w:proofErr w:type="spellEnd"/>
      <w:r w:rsidRPr="001C77C1">
        <w:rPr>
          <w:rFonts w:ascii="Arial" w:hAnsi="Arial" w:cs="Arial"/>
        </w:rPr>
        <w:t xml:space="preserve">, S. H. K., &amp; </w:t>
      </w:r>
      <w:proofErr w:type="spellStart"/>
      <w:r w:rsidRPr="001C77C1">
        <w:rPr>
          <w:rFonts w:ascii="Arial" w:hAnsi="Arial" w:cs="Arial"/>
        </w:rPr>
        <w:t>Somanathan</w:t>
      </w:r>
      <w:proofErr w:type="spellEnd"/>
      <w:r w:rsidRPr="001C77C1">
        <w:rPr>
          <w:rFonts w:ascii="Arial" w:hAnsi="Arial" w:cs="Arial"/>
        </w:rPr>
        <w:t xml:space="preserve">, C. (2023). Aquaponics as a climate-smart technology for sustainable food production: A comparison with the conventional production system in the United Arab Emirates. </w:t>
      </w:r>
      <w:r w:rsidRPr="001C77C1">
        <w:rPr>
          <w:rFonts w:ascii="Arial" w:hAnsi="Arial" w:cs="Arial"/>
          <w:i/>
          <w:iCs/>
        </w:rPr>
        <w:t>Journal of the World Aquaculture Society, 10</w:t>
      </w:r>
      <w:r w:rsidRPr="001C77C1">
        <w:rPr>
          <w:rFonts w:ascii="Arial" w:hAnsi="Arial" w:cs="Arial"/>
        </w:rPr>
        <w:t xml:space="preserve">(1), 1–24. </w:t>
      </w:r>
      <w:hyperlink r:id="rId32" w:tgtFrame="_new" w:history="1">
        <w:r w:rsidRPr="001C77C1">
          <w:rPr>
            <w:rFonts w:ascii="Arial" w:hAnsi="Arial" w:cs="Arial"/>
            <w:u w:val="single"/>
          </w:rPr>
          <w:t>https://doi.org/10.1111/jwas.13049</w:t>
        </w:r>
      </w:hyperlink>
    </w:p>
    <w:p w14:paraId="53D8451E"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lang w:val="nb-NO"/>
        </w:rPr>
        <w:t xml:space="preserve">Nn, T., Npc, T., Dt, N., &amp; Nv, T. (2021). </w:t>
      </w:r>
      <w:r w:rsidRPr="001C77C1">
        <w:rPr>
          <w:rFonts w:ascii="Arial" w:hAnsi="Arial" w:cs="Arial"/>
        </w:rPr>
        <w:t xml:space="preserve">An overview of aquaculture development in Viet Nam. </w:t>
      </w:r>
      <w:r w:rsidRPr="001C77C1">
        <w:rPr>
          <w:rFonts w:ascii="Arial" w:hAnsi="Arial" w:cs="Arial"/>
          <w:i/>
          <w:iCs/>
        </w:rPr>
        <w:t>Proceedings of the International Conference on Fisheries and Aquaculture, 7</w:t>
      </w:r>
      <w:r w:rsidRPr="001C77C1">
        <w:rPr>
          <w:rFonts w:ascii="Arial" w:hAnsi="Arial" w:cs="Arial"/>
        </w:rPr>
        <w:t>(1), 53–71.</w:t>
      </w:r>
    </w:p>
    <w:p w14:paraId="2AE07AD3"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Obirikorang</w:t>
      </w:r>
      <w:proofErr w:type="spellEnd"/>
      <w:r w:rsidRPr="001C77C1">
        <w:rPr>
          <w:rFonts w:ascii="Arial" w:hAnsi="Arial" w:cs="Arial"/>
        </w:rPr>
        <w:t xml:space="preserve">, K. A., </w:t>
      </w:r>
      <w:proofErr w:type="spellStart"/>
      <w:r w:rsidRPr="001C77C1">
        <w:rPr>
          <w:rFonts w:ascii="Arial" w:hAnsi="Arial" w:cs="Arial"/>
        </w:rPr>
        <w:t>Sekey</w:t>
      </w:r>
      <w:proofErr w:type="spellEnd"/>
      <w:r w:rsidRPr="001C77C1">
        <w:rPr>
          <w:rFonts w:ascii="Arial" w:hAnsi="Arial" w:cs="Arial"/>
        </w:rPr>
        <w:t xml:space="preserve">, W., </w:t>
      </w:r>
      <w:proofErr w:type="spellStart"/>
      <w:r w:rsidRPr="001C77C1">
        <w:rPr>
          <w:rFonts w:ascii="Arial" w:hAnsi="Arial" w:cs="Arial"/>
        </w:rPr>
        <w:t>Gyampoh</w:t>
      </w:r>
      <w:proofErr w:type="spellEnd"/>
      <w:r w:rsidRPr="001C77C1">
        <w:rPr>
          <w:rFonts w:ascii="Arial" w:hAnsi="Arial" w:cs="Arial"/>
        </w:rPr>
        <w:t xml:space="preserve">, B. A., </w:t>
      </w:r>
      <w:proofErr w:type="spellStart"/>
      <w:r w:rsidRPr="001C77C1">
        <w:rPr>
          <w:rFonts w:ascii="Arial" w:hAnsi="Arial" w:cs="Arial"/>
        </w:rPr>
        <w:t>Ashiagbor</w:t>
      </w:r>
      <w:proofErr w:type="spellEnd"/>
      <w:r w:rsidRPr="001C77C1">
        <w:rPr>
          <w:rFonts w:ascii="Arial" w:hAnsi="Arial" w:cs="Arial"/>
        </w:rPr>
        <w:t xml:space="preserve">, G., &amp; Asante, W. (2021). Aquaponics for improved food security in Africa: A review. </w:t>
      </w:r>
      <w:r w:rsidRPr="001C77C1">
        <w:rPr>
          <w:rFonts w:ascii="Arial" w:hAnsi="Arial" w:cs="Arial"/>
          <w:i/>
          <w:iCs/>
        </w:rPr>
        <w:t>Frontiers in Sustainable Food Systems, 5</w:t>
      </w:r>
      <w:r w:rsidRPr="001C77C1">
        <w:rPr>
          <w:rFonts w:ascii="Arial" w:hAnsi="Arial" w:cs="Arial"/>
        </w:rPr>
        <w:t xml:space="preserve">, 705549. </w:t>
      </w:r>
      <w:hyperlink r:id="rId33" w:tgtFrame="_new" w:history="1">
        <w:r w:rsidRPr="001C77C1">
          <w:rPr>
            <w:rFonts w:ascii="Arial" w:hAnsi="Arial" w:cs="Arial"/>
            <w:u w:val="single"/>
          </w:rPr>
          <w:t>https://doi.org/10.3389/fsufs.2021.705549</w:t>
        </w:r>
      </w:hyperlink>
    </w:p>
    <w:p w14:paraId="00D4ABDA"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lastRenderedPageBreak/>
        <w:t>Ogello</w:t>
      </w:r>
      <w:proofErr w:type="spellEnd"/>
      <w:r w:rsidRPr="001C77C1">
        <w:rPr>
          <w:rFonts w:ascii="Arial" w:hAnsi="Arial" w:cs="Arial"/>
        </w:rPr>
        <w:t xml:space="preserve">, E. O., Outa, N. O., </w:t>
      </w:r>
      <w:proofErr w:type="spellStart"/>
      <w:r w:rsidRPr="001C77C1">
        <w:rPr>
          <w:rFonts w:ascii="Arial" w:hAnsi="Arial" w:cs="Arial"/>
        </w:rPr>
        <w:t>Obiero</w:t>
      </w:r>
      <w:proofErr w:type="spellEnd"/>
      <w:r w:rsidRPr="001C77C1">
        <w:rPr>
          <w:rFonts w:ascii="Arial" w:hAnsi="Arial" w:cs="Arial"/>
        </w:rPr>
        <w:t xml:space="preserve">, K. O., </w:t>
      </w:r>
      <w:proofErr w:type="spellStart"/>
      <w:r w:rsidRPr="001C77C1">
        <w:rPr>
          <w:rFonts w:ascii="Arial" w:hAnsi="Arial" w:cs="Arial"/>
        </w:rPr>
        <w:t>Kyule</w:t>
      </w:r>
      <w:proofErr w:type="spellEnd"/>
      <w:r w:rsidRPr="001C77C1">
        <w:rPr>
          <w:rFonts w:ascii="Arial" w:hAnsi="Arial" w:cs="Arial"/>
        </w:rPr>
        <w:t xml:space="preserve">, D. N., &amp; </w:t>
      </w:r>
      <w:proofErr w:type="spellStart"/>
      <w:r w:rsidRPr="001C77C1">
        <w:rPr>
          <w:rFonts w:ascii="Arial" w:hAnsi="Arial" w:cs="Arial"/>
        </w:rPr>
        <w:t>Munguti</w:t>
      </w:r>
      <w:proofErr w:type="spellEnd"/>
      <w:r w:rsidRPr="001C77C1">
        <w:rPr>
          <w:rFonts w:ascii="Arial" w:hAnsi="Arial" w:cs="Arial"/>
        </w:rPr>
        <w:t xml:space="preserve">, J. M. (2021). The prospects of </w:t>
      </w:r>
      <w:proofErr w:type="spellStart"/>
      <w:r w:rsidRPr="001C77C1">
        <w:rPr>
          <w:rFonts w:ascii="Arial" w:hAnsi="Arial" w:cs="Arial"/>
        </w:rPr>
        <w:t>biofloc</w:t>
      </w:r>
      <w:proofErr w:type="spellEnd"/>
      <w:r w:rsidRPr="001C77C1">
        <w:rPr>
          <w:rFonts w:ascii="Arial" w:hAnsi="Arial" w:cs="Arial"/>
        </w:rPr>
        <w:t xml:space="preserve"> technology (BFT) for sustainable aquaculture development. </w:t>
      </w:r>
      <w:r w:rsidRPr="001C77C1">
        <w:rPr>
          <w:rFonts w:ascii="Arial" w:hAnsi="Arial" w:cs="Arial"/>
          <w:i/>
          <w:iCs/>
        </w:rPr>
        <w:t>Scientific African, 14</w:t>
      </w:r>
      <w:r w:rsidRPr="001C77C1">
        <w:rPr>
          <w:rFonts w:ascii="Arial" w:hAnsi="Arial" w:cs="Arial"/>
        </w:rPr>
        <w:t xml:space="preserve">, e01053. </w:t>
      </w:r>
      <w:hyperlink r:id="rId34" w:tgtFrame="_new" w:history="1">
        <w:r w:rsidRPr="001C77C1">
          <w:rPr>
            <w:rFonts w:ascii="Arial" w:hAnsi="Arial" w:cs="Arial"/>
            <w:u w:val="single"/>
          </w:rPr>
          <w:t>https://doi.org/10.1016/j.sciaf.2021.e01053</w:t>
        </w:r>
      </w:hyperlink>
    </w:p>
    <w:p w14:paraId="79D16A56"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Okomoda</w:t>
      </w:r>
      <w:proofErr w:type="spellEnd"/>
      <w:r w:rsidRPr="001C77C1">
        <w:rPr>
          <w:rFonts w:ascii="Arial" w:hAnsi="Arial" w:cs="Arial"/>
        </w:rPr>
        <w:t xml:space="preserve">, V. T., Abraham, S., Shola, O., Solomon, G., Olabode, S., Samuel, O., </w:t>
      </w:r>
      <w:proofErr w:type="spellStart"/>
      <w:r w:rsidRPr="001C77C1">
        <w:rPr>
          <w:rFonts w:ascii="Arial" w:hAnsi="Arial" w:cs="Arial"/>
        </w:rPr>
        <w:t>Ogah</w:t>
      </w:r>
      <w:proofErr w:type="spellEnd"/>
      <w:r w:rsidRPr="001C77C1">
        <w:rPr>
          <w:rFonts w:ascii="Arial" w:hAnsi="Arial" w:cs="Arial"/>
        </w:rPr>
        <w:t xml:space="preserve">, I., &amp; </w:t>
      </w:r>
      <w:proofErr w:type="spellStart"/>
      <w:r w:rsidRPr="001C77C1">
        <w:rPr>
          <w:rFonts w:ascii="Arial" w:hAnsi="Arial" w:cs="Arial"/>
        </w:rPr>
        <w:t>Ikhwanuddin</w:t>
      </w:r>
      <w:proofErr w:type="spellEnd"/>
      <w:r w:rsidRPr="001C77C1">
        <w:rPr>
          <w:rFonts w:ascii="Arial" w:hAnsi="Arial" w:cs="Arial"/>
        </w:rPr>
        <w:t xml:space="preserve">, M. (2022). Aquaponics production system: A review of historical perspective, opportunities, and challenges of its adoption. </w:t>
      </w:r>
      <w:r w:rsidRPr="001C77C1">
        <w:rPr>
          <w:rFonts w:ascii="Arial" w:hAnsi="Arial" w:cs="Arial"/>
          <w:i/>
          <w:iCs/>
        </w:rPr>
        <w:t>Journal of Food Science and Nutrition, 10</w:t>
      </w:r>
      <w:r w:rsidRPr="001C77C1">
        <w:rPr>
          <w:rFonts w:ascii="Arial" w:hAnsi="Arial" w:cs="Arial"/>
        </w:rPr>
        <w:t xml:space="preserve">(1), 1157–1165. </w:t>
      </w:r>
      <w:hyperlink r:id="rId35" w:tgtFrame="_new" w:history="1">
        <w:r w:rsidRPr="001C77C1">
          <w:rPr>
            <w:rFonts w:ascii="Arial" w:hAnsi="Arial" w:cs="Arial"/>
            <w:u w:val="single"/>
          </w:rPr>
          <w:t>https://doi.org/10.1002/fsn3.3154</w:t>
        </w:r>
      </w:hyperlink>
    </w:p>
    <w:p w14:paraId="71E96285"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lang w:val="nb-NO"/>
        </w:rPr>
        <w:t xml:space="preserve">Pahalvi, H. N., Rafiya, L., Rashid, S., Nisar, B., &amp; Kamili, A. N. (2021). </w:t>
      </w:r>
      <w:r w:rsidRPr="001C77C1">
        <w:rPr>
          <w:rFonts w:ascii="Arial" w:hAnsi="Arial" w:cs="Arial"/>
        </w:rPr>
        <w:t xml:space="preserve">Chemical fertilizers and their impact on soil health. In </w:t>
      </w:r>
      <w:r w:rsidRPr="001C77C1">
        <w:rPr>
          <w:rFonts w:ascii="Arial" w:hAnsi="Arial" w:cs="Arial"/>
          <w:i/>
          <w:iCs/>
        </w:rPr>
        <w:t>Microbiota and biofertilizers, Vol. 2: Ecofriendly tools for reclamation of degraded soil environs</w:t>
      </w:r>
      <w:r w:rsidRPr="001C77C1">
        <w:rPr>
          <w:rFonts w:ascii="Arial" w:hAnsi="Arial" w:cs="Arial"/>
        </w:rPr>
        <w:t xml:space="preserve"> (pp. 1–20). Springer International Publishing.</w:t>
      </w:r>
    </w:p>
    <w:p w14:paraId="217588AC"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Pradeepkiran</w:t>
      </w:r>
      <w:proofErr w:type="spellEnd"/>
      <w:r w:rsidRPr="001C77C1">
        <w:rPr>
          <w:rFonts w:ascii="Arial" w:hAnsi="Arial" w:cs="Arial"/>
        </w:rPr>
        <w:t xml:space="preserve">, J. A. (2019). Aquaculture's role in global food security with nutritional value: A review. </w:t>
      </w:r>
      <w:r w:rsidRPr="001C77C1">
        <w:rPr>
          <w:rFonts w:ascii="Arial" w:hAnsi="Arial" w:cs="Arial"/>
          <w:i/>
          <w:iCs/>
        </w:rPr>
        <w:t>Translational Animal Science, 3</w:t>
      </w:r>
      <w:r w:rsidRPr="001C77C1">
        <w:rPr>
          <w:rFonts w:ascii="Arial" w:hAnsi="Arial" w:cs="Arial"/>
        </w:rPr>
        <w:t xml:space="preserve">(2), 903–910. </w:t>
      </w:r>
      <w:hyperlink r:id="rId36" w:tgtFrame="_new" w:history="1">
        <w:r w:rsidRPr="001C77C1">
          <w:rPr>
            <w:rFonts w:ascii="Arial" w:hAnsi="Arial" w:cs="Arial"/>
            <w:u w:val="single"/>
          </w:rPr>
          <w:t>https://doi.org/10.1093/tas/txz012</w:t>
        </w:r>
      </w:hyperlink>
    </w:p>
    <w:p w14:paraId="3508E7CE"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Prasetiawan</w:t>
      </w:r>
      <w:proofErr w:type="spellEnd"/>
      <w:r w:rsidRPr="001C77C1">
        <w:rPr>
          <w:rFonts w:ascii="Arial" w:hAnsi="Arial" w:cs="Arial"/>
        </w:rPr>
        <w:t xml:space="preserve">, H., </w:t>
      </w:r>
      <w:proofErr w:type="spellStart"/>
      <w:r w:rsidRPr="001C77C1">
        <w:rPr>
          <w:rFonts w:ascii="Arial" w:hAnsi="Arial" w:cs="Arial"/>
        </w:rPr>
        <w:t>Mukadis</w:t>
      </w:r>
      <w:proofErr w:type="spellEnd"/>
      <w:r w:rsidRPr="001C77C1">
        <w:rPr>
          <w:rFonts w:ascii="Arial" w:hAnsi="Arial" w:cs="Arial"/>
        </w:rPr>
        <w:t xml:space="preserve">, A., &amp; </w:t>
      </w:r>
      <w:proofErr w:type="spellStart"/>
      <w:r w:rsidRPr="001C77C1">
        <w:rPr>
          <w:rFonts w:ascii="Arial" w:hAnsi="Arial" w:cs="Arial"/>
        </w:rPr>
        <w:t>Motti</w:t>
      </w:r>
      <w:proofErr w:type="spellEnd"/>
      <w:r w:rsidRPr="001C77C1">
        <w:rPr>
          <w:rFonts w:ascii="Arial" w:hAnsi="Arial" w:cs="Arial"/>
        </w:rPr>
        <w:t xml:space="preserve">, A. V. (2024). Study of the nitrification process in a media-raised bed-based aquaponic system. </w:t>
      </w:r>
      <w:r w:rsidRPr="001C77C1">
        <w:rPr>
          <w:rFonts w:ascii="Arial" w:hAnsi="Arial" w:cs="Arial"/>
          <w:i/>
          <w:iCs/>
        </w:rPr>
        <w:t>Journal of Clean Technology, 1</w:t>
      </w:r>
      <w:r w:rsidRPr="001C77C1">
        <w:rPr>
          <w:rFonts w:ascii="Arial" w:hAnsi="Arial" w:cs="Arial"/>
        </w:rPr>
        <w:t>(2), 1–7.</w:t>
      </w:r>
    </w:p>
    <w:p w14:paraId="31B1A1F4"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Rampedi</w:t>
      </w:r>
      <w:proofErr w:type="spellEnd"/>
      <w:r w:rsidRPr="001C77C1">
        <w:rPr>
          <w:rFonts w:ascii="Arial" w:hAnsi="Arial" w:cs="Arial"/>
        </w:rPr>
        <w:t xml:space="preserve">, I. T. (2018). Fish farming in Nigeria: Contributions towards employment opportunities and poverty alleviation for improved livelihoods. </w:t>
      </w:r>
      <w:r w:rsidRPr="001C77C1">
        <w:rPr>
          <w:rFonts w:ascii="Arial" w:hAnsi="Arial" w:cs="Arial"/>
          <w:i/>
          <w:iCs/>
        </w:rPr>
        <w:t>Agriculture, 8</w:t>
      </w:r>
      <w:r w:rsidRPr="001C77C1">
        <w:rPr>
          <w:rFonts w:ascii="Arial" w:hAnsi="Arial" w:cs="Arial"/>
        </w:rPr>
        <w:t xml:space="preserve">(7), 110. </w:t>
      </w:r>
      <w:hyperlink r:id="rId37" w:tgtFrame="_new" w:history="1">
        <w:r w:rsidRPr="001C77C1">
          <w:rPr>
            <w:rFonts w:ascii="Arial" w:hAnsi="Arial" w:cs="Arial"/>
            <w:u w:val="single"/>
          </w:rPr>
          <w:t>https://doi.org/10.3390/agriculture8070110</w:t>
        </w:r>
      </w:hyperlink>
    </w:p>
    <w:p w14:paraId="069ED87F"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Schreinemachers</w:t>
      </w:r>
      <w:proofErr w:type="spellEnd"/>
      <w:r w:rsidRPr="001C77C1">
        <w:rPr>
          <w:rFonts w:ascii="Arial" w:hAnsi="Arial" w:cs="Arial"/>
        </w:rPr>
        <w:t xml:space="preserve">, P., Simmons, E. B., &amp; </w:t>
      </w:r>
      <w:proofErr w:type="spellStart"/>
      <w:r w:rsidRPr="001C77C1">
        <w:rPr>
          <w:rFonts w:ascii="Arial" w:hAnsi="Arial" w:cs="Arial"/>
        </w:rPr>
        <w:t>Wopereis</w:t>
      </w:r>
      <w:proofErr w:type="spellEnd"/>
      <w:r w:rsidRPr="001C77C1">
        <w:rPr>
          <w:rFonts w:ascii="Arial" w:hAnsi="Arial" w:cs="Arial"/>
        </w:rPr>
        <w:t xml:space="preserve">, M. C. S. (2018). Tapping the economic and nutritional power of vegetables. </w:t>
      </w:r>
      <w:r w:rsidRPr="001C77C1">
        <w:rPr>
          <w:rFonts w:ascii="Arial" w:hAnsi="Arial" w:cs="Arial"/>
          <w:i/>
          <w:iCs/>
        </w:rPr>
        <w:t>Global Food Security, 16</w:t>
      </w:r>
      <w:r w:rsidRPr="001C77C1">
        <w:rPr>
          <w:rFonts w:ascii="Arial" w:hAnsi="Arial" w:cs="Arial"/>
        </w:rPr>
        <w:t xml:space="preserve">(1), 36–45. </w:t>
      </w:r>
      <w:hyperlink r:id="rId38" w:tgtFrame="_new" w:history="1">
        <w:r w:rsidRPr="001C77C1">
          <w:rPr>
            <w:rFonts w:ascii="Arial" w:hAnsi="Arial" w:cs="Arial"/>
            <w:u w:val="single"/>
          </w:rPr>
          <w:t>https://doi.org/10.1016/j.gfs.2017.09.005</w:t>
        </w:r>
      </w:hyperlink>
    </w:p>
    <w:p w14:paraId="16E44539"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Serey</w:t>
      </w:r>
      <w:proofErr w:type="spellEnd"/>
      <w:r w:rsidRPr="001C77C1">
        <w:rPr>
          <w:rFonts w:ascii="Arial" w:hAnsi="Arial" w:cs="Arial"/>
        </w:rPr>
        <w:t xml:space="preserve">, Y. C., &amp; </w:t>
      </w:r>
      <w:proofErr w:type="spellStart"/>
      <w:r w:rsidRPr="001C77C1">
        <w:rPr>
          <w:rFonts w:ascii="Arial" w:hAnsi="Arial" w:cs="Arial"/>
        </w:rPr>
        <w:t>Mardy</w:t>
      </w:r>
      <w:proofErr w:type="spellEnd"/>
      <w:r w:rsidRPr="001C77C1">
        <w:rPr>
          <w:rFonts w:ascii="Arial" w:hAnsi="Arial" w:cs="Arial"/>
        </w:rPr>
        <w:t xml:space="preserve">, S. (2024). The potential of aquaponics systems for enhancing sustainable food production. </w:t>
      </w:r>
      <w:r w:rsidRPr="001C77C1">
        <w:rPr>
          <w:rFonts w:ascii="Arial" w:hAnsi="Arial" w:cs="Arial"/>
          <w:i/>
          <w:iCs/>
        </w:rPr>
        <w:t>Indonesian Journal of Social Economics Agricultural Policy, 1</w:t>
      </w:r>
      <w:r w:rsidRPr="001C77C1">
        <w:rPr>
          <w:rFonts w:ascii="Arial" w:hAnsi="Arial" w:cs="Arial"/>
        </w:rPr>
        <w:t>(1), 1–9.</w:t>
      </w:r>
    </w:p>
    <w:p w14:paraId="4E406151"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Simane</w:t>
      </w:r>
      <w:proofErr w:type="spellEnd"/>
      <w:r w:rsidRPr="001C77C1">
        <w:rPr>
          <w:rFonts w:ascii="Arial" w:hAnsi="Arial" w:cs="Arial"/>
        </w:rPr>
        <w:t xml:space="preserve">, B., </w:t>
      </w:r>
      <w:proofErr w:type="spellStart"/>
      <w:r w:rsidRPr="001C77C1">
        <w:rPr>
          <w:rFonts w:ascii="Arial" w:hAnsi="Arial" w:cs="Arial"/>
        </w:rPr>
        <w:t>Kapwata</w:t>
      </w:r>
      <w:proofErr w:type="spellEnd"/>
      <w:r w:rsidRPr="001C77C1">
        <w:rPr>
          <w:rFonts w:ascii="Arial" w:hAnsi="Arial" w:cs="Arial"/>
        </w:rPr>
        <w:t xml:space="preserve">, T., Naidoo, N., </w:t>
      </w:r>
      <w:proofErr w:type="spellStart"/>
      <w:r w:rsidRPr="001C77C1">
        <w:rPr>
          <w:rFonts w:ascii="Arial" w:hAnsi="Arial" w:cs="Arial"/>
        </w:rPr>
        <w:t>Cissé</w:t>
      </w:r>
      <w:proofErr w:type="spellEnd"/>
      <w:r w:rsidRPr="001C77C1">
        <w:rPr>
          <w:rFonts w:ascii="Arial" w:hAnsi="Arial" w:cs="Arial"/>
        </w:rPr>
        <w:t xml:space="preserve">, G., Wright, C. Y., &amp; Berhane, K. (2025). Ensuring Africa’s food security by 2050: The role of population growth, climate-resilient strategies, and putative pathways to resilience. </w:t>
      </w:r>
      <w:r w:rsidRPr="001C77C1">
        <w:rPr>
          <w:rFonts w:ascii="Arial" w:hAnsi="Arial" w:cs="Arial"/>
          <w:i/>
          <w:iCs/>
        </w:rPr>
        <w:t>Foods, 14</w:t>
      </w:r>
      <w:r w:rsidRPr="001C77C1">
        <w:rPr>
          <w:rFonts w:ascii="Arial" w:hAnsi="Arial" w:cs="Arial"/>
        </w:rPr>
        <w:t xml:space="preserve">(2), 1–16. </w:t>
      </w:r>
      <w:hyperlink r:id="rId39" w:tgtFrame="_new" w:history="1">
        <w:r w:rsidRPr="001C77C1">
          <w:rPr>
            <w:rFonts w:ascii="Arial" w:hAnsi="Arial" w:cs="Arial"/>
            <w:u w:val="single"/>
          </w:rPr>
          <w:t>https://doi.org/10.3390/foods14020262</w:t>
        </w:r>
      </w:hyperlink>
    </w:p>
    <w:p w14:paraId="16E23074"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Taufik</w:t>
      </w:r>
      <w:proofErr w:type="spellEnd"/>
      <w:r w:rsidRPr="001C77C1">
        <w:rPr>
          <w:rFonts w:ascii="Arial" w:hAnsi="Arial" w:cs="Arial"/>
        </w:rPr>
        <w:t xml:space="preserve">, I., &amp; </w:t>
      </w:r>
      <w:proofErr w:type="spellStart"/>
      <w:r w:rsidRPr="001C77C1">
        <w:rPr>
          <w:rFonts w:ascii="Arial" w:hAnsi="Arial" w:cs="Arial"/>
        </w:rPr>
        <w:t>Setijaningsih</w:t>
      </w:r>
      <w:proofErr w:type="spellEnd"/>
      <w:r w:rsidRPr="001C77C1">
        <w:rPr>
          <w:rFonts w:ascii="Arial" w:hAnsi="Arial" w:cs="Arial"/>
        </w:rPr>
        <w:t xml:space="preserve">, L. (2020). Smart aquaponics design using Internet of Things technology. </w:t>
      </w:r>
      <w:r w:rsidRPr="001C77C1">
        <w:rPr>
          <w:rFonts w:ascii="Arial" w:hAnsi="Arial" w:cs="Arial"/>
          <w:i/>
          <w:iCs/>
        </w:rPr>
        <w:t>IOP Conference Series: Materials Science and Engineering, 835</w:t>
      </w:r>
      <w:r w:rsidRPr="001C77C1">
        <w:rPr>
          <w:rFonts w:ascii="Arial" w:hAnsi="Arial" w:cs="Arial"/>
        </w:rPr>
        <w:t xml:space="preserve">(1), 012026. </w:t>
      </w:r>
      <w:hyperlink r:id="rId40" w:tgtFrame="_new" w:history="1">
        <w:r w:rsidRPr="001C77C1">
          <w:rPr>
            <w:rFonts w:ascii="Arial" w:hAnsi="Arial" w:cs="Arial"/>
            <w:u w:val="single"/>
          </w:rPr>
          <w:t>https://doi.org/10.1088/1757-899X/835/1/012026</w:t>
        </w:r>
      </w:hyperlink>
    </w:p>
    <w:p w14:paraId="7E698550"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Tayoh</w:t>
      </w:r>
      <w:proofErr w:type="spellEnd"/>
      <w:r w:rsidRPr="001C77C1">
        <w:rPr>
          <w:rFonts w:ascii="Arial" w:hAnsi="Arial" w:cs="Arial"/>
        </w:rPr>
        <w:t xml:space="preserve">, L. N. (2020). Destruction of soil health and risk of food contamination by the application of chemical fertilizers. In </w:t>
      </w:r>
      <w:r w:rsidRPr="001C77C1">
        <w:rPr>
          <w:rFonts w:ascii="Arial" w:hAnsi="Arial" w:cs="Arial"/>
          <w:i/>
          <w:iCs/>
        </w:rPr>
        <w:t>Ecological and practical applications for sustainable agriculture</w:t>
      </w:r>
      <w:r w:rsidRPr="001C77C1">
        <w:rPr>
          <w:rFonts w:ascii="Arial" w:hAnsi="Arial" w:cs="Arial"/>
        </w:rPr>
        <w:t xml:space="preserve"> (pp. 53–64). Springer.</w:t>
      </w:r>
    </w:p>
    <w:p w14:paraId="312C5097" w14:textId="77777777" w:rsidR="00CC0C1B" w:rsidRPr="001C77C1" w:rsidRDefault="00CC0C1B" w:rsidP="009F3B61">
      <w:pPr>
        <w:pStyle w:val="ListParagraph"/>
        <w:numPr>
          <w:ilvl w:val="0"/>
          <w:numId w:val="31"/>
        </w:numPr>
        <w:spacing w:before="100" w:beforeAutospacing="1" w:after="100" w:afterAutospacing="1"/>
        <w:jc w:val="both"/>
        <w:rPr>
          <w:rFonts w:ascii="Arial" w:hAnsi="Arial" w:cs="Arial"/>
        </w:rPr>
      </w:pPr>
      <w:r w:rsidRPr="001C77C1">
        <w:rPr>
          <w:rFonts w:ascii="Arial" w:hAnsi="Arial" w:cs="Arial"/>
        </w:rPr>
        <w:t>Yee, C., Ching, K., Cohen, P. J., Wiebe, K., Nasr-</w:t>
      </w:r>
      <w:proofErr w:type="spellStart"/>
      <w:r w:rsidRPr="001C77C1">
        <w:rPr>
          <w:rFonts w:ascii="Arial" w:hAnsi="Arial" w:cs="Arial"/>
        </w:rPr>
        <w:t>allah</w:t>
      </w:r>
      <w:proofErr w:type="spellEnd"/>
      <w:r w:rsidRPr="001C77C1">
        <w:rPr>
          <w:rFonts w:ascii="Arial" w:hAnsi="Arial" w:cs="Arial"/>
        </w:rPr>
        <w:t xml:space="preserve">, A. M., &amp; others. (2021). </w:t>
      </w:r>
      <w:proofErr w:type="gramStart"/>
      <w:r w:rsidRPr="001C77C1">
        <w:rPr>
          <w:rFonts w:ascii="Arial" w:hAnsi="Arial" w:cs="Arial"/>
        </w:rPr>
        <w:t>The</w:t>
      </w:r>
      <w:proofErr w:type="gramEnd"/>
      <w:r w:rsidRPr="001C77C1">
        <w:rPr>
          <w:rFonts w:ascii="Arial" w:hAnsi="Arial" w:cs="Arial"/>
        </w:rPr>
        <w:t xml:space="preserve"> future of fish in Africa: Employment and investment opportunities. </w:t>
      </w:r>
      <w:r w:rsidRPr="001C77C1">
        <w:rPr>
          <w:rFonts w:ascii="Arial" w:hAnsi="Arial" w:cs="Arial"/>
          <w:i/>
          <w:iCs/>
        </w:rPr>
        <w:t>PLOS ONE, 16</w:t>
      </w:r>
      <w:r w:rsidRPr="001C77C1">
        <w:rPr>
          <w:rFonts w:ascii="Arial" w:hAnsi="Arial" w:cs="Arial"/>
        </w:rPr>
        <w:t xml:space="preserve">(12), e0261615. </w:t>
      </w:r>
      <w:hyperlink r:id="rId41" w:tgtFrame="_new" w:history="1">
        <w:r w:rsidRPr="001C77C1">
          <w:rPr>
            <w:rFonts w:ascii="Arial" w:hAnsi="Arial" w:cs="Arial"/>
            <w:u w:val="single"/>
          </w:rPr>
          <w:t>https://doi.org/10.1371/journal.pone.0261615</w:t>
        </w:r>
      </w:hyperlink>
    </w:p>
    <w:p w14:paraId="285A85B1" w14:textId="2B606EE9" w:rsidR="00527EB5" w:rsidRPr="001C77C1" w:rsidRDefault="00CC0C1B" w:rsidP="009F3B61">
      <w:pPr>
        <w:pStyle w:val="ListParagraph"/>
        <w:numPr>
          <w:ilvl w:val="0"/>
          <w:numId w:val="31"/>
        </w:numPr>
        <w:spacing w:before="100" w:beforeAutospacing="1" w:after="100" w:afterAutospacing="1"/>
        <w:jc w:val="both"/>
        <w:rPr>
          <w:rFonts w:ascii="Arial" w:hAnsi="Arial" w:cs="Arial"/>
        </w:rPr>
      </w:pPr>
      <w:proofErr w:type="spellStart"/>
      <w:r w:rsidRPr="001C77C1">
        <w:rPr>
          <w:rFonts w:ascii="Arial" w:hAnsi="Arial" w:cs="Arial"/>
        </w:rPr>
        <w:t>Zamnuri</w:t>
      </w:r>
      <w:proofErr w:type="spellEnd"/>
      <w:r w:rsidRPr="001C77C1">
        <w:rPr>
          <w:rFonts w:ascii="Arial" w:hAnsi="Arial" w:cs="Arial"/>
        </w:rPr>
        <w:t xml:space="preserve">, M. A. H., </w:t>
      </w:r>
      <w:proofErr w:type="spellStart"/>
      <w:r w:rsidRPr="001C77C1">
        <w:rPr>
          <w:rFonts w:ascii="Arial" w:hAnsi="Arial" w:cs="Arial"/>
        </w:rPr>
        <w:t>Qiu</w:t>
      </w:r>
      <w:proofErr w:type="spellEnd"/>
      <w:r w:rsidRPr="001C77C1">
        <w:rPr>
          <w:rFonts w:ascii="Arial" w:hAnsi="Arial" w:cs="Arial"/>
        </w:rPr>
        <w:t xml:space="preserve">, S., </w:t>
      </w:r>
      <w:proofErr w:type="spellStart"/>
      <w:r w:rsidRPr="001C77C1">
        <w:rPr>
          <w:rFonts w:ascii="Arial" w:hAnsi="Arial" w:cs="Arial"/>
        </w:rPr>
        <w:t>Rizalmy</w:t>
      </w:r>
      <w:proofErr w:type="spellEnd"/>
      <w:r w:rsidRPr="001C77C1">
        <w:rPr>
          <w:rFonts w:ascii="Arial" w:hAnsi="Arial" w:cs="Arial"/>
        </w:rPr>
        <w:t xml:space="preserve">, M. A. A., He, W., </w:t>
      </w:r>
      <w:proofErr w:type="spellStart"/>
      <w:r w:rsidRPr="001C77C1">
        <w:rPr>
          <w:rFonts w:ascii="Arial" w:hAnsi="Arial" w:cs="Arial"/>
        </w:rPr>
        <w:t>Yusoff</w:t>
      </w:r>
      <w:proofErr w:type="spellEnd"/>
      <w:r w:rsidRPr="001C77C1">
        <w:rPr>
          <w:rFonts w:ascii="Arial" w:hAnsi="Arial" w:cs="Arial"/>
        </w:rPr>
        <w:t xml:space="preserve">, S., </w:t>
      </w:r>
      <w:proofErr w:type="spellStart"/>
      <w:r w:rsidRPr="001C77C1">
        <w:rPr>
          <w:rFonts w:ascii="Arial" w:hAnsi="Arial" w:cs="Arial"/>
        </w:rPr>
        <w:t>Roeroe</w:t>
      </w:r>
      <w:proofErr w:type="spellEnd"/>
      <w:r w:rsidRPr="001C77C1">
        <w:rPr>
          <w:rFonts w:ascii="Arial" w:hAnsi="Arial" w:cs="Arial"/>
        </w:rPr>
        <w:t xml:space="preserve">, K. A., Du, J., &amp; </w:t>
      </w:r>
      <w:proofErr w:type="spellStart"/>
      <w:r w:rsidRPr="001C77C1">
        <w:rPr>
          <w:rFonts w:ascii="Arial" w:hAnsi="Arial" w:cs="Arial"/>
        </w:rPr>
        <w:t>Loh</w:t>
      </w:r>
      <w:proofErr w:type="spellEnd"/>
      <w:r w:rsidRPr="001C77C1">
        <w:rPr>
          <w:rFonts w:ascii="Arial" w:hAnsi="Arial" w:cs="Arial"/>
        </w:rPr>
        <w:t xml:space="preserve">, K. H. (2024). Integration of IoT in small-scale aquaponics to enhance efficiency and profitability: A systematic review. </w:t>
      </w:r>
      <w:r w:rsidRPr="001C77C1">
        <w:rPr>
          <w:rFonts w:ascii="Arial" w:hAnsi="Arial" w:cs="Arial"/>
          <w:i/>
          <w:iCs/>
        </w:rPr>
        <w:t>Animals, 14</w:t>
      </w:r>
      <w:r w:rsidRPr="001C77C1">
        <w:rPr>
          <w:rFonts w:ascii="Arial" w:hAnsi="Arial" w:cs="Arial"/>
        </w:rPr>
        <w:t xml:space="preserve">(17), 1–20. </w:t>
      </w:r>
      <w:hyperlink r:id="rId42" w:tgtFrame="_new" w:history="1">
        <w:r w:rsidRPr="001C77C1">
          <w:rPr>
            <w:rFonts w:ascii="Arial" w:hAnsi="Arial" w:cs="Arial"/>
            <w:u w:val="single"/>
          </w:rPr>
          <w:t>https://doi.org/10.3390/ani14172555</w:t>
        </w:r>
      </w:hyperlink>
    </w:p>
    <w:sectPr w:rsidR="00527EB5" w:rsidRPr="001C77C1" w:rsidSect="0032028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byss" w:date="2026-02-01T12:36:00Z" w:initials="a">
    <w:p w14:paraId="644941FF" w14:textId="1C58D034" w:rsidR="00E30BB9" w:rsidRDefault="00E30BB9">
      <w:pPr>
        <w:pStyle w:val="CommentText"/>
      </w:pPr>
      <w:r>
        <w:rPr>
          <w:rStyle w:val="CommentReference"/>
        </w:rPr>
        <w:annotationRef/>
      </w:r>
      <w:r>
        <w:t>???</w:t>
      </w:r>
    </w:p>
  </w:comment>
  <w:comment w:id="2" w:author="abyss" w:date="2026-02-01T12:56:00Z" w:initials="a">
    <w:p w14:paraId="03D6E54E" w14:textId="037086B5" w:rsidR="008732BC" w:rsidRDefault="008732BC">
      <w:pPr>
        <w:pStyle w:val="CommentText"/>
      </w:pPr>
      <w:r>
        <w:rPr>
          <w:rStyle w:val="CommentReference"/>
        </w:rPr>
        <w:annotationRef/>
      </w:r>
      <w:r>
        <w:t>Add citation here for justification</w:t>
      </w:r>
    </w:p>
  </w:comment>
  <w:comment w:id="4" w:author="abyss" w:date="2026-02-01T12:29:00Z" w:initials="a">
    <w:p w14:paraId="3D1C9BD9" w14:textId="14F0D020" w:rsidR="001C77C1" w:rsidRDefault="001C77C1">
      <w:pPr>
        <w:pStyle w:val="CommentText"/>
      </w:pPr>
      <w:r>
        <w:rPr>
          <w:rStyle w:val="CommentReference"/>
        </w:rPr>
        <w:annotationRef/>
      </w:r>
      <w:r>
        <w:t xml:space="preserve">Missmatch with refernce list </w:t>
      </w:r>
    </w:p>
  </w:comment>
  <w:comment w:id="5" w:author="abyss" w:date="2026-02-01T12:38:00Z" w:initials="a">
    <w:p w14:paraId="16381184" w14:textId="14925185" w:rsidR="00E30BB9" w:rsidRDefault="00E30BB9">
      <w:pPr>
        <w:pStyle w:val="CommentText"/>
      </w:pPr>
      <w:r>
        <w:rPr>
          <w:rStyle w:val="CommentReference"/>
        </w:rPr>
        <w:annotationRef/>
      </w:r>
      <w:r>
        <w:t>aims</w:t>
      </w:r>
    </w:p>
  </w:comment>
  <w:comment w:id="7" w:author="abyss" w:date="2026-02-01T12:40:00Z" w:initials="a">
    <w:p w14:paraId="4DBDEB9D" w14:textId="2BDF534C" w:rsidR="00E30BB9" w:rsidRDefault="00E30BB9">
      <w:pPr>
        <w:pStyle w:val="CommentText"/>
      </w:pPr>
      <w:r>
        <w:rPr>
          <w:rStyle w:val="CommentReference"/>
        </w:rPr>
        <w:annotationRef/>
      </w:r>
      <w:r>
        <w:rPr>
          <w:rFonts w:ascii="Segoe UI" w:hAnsi="Segoe UI" w:cs="Segoe UI"/>
          <w:color w:val="0F1115"/>
          <w:shd w:val="clear" w:color="auto" w:fill="FFFFFF"/>
        </w:rPr>
        <w:t>Th</w:t>
      </w:r>
      <w:r>
        <w:rPr>
          <w:rFonts w:ascii="Segoe UI" w:hAnsi="Segoe UI" w:cs="Segoe UI"/>
          <w:color w:val="0F1115"/>
          <w:shd w:val="clear" w:color="auto" w:fill="FFFFFF"/>
        </w:rPr>
        <w:t xml:space="preserve">is is inconsistent with the abstract (“60 published articles”). Please </w:t>
      </w:r>
      <w:r>
        <w:rPr>
          <w:rFonts w:ascii="Segoe UI" w:hAnsi="Segoe UI" w:cs="Segoe UI"/>
          <w:color w:val="0F1115"/>
          <w:shd w:val="clear" w:color="auto" w:fill="FFFFFF"/>
        </w:rPr>
        <w:t xml:space="preserve">specify also in abstract. </w:t>
      </w:r>
      <w:r>
        <w:rPr>
          <w:rFonts w:ascii="Segoe UI" w:hAnsi="Segoe UI" w:cs="Segoe UI"/>
          <w:color w:val="0F1115"/>
          <w:shd w:val="clear" w:color="auto" w:fill="FFFFFF"/>
        </w:rPr>
        <w:t>the total</w:t>
      </w:r>
      <w:r>
        <w:rPr>
          <w:rFonts w:ascii="Segoe UI" w:hAnsi="Segoe UI" w:cs="Segoe UI"/>
          <w:color w:val="0F1115"/>
          <w:shd w:val="clear" w:color="auto" w:fill="FFFFFF"/>
        </w:rPr>
        <w:t xml:space="preserve">  Please verify with also refence you listed only 44 citation ???</w:t>
      </w:r>
    </w:p>
  </w:comment>
  <w:comment w:id="9" w:author="abyss" w:date="2026-02-01T12:44:00Z" w:initials="a">
    <w:p w14:paraId="318B4AF9" w14:textId="2740CC74" w:rsidR="00E30BB9" w:rsidRDefault="00E30BB9">
      <w:pPr>
        <w:pStyle w:val="CommentText"/>
      </w:pPr>
      <w:r>
        <w:rPr>
          <w:rStyle w:val="CommentReference"/>
        </w:rPr>
        <w:annotationRef/>
      </w:r>
      <w:r>
        <w:t>agricultural</w:t>
      </w:r>
    </w:p>
  </w:comment>
  <w:comment w:id="10" w:author="abyss" w:date="2026-02-01T12:45:00Z" w:initials="a">
    <w:p w14:paraId="7BF039DB" w14:textId="319A5B2C" w:rsidR="00E30BB9" w:rsidRDefault="00E30BB9">
      <w:pPr>
        <w:pStyle w:val="CommentText"/>
      </w:pPr>
      <w:r>
        <w:rPr>
          <w:rStyle w:val="CommentReference"/>
        </w:rPr>
        <w:annotationRef/>
      </w:r>
      <w:r>
        <w:t xml:space="preserve">intensive </w:t>
      </w:r>
    </w:p>
  </w:comment>
  <w:comment w:id="13" w:author="abyss" w:date="2026-02-01T12:46:00Z" w:initials="a">
    <w:p w14:paraId="64B4DE08" w14:textId="191DF17B" w:rsidR="00486DE9" w:rsidRDefault="00486DE9">
      <w:pPr>
        <w:pStyle w:val="CommentText"/>
      </w:pPr>
      <w:r>
        <w:rPr>
          <w:rStyle w:val="CommentReference"/>
        </w:rPr>
        <w:annotationRef/>
      </w:r>
      <w:r>
        <w:rPr>
          <w:rStyle w:val="CommentReference"/>
        </w:rPr>
        <w:t>Remove</w:t>
      </w:r>
    </w:p>
  </w:comment>
  <w:comment w:id="14" w:author="abyss" w:date="2026-02-01T12:12:00Z" w:initials="a">
    <w:p w14:paraId="68BDEB6A" w14:textId="2DECAAA6" w:rsidR="0083254F" w:rsidRDefault="0083254F">
      <w:pPr>
        <w:pStyle w:val="CommentText"/>
      </w:pPr>
      <w:r>
        <w:rPr>
          <w:rStyle w:val="CommentReference"/>
        </w:rPr>
        <w:annotationRef/>
      </w:r>
      <w:r>
        <w:t xml:space="preserve">Both reference are same write end of the second  </w:t>
      </w:r>
    </w:p>
  </w:comment>
  <w:comment w:id="15" w:author="abyss" w:date="2026-02-01T12:54:00Z" w:initials="a">
    <w:p w14:paraId="560AFC54" w14:textId="20DA7099" w:rsidR="005968D1" w:rsidRDefault="005968D1">
      <w:pPr>
        <w:pStyle w:val="CommentText"/>
      </w:pPr>
      <w:r>
        <w:rPr>
          <w:rStyle w:val="CommentReference"/>
        </w:rPr>
        <w:annotationRef/>
      </w:r>
      <w:r>
        <w:rPr>
          <w:rFonts w:ascii="Segoe UI" w:hAnsi="Segoe UI" w:cs="Segoe UI"/>
          <w:color w:val="0F1115"/>
          <w:shd w:val="clear" w:color="auto" w:fill="FFFFFF"/>
        </w:rPr>
        <w:t>contains</w:t>
      </w:r>
    </w:p>
  </w:comment>
  <w:comment w:id="16" w:author="abyss" w:date="2026-02-01T12:26:00Z" w:initials="a">
    <w:p w14:paraId="5E97F8D3" w14:textId="08CD0A9B" w:rsidR="001C77C1" w:rsidRDefault="001C77C1">
      <w:pPr>
        <w:pStyle w:val="CommentText"/>
      </w:pPr>
      <w:r>
        <w:rPr>
          <w:rStyle w:val="CommentReference"/>
        </w:rPr>
        <w:annotationRef/>
      </w:r>
      <w:r>
        <w:rPr>
          <w:rFonts w:ascii="Segoe UI" w:hAnsi="Segoe UI" w:cs="Segoe UI"/>
          <w:color w:val="0F1115"/>
          <w:shd w:val="clear" w:color="auto" w:fill="FFFFFF"/>
        </w:rPr>
        <w:t xml:space="preserve">Cited in referent list </w:t>
      </w:r>
      <w:r>
        <w:rPr>
          <w:rFonts w:ascii="Segoe UI" w:hAnsi="Segoe UI" w:cs="Segoe UI"/>
          <w:color w:val="0F1115"/>
          <w:shd w:val="clear" w:color="auto" w:fill="FFFFFF"/>
        </w:rPr>
        <w:t>but </w:t>
      </w:r>
      <w:r>
        <w:rPr>
          <w:rStyle w:val="Strong"/>
          <w:rFonts w:ascii="Segoe UI" w:hAnsi="Segoe UI" w:cs="Segoe UI"/>
          <w:color w:val="0F1115"/>
          <w:shd w:val="clear" w:color="auto" w:fill="FFFFFF"/>
        </w:rPr>
        <w:t>not found</w:t>
      </w:r>
      <w:r>
        <w:rPr>
          <w:rFonts w:ascii="Segoe UI" w:hAnsi="Segoe UI" w:cs="Segoe UI"/>
          <w:color w:val="0F1115"/>
          <w:shd w:val="clear" w:color="auto" w:fill="FFFFFF"/>
        </w:rPr>
        <w:t xml:space="preserve"> in </w:t>
      </w:r>
      <w:r>
        <w:rPr>
          <w:rFonts w:ascii="Segoe UI" w:hAnsi="Segoe UI" w:cs="Segoe UI"/>
          <w:color w:val="0F1115"/>
          <w:shd w:val="clear" w:color="auto" w:fill="FFFFFF"/>
        </w:rPr>
        <w:t>text</w:t>
      </w:r>
    </w:p>
  </w:comment>
  <w:comment w:id="18" w:author="abyss" w:date="2026-02-01T12:18:00Z" w:initials="a">
    <w:p w14:paraId="63A06EBD" w14:textId="63404BAD" w:rsidR="00047CFC" w:rsidRDefault="00047CFC">
      <w:pPr>
        <w:pStyle w:val="CommentText"/>
      </w:pPr>
      <w:r>
        <w:rPr>
          <w:rStyle w:val="CommentReference"/>
        </w:rPr>
        <w:annotationRef/>
      </w:r>
      <w:r>
        <w:t>Not Found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4941FF" w15:done="0"/>
  <w15:commentEx w15:paraId="03D6E54E" w15:done="0"/>
  <w15:commentEx w15:paraId="3D1C9BD9" w15:done="0"/>
  <w15:commentEx w15:paraId="16381184" w15:done="0"/>
  <w15:commentEx w15:paraId="4DBDEB9D" w15:done="0"/>
  <w15:commentEx w15:paraId="318B4AF9" w15:done="0"/>
  <w15:commentEx w15:paraId="7BF039DB" w15:done="0"/>
  <w15:commentEx w15:paraId="64B4DE08" w15:done="0"/>
  <w15:commentEx w15:paraId="68BDEB6A" w15:done="0"/>
  <w15:commentEx w15:paraId="560AFC54" w15:done="0"/>
  <w15:commentEx w15:paraId="5E97F8D3" w15:done="0"/>
  <w15:commentEx w15:paraId="63A06EB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C33A6" w14:textId="77777777" w:rsidR="005C7C32" w:rsidRDefault="005C7C32" w:rsidP="00C37E61">
      <w:r>
        <w:separator/>
      </w:r>
    </w:p>
  </w:endnote>
  <w:endnote w:type="continuationSeparator" w:id="0">
    <w:p w14:paraId="2B8EC75D" w14:textId="77777777" w:rsidR="005C7C32" w:rsidRDefault="005C7C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4EE7C" w14:textId="77777777" w:rsidR="00EA4E18" w:rsidRDefault="00EA4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27498" w14:textId="77777777" w:rsidR="00EA4E18" w:rsidRDefault="00EA4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A580" w14:textId="77777777" w:rsidR="009E048A" w:rsidRDefault="009E048A">
    <w:pPr>
      <w:pStyle w:val="Footer"/>
      <w:rPr>
        <w:rFonts w:ascii="Arial" w:hAnsi="Arial" w:cs="Arial"/>
        <w:sz w:val="16"/>
      </w:rPr>
    </w:pPr>
  </w:p>
  <w:p w14:paraId="3199E8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6A2E05" w14:textId="77777777" w:rsidR="009E048A" w:rsidRDefault="009E048A">
    <w:pPr>
      <w:pStyle w:val="Footer"/>
      <w:rPr>
        <w:rFonts w:ascii="Arial" w:hAnsi="Arial" w:cs="Arial"/>
        <w:sz w:val="16"/>
      </w:rPr>
    </w:pPr>
  </w:p>
  <w:p w14:paraId="1C746A55" w14:textId="3D3BF5C3"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5B7F5" w14:textId="77777777" w:rsidR="005C7C32" w:rsidRDefault="005C7C32" w:rsidP="00C37E61">
      <w:r>
        <w:separator/>
      </w:r>
    </w:p>
  </w:footnote>
  <w:footnote w:type="continuationSeparator" w:id="0">
    <w:p w14:paraId="6CF83135" w14:textId="77777777" w:rsidR="005C7C32" w:rsidRDefault="005C7C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6B470" w14:textId="6D26A64C" w:rsidR="00EA4E18" w:rsidRDefault="005C7C32">
    <w:pPr>
      <w:pStyle w:val="Header"/>
    </w:pPr>
    <w:r>
      <w:rPr>
        <w:noProof/>
      </w:rPr>
      <w:pict w14:anchorId="75237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3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D5CF8" w14:textId="096808FF" w:rsidR="00EA4E18" w:rsidRDefault="005C7C32">
    <w:pPr>
      <w:pStyle w:val="Header"/>
    </w:pPr>
    <w:r>
      <w:rPr>
        <w:noProof/>
      </w:rPr>
      <w:pict w14:anchorId="0B850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3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89332" w14:textId="3FB2EDBA" w:rsidR="00296529" w:rsidRPr="00296529" w:rsidRDefault="005C7C32" w:rsidP="00296529">
    <w:pPr>
      <w:ind w:left="2160"/>
      <w:jc w:val="center"/>
      <w:rPr>
        <w:rFonts w:ascii="Times New Roman" w:eastAsia="Calibri" w:hAnsi="Times New Roman"/>
        <w:i/>
        <w:sz w:val="18"/>
        <w:szCs w:val="22"/>
      </w:rPr>
    </w:pPr>
    <w:r>
      <w:rPr>
        <w:noProof/>
      </w:rPr>
      <w:pict w14:anchorId="5FBF0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32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9396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1180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70F62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A0222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4A8F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60B1F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A4405E8"/>
    <w:multiLevelType w:val="hybridMultilevel"/>
    <w:tmpl w:val="B0483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yss">
    <w15:presenceInfo w15:providerId="None" w15:userId="aby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0645"/>
    <w:rsid w:val="0004579C"/>
    <w:rsid w:val="00047CF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7296"/>
    <w:rsid w:val="001A29D8"/>
    <w:rsid w:val="001A5CAA"/>
    <w:rsid w:val="001B0427"/>
    <w:rsid w:val="001C5EC5"/>
    <w:rsid w:val="001C77C1"/>
    <w:rsid w:val="001D3A51"/>
    <w:rsid w:val="001E10D2"/>
    <w:rsid w:val="001E25B4"/>
    <w:rsid w:val="001E44FE"/>
    <w:rsid w:val="00200595"/>
    <w:rsid w:val="00204835"/>
    <w:rsid w:val="00231920"/>
    <w:rsid w:val="0023195C"/>
    <w:rsid w:val="00233677"/>
    <w:rsid w:val="0024282C"/>
    <w:rsid w:val="002460DC"/>
    <w:rsid w:val="00250985"/>
    <w:rsid w:val="002556F6"/>
    <w:rsid w:val="00283105"/>
    <w:rsid w:val="00284C4C"/>
    <w:rsid w:val="00287E68"/>
    <w:rsid w:val="002907C0"/>
    <w:rsid w:val="00293E20"/>
    <w:rsid w:val="00296529"/>
    <w:rsid w:val="002B27FB"/>
    <w:rsid w:val="002B685A"/>
    <w:rsid w:val="002C57D2"/>
    <w:rsid w:val="002E0D56"/>
    <w:rsid w:val="00315186"/>
    <w:rsid w:val="00320288"/>
    <w:rsid w:val="00330867"/>
    <w:rsid w:val="0033343E"/>
    <w:rsid w:val="003512C2"/>
    <w:rsid w:val="00371FB6"/>
    <w:rsid w:val="003763C1"/>
    <w:rsid w:val="00376BBE"/>
    <w:rsid w:val="0039224F"/>
    <w:rsid w:val="003A43A4"/>
    <w:rsid w:val="003A7E18"/>
    <w:rsid w:val="003C4C86"/>
    <w:rsid w:val="003C6258"/>
    <w:rsid w:val="003E2904"/>
    <w:rsid w:val="00401927"/>
    <w:rsid w:val="00406279"/>
    <w:rsid w:val="0041027F"/>
    <w:rsid w:val="00412475"/>
    <w:rsid w:val="00423789"/>
    <w:rsid w:val="00440F43"/>
    <w:rsid w:val="00441B6F"/>
    <w:rsid w:val="00446221"/>
    <w:rsid w:val="00450E62"/>
    <w:rsid w:val="004539DB"/>
    <w:rsid w:val="00471A80"/>
    <w:rsid w:val="00486DE9"/>
    <w:rsid w:val="00493BF4"/>
    <w:rsid w:val="004D305E"/>
    <w:rsid w:val="004D4277"/>
    <w:rsid w:val="00502516"/>
    <w:rsid w:val="00505F06"/>
    <w:rsid w:val="00506828"/>
    <w:rsid w:val="00527EB5"/>
    <w:rsid w:val="0053056E"/>
    <w:rsid w:val="00545CED"/>
    <w:rsid w:val="00552985"/>
    <w:rsid w:val="00554FDA"/>
    <w:rsid w:val="005968D1"/>
    <w:rsid w:val="005C784C"/>
    <w:rsid w:val="005C7C32"/>
    <w:rsid w:val="005D17F6"/>
    <w:rsid w:val="005E5539"/>
    <w:rsid w:val="00602BF5"/>
    <w:rsid w:val="00602CA6"/>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ADE"/>
    <w:rsid w:val="006F11EC"/>
    <w:rsid w:val="0070082C"/>
    <w:rsid w:val="007369E6"/>
    <w:rsid w:val="00746E59"/>
    <w:rsid w:val="00754C9A"/>
    <w:rsid w:val="0075599A"/>
    <w:rsid w:val="00761D52"/>
    <w:rsid w:val="0077749E"/>
    <w:rsid w:val="00790016"/>
    <w:rsid w:val="00790ADA"/>
    <w:rsid w:val="007B1638"/>
    <w:rsid w:val="007D2288"/>
    <w:rsid w:val="007D22CF"/>
    <w:rsid w:val="007E088F"/>
    <w:rsid w:val="007F7B32"/>
    <w:rsid w:val="00804BC2"/>
    <w:rsid w:val="0081431A"/>
    <w:rsid w:val="0083216F"/>
    <w:rsid w:val="0083254F"/>
    <w:rsid w:val="00853BE9"/>
    <w:rsid w:val="00860000"/>
    <w:rsid w:val="00863BD3"/>
    <w:rsid w:val="008641ED"/>
    <w:rsid w:val="00866D66"/>
    <w:rsid w:val="008671C6"/>
    <w:rsid w:val="008732BC"/>
    <w:rsid w:val="00875803"/>
    <w:rsid w:val="00887D2C"/>
    <w:rsid w:val="008B459E"/>
    <w:rsid w:val="008D0B79"/>
    <w:rsid w:val="008E13AE"/>
    <w:rsid w:val="008E1506"/>
    <w:rsid w:val="008E710C"/>
    <w:rsid w:val="008F69D6"/>
    <w:rsid w:val="00902823"/>
    <w:rsid w:val="009123CF"/>
    <w:rsid w:val="00913499"/>
    <w:rsid w:val="00915CA6"/>
    <w:rsid w:val="00927834"/>
    <w:rsid w:val="0094017C"/>
    <w:rsid w:val="009500A6"/>
    <w:rsid w:val="00957C18"/>
    <w:rsid w:val="009659BA"/>
    <w:rsid w:val="00983040"/>
    <w:rsid w:val="009B3FB9"/>
    <w:rsid w:val="009C2465"/>
    <w:rsid w:val="009D35A0"/>
    <w:rsid w:val="009D7EB7"/>
    <w:rsid w:val="009E048A"/>
    <w:rsid w:val="009E08E9"/>
    <w:rsid w:val="009E3DB9"/>
    <w:rsid w:val="009E6E35"/>
    <w:rsid w:val="009F0EDA"/>
    <w:rsid w:val="009F3B61"/>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397B"/>
    <w:rsid w:val="00B01FCD"/>
    <w:rsid w:val="00B1776C"/>
    <w:rsid w:val="00B27CC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78D3"/>
    <w:rsid w:val="00C70F1B"/>
    <w:rsid w:val="00C71A47"/>
    <w:rsid w:val="00C7464C"/>
    <w:rsid w:val="00C85588"/>
    <w:rsid w:val="00CC0C1B"/>
    <w:rsid w:val="00CD6755"/>
    <w:rsid w:val="00CD6856"/>
    <w:rsid w:val="00CE0089"/>
    <w:rsid w:val="00CE793C"/>
    <w:rsid w:val="00CF193C"/>
    <w:rsid w:val="00D173F1"/>
    <w:rsid w:val="00D74CB0"/>
    <w:rsid w:val="00D8295D"/>
    <w:rsid w:val="00DC04C0"/>
    <w:rsid w:val="00DC2A65"/>
    <w:rsid w:val="00DE15F0"/>
    <w:rsid w:val="00DE5663"/>
    <w:rsid w:val="00DE78AA"/>
    <w:rsid w:val="00E053D0"/>
    <w:rsid w:val="00E15994"/>
    <w:rsid w:val="00E30BB9"/>
    <w:rsid w:val="00E3114E"/>
    <w:rsid w:val="00E31A70"/>
    <w:rsid w:val="00E35B02"/>
    <w:rsid w:val="00E64BE8"/>
    <w:rsid w:val="00E66496"/>
    <w:rsid w:val="00E66B35"/>
    <w:rsid w:val="00E66E10"/>
    <w:rsid w:val="00E769F6"/>
    <w:rsid w:val="00E8407C"/>
    <w:rsid w:val="00E84F3C"/>
    <w:rsid w:val="00EA012C"/>
    <w:rsid w:val="00EA4E18"/>
    <w:rsid w:val="00EC6A55"/>
    <w:rsid w:val="00ED0288"/>
    <w:rsid w:val="00EE23D3"/>
    <w:rsid w:val="00EE52CB"/>
    <w:rsid w:val="00EF581D"/>
    <w:rsid w:val="00EF7FD8"/>
    <w:rsid w:val="00F06F59"/>
    <w:rsid w:val="00F17988"/>
    <w:rsid w:val="00F34B1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770C9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F3B61"/>
    <w:pPr>
      <w:ind w:left="720"/>
      <w:contextualSpacing/>
    </w:pPr>
  </w:style>
  <w:style w:type="paragraph" w:styleId="CommentSubject">
    <w:name w:val="annotation subject"/>
    <w:basedOn w:val="CommentText"/>
    <w:next w:val="CommentText"/>
    <w:link w:val="CommentSubjectChar"/>
    <w:semiHidden/>
    <w:unhideWhenUsed/>
    <w:rsid w:val="0083254F"/>
    <w:rPr>
      <w:rFonts w:ascii="Helvetica" w:hAnsi="Helvetica"/>
      <w:b/>
      <w:bCs/>
      <w:lang w:val="en-US" w:eastAsia="en-US"/>
    </w:rPr>
  </w:style>
  <w:style w:type="character" w:customStyle="1" w:styleId="CommentSubjectChar">
    <w:name w:val="Comment Subject Char"/>
    <w:basedOn w:val="CommentTextChar"/>
    <w:link w:val="CommentSubject"/>
    <w:semiHidden/>
    <w:rsid w:val="0083254F"/>
    <w:rPr>
      <w:rFonts w:ascii="Helvetica" w:hAnsi="Helvetica"/>
      <w:b/>
      <w:bCs/>
      <w:lang w:val="nb-NO" w:eastAsia="nb-NO"/>
    </w:rPr>
  </w:style>
  <w:style w:type="character" w:styleId="Strong">
    <w:name w:val="Strong"/>
    <w:basedOn w:val="DefaultParagraphFont"/>
    <w:uiPriority w:val="22"/>
    <w:qFormat/>
    <w:rsid w:val="001C7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9/UPCON59197.2023.10434688" TargetMode="External"/><Relationship Id="rId26" Type="http://schemas.openxmlformats.org/officeDocument/2006/relationships/hyperlink" Target="https://doi.org/10.1016/j.envint.2019.105078" TargetMode="External"/><Relationship Id="rId39" Type="http://schemas.openxmlformats.org/officeDocument/2006/relationships/hyperlink" Target="https://doi.org/10.3390/foods14020262" TargetMode="External"/><Relationship Id="rId21" Type="http://schemas.openxmlformats.org/officeDocument/2006/relationships/hyperlink" Target="https://doi.org/10.20546/ijcmas.2020.908.206" TargetMode="External"/><Relationship Id="rId34" Type="http://schemas.openxmlformats.org/officeDocument/2006/relationships/hyperlink" Target="https://doi.org/10.1016/j.sciaf.2021.e01053" TargetMode="External"/><Relationship Id="rId42" Type="http://schemas.openxmlformats.org/officeDocument/2006/relationships/hyperlink" Target="https://doi.org/10.3390/ani1417255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478/mjhr-2019-0012" TargetMode="External"/><Relationship Id="rId29" Type="http://schemas.openxmlformats.org/officeDocument/2006/relationships/hyperlink" Target="https://doi.org/10.3389/fnut.2021.6616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raq.12412" TargetMode="External"/><Relationship Id="rId32" Type="http://schemas.openxmlformats.org/officeDocument/2006/relationships/hyperlink" Target="https://doi.org/10.1111/jwas.13049" TargetMode="External"/><Relationship Id="rId37" Type="http://schemas.openxmlformats.org/officeDocument/2006/relationships/hyperlink" Target="https://doi.org/10.3390/agriculture8070110" TargetMode="External"/><Relationship Id="rId40" Type="http://schemas.openxmlformats.org/officeDocument/2006/relationships/hyperlink" Target="https://doi.org/10.1088/1757-899X/835/1/01202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16/j.aaf.2020.07.017" TargetMode="External"/><Relationship Id="rId28" Type="http://schemas.openxmlformats.org/officeDocument/2006/relationships/hyperlink" Target="https://doi.org/10.3390/w16172525" TargetMode="External"/><Relationship Id="rId36" Type="http://schemas.openxmlformats.org/officeDocument/2006/relationships/hyperlink" Target="https://doi.org/10.1093/tas/txz012" TargetMode="External"/><Relationship Id="rId10" Type="http://schemas.openxmlformats.org/officeDocument/2006/relationships/footer" Target="footer1.xml"/><Relationship Id="rId19" Type="http://schemas.openxmlformats.org/officeDocument/2006/relationships/hyperlink" Target="https://doi.org/10.3390/foods9030369" TargetMode="External"/><Relationship Id="rId31" Type="http://schemas.openxmlformats.org/officeDocument/2006/relationships/hyperlink" Target="https://doi.org/10.1111/jwas.13116"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26832/24566632.2022.0701017" TargetMode="External"/><Relationship Id="rId27" Type="http://schemas.openxmlformats.org/officeDocument/2006/relationships/hyperlink" Target="https://doi.org/10.1111/lre.12449" TargetMode="External"/><Relationship Id="rId30" Type="http://schemas.openxmlformats.org/officeDocument/2006/relationships/hyperlink" Target="https://doi.org/10.3389/fnut.2021.780844" TargetMode="External"/><Relationship Id="rId35" Type="http://schemas.openxmlformats.org/officeDocument/2006/relationships/hyperlink" Target="https://doi.org/10.1002/fsn3.3154"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2/aff2.108" TargetMode="External"/><Relationship Id="rId25" Type="http://schemas.openxmlformats.org/officeDocument/2006/relationships/hyperlink" Target="https://doi.org/10.1080/19475705.2018.1541257" TargetMode="External"/><Relationship Id="rId33" Type="http://schemas.openxmlformats.org/officeDocument/2006/relationships/hyperlink" Target="https://doi.org/10.3389/fsufs.2021.705549" TargetMode="External"/><Relationship Id="rId38" Type="http://schemas.openxmlformats.org/officeDocument/2006/relationships/hyperlink" Target="https://doi.org/10.1016/j.gfs.2017.09.005" TargetMode="External"/><Relationship Id="rId20" Type="http://schemas.openxmlformats.org/officeDocument/2006/relationships/hyperlink" Target="https://doi.org/10.1080/14735903.2017.1293929" TargetMode="External"/><Relationship Id="rId41" Type="http://schemas.openxmlformats.org/officeDocument/2006/relationships/hyperlink" Target="https://doi.org/10.1371/journal.pone.02616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A589E-C51E-44B5-8CB3-E0D3A53B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12</Pages>
  <Words>19631</Words>
  <Characters>111897</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131266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abyss</cp:lastModifiedBy>
  <cp:revision>40</cp:revision>
  <cp:lastPrinted>1999-07-06T11:00:00Z</cp:lastPrinted>
  <dcterms:created xsi:type="dcterms:W3CDTF">2014-10-25T14:34:00Z</dcterms:created>
  <dcterms:modified xsi:type="dcterms:W3CDTF">2026-02-01T07:27:00Z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9936b7d1-7043-4a11-8c07-75841bcb9a14</vt:lpwstr>
  </property>
</Properties>
</file>