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0AD623" w14:textId="77777777" w:rsidR="0097618E" w:rsidRPr="00A1383C" w:rsidRDefault="0097618E" w:rsidP="007B402D">
      <w:pPr>
        <w:spacing w:after="0" w:line="240" w:lineRule="auto"/>
        <w:jc w:val="center"/>
        <w:rPr>
          <w:rFonts w:ascii="Times New Roman" w:hAnsi="Times New Roman"/>
          <w:b/>
          <w:bCs/>
          <w:sz w:val="24"/>
          <w:szCs w:val="24"/>
        </w:rPr>
      </w:pPr>
      <w:commentRangeStart w:id="0"/>
      <w:r w:rsidRPr="00A1383C">
        <w:rPr>
          <w:rFonts w:ascii="Times New Roman" w:hAnsi="Times New Roman"/>
          <w:b/>
          <w:bCs/>
          <w:sz w:val="24"/>
          <w:szCs w:val="24"/>
        </w:rPr>
        <w:t xml:space="preserve">COMPARATIVE EVALUATION OF THERAPEUTIC REGIMENS FOR </w:t>
      </w:r>
      <w:r w:rsidRPr="00A1383C">
        <w:rPr>
          <w:rFonts w:ascii="Times New Roman" w:hAnsi="Times New Roman"/>
          <w:b/>
          <w:bCs/>
          <w:i/>
          <w:iCs/>
          <w:sz w:val="24"/>
          <w:szCs w:val="24"/>
        </w:rPr>
        <w:t>PSEUDOMONAS</w:t>
      </w:r>
      <w:r w:rsidRPr="00A1383C">
        <w:rPr>
          <w:rFonts w:ascii="Times New Roman" w:hAnsi="Times New Roman"/>
          <w:b/>
          <w:bCs/>
          <w:sz w:val="24"/>
          <w:szCs w:val="24"/>
        </w:rPr>
        <w:t xml:space="preserve">-ASSOCIATED OTITIS EXTERNA IN DOGS </w:t>
      </w:r>
    </w:p>
    <w:p w14:paraId="5C6744A5" w14:textId="77777777" w:rsidR="00796DFB" w:rsidRPr="00A1383C" w:rsidRDefault="00796DFB" w:rsidP="00796DFB">
      <w:pPr>
        <w:spacing w:after="0" w:line="240" w:lineRule="auto"/>
        <w:jc w:val="center"/>
        <w:rPr>
          <w:rFonts w:ascii="Times New Roman" w:hAnsi="Times New Roman"/>
          <w:b/>
          <w:bCs/>
          <w:sz w:val="24"/>
          <w:szCs w:val="24"/>
        </w:rPr>
      </w:pPr>
    </w:p>
    <w:commentRangeEnd w:id="0"/>
    <w:p w14:paraId="35B62C58" w14:textId="56A03525" w:rsidR="00B0626F" w:rsidRDefault="00151101" w:rsidP="00796DFB">
      <w:pPr>
        <w:pStyle w:val="Default"/>
        <w:rPr>
          <w:rFonts w:ascii="Times New Roman" w:hAnsi="Times New Roman" w:cs="Times New Roman"/>
          <w:color w:val="auto"/>
        </w:rPr>
      </w:pPr>
      <w:r>
        <w:rPr>
          <w:rStyle w:val="CommentReference"/>
          <w:rFonts w:ascii="Calibri" w:eastAsia="Calibri" w:hAnsi="Calibri" w:cs="Times New Roman"/>
          <w:color w:val="auto"/>
        </w:rPr>
        <w:commentReference w:id="0"/>
      </w:r>
    </w:p>
    <w:p w14:paraId="5B23AED2" w14:textId="77777777" w:rsidR="00B364EE" w:rsidRPr="00A1383C" w:rsidRDefault="00B364EE" w:rsidP="00796DFB">
      <w:pPr>
        <w:pStyle w:val="Default"/>
        <w:rPr>
          <w:rFonts w:ascii="Times New Roman" w:hAnsi="Times New Roman" w:cs="Times New Roman"/>
          <w:color w:val="auto"/>
        </w:rPr>
      </w:pPr>
    </w:p>
    <w:p w14:paraId="654D2B3E" w14:textId="77777777" w:rsidR="00796DFB" w:rsidRPr="00A1383C" w:rsidRDefault="00796DFB" w:rsidP="007B402D">
      <w:pPr>
        <w:spacing w:after="0" w:line="240" w:lineRule="auto"/>
        <w:jc w:val="center"/>
        <w:rPr>
          <w:rFonts w:ascii="Times New Roman" w:hAnsi="Times New Roman"/>
          <w:b/>
          <w:bCs/>
          <w:sz w:val="24"/>
          <w:szCs w:val="24"/>
        </w:rPr>
      </w:pPr>
    </w:p>
    <w:p w14:paraId="21AD2A54" w14:textId="7B1B0B84" w:rsidR="0097618E" w:rsidRPr="00A1383C" w:rsidRDefault="00C43189" w:rsidP="007B402D">
      <w:pPr>
        <w:spacing w:after="0" w:line="240" w:lineRule="auto"/>
        <w:jc w:val="center"/>
        <w:rPr>
          <w:rFonts w:ascii="Times New Roman" w:hAnsi="Times New Roman"/>
          <w:b/>
          <w:bCs/>
          <w:sz w:val="24"/>
          <w:szCs w:val="24"/>
        </w:rPr>
      </w:pPr>
      <w:commentRangeStart w:id="1"/>
      <w:r>
        <w:rPr>
          <w:rFonts w:ascii="Times New Roman" w:hAnsi="Times New Roman"/>
          <w:b/>
          <w:bCs/>
          <w:sz w:val="24"/>
          <w:szCs w:val="24"/>
        </w:rPr>
        <w:t>ABSTRACT</w:t>
      </w:r>
      <w:commentRangeEnd w:id="1"/>
      <w:r w:rsidR="00151101">
        <w:rPr>
          <w:rStyle w:val="CommentReference"/>
        </w:rPr>
        <w:commentReference w:id="1"/>
      </w:r>
    </w:p>
    <w:p w14:paraId="52D0FEC8" w14:textId="77777777" w:rsidR="009F7D38" w:rsidRPr="00A1383C" w:rsidRDefault="009F7D38" w:rsidP="009F7D38">
      <w:pPr>
        <w:pStyle w:val="Default"/>
        <w:jc w:val="center"/>
        <w:rPr>
          <w:rFonts w:ascii="Times New Roman" w:hAnsi="Times New Roman" w:cs="Times New Roman"/>
          <w:b/>
          <w:bCs/>
          <w:color w:val="auto"/>
        </w:rPr>
      </w:pPr>
    </w:p>
    <w:p w14:paraId="77783484" w14:textId="41907C32" w:rsidR="009F7D38" w:rsidRPr="00A1383C" w:rsidRDefault="009F7D38" w:rsidP="00BA744F">
      <w:pPr>
        <w:pStyle w:val="Default"/>
        <w:spacing w:line="480" w:lineRule="auto"/>
        <w:jc w:val="both"/>
        <w:rPr>
          <w:rFonts w:ascii="Times New Roman" w:hAnsi="Times New Roman" w:cs="Times New Roman"/>
          <w:color w:val="auto"/>
        </w:rPr>
      </w:pPr>
      <w:r w:rsidRPr="00A1383C">
        <w:rPr>
          <w:rFonts w:ascii="Times New Roman" w:hAnsi="Times New Roman" w:cs="Times New Roman"/>
          <w:b/>
          <w:bCs/>
          <w:color w:val="auto"/>
        </w:rPr>
        <w:t xml:space="preserve">Aims: </w:t>
      </w:r>
      <w:r w:rsidRPr="00A1383C">
        <w:rPr>
          <w:rFonts w:ascii="Times New Roman" w:hAnsi="Times New Roman" w:cs="Times New Roman"/>
          <w:color w:val="auto"/>
        </w:rPr>
        <w:t xml:space="preserve">The present study was conducted to compare therapeutic efficacy of three different treatment regimens in otitis externa caused </w:t>
      </w:r>
      <w:r w:rsidRPr="00A1383C">
        <w:rPr>
          <w:rFonts w:ascii="Times New Roman" w:hAnsi="Times New Roman" w:cs="Times New Roman"/>
          <w:i/>
          <w:iCs/>
          <w:color w:val="auto"/>
        </w:rPr>
        <w:t>by Pseudomonas</w:t>
      </w:r>
      <w:r w:rsidRPr="00A1383C">
        <w:rPr>
          <w:rFonts w:ascii="Times New Roman" w:hAnsi="Times New Roman" w:cs="Times New Roman"/>
          <w:color w:val="auto"/>
        </w:rPr>
        <w:t xml:space="preserve"> spp. in dogs.</w:t>
      </w:r>
    </w:p>
    <w:p w14:paraId="5983B49F" w14:textId="0754B819" w:rsidR="009F7D38" w:rsidRPr="00A1383C" w:rsidRDefault="009F7D38" w:rsidP="00BA744F">
      <w:pPr>
        <w:pStyle w:val="Default"/>
        <w:spacing w:line="480" w:lineRule="auto"/>
        <w:jc w:val="both"/>
        <w:rPr>
          <w:rFonts w:ascii="Times New Roman" w:hAnsi="Times New Roman" w:cs="Times New Roman"/>
          <w:color w:val="auto"/>
        </w:rPr>
      </w:pPr>
      <w:r w:rsidRPr="00A1383C">
        <w:rPr>
          <w:rFonts w:ascii="Times New Roman" w:hAnsi="Times New Roman" w:cs="Times New Roman"/>
          <w:b/>
          <w:bCs/>
          <w:color w:val="auto"/>
        </w:rPr>
        <w:t xml:space="preserve">Study Design: </w:t>
      </w:r>
      <w:r w:rsidRPr="00A1383C">
        <w:rPr>
          <w:rFonts w:ascii="Times New Roman" w:hAnsi="Times New Roman" w:cs="Times New Roman"/>
          <w:color w:val="auto"/>
        </w:rPr>
        <w:t>Clinical study</w:t>
      </w:r>
      <w:r w:rsidR="00BA744F" w:rsidRPr="00A1383C">
        <w:rPr>
          <w:rFonts w:ascii="Times New Roman" w:hAnsi="Times New Roman" w:cs="Times New Roman"/>
          <w:color w:val="auto"/>
        </w:rPr>
        <w:t xml:space="preserve"> involving canine otitis externa patients caused by</w:t>
      </w:r>
      <w:r w:rsidR="00BA744F" w:rsidRPr="00A1383C">
        <w:rPr>
          <w:rFonts w:ascii="Times New Roman" w:hAnsi="Times New Roman" w:cs="Times New Roman"/>
          <w:i/>
          <w:iCs/>
          <w:color w:val="auto"/>
        </w:rPr>
        <w:t xml:space="preserve"> Pseudomonas</w:t>
      </w:r>
      <w:r w:rsidR="00BA744F" w:rsidRPr="00A1383C">
        <w:rPr>
          <w:rFonts w:ascii="Times New Roman" w:hAnsi="Times New Roman" w:cs="Times New Roman"/>
          <w:color w:val="auto"/>
        </w:rPr>
        <w:t xml:space="preserve"> spp. in dogs were subjected to different treatment protocols along with daily flushing of ear canal to compare therapeutic efficacy.</w:t>
      </w:r>
    </w:p>
    <w:p w14:paraId="2CB51D97" w14:textId="5568BE44" w:rsidR="009F7D38" w:rsidRPr="00A1383C" w:rsidRDefault="009F7D38" w:rsidP="00BA744F">
      <w:pPr>
        <w:pStyle w:val="Default"/>
        <w:spacing w:line="480" w:lineRule="auto"/>
        <w:jc w:val="both"/>
        <w:rPr>
          <w:rFonts w:ascii="Times New Roman" w:hAnsi="Times New Roman" w:cs="Times New Roman"/>
          <w:color w:val="auto"/>
        </w:rPr>
      </w:pPr>
      <w:r w:rsidRPr="00A1383C">
        <w:rPr>
          <w:rFonts w:ascii="Times New Roman" w:hAnsi="Times New Roman" w:cs="Times New Roman"/>
          <w:b/>
          <w:bCs/>
          <w:color w:val="auto"/>
        </w:rPr>
        <w:t>Place and Duration of Study:</w:t>
      </w:r>
      <w:r w:rsidRPr="00A1383C">
        <w:rPr>
          <w:rFonts w:ascii="Times New Roman" w:hAnsi="Times New Roman" w:cs="Times New Roman"/>
          <w:color w:val="auto"/>
        </w:rPr>
        <w:t xml:space="preserve"> Ear swab samples from otitis externa affected dogs were</w:t>
      </w:r>
      <w:r w:rsidRPr="00A1383C">
        <w:rPr>
          <w:rFonts w:ascii="Times New Roman" w:hAnsi="Times New Roman" w:cs="Times New Roman"/>
          <w:b/>
          <w:bCs/>
          <w:color w:val="auto"/>
        </w:rPr>
        <w:t xml:space="preserve"> </w:t>
      </w:r>
      <w:r w:rsidRPr="00A1383C">
        <w:rPr>
          <w:rFonts w:ascii="Times New Roman" w:hAnsi="Times New Roman" w:cs="Times New Roman"/>
          <w:color w:val="auto"/>
        </w:rPr>
        <w:t xml:space="preserve">collected </w:t>
      </w:r>
      <w:r w:rsidR="00BA744F" w:rsidRPr="00A1383C">
        <w:rPr>
          <w:rFonts w:ascii="Times New Roman" w:hAnsi="Times New Roman" w:cs="Times New Roman"/>
          <w:color w:val="auto"/>
        </w:rPr>
        <w:t xml:space="preserve">for a period of </w:t>
      </w:r>
      <w:r w:rsidR="00892C30" w:rsidRPr="00A1383C">
        <w:rPr>
          <w:rFonts w:ascii="Times New Roman" w:hAnsi="Times New Roman" w:cs="Times New Roman"/>
          <w:color w:val="auto"/>
        </w:rPr>
        <w:t>09</w:t>
      </w:r>
      <w:r w:rsidR="00BA744F" w:rsidRPr="00A1383C">
        <w:rPr>
          <w:rFonts w:ascii="Times New Roman" w:hAnsi="Times New Roman" w:cs="Times New Roman"/>
          <w:color w:val="auto"/>
        </w:rPr>
        <w:t xml:space="preserve"> months from January</w:t>
      </w:r>
      <w:r w:rsidR="00892C30" w:rsidRPr="00A1383C">
        <w:rPr>
          <w:rFonts w:ascii="Times New Roman" w:hAnsi="Times New Roman" w:cs="Times New Roman"/>
          <w:color w:val="auto"/>
        </w:rPr>
        <w:t xml:space="preserve"> to September, 2022 </w:t>
      </w:r>
      <w:r w:rsidRPr="00A1383C">
        <w:rPr>
          <w:rFonts w:ascii="Times New Roman" w:hAnsi="Times New Roman" w:cs="Times New Roman"/>
          <w:color w:val="auto"/>
        </w:rPr>
        <w:t xml:space="preserve">from </w:t>
      </w:r>
      <w:r w:rsidR="008A773F" w:rsidRPr="00A1383C">
        <w:rPr>
          <w:rFonts w:ascii="Times New Roman" w:hAnsi="Times New Roman" w:cs="Times New Roman"/>
          <w:color w:val="auto"/>
        </w:rPr>
        <w:t xml:space="preserve">Teaching Veterinary Clinical Complex, College of Veterinary Science and Animal Husbandry, Anjora, Durg (C.G.) and various Government Veterinary Hospitals and Private Pet Clinics in and around Durg </w:t>
      </w:r>
      <w:r w:rsidRPr="00A1383C">
        <w:rPr>
          <w:rFonts w:ascii="Times New Roman" w:hAnsi="Times New Roman" w:cs="Times New Roman"/>
          <w:color w:val="auto"/>
        </w:rPr>
        <w:t>district of Chhattisgarh</w:t>
      </w:r>
      <w:r w:rsidR="00BA744F" w:rsidRPr="00A1383C">
        <w:rPr>
          <w:rFonts w:ascii="Times New Roman" w:hAnsi="Times New Roman" w:cs="Times New Roman"/>
          <w:color w:val="auto"/>
        </w:rPr>
        <w:t>.</w:t>
      </w:r>
    </w:p>
    <w:p w14:paraId="3B3CFDED" w14:textId="687FB455" w:rsidR="009F7D38" w:rsidRPr="00A1383C" w:rsidRDefault="009F7D38" w:rsidP="00BA744F">
      <w:pPr>
        <w:pStyle w:val="Default"/>
        <w:spacing w:line="480" w:lineRule="auto"/>
        <w:jc w:val="both"/>
        <w:rPr>
          <w:rFonts w:ascii="Times New Roman" w:hAnsi="Times New Roman" w:cs="Times New Roman"/>
          <w:color w:val="auto"/>
        </w:rPr>
      </w:pPr>
      <w:r w:rsidRPr="00A1383C">
        <w:rPr>
          <w:rFonts w:ascii="Times New Roman" w:hAnsi="Times New Roman" w:cs="Times New Roman"/>
          <w:b/>
          <w:bCs/>
          <w:color w:val="auto"/>
        </w:rPr>
        <w:t xml:space="preserve">Methodology: </w:t>
      </w:r>
      <w:r w:rsidR="008A773F" w:rsidRPr="00A1383C">
        <w:rPr>
          <w:rFonts w:ascii="Times New Roman" w:hAnsi="Times New Roman" w:cs="Times New Roman"/>
          <w:color w:val="auto"/>
        </w:rPr>
        <w:t>S</w:t>
      </w:r>
      <w:r w:rsidRPr="00A1383C">
        <w:rPr>
          <w:rFonts w:ascii="Times New Roman" w:hAnsi="Times New Roman" w:cs="Times New Roman"/>
          <w:color w:val="auto"/>
        </w:rPr>
        <w:t>terile ear swabs from clinical cases of otitis externa</w:t>
      </w:r>
      <w:r w:rsidR="008A773F" w:rsidRPr="00A1383C">
        <w:rPr>
          <w:rFonts w:ascii="Times New Roman" w:hAnsi="Times New Roman" w:cs="Times New Roman"/>
          <w:color w:val="auto"/>
        </w:rPr>
        <w:t xml:space="preserve"> </w:t>
      </w:r>
      <w:r w:rsidRPr="00A1383C">
        <w:rPr>
          <w:rFonts w:ascii="Times New Roman" w:hAnsi="Times New Roman" w:cs="Times New Roman"/>
          <w:color w:val="auto"/>
        </w:rPr>
        <w:t xml:space="preserve">were processed for microbiological isolation and identification of </w:t>
      </w:r>
      <w:r w:rsidRPr="00A1383C">
        <w:rPr>
          <w:rFonts w:ascii="Times New Roman" w:hAnsi="Times New Roman" w:cs="Times New Roman"/>
          <w:i/>
          <w:iCs/>
          <w:color w:val="auto"/>
        </w:rPr>
        <w:t>Pseudomonas</w:t>
      </w:r>
      <w:r w:rsidRPr="00A1383C">
        <w:rPr>
          <w:rFonts w:ascii="Times New Roman" w:hAnsi="Times New Roman" w:cs="Times New Roman"/>
          <w:color w:val="auto"/>
        </w:rPr>
        <w:t xml:space="preserve"> spp. based on the cultural, morphological and biochemical characteristics. </w:t>
      </w:r>
    </w:p>
    <w:p w14:paraId="579D691D" w14:textId="7F5EE1B7" w:rsidR="00BA744F" w:rsidRPr="00A1383C" w:rsidRDefault="009F7D38" w:rsidP="00BA744F">
      <w:pPr>
        <w:pStyle w:val="Default"/>
        <w:spacing w:line="480" w:lineRule="auto"/>
        <w:jc w:val="both"/>
        <w:rPr>
          <w:rFonts w:ascii="Times New Roman" w:hAnsi="Times New Roman" w:cs="Times New Roman"/>
          <w:color w:val="auto"/>
        </w:rPr>
      </w:pPr>
      <w:r w:rsidRPr="00A1383C">
        <w:rPr>
          <w:rFonts w:ascii="Times New Roman" w:hAnsi="Times New Roman" w:cs="Times New Roman"/>
          <w:b/>
          <w:bCs/>
          <w:color w:val="auto"/>
        </w:rPr>
        <w:t>Results:</w:t>
      </w:r>
      <w:r w:rsidR="00BA744F" w:rsidRPr="00A1383C">
        <w:rPr>
          <w:rFonts w:ascii="Times New Roman" w:hAnsi="Times New Roman" w:cs="Times New Roman"/>
          <w:b/>
          <w:bCs/>
          <w:color w:val="auto"/>
        </w:rPr>
        <w:t xml:space="preserve"> </w:t>
      </w:r>
      <w:r w:rsidR="00BA744F" w:rsidRPr="00A1383C">
        <w:rPr>
          <w:rFonts w:ascii="Times New Roman" w:hAnsi="Times New Roman" w:cs="Times New Roman"/>
          <w:color w:val="auto"/>
        </w:rPr>
        <w:t>Oral marbofloxacin combined with daily Tris-EDTA and chlorhexidine flushing for two weeks achieved complete (100%) recovery in dogs with Pseudomonas otitis externa.</w:t>
      </w:r>
    </w:p>
    <w:p w14:paraId="4CD66037" w14:textId="77777777" w:rsidR="00BA744F" w:rsidRPr="00A1383C" w:rsidRDefault="00BA744F" w:rsidP="00BA744F">
      <w:pPr>
        <w:pStyle w:val="Default"/>
        <w:spacing w:line="480" w:lineRule="auto"/>
        <w:jc w:val="both"/>
        <w:rPr>
          <w:rFonts w:ascii="Times New Roman" w:hAnsi="Times New Roman" w:cs="Times New Roman"/>
          <w:color w:val="auto"/>
        </w:rPr>
      </w:pPr>
      <w:r w:rsidRPr="00A1383C">
        <w:rPr>
          <w:rFonts w:ascii="Times New Roman" w:hAnsi="Times New Roman" w:cs="Times New Roman"/>
          <w:color w:val="auto"/>
        </w:rPr>
        <w:t>Amoxycillin-clavulanic acid therapy resulted in an 83.33% success rate.</w:t>
      </w:r>
    </w:p>
    <w:p w14:paraId="2DE63F4C" w14:textId="57360049" w:rsidR="009F7D38" w:rsidRPr="00A1383C" w:rsidRDefault="00BA744F" w:rsidP="00BA744F">
      <w:pPr>
        <w:pStyle w:val="Default"/>
        <w:spacing w:line="480" w:lineRule="auto"/>
        <w:jc w:val="both"/>
        <w:rPr>
          <w:rFonts w:ascii="Times New Roman" w:hAnsi="Times New Roman" w:cs="Times New Roman"/>
          <w:color w:val="auto"/>
        </w:rPr>
      </w:pPr>
      <w:r w:rsidRPr="00A1383C">
        <w:rPr>
          <w:rFonts w:ascii="Times New Roman" w:hAnsi="Times New Roman" w:cs="Times New Roman"/>
          <w:color w:val="auto"/>
        </w:rPr>
        <w:t>Enrofloxacin administered with the same flushing protocol was effective in 66.66% of affected dogs.</w:t>
      </w:r>
    </w:p>
    <w:p w14:paraId="5940FBF9" w14:textId="25E34F6E" w:rsidR="00BA744F" w:rsidRPr="00A1383C" w:rsidRDefault="009F7D38" w:rsidP="00BA744F">
      <w:pPr>
        <w:spacing w:after="0" w:line="480" w:lineRule="auto"/>
        <w:jc w:val="both"/>
        <w:rPr>
          <w:rFonts w:ascii="Times New Roman" w:hAnsi="Times New Roman"/>
          <w:sz w:val="24"/>
          <w:szCs w:val="24"/>
        </w:rPr>
      </w:pPr>
      <w:r w:rsidRPr="00A1383C">
        <w:rPr>
          <w:rFonts w:ascii="Times New Roman" w:hAnsi="Times New Roman"/>
          <w:b/>
          <w:bCs/>
          <w:sz w:val="24"/>
          <w:szCs w:val="24"/>
        </w:rPr>
        <w:lastRenderedPageBreak/>
        <w:t xml:space="preserve">Conclusion: </w:t>
      </w:r>
      <w:r w:rsidR="00BA744F" w:rsidRPr="00A1383C">
        <w:rPr>
          <w:rFonts w:ascii="Times New Roman" w:hAnsi="Times New Roman"/>
          <w:b/>
          <w:bCs/>
          <w:sz w:val="24"/>
          <w:szCs w:val="24"/>
        </w:rPr>
        <w:t xml:space="preserve"> </w:t>
      </w:r>
      <w:r w:rsidR="00BA744F" w:rsidRPr="00A1383C">
        <w:rPr>
          <w:rFonts w:ascii="Times New Roman" w:hAnsi="Times New Roman"/>
          <w:sz w:val="24"/>
          <w:szCs w:val="24"/>
        </w:rPr>
        <w:t>Oral marbofloxacin combined with daily Tris-EDTA and chlorhexidine ear flushing for two weeks proved to be the most effective treatment protocol.</w:t>
      </w:r>
      <w:r w:rsidR="00BA744F" w:rsidRPr="00A1383C">
        <w:rPr>
          <w:rFonts w:ascii="Times New Roman" w:hAnsi="Times New Roman"/>
          <w:sz w:val="24"/>
          <w:szCs w:val="24"/>
        </w:rPr>
        <w:br/>
        <w:t xml:space="preserve">Amoxycillin-clavulanic acid showed moderate efficacy, while enrofloxacin demonstrated comparatively lower success. Overall, marbofloxacin-based therapy appears to be the most reliable option for managing </w:t>
      </w:r>
      <w:r w:rsidR="00BA744F" w:rsidRPr="00A1383C">
        <w:rPr>
          <w:rFonts w:ascii="Times New Roman" w:hAnsi="Times New Roman"/>
          <w:i/>
          <w:iCs/>
          <w:sz w:val="24"/>
          <w:szCs w:val="24"/>
        </w:rPr>
        <w:t>Pseudomonas</w:t>
      </w:r>
      <w:r w:rsidR="00BA744F" w:rsidRPr="00A1383C">
        <w:rPr>
          <w:rFonts w:ascii="Times New Roman" w:hAnsi="Times New Roman"/>
          <w:sz w:val="24"/>
          <w:szCs w:val="24"/>
        </w:rPr>
        <w:t xml:space="preserve"> otitis externa in dogs.</w:t>
      </w:r>
    </w:p>
    <w:p w14:paraId="182E48EF" w14:textId="0E9E6A46" w:rsidR="00113FA8" w:rsidRPr="00A1383C" w:rsidRDefault="00113FA8" w:rsidP="00BA744F">
      <w:pPr>
        <w:spacing w:after="0" w:line="480" w:lineRule="auto"/>
        <w:jc w:val="both"/>
        <w:rPr>
          <w:rFonts w:ascii="Times New Roman" w:eastAsiaTheme="minorHAnsi" w:hAnsi="Times New Roman"/>
          <w:sz w:val="24"/>
          <w:szCs w:val="24"/>
          <w:lang w:val="en-US" w:bidi="hi-IN"/>
        </w:rPr>
      </w:pPr>
      <w:r w:rsidRPr="00A1383C">
        <w:rPr>
          <w:rFonts w:ascii="Times New Roman" w:hAnsi="Times New Roman"/>
          <w:b/>
          <w:bCs/>
          <w:sz w:val="24"/>
          <w:szCs w:val="24"/>
        </w:rPr>
        <w:t xml:space="preserve">Keywords: </w:t>
      </w:r>
      <w:r w:rsidRPr="00A1383C">
        <w:rPr>
          <w:rFonts w:ascii="Times New Roman" w:eastAsiaTheme="minorHAnsi" w:hAnsi="Times New Roman"/>
          <w:i/>
          <w:iCs/>
          <w:sz w:val="24"/>
          <w:szCs w:val="24"/>
          <w:lang w:val="en-US" w:bidi="hi-IN"/>
        </w:rPr>
        <w:t>Pseudomonas aeruginosa</w:t>
      </w:r>
      <w:r w:rsidRPr="00A1383C">
        <w:rPr>
          <w:rFonts w:ascii="Times New Roman" w:eastAsiaTheme="minorHAnsi" w:hAnsi="Times New Roman"/>
          <w:sz w:val="24"/>
          <w:szCs w:val="24"/>
          <w:lang w:val="en-US" w:bidi="hi-IN"/>
        </w:rPr>
        <w:t>, otitis externa, dog, therapeutic efficacy</w:t>
      </w:r>
    </w:p>
    <w:p w14:paraId="40303CEA" w14:textId="77777777" w:rsidR="00113FA8" w:rsidRPr="00A1383C" w:rsidRDefault="00113FA8" w:rsidP="00113FA8">
      <w:pPr>
        <w:rPr>
          <w:rFonts w:ascii="Times New Roman" w:eastAsiaTheme="minorHAnsi" w:hAnsi="Times New Roman"/>
          <w:b/>
          <w:bCs/>
          <w:sz w:val="24"/>
          <w:szCs w:val="24"/>
          <w:lang w:val="en-US" w:bidi="hi-IN"/>
        </w:rPr>
      </w:pPr>
    </w:p>
    <w:p w14:paraId="58CF6B88" w14:textId="175FD9E1" w:rsidR="00F56A0F" w:rsidRPr="00A1383C" w:rsidRDefault="001A004C" w:rsidP="00113FA8">
      <w:pPr>
        <w:pStyle w:val="ListParagraph"/>
        <w:numPr>
          <w:ilvl w:val="0"/>
          <w:numId w:val="2"/>
        </w:numPr>
        <w:rPr>
          <w:rFonts w:ascii="Times New Roman" w:hAnsi="Times New Roman"/>
          <w:b/>
          <w:bCs/>
          <w:sz w:val="24"/>
          <w:szCs w:val="24"/>
          <w:lang w:val="en-US"/>
        </w:rPr>
      </w:pPr>
      <w:commentRangeStart w:id="2"/>
      <w:r w:rsidRPr="00A1383C">
        <w:rPr>
          <w:rFonts w:ascii="Times New Roman" w:hAnsi="Times New Roman"/>
          <w:b/>
          <w:bCs/>
          <w:sz w:val="24"/>
          <w:szCs w:val="24"/>
          <w:lang w:val="en-US"/>
        </w:rPr>
        <w:t>Introduction</w:t>
      </w:r>
      <w:commentRangeEnd w:id="2"/>
      <w:r w:rsidR="009E43DD">
        <w:rPr>
          <w:rStyle w:val="CommentReference"/>
        </w:rPr>
        <w:commentReference w:id="2"/>
      </w:r>
    </w:p>
    <w:p w14:paraId="285D1CDF" w14:textId="45196627" w:rsidR="001A004C" w:rsidRPr="00A1383C" w:rsidRDefault="001A004C" w:rsidP="001A004C">
      <w:pPr>
        <w:autoSpaceDE w:val="0"/>
        <w:autoSpaceDN w:val="0"/>
        <w:adjustRightInd w:val="0"/>
        <w:spacing w:after="0" w:line="480" w:lineRule="auto"/>
        <w:ind w:left="-284" w:firstLine="1135"/>
        <w:jc w:val="both"/>
        <w:rPr>
          <w:rFonts w:ascii="Times New Roman" w:eastAsiaTheme="minorHAnsi" w:hAnsi="Times New Roman"/>
          <w:sz w:val="24"/>
          <w:szCs w:val="24"/>
          <w:lang w:val="en-US" w:bidi="hi-IN"/>
        </w:rPr>
      </w:pPr>
      <w:r w:rsidRPr="00A1383C">
        <w:rPr>
          <w:rFonts w:ascii="Times New Roman" w:hAnsi="Times New Roman"/>
          <w:sz w:val="24"/>
          <w:szCs w:val="24"/>
        </w:rPr>
        <w:t xml:space="preserve">The causes of otic illness, including otitis externa, are multifaceted, and microorganisms are a major contributor (Hariharan </w:t>
      </w:r>
      <w:r w:rsidRPr="00A1383C">
        <w:rPr>
          <w:rFonts w:ascii="Times New Roman" w:hAnsi="Times New Roman"/>
          <w:i/>
          <w:iCs/>
          <w:sz w:val="24"/>
          <w:szCs w:val="24"/>
        </w:rPr>
        <w:t>et al</w:t>
      </w:r>
      <w:r w:rsidRPr="00A1383C">
        <w:rPr>
          <w:rFonts w:ascii="Times New Roman" w:hAnsi="Times New Roman"/>
          <w:sz w:val="24"/>
          <w:szCs w:val="24"/>
        </w:rPr>
        <w:t xml:space="preserve">., 2006). </w:t>
      </w:r>
      <w:r w:rsidRPr="00A1383C">
        <w:rPr>
          <w:rFonts w:ascii="Times New Roman" w:eastAsiaTheme="minorHAnsi" w:hAnsi="Times New Roman"/>
          <w:sz w:val="24"/>
          <w:szCs w:val="24"/>
          <w:lang w:val="en-US" w:bidi="hi-IN"/>
        </w:rPr>
        <w:t>In general practice, th</w:t>
      </w:r>
      <w:r w:rsidR="00225979" w:rsidRPr="00A1383C">
        <w:rPr>
          <w:rFonts w:ascii="Times New Roman" w:eastAsiaTheme="minorHAnsi" w:hAnsi="Times New Roman"/>
          <w:sz w:val="24"/>
          <w:szCs w:val="24"/>
          <w:lang w:val="en-US" w:bidi="hi-IN"/>
        </w:rPr>
        <w:t>is</w:t>
      </w:r>
      <w:r w:rsidRPr="00A1383C">
        <w:rPr>
          <w:rFonts w:ascii="Times New Roman" w:eastAsiaTheme="minorHAnsi" w:hAnsi="Times New Roman"/>
          <w:sz w:val="24"/>
          <w:szCs w:val="24"/>
          <w:lang w:val="en-US" w:bidi="hi-IN"/>
        </w:rPr>
        <w:t xml:space="preserve"> condition in dogs is a fairly prevalent clinical issue</w:t>
      </w:r>
      <w:r w:rsidR="00225979" w:rsidRPr="00A1383C">
        <w:rPr>
          <w:rFonts w:ascii="Times New Roman" w:eastAsiaTheme="minorHAnsi" w:hAnsi="Times New Roman"/>
          <w:sz w:val="24"/>
          <w:szCs w:val="24"/>
          <w:lang w:val="en-US" w:bidi="hi-IN"/>
        </w:rPr>
        <w:t xml:space="preserve"> which</w:t>
      </w:r>
      <w:r w:rsidRPr="00A1383C">
        <w:rPr>
          <w:rFonts w:ascii="Times New Roman" w:eastAsiaTheme="minorHAnsi" w:hAnsi="Times New Roman"/>
          <w:sz w:val="24"/>
          <w:szCs w:val="24"/>
          <w:lang w:val="en-US" w:bidi="hi-IN"/>
        </w:rPr>
        <w:t xml:space="preserve"> is also quite difficult to treat, particularly when instances are recurring. Otitis instances may be caused by variety of organisms, such as Gram-positive cocci or Gram-negative rods (Barnard and Foster, 2017).</w:t>
      </w:r>
    </w:p>
    <w:p w14:paraId="17295009" w14:textId="77777777" w:rsidR="00D67829" w:rsidRPr="00A1383C" w:rsidRDefault="00D67829" w:rsidP="00D67829">
      <w:pPr>
        <w:autoSpaceDE w:val="0"/>
        <w:autoSpaceDN w:val="0"/>
        <w:adjustRightInd w:val="0"/>
        <w:spacing w:after="0" w:line="480" w:lineRule="auto"/>
        <w:ind w:left="-284" w:firstLine="1135"/>
        <w:jc w:val="both"/>
        <w:rPr>
          <w:rFonts w:ascii="Times New Roman" w:hAnsi="Times New Roman"/>
          <w:sz w:val="24"/>
          <w:szCs w:val="24"/>
        </w:rPr>
      </w:pPr>
      <w:r w:rsidRPr="00A1383C">
        <w:rPr>
          <w:rFonts w:ascii="Times New Roman" w:hAnsi="Times New Roman"/>
          <w:sz w:val="24"/>
          <w:szCs w:val="24"/>
        </w:rPr>
        <w:t xml:space="preserve">Dogs may have a major underlying cause for this illness, or they may be genetically or physically predisposed to it. Microorganisms or failure of antimicrobial treatment frequently cause otitis externa to return. Numerous bacteria can be recognized under a microscope and isolated using microbiological cultures (Bradley </w:t>
      </w:r>
      <w:r w:rsidRPr="00A1383C">
        <w:rPr>
          <w:rFonts w:ascii="Times New Roman" w:hAnsi="Times New Roman"/>
          <w:i/>
          <w:iCs/>
          <w:sz w:val="24"/>
          <w:szCs w:val="24"/>
        </w:rPr>
        <w:t>et al</w:t>
      </w:r>
      <w:r w:rsidRPr="00A1383C">
        <w:rPr>
          <w:rFonts w:ascii="Times New Roman" w:hAnsi="Times New Roman"/>
          <w:sz w:val="24"/>
          <w:szCs w:val="24"/>
        </w:rPr>
        <w:t>., 2020).</w:t>
      </w:r>
    </w:p>
    <w:p w14:paraId="26F02584" w14:textId="68592BD8" w:rsidR="001A004C" w:rsidRPr="00A1383C" w:rsidRDefault="009F30E1" w:rsidP="00113FA8">
      <w:pPr>
        <w:autoSpaceDE w:val="0"/>
        <w:autoSpaceDN w:val="0"/>
        <w:adjustRightInd w:val="0"/>
        <w:spacing w:after="0" w:line="480" w:lineRule="auto"/>
        <w:ind w:left="-284" w:firstLine="1004"/>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bidi="hi-IN"/>
        </w:rPr>
        <w:t xml:space="preserve">Clinical signs of otitis externa may include frequent head shaking, itching of the ears, a foul smell from the ear canal, redness, hair loss around the ears, and signs of self-trauma in the area in front of the ear. Affected individuals may also show sensitivity or avoidance when the head is touched, visible discharge within the ear canal, development of an aural hematoma, and ulceration of the external ear canal. </w:t>
      </w:r>
      <w:r w:rsidR="001A004C" w:rsidRPr="00A1383C">
        <w:rPr>
          <w:rFonts w:ascii="Times New Roman" w:eastAsiaTheme="minorHAnsi" w:hAnsi="Times New Roman"/>
          <w:sz w:val="24"/>
          <w:szCs w:val="24"/>
          <w:lang w:val="en-US" w:bidi="hi-IN"/>
        </w:rPr>
        <w:t>If the ear canal is thicker, rigid, and less flexible due to a persistent illness, patients may feel discomfort especially when the canal is palpated (Pye, 2018).</w:t>
      </w:r>
    </w:p>
    <w:p w14:paraId="0ADEF6DC" w14:textId="024A913A" w:rsidR="00113FA8" w:rsidRPr="00A1383C" w:rsidRDefault="001A004C" w:rsidP="00113FA8">
      <w:pPr>
        <w:pStyle w:val="NoSpacing"/>
        <w:spacing w:line="480" w:lineRule="auto"/>
        <w:ind w:left="-284" w:firstLine="1135"/>
        <w:jc w:val="both"/>
        <w:rPr>
          <w:rFonts w:ascii="Times New Roman" w:hAnsi="Times New Roman" w:cs="Times New Roman"/>
          <w:sz w:val="24"/>
          <w:szCs w:val="24"/>
        </w:rPr>
      </w:pPr>
      <w:r w:rsidRPr="00A1383C">
        <w:rPr>
          <w:rFonts w:ascii="Times New Roman" w:hAnsi="Times New Roman" w:cs="Times New Roman"/>
          <w:sz w:val="24"/>
          <w:szCs w:val="24"/>
        </w:rPr>
        <w:lastRenderedPageBreak/>
        <w:t>Under field conditions, a microbiological test is usually not carried out, and Veterinary physicians, in routine, therapeutically manage the otitis on the basis of clinical signs, availability of antimicrobial and practical knowledge (Turkyilmaz</w:t>
      </w:r>
      <w:r w:rsidR="00225979" w:rsidRPr="00A1383C">
        <w:rPr>
          <w:rFonts w:ascii="Times New Roman" w:hAnsi="Times New Roman" w:cs="Times New Roman"/>
          <w:sz w:val="24"/>
          <w:szCs w:val="24"/>
        </w:rPr>
        <w:t>,</w:t>
      </w:r>
      <w:r w:rsidRPr="00A1383C">
        <w:rPr>
          <w:rFonts w:ascii="Times New Roman" w:hAnsi="Times New Roman" w:cs="Times New Roman"/>
          <w:sz w:val="24"/>
          <w:szCs w:val="24"/>
        </w:rPr>
        <w:t xml:space="preserve"> 200</w:t>
      </w:r>
      <w:r w:rsidR="00225979" w:rsidRPr="00A1383C">
        <w:rPr>
          <w:rFonts w:ascii="Times New Roman" w:hAnsi="Times New Roman" w:cs="Times New Roman"/>
          <w:sz w:val="24"/>
          <w:szCs w:val="24"/>
        </w:rPr>
        <w:t>8</w:t>
      </w:r>
      <w:r w:rsidRPr="00A1383C">
        <w:rPr>
          <w:rFonts w:ascii="Times New Roman" w:hAnsi="Times New Roman" w:cs="Times New Roman"/>
          <w:sz w:val="24"/>
          <w:szCs w:val="24"/>
        </w:rPr>
        <w:t xml:space="preserve">). </w:t>
      </w:r>
      <w:r w:rsidRPr="00A1383C">
        <w:rPr>
          <w:rFonts w:ascii="Times New Roman" w:hAnsi="Times New Roman" w:cs="Times New Roman"/>
          <w:b/>
          <w:bCs/>
          <w:sz w:val="24"/>
          <w:szCs w:val="24"/>
        </w:rPr>
        <w:t xml:space="preserve"> </w:t>
      </w:r>
      <w:r w:rsidR="009F30E1" w:rsidRPr="00A1383C">
        <w:rPr>
          <w:rFonts w:ascii="Times New Roman" w:hAnsi="Times New Roman" w:cs="Times New Roman"/>
          <w:sz w:val="24"/>
          <w:szCs w:val="24"/>
          <w:lang w:val="en-IN"/>
        </w:rPr>
        <w:t>Choosing an appropriate antimicrobial agent can be challenging, as many bacteria have developed resistance to multiple antibiotic classes, often as a result of improper or indiscriminate use of these medications</w:t>
      </w:r>
      <w:r w:rsidR="00D6728A" w:rsidRPr="00A1383C">
        <w:rPr>
          <w:rFonts w:ascii="Times New Roman" w:hAnsi="Times New Roman" w:cs="Times New Roman"/>
          <w:sz w:val="24"/>
          <w:szCs w:val="24"/>
          <w:lang w:val="en-IN"/>
        </w:rPr>
        <w:t xml:space="preserve"> (</w:t>
      </w:r>
      <w:r w:rsidR="00D6728A" w:rsidRPr="00A1383C">
        <w:rPr>
          <w:rFonts w:ascii="Times New Roman" w:hAnsi="Times New Roman" w:cs="Times New Roman"/>
          <w:sz w:val="24"/>
          <w:szCs w:val="24"/>
        </w:rPr>
        <w:t xml:space="preserve">Kashyap </w:t>
      </w:r>
      <w:r w:rsidR="00D6728A" w:rsidRPr="00A1383C">
        <w:rPr>
          <w:rFonts w:ascii="Times New Roman" w:hAnsi="Times New Roman" w:cs="Times New Roman"/>
          <w:i/>
          <w:iCs/>
          <w:sz w:val="24"/>
          <w:szCs w:val="24"/>
        </w:rPr>
        <w:t>et al.</w:t>
      </w:r>
      <w:r w:rsidR="00D6728A" w:rsidRPr="00A1383C">
        <w:rPr>
          <w:rFonts w:ascii="Times New Roman" w:hAnsi="Times New Roman" w:cs="Times New Roman"/>
          <w:sz w:val="24"/>
          <w:szCs w:val="24"/>
        </w:rPr>
        <w:t>, 2023)</w:t>
      </w:r>
      <w:r w:rsidR="009F30E1" w:rsidRPr="00A1383C">
        <w:rPr>
          <w:rFonts w:ascii="Times New Roman" w:hAnsi="Times New Roman" w:cs="Times New Roman"/>
          <w:sz w:val="24"/>
          <w:szCs w:val="24"/>
          <w:lang w:val="en-IN"/>
        </w:rPr>
        <w:t>.</w:t>
      </w:r>
      <w:r w:rsidRPr="00A1383C">
        <w:rPr>
          <w:rFonts w:ascii="Times New Roman" w:hAnsi="Times New Roman" w:cs="Times New Roman"/>
          <w:sz w:val="24"/>
          <w:szCs w:val="24"/>
        </w:rPr>
        <w:t xml:space="preserve">  Furthermore, treating such cases becomes more complicated because of growing number of </w:t>
      </w:r>
      <w:r w:rsidRPr="00A1383C">
        <w:rPr>
          <w:rFonts w:ascii="Times New Roman" w:hAnsi="Times New Roman" w:cs="Times New Roman"/>
          <w:bCs/>
          <w:sz w:val="24"/>
          <w:szCs w:val="24"/>
        </w:rPr>
        <w:t>multidrug resistant strains</w:t>
      </w:r>
      <w:r w:rsidRPr="00A1383C">
        <w:rPr>
          <w:rFonts w:ascii="Times New Roman" w:hAnsi="Times New Roman" w:cs="Times New Roman"/>
          <w:b/>
          <w:bCs/>
          <w:sz w:val="24"/>
          <w:szCs w:val="24"/>
        </w:rPr>
        <w:t xml:space="preserve"> </w:t>
      </w:r>
      <w:r w:rsidRPr="00A1383C">
        <w:rPr>
          <w:rFonts w:ascii="Times New Roman" w:hAnsi="Times New Roman" w:cs="Times New Roman"/>
          <w:sz w:val="24"/>
          <w:szCs w:val="24"/>
        </w:rPr>
        <w:t>(Pye, 20</w:t>
      </w:r>
      <w:r w:rsidR="000F1EB4" w:rsidRPr="00A1383C">
        <w:rPr>
          <w:rFonts w:ascii="Times New Roman" w:hAnsi="Times New Roman" w:cs="Times New Roman"/>
          <w:sz w:val="24"/>
          <w:szCs w:val="24"/>
        </w:rPr>
        <w:t>18</w:t>
      </w:r>
      <w:r w:rsidRPr="00A1383C">
        <w:rPr>
          <w:rFonts w:ascii="Times New Roman" w:hAnsi="Times New Roman" w:cs="Times New Roman"/>
          <w:sz w:val="24"/>
          <w:szCs w:val="24"/>
        </w:rPr>
        <w:t xml:space="preserve">). </w:t>
      </w:r>
      <w:r w:rsidR="009F30E1" w:rsidRPr="00A1383C">
        <w:rPr>
          <w:rFonts w:ascii="Times New Roman" w:hAnsi="Times New Roman" w:cs="Times New Roman"/>
          <w:sz w:val="24"/>
          <w:szCs w:val="24"/>
          <w:lang w:val="en-IN"/>
        </w:rPr>
        <w:t>Antimicrobial resistance can be passed to humans through either direct or indirect exposure, since dogs may serve as carriers of resistance genes and act as potential reservoirs for these determinants.</w:t>
      </w:r>
      <w:r w:rsidRPr="00A1383C">
        <w:rPr>
          <w:rFonts w:ascii="Times New Roman" w:hAnsi="Times New Roman" w:cs="Times New Roman"/>
          <w:sz w:val="24"/>
          <w:szCs w:val="24"/>
        </w:rPr>
        <w:t xml:space="preserve"> Determination of prevalence of antibiotic res</w:t>
      </w:r>
      <w:r w:rsidR="00D6728A" w:rsidRPr="00A1383C">
        <w:rPr>
          <w:rFonts w:ascii="Times New Roman" w:hAnsi="Times New Roman" w:cs="Times New Roman"/>
          <w:sz w:val="24"/>
          <w:szCs w:val="24"/>
        </w:rPr>
        <w:t>i</w:t>
      </w:r>
      <w:r w:rsidRPr="00A1383C">
        <w:rPr>
          <w:rFonts w:ascii="Times New Roman" w:hAnsi="Times New Roman" w:cs="Times New Roman"/>
          <w:sz w:val="24"/>
          <w:szCs w:val="24"/>
        </w:rPr>
        <w:t>stance in dogs is imperative from animals as well as human health view point.</w:t>
      </w:r>
    </w:p>
    <w:p w14:paraId="4143870C" w14:textId="234B541B" w:rsidR="001E02C8" w:rsidRPr="00A1383C" w:rsidRDefault="00113FA8" w:rsidP="00113FA8">
      <w:pPr>
        <w:pStyle w:val="NoSpacing"/>
        <w:spacing w:line="480" w:lineRule="auto"/>
        <w:jc w:val="both"/>
        <w:rPr>
          <w:rFonts w:ascii="Times New Roman" w:hAnsi="Times New Roman" w:cs="Times New Roman"/>
          <w:sz w:val="24"/>
          <w:szCs w:val="24"/>
        </w:rPr>
      </w:pPr>
      <w:bookmarkStart w:id="3" w:name="_GoBack"/>
      <w:commentRangeStart w:id="4"/>
      <w:r w:rsidRPr="00A1383C">
        <w:rPr>
          <w:rFonts w:ascii="Times New Roman" w:hAnsi="Times New Roman" w:cs="Times New Roman"/>
          <w:sz w:val="24"/>
          <w:szCs w:val="24"/>
        </w:rPr>
        <w:t>2.</w:t>
      </w:r>
      <w:r w:rsidR="001E02C8" w:rsidRPr="00A1383C">
        <w:rPr>
          <w:rFonts w:ascii="Times New Roman" w:hAnsi="Times New Roman" w:cs="Times New Roman"/>
          <w:b/>
          <w:bCs/>
          <w:sz w:val="24"/>
          <w:szCs w:val="24"/>
        </w:rPr>
        <w:t>M</w:t>
      </w:r>
      <w:r w:rsidR="00DD5A14" w:rsidRPr="00A1383C">
        <w:rPr>
          <w:rFonts w:ascii="Times New Roman" w:hAnsi="Times New Roman" w:cs="Times New Roman"/>
          <w:b/>
          <w:bCs/>
          <w:sz w:val="24"/>
          <w:szCs w:val="24"/>
        </w:rPr>
        <w:t>ethodology</w:t>
      </w:r>
      <w:bookmarkEnd w:id="3"/>
      <w:commentRangeEnd w:id="4"/>
      <w:r w:rsidR="00933E42">
        <w:rPr>
          <w:rStyle w:val="CommentReference"/>
          <w:rFonts w:ascii="Calibri" w:eastAsia="Calibri" w:hAnsi="Calibri" w:cs="Times New Roman"/>
          <w:lang w:val="en-IN"/>
        </w:rPr>
        <w:commentReference w:id="4"/>
      </w:r>
    </w:p>
    <w:p w14:paraId="56A0AB0E" w14:textId="6DF1DF32" w:rsidR="00F52ABC" w:rsidRPr="00A1383C" w:rsidRDefault="00F52ABC" w:rsidP="00F52ABC">
      <w:pPr>
        <w:autoSpaceDE w:val="0"/>
        <w:autoSpaceDN w:val="0"/>
        <w:adjustRightInd w:val="0"/>
        <w:spacing w:after="0" w:line="480" w:lineRule="auto"/>
        <w:jc w:val="both"/>
        <w:rPr>
          <w:rFonts w:ascii="Times New Roman" w:hAnsi="Times New Roman"/>
          <w:b/>
          <w:bCs/>
          <w:sz w:val="24"/>
          <w:szCs w:val="24"/>
          <w:lang w:bidi="hi-IN"/>
        </w:rPr>
      </w:pPr>
      <w:r w:rsidRPr="00A1383C">
        <w:rPr>
          <w:rFonts w:ascii="Times New Roman" w:hAnsi="Times New Roman"/>
          <w:b/>
          <w:bCs/>
          <w:sz w:val="24"/>
          <w:szCs w:val="24"/>
          <w:lang w:bidi="hi-IN"/>
        </w:rPr>
        <w:t>Sample collection</w:t>
      </w:r>
    </w:p>
    <w:p w14:paraId="6CCF0DCD" w14:textId="4A1B28CD" w:rsidR="00F52ABC" w:rsidRPr="00A1383C" w:rsidRDefault="00F52ABC" w:rsidP="00F52ABC">
      <w:pPr>
        <w:autoSpaceDE w:val="0"/>
        <w:autoSpaceDN w:val="0"/>
        <w:adjustRightInd w:val="0"/>
        <w:spacing w:after="0" w:line="480" w:lineRule="auto"/>
        <w:ind w:firstLine="709"/>
        <w:jc w:val="both"/>
        <w:rPr>
          <w:rFonts w:ascii="Times New Roman" w:hAnsi="Times New Roman"/>
          <w:sz w:val="24"/>
          <w:szCs w:val="24"/>
          <w:lang w:bidi="hi-IN"/>
        </w:rPr>
      </w:pPr>
      <w:r w:rsidRPr="00A1383C">
        <w:rPr>
          <w:rFonts w:ascii="Times New Roman" w:hAnsi="Times New Roman"/>
          <w:sz w:val="24"/>
          <w:szCs w:val="24"/>
          <w:lang w:bidi="hi-IN"/>
        </w:rPr>
        <w:t xml:space="preserve"> Samples were collected from otitis externa affected dogs using sterile ear swab (Astra Bioscience Ltd., Kerala, India). </w:t>
      </w:r>
      <w:r w:rsidR="009F30E1" w:rsidRPr="00A1383C">
        <w:rPr>
          <w:rFonts w:ascii="Times New Roman" w:hAnsi="Times New Roman"/>
          <w:sz w:val="24"/>
          <w:szCs w:val="24"/>
          <w:lang w:bidi="hi-IN"/>
        </w:rPr>
        <w:t>For each sample, a sterile swab was gently inserted inside the external ear canal and rotated along the skin surface at the point where the vertical and horizontal canals meet for approximately 10–15 seconds.</w:t>
      </w:r>
      <w:r w:rsidRPr="00A1383C">
        <w:rPr>
          <w:rFonts w:ascii="Times New Roman" w:hAnsi="Times New Roman"/>
          <w:sz w:val="24"/>
          <w:szCs w:val="24"/>
          <w:lang w:bidi="hi-IN"/>
        </w:rPr>
        <w:t xml:space="preserve"> Sterile ear swabs were collected from the affected dogs irrespective of age, sex, and breed for laboratory examination and diagnostic study. </w:t>
      </w:r>
    </w:p>
    <w:p w14:paraId="0786D619" w14:textId="6DD42299" w:rsidR="00DD5A14" w:rsidRPr="00A1383C" w:rsidRDefault="00F52ABC" w:rsidP="00F16F9D">
      <w:pPr>
        <w:autoSpaceDE w:val="0"/>
        <w:autoSpaceDN w:val="0"/>
        <w:adjustRightInd w:val="0"/>
        <w:spacing w:after="0" w:line="480" w:lineRule="auto"/>
        <w:ind w:firstLine="709"/>
        <w:jc w:val="both"/>
        <w:rPr>
          <w:rFonts w:ascii="Times New Roman" w:hAnsi="Times New Roman"/>
          <w:sz w:val="24"/>
          <w:szCs w:val="24"/>
          <w:lang w:bidi="hi-IN"/>
        </w:rPr>
      </w:pPr>
      <w:r w:rsidRPr="00A1383C">
        <w:rPr>
          <w:rFonts w:ascii="Times New Roman" w:hAnsi="Times New Roman"/>
          <w:sz w:val="24"/>
          <w:szCs w:val="24"/>
          <w:lang w:bidi="hi-IN"/>
        </w:rPr>
        <w:t>The ear swabs were collected from each clinical case presented with otitis externa  at the hospital for bacteriological examination as per the method described by Wilkinson and Harvey (1994).</w:t>
      </w:r>
    </w:p>
    <w:p w14:paraId="692E61F2" w14:textId="365F77E1" w:rsidR="00F463CC" w:rsidRPr="00A1383C" w:rsidRDefault="00F463CC" w:rsidP="00DD5A14">
      <w:pPr>
        <w:autoSpaceDE w:val="0"/>
        <w:autoSpaceDN w:val="0"/>
        <w:adjustRightInd w:val="0"/>
        <w:spacing w:after="0" w:line="480" w:lineRule="auto"/>
        <w:jc w:val="both"/>
        <w:rPr>
          <w:rFonts w:ascii="Times New Roman" w:hAnsi="Times New Roman"/>
          <w:sz w:val="24"/>
          <w:szCs w:val="24"/>
          <w:lang w:bidi="hi-IN"/>
        </w:rPr>
      </w:pPr>
      <w:r w:rsidRPr="00A1383C">
        <w:rPr>
          <w:rFonts w:ascii="Times New Roman" w:hAnsi="Times New Roman"/>
          <w:b/>
          <w:bCs/>
          <w:sz w:val="24"/>
          <w:szCs w:val="24"/>
          <w:lang w:bidi="hi-IN"/>
        </w:rPr>
        <w:t>Isolation and identification of bacteria</w:t>
      </w:r>
    </w:p>
    <w:p w14:paraId="62041726" w14:textId="77777777" w:rsidR="009F30E1" w:rsidRPr="00A1383C" w:rsidRDefault="009F30E1" w:rsidP="009F30E1">
      <w:pPr>
        <w:autoSpaceDE w:val="0"/>
        <w:autoSpaceDN w:val="0"/>
        <w:adjustRightInd w:val="0"/>
        <w:spacing w:after="0" w:line="480" w:lineRule="auto"/>
        <w:ind w:firstLine="709"/>
        <w:jc w:val="both"/>
        <w:rPr>
          <w:rFonts w:ascii="Times New Roman" w:hAnsi="Times New Roman"/>
          <w:sz w:val="24"/>
          <w:szCs w:val="24"/>
          <w:lang w:bidi="hi-IN"/>
        </w:rPr>
      </w:pPr>
      <w:r w:rsidRPr="00A1383C">
        <w:rPr>
          <w:rFonts w:ascii="Times New Roman" w:hAnsi="Times New Roman"/>
          <w:sz w:val="24"/>
          <w:szCs w:val="24"/>
          <w:lang w:bidi="hi-IN"/>
        </w:rPr>
        <w:t xml:space="preserve">The otic swab samples obtained were first transferred into nutrient broth and incubated at 37°C for 24-48 hours. Following incubation, the broth culture was streaked onto nutrient agar </w:t>
      </w:r>
      <w:r w:rsidRPr="00A1383C">
        <w:rPr>
          <w:rFonts w:ascii="Times New Roman" w:hAnsi="Times New Roman"/>
          <w:sz w:val="24"/>
          <w:szCs w:val="24"/>
          <w:lang w:bidi="hi-IN"/>
        </w:rPr>
        <w:lastRenderedPageBreak/>
        <w:t xml:space="preserve">plates and maintained at 37°C for an additional 24-48 hours. The resulting colonies were assessed based on their cultural characteristics, and representative colonies were examined microscopically after Gram staining. </w:t>
      </w:r>
    </w:p>
    <w:p w14:paraId="337070EF" w14:textId="31240A60" w:rsidR="00F463CC" w:rsidRPr="00A1383C" w:rsidRDefault="009F30E1" w:rsidP="00F463CC">
      <w:pPr>
        <w:autoSpaceDE w:val="0"/>
        <w:autoSpaceDN w:val="0"/>
        <w:adjustRightInd w:val="0"/>
        <w:spacing w:after="0" w:line="480" w:lineRule="auto"/>
        <w:ind w:firstLine="709"/>
        <w:jc w:val="both"/>
        <w:rPr>
          <w:rFonts w:ascii="Times New Roman" w:hAnsi="Times New Roman"/>
          <w:sz w:val="24"/>
          <w:szCs w:val="24"/>
          <w:lang w:bidi="hi-IN"/>
        </w:rPr>
      </w:pPr>
      <w:r w:rsidRPr="00A1383C">
        <w:rPr>
          <w:rFonts w:ascii="Times New Roman" w:hAnsi="Times New Roman"/>
          <w:sz w:val="24"/>
          <w:szCs w:val="24"/>
          <w:lang w:bidi="hi-IN"/>
        </w:rPr>
        <w:t>Subsequently, the identified isolates were sub-cultured onto selective and differential media, including Mannitol salt agar, Pseudomonas isolation agar, MacConkey agar, Eosin methylene blue agar, Urea agar, and Simmons citrate agar, and incubated at 37°C for 24–48 hours. After the incubation period, the plates were evaluated for bacterial growth and characteristic morphological features.</w:t>
      </w:r>
      <w:r w:rsidR="00F463CC" w:rsidRPr="00A1383C">
        <w:rPr>
          <w:rFonts w:ascii="Times New Roman" w:hAnsi="Times New Roman"/>
          <w:sz w:val="24"/>
          <w:szCs w:val="24"/>
          <w:lang w:bidi="hi-IN"/>
        </w:rPr>
        <w:t xml:space="preserve"> The isolates were then identified on the basis of colony characteristics, biochemical test and staining characteristics after staining with Gram's stain (Quinn </w:t>
      </w:r>
      <w:r w:rsidR="00F463CC" w:rsidRPr="00A1383C">
        <w:rPr>
          <w:rFonts w:ascii="Times New Roman" w:hAnsi="Times New Roman"/>
          <w:i/>
          <w:iCs/>
          <w:sz w:val="24"/>
          <w:szCs w:val="24"/>
          <w:lang w:bidi="hi-IN"/>
        </w:rPr>
        <w:t>et al.</w:t>
      </w:r>
      <w:r w:rsidR="00980C97" w:rsidRPr="00A1383C">
        <w:rPr>
          <w:rFonts w:ascii="Times New Roman" w:hAnsi="Times New Roman"/>
          <w:sz w:val="24"/>
          <w:szCs w:val="24"/>
          <w:lang w:bidi="hi-IN"/>
        </w:rPr>
        <w:t>,</w:t>
      </w:r>
      <w:r w:rsidR="00F463CC" w:rsidRPr="00A1383C">
        <w:rPr>
          <w:rFonts w:ascii="Times New Roman" w:hAnsi="Times New Roman"/>
          <w:i/>
          <w:iCs/>
          <w:sz w:val="24"/>
          <w:szCs w:val="24"/>
          <w:lang w:bidi="hi-IN"/>
        </w:rPr>
        <w:t xml:space="preserve"> </w:t>
      </w:r>
      <w:r w:rsidR="00F463CC" w:rsidRPr="00A1383C">
        <w:rPr>
          <w:rFonts w:ascii="Times New Roman" w:hAnsi="Times New Roman"/>
          <w:sz w:val="24"/>
          <w:szCs w:val="24"/>
          <w:lang w:bidi="hi-IN"/>
        </w:rPr>
        <w:t>1999).</w:t>
      </w:r>
    </w:p>
    <w:p w14:paraId="2875BB0C" w14:textId="7F0EF930" w:rsidR="00F52ABC" w:rsidRPr="00A1383C" w:rsidRDefault="00F52ABC" w:rsidP="00585E8A">
      <w:pPr>
        <w:autoSpaceDE w:val="0"/>
        <w:autoSpaceDN w:val="0"/>
        <w:adjustRightInd w:val="0"/>
        <w:spacing w:after="0" w:line="480" w:lineRule="auto"/>
        <w:jc w:val="both"/>
        <w:rPr>
          <w:rFonts w:ascii="Times New Roman" w:hAnsi="Times New Roman"/>
          <w:b/>
          <w:bCs/>
          <w:sz w:val="24"/>
          <w:szCs w:val="24"/>
          <w:lang w:bidi="hi-IN"/>
        </w:rPr>
      </w:pPr>
      <w:r w:rsidRPr="00A1383C">
        <w:rPr>
          <w:rFonts w:ascii="Times New Roman" w:hAnsi="Times New Roman"/>
          <w:b/>
          <w:bCs/>
          <w:sz w:val="24"/>
          <w:szCs w:val="24"/>
          <w:lang w:bidi="hi-IN"/>
        </w:rPr>
        <w:t>Media for isolation of bacterial isolates</w:t>
      </w:r>
    </w:p>
    <w:p w14:paraId="47958577" w14:textId="77777777" w:rsidR="00F52ABC" w:rsidRPr="00A1383C" w:rsidRDefault="00F52ABC" w:rsidP="00F52ABC">
      <w:pPr>
        <w:autoSpaceDE w:val="0"/>
        <w:autoSpaceDN w:val="0"/>
        <w:adjustRightInd w:val="0"/>
        <w:spacing w:after="0" w:line="480" w:lineRule="auto"/>
        <w:ind w:firstLine="709"/>
        <w:jc w:val="both"/>
        <w:rPr>
          <w:rFonts w:ascii="Times New Roman" w:hAnsi="Times New Roman"/>
          <w:sz w:val="24"/>
          <w:szCs w:val="24"/>
          <w:lang w:bidi="hi-IN"/>
        </w:rPr>
      </w:pPr>
      <w:r w:rsidRPr="00A1383C">
        <w:rPr>
          <w:rFonts w:ascii="Times New Roman" w:hAnsi="Times New Roman"/>
          <w:sz w:val="24"/>
          <w:szCs w:val="24"/>
          <w:lang w:bidi="hi-IN"/>
        </w:rPr>
        <w:t>Nutrient broth, Nutrient agar, Mannitol salt agar, MacConkey agar, Pseudomonas isolation agar and Eosin-Methylene Blue agar (HiMedia Laboratories Pvt. Ltd., Mumbai) were used for the bacteriological work.</w:t>
      </w:r>
    </w:p>
    <w:p w14:paraId="4E2DF25B" w14:textId="07FBB778" w:rsidR="00F52ABC" w:rsidRPr="00A1383C" w:rsidRDefault="00F52ABC" w:rsidP="00F52ABC">
      <w:pPr>
        <w:autoSpaceDE w:val="0"/>
        <w:autoSpaceDN w:val="0"/>
        <w:adjustRightInd w:val="0"/>
        <w:spacing w:after="0" w:line="480" w:lineRule="auto"/>
        <w:jc w:val="both"/>
        <w:rPr>
          <w:rFonts w:ascii="Times New Roman" w:hAnsi="Times New Roman"/>
          <w:b/>
          <w:bCs/>
          <w:sz w:val="24"/>
          <w:szCs w:val="24"/>
          <w:lang w:bidi="hi-IN"/>
        </w:rPr>
      </w:pPr>
      <w:r w:rsidRPr="00A1383C">
        <w:rPr>
          <w:rFonts w:ascii="Times New Roman" w:hAnsi="Times New Roman"/>
          <w:b/>
          <w:bCs/>
          <w:sz w:val="24"/>
          <w:szCs w:val="24"/>
          <w:lang w:bidi="hi-IN"/>
        </w:rPr>
        <w:t>Ingredients for morphological identification of bacterial isolates</w:t>
      </w:r>
    </w:p>
    <w:p w14:paraId="53B77BE0" w14:textId="77777777" w:rsidR="00F52ABC" w:rsidRPr="00A1383C" w:rsidRDefault="00F52ABC" w:rsidP="00F52ABC">
      <w:pPr>
        <w:autoSpaceDE w:val="0"/>
        <w:autoSpaceDN w:val="0"/>
        <w:adjustRightInd w:val="0"/>
        <w:spacing w:after="0" w:line="480" w:lineRule="auto"/>
        <w:ind w:firstLine="709"/>
        <w:jc w:val="both"/>
        <w:rPr>
          <w:rFonts w:ascii="Times New Roman" w:hAnsi="Times New Roman"/>
          <w:sz w:val="24"/>
          <w:szCs w:val="24"/>
          <w:lang w:bidi="hi-IN"/>
        </w:rPr>
      </w:pPr>
      <w:r w:rsidRPr="00A1383C">
        <w:rPr>
          <w:rFonts w:ascii="Times New Roman" w:hAnsi="Times New Roman"/>
          <w:sz w:val="24"/>
          <w:szCs w:val="24"/>
          <w:lang w:bidi="hi-IN"/>
        </w:rPr>
        <w:t xml:space="preserve">Gram’s Crystal Violet, Gram’s Iodine, Gram’s Decolourizer and Safranin, 0.5% w/v </w:t>
      </w:r>
      <w:r w:rsidRPr="00A1383C">
        <w:rPr>
          <w:rFonts w:ascii="Times New Roman" w:hAnsi="Times New Roman"/>
          <w:b/>
          <w:bCs/>
          <w:sz w:val="24"/>
          <w:szCs w:val="24"/>
          <w:lang w:bidi="hi-IN"/>
        </w:rPr>
        <w:t>(</w:t>
      </w:r>
      <w:r w:rsidRPr="00A1383C">
        <w:rPr>
          <w:rFonts w:ascii="Times New Roman" w:hAnsi="Times New Roman"/>
          <w:sz w:val="24"/>
          <w:szCs w:val="24"/>
          <w:lang w:bidi="hi-IN"/>
        </w:rPr>
        <w:t>HiMedia Laboratories Pvt. Ltd., Mumbai) were used for staining.</w:t>
      </w:r>
    </w:p>
    <w:p w14:paraId="41183304" w14:textId="24ADE014" w:rsidR="00F52ABC" w:rsidRPr="00A1383C" w:rsidRDefault="00F52ABC" w:rsidP="00F52ABC">
      <w:pPr>
        <w:spacing w:line="360" w:lineRule="auto"/>
        <w:jc w:val="both"/>
        <w:rPr>
          <w:rFonts w:ascii="Times New Roman" w:hAnsi="Times New Roman"/>
          <w:b/>
          <w:bCs/>
          <w:sz w:val="24"/>
          <w:szCs w:val="24"/>
          <w:lang w:bidi="hi-IN"/>
        </w:rPr>
      </w:pPr>
      <w:r w:rsidRPr="00A1383C">
        <w:rPr>
          <w:rFonts w:ascii="Times New Roman" w:hAnsi="Times New Roman"/>
          <w:b/>
          <w:bCs/>
          <w:sz w:val="24"/>
          <w:szCs w:val="24"/>
          <w:lang w:bidi="hi-IN"/>
        </w:rPr>
        <w:t xml:space="preserve">Isolation of </w:t>
      </w:r>
      <w:r w:rsidRPr="00A1383C">
        <w:rPr>
          <w:rFonts w:ascii="Times New Roman" w:hAnsi="Times New Roman"/>
          <w:b/>
          <w:bCs/>
          <w:i/>
          <w:iCs/>
          <w:sz w:val="24"/>
          <w:szCs w:val="24"/>
          <w:lang w:bidi="hi-IN"/>
        </w:rPr>
        <w:t>Pseudomonas aeruginosa</w:t>
      </w:r>
    </w:p>
    <w:p w14:paraId="5869F6D8" w14:textId="6B492453" w:rsidR="00F463CC" w:rsidRPr="00A1383C" w:rsidRDefault="00F52ABC" w:rsidP="00585E8A">
      <w:pPr>
        <w:spacing w:line="360" w:lineRule="auto"/>
        <w:jc w:val="both"/>
        <w:rPr>
          <w:rFonts w:ascii="Times New Roman" w:hAnsi="Times New Roman"/>
          <w:sz w:val="24"/>
          <w:szCs w:val="24"/>
        </w:rPr>
      </w:pPr>
      <w:r w:rsidRPr="00A1383C">
        <w:rPr>
          <w:rFonts w:ascii="Times New Roman" w:hAnsi="Times New Roman"/>
          <w:b/>
          <w:bCs/>
          <w:sz w:val="24"/>
          <w:szCs w:val="24"/>
          <w:lang w:bidi="hi-IN"/>
        </w:rPr>
        <w:t xml:space="preserve">            </w:t>
      </w:r>
      <w:r w:rsidRPr="00A1383C">
        <w:rPr>
          <w:rFonts w:ascii="Times New Roman" w:hAnsi="Times New Roman"/>
          <w:sz w:val="24"/>
          <w:szCs w:val="24"/>
        </w:rPr>
        <w:t xml:space="preserve"> </w:t>
      </w:r>
      <w:r w:rsidR="009F30E1" w:rsidRPr="00A1383C">
        <w:rPr>
          <w:rFonts w:ascii="Times New Roman" w:hAnsi="Times New Roman"/>
          <w:sz w:val="24"/>
          <w:szCs w:val="24"/>
        </w:rPr>
        <w:t xml:space="preserve">Freshly obtained ear samples were initially incubated at 25°C for 48 hours in CFC (Cephalothin–Sodium Fusidate–Cetrimide) broth base enriched with CetriNix supplement (cetrimide). The cultures were then streaked onto Cetrimide agar or Pseudomonas agar base supplemented with CetriNix and incubated at 37°C for 24-48 hours to enable selective recovery of </w:t>
      </w:r>
      <w:r w:rsidR="009F30E1" w:rsidRPr="00A1383C">
        <w:rPr>
          <w:rFonts w:ascii="Times New Roman" w:hAnsi="Times New Roman"/>
          <w:i/>
          <w:iCs/>
          <w:sz w:val="24"/>
          <w:szCs w:val="24"/>
        </w:rPr>
        <w:t>Pseudomonas aeruginosa</w:t>
      </w:r>
      <w:r w:rsidR="009F30E1" w:rsidRPr="00A1383C">
        <w:rPr>
          <w:rFonts w:ascii="Times New Roman" w:hAnsi="Times New Roman"/>
          <w:sz w:val="24"/>
          <w:szCs w:val="24"/>
        </w:rPr>
        <w:t xml:space="preserve">. Colonies producing characteristic blue-green or brown pigmentation were provisionally regarded as </w:t>
      </w:r>
      <w:r w:rsidR="009F30E1" w:rsidRPr="00A1383C">
        <w:rPr>
          <w:rFonts w:ascii="Times New Roman" w:hAnsi="Times New Roman"/>
          <w:i/>
          <w:iCs/>
          <w:sz w:val="24"/>
          <w:szCs w:val="24"/>
        </w:rPr>
        <w:t>P. aeruginosa</w:t>
      </w:r>
      <w:r w:rsidR="009F30E1" w:rsidRPr="00A1383C">
        <w:rPr>
          <w:rFonts w:ascii="Times New Roman" w:hAnsi="Times New Roman"/>
          <w:sz w:val="24"/>
          <w:szCs w:val="24"/>
        </w:rPr>
        <w:t xml:space="preserve"> isolates. </w:t>
      </w:r>
      <w:r w:rsidRPr="00A1383C">
        <w:rPr>
          <w:rFonts w:ascii="Times New Roman" w:hAnsi="Times New Roman"/>
          <w:sz w:val="24"/>
          <w:szCs w:val="24"/>
        </w:rPr>
        <w:t>Bacterial isolates were also subjected to biochemical characteristics (Goto and Enomoto, 1970).</w:t>
      </w:r>
    </w:p>
    <w:p w14:paraId="742FA6DD" w14:textId="2AD5A398" w:rsidR="001E02C8" w:rsidRPr="00A1383C" w:rsidRDefault="001E02C8" w:rsidP="001E02C8">
      <w:pPr>
        <w:rPr>
          <w:rFonts w:ascii="Times New Roman" w:hAnsi="Times New Roman"/>
          <w:b/>
          <w:bCs/>
          <w:sz w:val="24"/>
          <w:szCs w:val="24"/>
          <w:lang w:val="en-US"/>
        </w:rPr>
      </w:pPr>
      <w:r w:rsidRPr="00A1383C">
        <w:rPr>
          <w:rFonts w:ascii="Times New Roman" w:hAnsi="Times New Roman"/>
          <w:b/>
          <w:bCs/>
          <w:sz w:val="24"/>
          <w:szCs w:val="24"/>
          <w:lang w:bidi="hi-IN"/>
        </w:rPr>
        <w:t>Evaluation of therapeutic efficacy</w:t>
      </w:r>
    </w:p>
    <w:p w14:paraId="632169CA" w14:textId="55E72197" w:rsidR="001E02C8" w:rsidRPr="00A1383C" w:rsidRDefault="001E02C8" w:rsidP="001E02C8">
      <w:pPr>
        <w:spacing w:line="360" w:lineRule="auto"/>
        <w:jc w:val="both"/>
        <w:rPr>
          <w:rFonts w:ascii="Times New Roman" w:hAnsi="Times New Roman"/>
          <w:b/>
          <w:bCs/>
          <w:sz w:val="24"/>
          <w:szCs w:val="24"/>
          <w:lang w:bidi="hi-IN"/>
        </w:rPr>
      </w:pPr>
      <w:r w:rsidRPr="00A1383C">
        <w:rPr>
          <w:rFonts w:ascii="Times New Roman" w:hAnsi="Times New Roman"/>
          <w:b/>
          <w:bCs/>
          <w:sz w:val="24"/>
          <w:szCs w:val="24"/>
          <w:lang w:bidi="hi-IN"/>
        </w:rPr>
        <w:lastRenderedPageBreak/>
        <w:t>Therapeutic protocol</w:t>
      </w:r>
    </w:p>
    <w:p w14:paraId="3889FFD3" w14:textId="06D37D03" w:rsidR="001E02C8" w:rsidRPr="00A1383C" w:rsidRDefault="001E02C8" w:rsidP="001E02C8">
      <w:pPr>
        <w:autoSpaceDE w:val="0"/>
        <w:autoSpaceDN w:val="0"/>
        <w:adjustRightInd w:val="0"/>
        <w:spacing w:after="0" w:line="480" w:lineRule="auto"/>
        <w:ind w:firstLine="709"/>
        <w:jc w:val="both"/>
        <w:rPr>
          <w:rFonts w:ascii="Times New Roman" w:hAnsi="Times New Roman"/>
          <w:sz w:val="24"/>
          <w:szCs w:val="24"/>
          <w:lang w:bidi="hi-IN"/>
        </w:rPr>
      </w:pPr>
      <w:r w:rsidRPr="00A1383C">
        <w:rPr>
          <w:rFonts w:ascii="Times New Roman" w:hAnsi="Times New Roman"/>
          <w:sz w:val="24"/>
          <w:szCs w:val="24"/>
          <w:lang w:bidi="hi-IN"/>
        </w:rPr>
        <w:t>Therapeutic efficacy of different antibiotics was evaluated in clinical cases of otitis externa in dogs.</w:t>
      </w:r>
      <w:r w:rsidR="00CC4EA1" w:rsidRPr="00A1383C">
        <w:rPr>
          <w:rFonts w:ascii="Times New Roman" w:hAnsi="Times New Roman"/>
          <w:sz w:val="24"/>
          <w:szCs w:val="24"/>
          <w:lang w:bidi="hi-IN"/>
        </w:rPr>
        <w:t xml:space="preserve"> </w:t>
      </w:r>
      <w:r w:rsidRPr="00A1383C">
        <w:rPr>
          <w:rFonts w:ascii="Times New Roman" w:hAnsi="Times New Roman"/>
          <w:sz w:val="24"/>
          <w:szCs w:val="24"/>
          <w:lang w:bidi="hi-IN"/>
        </w:rPr>
        <w:t>The dogs free from parasitic and fungal infection and only affected with bacterial infection were included for therapeutic trials. The dogs infected with otitis externa of bacterial origin were divided into 4 equal groups and each group comprising 6 number of dogs and named as Group I, II, III and IV</w:t>
      </w:r>
      <w:r w:rsidR="00DD5A14" w:rsidRPr="00A1383C">
        <w:rPr>
          <w:rFonts w:ascii="Times New Roman" w:hAnsi="Times New Roman"/>
          <w:sz w:val="24"/>
          <w:szCs w:val="24"/>
          <w:lang w:bidi="hi-IN"/>
        </w:rPr>
        <w:t xml:space="preserve"> (Table no. 1)</w:t>
      </w:r>
      <w:r w:rsidRPr="00A1383C">
        <w:rPr>
          <w:rFonts w:ascii="Times New Roman" w:hAnsi="Times New Roman"/>
          <w:sz w:val="24"/>
          <w:szCs w:val="24"/>
          <w:lang w:bidi="hi-IN"/>
        </w:rPr>
        <w:t>. Antibiotics were applied as per scheduled until the dogs showed clinical improvement.</w:t>
      </w:r>
    </w:p>
    <w:p w14:paraId="212824A3" w14:textId="7BC965D2" w:rsidR="001E02C8" w:rsidRPr="00A1383C" w:rsidRDefault="00DD5A14" w:rsidP="001E02C8">
      <w:pPr>
        <w:autoSpaceDE w:val="0"/>
        <w:autoSpaceDN w:val="0"/>
        <w:adjustRightInd w:val="0"/>
        <w:spacing w:after="0" w:line="480" w:lineRule="auto"/>
        <w:jc w:val="both"/>
        <w:rPr>
          <w:rFonts w:ascii="Times New Roman" w:hAnsi="Times New Roman"/>
          <w:sz w:val="24"/>
          <w:szCs w:val="24"/>
          <w:lang w:bidi="hi-IN"/>
        </w:rPr>
      </w:pPr>
      <w:r w:rsidRPr="00A1383C">
        <w:rPr>
          <w:rFonts w:ascii="Times New Roman" w:hAnsi="Times New Roman"/>
          <w:b/>
          <w:bCs/>
          <w:sz w:val="24"/>
          <w:szCs w:val="24"/>
          <w:lang w:bidi="hi-IN"/>
        </w:rPr>
        <w:t xml:space="preserve">Table 1: </w:t>
      </w:r>
      <w:r w:rsidR="001E02C8" w:rsidRPr="00A1383C">
        <w:rPr>
          <w:rFonts w:ascii="Times New Roman" w:hAnsi="Times New Roman"/>
          <w:b/>
          <w:bCs/>
          <w:sz w:val="24"/>
          <w:szCs w:val="24"/>
          <w:lang w:bidi="hi-IN"/>
        </w:rPr>
        <w:t>Therapeutic agents used for the treatment of otitis externa of in dogs</w:t>
      </w:r>
    </w:p>
    <w:tbl>
      <w:tblPr>
        <w:tblStyle w:val="TableGrid"/>
        <w:tblW w:w="8788" w:type="dxa"/>
        <w:tblLook w:val="04A0" w:firstRow="1" w:lastRow="0" w:firstColumn="1" w:lastColumn="0" w:noHBand="0" w:noVBand="1"/>
      </w:tblPr>
      <w:tblGrid>
        <w:gridCol w:w="897"/>
        <w:gridCol w:w="1438"/>
        <w:gridCol w:w="6453"/>
      </w:tblGrid>
      <w:tr w:rsidR="00A1383C" w:rsidRPr="00A1383C" w14:paraId="7C891595" w14:textId="77777777" w:rsidTr="001D1E8A">
        <w:trPr>
          <w:trHeight w:val="341"/>
        </w:trPr>
        <w:tc>
          <w:tcPr>
            <w:tcW w:w="830" w:type="dxa"/>
          </w:tcPr>
          <w:p w14:paraId="1C1232AC" w14:textId="77777777" w:rsidR="001E02C8" w:rsidRPr="00A1383C" w:rsidRDefault="001E02C8" w:rsidP="001D1E8A">
            <w:pPr>
              <w:spacing w:line="360" w:lineRule="auto"/>
              <w:jc w:val="center"/>
              <w:rPr>
                <w:rFonts w:ascii="Times New Roman" w:hAnsi="Times New Roman"/>
                <w:b/>
                <w:bCs/>
                <w:sz w:val="24"/>
                <w:szCs w:val="24"/>
              </w:rPr>
            </w:pPr>
            <w:r w:rsidRPr="00A1383C">
              <w:rPr>
                <w:rFonts w:ascii="Times New Roman" w:hAnsi="Times New Roman"/>
                <w:b/>
                <w:bCs/>
                <w:sz w:val="24"/>
                <w:szCs w:val="24"/>
              </w:rPr>
              <w:t>Group</w:t>
            </w:r>
          </w:p>
        </w:tc>
        <w:tc>
          <w:tcPr>
            <w:tcW w:w="1447" w:type="dxa"/>
          </w:tcPr>
          <w:p w14:paraId="012E9F78" w14:textId="77777777" w:rsidR="001E02C8" w:rsidRPr="00A1383C" w:rsidRDefault="001E02C8" w:rsidP="001D1E8A">
            <w:pPr>
              <w:spacing w:line="360" w:lineRule="auto"/>
              <w:jc w:val="center"/>
              <w:rPr>
                <w:rFonts w:ascii="Times New Roman" w:hAnsi="Times New Roman"/>
                <w:b/>
                <w:bCs/>
                <w:sz w:val="24"/>
                <w:szCs w:val="24"/>
              </w:rPr>
            </w:pPr>
            <w:r w:rsidRPr="00A1383C">
              <w:rPr>
                <w:rFonts w:ascii="Times New Roman" w:hAnsi="Times New Roman"/>
                <w:b/>
                <w:bCs/>
                <w:sz w:val="24"/>
                <w:szCs w:val="24"/>
              </w:rPr>
              <w:t>No. of Dogs</w:t>
            </w:r>
          </w:p>
        </w:tc>
        <w:tc>
          <w:tcPr>
            <w:tcW w:w="6511" w:type="dxa"/>
          </w:tcPr>
          <w:p w14:paraId="74A86DCC" w14:textId="77777777" w:rsidR="001E02C8" w:rsidRPr="00A1383C" w:rsidRDefault="001E02C8" w:rsidP="001D1E8A">
            <w:pPr>
              <w:spacing w:line="360" w:lineRule="auto"/>
              <w:jc w:val="center"/>
              <w:rPr>
                <w:rFonts w:ascii="Times New Roman" w:hAnsi="Times New Roman"/>
                <w:b/>
                <w:bCs/>
                <w:sz w:val="24"/>
                <w:szCs w:val="24"/>
              </w:rPr>
            </w:pPr>
            <w:r w:rsidRPr="00A1383C">
              <w:rPr>
                <w:rFonts w:ascii="Times New Roman" w:hAnsi="Times New Roman"/>
                <w:b/>
                <w:bCs/>
                <w:sz w:val="24"/>
                <w:szCs w:val="24"/>
              </w:rPr>
              <w:t>Treatment</w:t>
            </w:r>
          </w:p>
        </w:tc>
      </w:tr>
      <w:tr w:rsidR="00A1383C" w:rsidRPr="00A1383C" w14:paraId="7A04DB51" w14:textId="77777777" w:rsidTr="001D1E8A">
        <w:trPr>
          <w:trHeight w:val="341"/>
        </w:trPr>
        <w:tc>
          <w:tcPr>
            <w:tcW w:w="830" w:type="dxa"/>
          </w:tcPr>
          <w:p w14:paraId="320DDEDB" w14:textId="77777777" w:rsidR="001E02C8" w:rsidRPr="00A1383C" w:rsidRDefault="001E02C8" w:rsidP="001D1E8A">
            <w:pPr>
              <w:spacing w:line="360" w:lineRule="auto"/>
              <w:jc w:val="center"/>
              <w:rPr>
                <w:rFonts w:ascii="Times New Roman" w:hAnsi="Times New Roman"/>
                <w:sz w:val="24"/>
                <w:szCs w:val="24"/>
              </w:rPr>
            </w:pPr>
            <w:r w:rsidRPr="00A1383C">
              <w:rPr>
                <w:rFonts w:ascii="Times New Roman" w:hAnsi="Times New Roman"/>
                <w:sz w:val="24"/>
                <w:szCs w:val="24"/>
              </w:rPr>
              <w:t>I</w:t>
            </w:r>
          </w:p>
        </w:tc>
        <w:tc>
          <w:tcPr>
            <w:tcW w:w="1447" w:type="dxa"/>
          </w:tcPr>
          <w:p w14:paraId="592B366C" w14:textId="77777777" w:rsidR="001E02C8" w:rsidRPr="00A1383C" w:rsidRDefault="001E02C8" w:rsidP="001D1E8A">
            <w:pPr>
              <w:spacing w:line="360" w:lineRule="auto"/>
              <w:jc w:val="center"/>
              <w:rPr>
                <w:rFonts w:ascii="Times New Roman" w:hAnsi="Times New Roman"/>
                <w:sz w:val="24"/>
                <w:szCs w:val="24"/>
              </w:rPr>
            </w:pPr>
            <w:r w:rsidRPr="00A1383C">
              <w:rPr>
                <w:rFonts w:ascii="Times New Roman" w:hAnsi="Times New Roman"/>
                <w:sz w:val="24"/>
                <w:szCs w:val="24"/>
              </w:rPr>
              <w:t>06</w:t>
            </w:r>
          </w:p>
        </w:tc>
        <w:tc>
          <w:tcPr>
            <w:tcW w:w="6511" w:type="dxa"/>
          </w:tcPr>
          <w:p w14:paraId="69D3B648" w14:textId="77777777" w:rsidR="001E02C8" w:rsidRPr="00A1383C" w:rsidRDefault="001E02C8" w:rsidP="001D1E8A">
            <w:pPr>
              <w:spacing w:line="360" w:lineRule="auto"/>
              <w:jc w:val="both"/>
              <w:rPr>
                <w:rFonts w:ascii="Times New Roman" w:hAnsi="Times New Roman"/>
                <w:sz w:val="24"/>
                <w:szCs w:val="24"/>
              </w:rPr>
            </w:pPr>
            <w:r w:rsidRPr="00A1383C">
              <w:rPr>
                <w:rFonts w:ascii="Times New Roman" w:hAnsi="Times New Roman"/>
                <w:sz w:val="24"/>
                <w:szCs w:val="24"/>
              </w:rPr>
              <w:t xml:space="preserve">Healthy (control) </w:t>
            </w:r>
          </w:p>
        </w:tc>
      </w:tr>
      <w:tr w:rsidR="00A1383C" w:rsidRPr="00A1383C" w14:paraId="1000A3C1" w14:textId="77777777" w:rsidTr="001D1E8A">
        <w:trPr>
          <w:trHeight w:val="568"/>
        </w:trPr>
        <w:tc>
          <w:tcPr>
            <w:tcW w:w="830" w:type="dxa"/>
          </w:tcPr>
          <w:p w14:paraId="275EB999" w14:textId="77777777" w:rsidR="001E02C8" w:rsidRPr="00A1383C" w:rsidRDefault="001E02C8" w:rsidP="001D1E8A">
            <w:pPr>
              <w:spacing w:line="360" w:lineRule="auto"/>
              <w:jc w:val="center"/>
              <w:rPr>
                <w:rFonts w:ascii="Times New Roman" w:hAnsi="Times New Roman"/>
                <w:sz w:val="24"/>
                <w:szCs w:val="24"/>
              </w:rPr>
            </w:pPr>
            <w:r w:rsidRPr="00A1383C">
              <w:rPr>
                <w:rFonts w:ascii="Times New Roman" w:hAnsi="Times New Roman"/>
                <w:sz w:val="24"/>
                <w:szCs w:val="24"/>
              </w:rPr>
              <w:t>II</w:t>
            </w:r>
          </w:p>
        </w:tc>
        <w:tc>
          <w:tcPr>
            <w:tcW w:w="1447" w:type="dxa"/>
          </w:tcPr>
          <w:p w14:paraId="7802F021" w14:textId="77777777" w:rsidR="001E02C8" w:rsidRPr="00A1383C" w:rsidRDefault="001E02C8" w:rsidP="001D1E8A">
            <w:pPr>
              <w:spacing w:line="360" w:lineRule="auto"/>
              <w:jc w:val="center"/>
              <w:rPr>
                <w:rFonts w:ascii="Times New Roman" w:hAnsi="Times New Roman"/>
                <w:sz w:val="24"/>
                <w:szCs w:val="24"/>
              </w:rPr>
            </w:pPr>
            <w:r w:rsidRPr="00A1383C">
              <w:rPr>
                <w:rFonts w:ascii="Times New Roman" w:hAnsi="Times New Roman"/>
                <w:sz w:val="24"/>
                <w:szCs w:val="24"/>
              </w:rPr>
              <w:t>06</w:t>
            </w:r>
          </w:p>
        </w:tc>
        <w:tc>
          <w:tcPr>
            <w:tcW w:w="6511" w:type="dxa"/>
          </w:tcPr>
          <w:p w14:paraId="23C3221E" w14:textId="77777777" w:rsidR="001E02C8" w:rsidRPr="00A1383C" w:rsidRDefault="001E02C8" w:rsidP="001D1E8A">
            <w:pPr>
              <w:spacing w:line="360" w:lineRule="auto"/>
              <w:jc w:val="both"/>
              <w:rPr>
                <w:rFonts w:ascii="Times New Roman" w:hAnsi="Times New Roman"/>
                <w:sz w:val="24"/>
                <w:szCs w:val="24"/>
              </w:rPr>
            </w:pPr>
            <w:r w:rsidRPr="00A1383C">
              <w:rPr>
                <w:rFonts w:ascii="Times New Roman" w:hAnsi="Times New Roman"/>
                <w:sz w:val="24"/>
                <w:szCs w:val="24"/>
              </w:rPr>
              <w:t>Enrofloxacin @7.5mg/kg body weight orally twice daily and flusing with Tris-EDTA and chlorhexidine solution once daily for 2 weeks.</w:t>
            </w:r>
          </w:p>
        </w:tc>
      </w:tr>
      <w:tr w:rsidR="00A1383C" w:rsidRPr="00A1383C" w14:paraId="39480433" w14:textId="77777777" w:rsidTr="001D1E8A">
        <w:trPr>
          <w:trHeight w:val="568"/>
        </w:trPr>
        <w:tc>
          <w:tcPr>
            <w:tcW w:w="830" w:type="dxa"/>
          </w:tcPr>
          <w:p w14:paraId="0396E834" w14:textId="77777777" w:rsidR="001E02C8" w:rsidRPr="00A1383C" w:rsidRDefault="001E02C8" w:rsidP="001D1E8A">
            <w:pPr>
              <w:spacing w:line="360" w:lineRule="auto"/>
              <w:jc w:val="center"/>
              <w:rPr>
                <w:rFonts w:ascii="Times New Roman" w:hAnsi="Times New Roman"/>
                <w:sz w:val="24"/>
                <w:szCs w:val="24"/>
              </w:rPr>
            </w:pPr>
            <w:r w:rsidRPr="00A1383C">
              <w:rPr>
                <w:rFonts w:ascii="Times New Roman" w:hAnsi="Times New Roman"/>
                <w:sz w:val="24"/>
                <w:szCs w:val="24"/>
              </w:rPr>
              <w:t>III</w:t>
            </w:r>
          </w:p>
        </w:tc>
        <w:tc>
          <w:tcPr>
            <w:tcW w:w="1447" w:type="dxa"/>
          </w:tcPr>
          <w:p w14:paraId="4F56B223" w14:textId="77777777" w:rsidR="001E02C8" w:rsidRPr="00A1383C" w:rsidRDefault="001E02C8" w:rsidP="001D1E8A">
            <w:pPr>
              <w:spacing w:line="360" w:lineRule="auto"/>
              <w:jc w:val="center"/>
              <w:rPr>
                <w:rFonts w:ascii="Times New Roman" w:hAnsi="Times New Roman"/>
                <w:sz w:val="24"/>
                <w:szCs w:val="24"/>
              </w:rPr>
            </w:pPr>
            <w:r w:rsidRPr="00A1383C">
              <w:rPr>
                <w:rFonts w:ascii="Times New Roman" w:hAnsi="Times New Roman"/>
                <w:sz w:val="24"/>
                <w:szCs w:val="24"/>
              </w:rPr>
              <w:t>06</w:t>
            </w:r>
          </w:p>
        </w:tc>
        <w:tc>
          <w:tcPr>
            <w:tcW w:w="6511" w:type="dxa"/>
          </w:tcPr>
          <w:p w14:paraId="4BFCB8BD" w14:textId="77777777" w:rsidR="001E02C8" w:rsidRPr="00A1383C" w:rsidRDefault="001E02C8" w:rsidP="001D1E8A">
            <w:pPr>
              <w:spacing w:line="360" w:lineRule="auto"/>
              <w:jc w:val="both"/>
              <w:rPr>
                <w:rFonts w:ascii="Times New Roman" w:hAnsi="Times New Roman"/>
                <w:sz w:val="24"/>
                <w:szCs w:val="24"/>
              </w:rPr>
            </w:pPr>
            <w:r w:rsidRPr="00A1383C">
              <w:rPr>
                <w:rFonts w:ascii="Times New Roman" w:hAnsi="Times New Roman"/>
                <w:sz w:val="24"/>
                <w:szCs w:val="24"/>
              </w:rPr>
              <w:t>Marbofloxacin @5mg/kg body weight orally once daily and flusing with Tris-EDTA and chlorhexidine solution once daily for 2 weeks.</w:t>
            </w:r>
          </w:p>
        </w:tc>
      </w:tr>
      <w:tr w:rsidR="001E02C8" w:rsidRPr="00A1383C" w14:paraId="136C1DBA" w14:textId="77777777" w:rsidTr="001D1E8A">
        <w:trPr>
          <w:trHeight w:val="424"/>
        </w:trPr>
        <w:tc>
          <w:tcPr>
            <w:tcW w:w="830" w:type="dxa"/>
          </w:tcPr>
          <w:p w14:paraId="1AD5F4B1" w14:textId="77777777" w:rsidR="001E02C8" w:rsidRPr="00A1383C" w:rsidRDefault="001E02C8" w:rsidP="001D1E8A">
            <w:pPr>
              <w:spacing w:line="360" w:lineRule="auto"/>
              <w:jc w:val="center"/>
              <w:rPr>
                <w:rFonts w:ascii="Times New Roman" w:hAnsi="Times New Roman"/>
                <w:sz w:val="24"/>
                <w:szCs w:val="24"/>
              </w:rPr>
            </w:pPr>
            <w:r w:rsidRPr="00A1383C">
              <w:rPr>
                <w:rFonts w:ascii="Times New Roman" w:hAnsi="Times New Roman"/>
                <w:sz w:val="24"/>
                <w:szCs w:val="24"/>
              </w:rPr>
              <w:t>IV</w:t>
            </w:r>
          </w:p>
        </w:tc>
        <w:tc>
          <w:tcPr>
            <w:tcW w:w="1447" w:type="dxa"/>
          </w:tcPr>
          <w:p w14:paraId="1D18EDD0" w14:textId="77777777" w:rsidR="001E02C8" w:rsidRPr="00A1383C" w:rsidRDefault="001E02C8" w:rsidP="001D1E8A">
            <w:pPr>
              <w:spacing w:line="360" w:lineRule="auto"/>
              <w:jc w:val="center"/>
              <w:rPr>
                <w:rFonts w:ascii="Times New Roman" w:hAnsi="Times New Roman"/>
                <w:sz w:val="24"/>
                <w:szCs w:val="24"/>
              </w:rPr>
            </w:pPr>
            <w:r w:rsidRPr="00A1383C">
              <w:rPr>
                <w:rFonts w:ascii="Times New Roman" w:hAnsi="Times New Roman"/>
                <w:sz w:val="24"/>
                <w:szCs w:val="24"/>
              </w:rPr>
              <w:t>06</w:t>
            </w:r>
          </w:p>
        </w:tc>
        <w:tc>
          <w:tcPr>
            <w:tcW w:w="6511" w:type="dxa"/>
          </w:tcPr>
          <w:p w14:paraId="6068114A" w14:textId="77777777" w:rsidR="001E02C8" w:rsidRPr="00A1383C" w:rsidRDefault="001E02C8" w:rsidP="001D1E8A">
            <w:pPr>
              <w:spacing w:line="360" w:lineRule="auto"/>
              <w:jc w:val="both"/>
              <w:rPr>
                <w:rFonts w:ascii="Times New Roman" w:hAnsi="Times New Roman"/>
                <w:sz w:val="24"/>
                <w:szCs w:val="24"/>
              </w:rPr>
            </w:pPr>
            <w:r w:rsidRPr="00A1383C">
              <w:rPr>
                <w:rFonts w:ascii="Times New Roman" w:hAnsi="Times New Roman"/>
                <w:sz w:val="24"/>
                <w:szCs w:val="24"/>
              </w:rPr>
              <w:t>Amoxycillin and Clavulanic Acid @7.5mg/kg body weight orally twice daily and flusing withTris-EDTA and chlorhexidine solution once daily for 2 weeks.</w:t>
            </w:r>
          </w:p>
        </w:tc>
      </w:tr>
    </w:tbl>
    <w:p w14:paraId="31B07821" w14:textId="5FC0F5F6" w:rsidR="001E02C8" w:rsidRPr="00A1383C" w:rsidRDefault="001E02C8" w:rsidP="001A004C">
      <w:pPr>
        <w:rPr>
          <w:rFonts w:ascii="Times New Roman" w:hAnsi="Times New Roman"/>
          <w:b/>
          <w:bCs/>
          <w:sz w:val="24"/>
          <w:szCs w:val="24"/>
          <w:lang w:val="en-US"/>
        </w:rPr>
      </w:pPr>
    </w:p>
    <w:p w14:paraId="59FD5836" w14:textId="77777777" w:rsidR="001E02C8" w:rsidRPr="00A1383C" w:rsidRDefault="001E02C8" w:rsidP="001A004C">
      <w:pPr>
        <w:rPr>
          <w:rFonts w:ascii="Times New Roman" w:hAnsi="Times New Roman"/>
          <w:b/>
          <w:bCs/>
          <w:sz w:val="24"/>
          <w:szCs w:val="24"/>
          <w:lang w:val="en-US"/>
        </w:rPr>
      </w:pPr>
    </w:p>
    <w:p w14:paraId="672E01BB" w14:textId="66D003D3" w:rsidR="001E02C8" w:rsidRPr="00A1383C" w:rsidRDefault="001E02C8" w:rsidP="00DD5A14">
      <w:pPr>
        <w:pStyle w:val="ListParagraph"/>
        <w:numPr>
          <w:ilvl w:val="0"/>
          <w:numId w:val="3"/>
        </w:numPr>
        <w:rPr>
          <w:rFonts w:ascii="Times New Roman" w:hAnsi="Times New Roman"/>
          <w:b/>
          <w:bCs/>
          <w:sz w:val="24"/>
          <w:szCs w:val="24"/>
          <w:lang w:val="en-US"/>
        </w:rPr>
      </w:pPr>
      <w:commentRangeStart w:id="5"/>
      <w:r w:rsidRPr="00A1383C">
        <w:rPr>
          <w:rFonts w:ascii="Times New Roman" w:hAnsi="Times New Roman"/>
          <w:b/>
          <w:bCs/>
          <w:sz w:val="24"/>
          <w:szCs w:val="24"/>
          <w:lang w:val="en-US"/>
        </w:rPr>
        <w:t>Result and Discussion</w:t>
      </w:r>
      <w:commentRangeEnd w:id="5"/>
      <w:r w:rsidR="00F60345">
        <w:rPr>
          <w:rStyle w:val="CommentReference"/>
        </w:rPr>
        <w:commentReference w:id="5"/>
      </w:r>
    </w:p>
    <w:p w14:paraId="6B055546" w14:textId="77777777" w:rsidR="001E02C8" w:rsidRPr="00A1383C" w:rsidRDefault="001E02C8" w:rsidP="001E02C8">
      <w:pPr>
        <w:autoSpaceDE w:val="0"/>
        <w:autoSpaceDN w:val="0"/>
        <w:adjustRightInd w:val="0"/>
        <w:spacing w:after="0" w:line="480" w:lineRule="auto"/>
        <w:ind w:left="-284" w:firstLine="1135"/>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 xml:space="preserve">In small animal practice, canine otitis externa is a prevalent clinical issue associated with dog's discomfort, which has a multi-factorial origin, making therapy to be very challenging and </w:t>
      </w:r>
      <w:r w:rsidRPr="00A1383C">
        <w:rPr>
          <w:rFonts w:ascii="Times New Roman" w:eastAsiaTheme="minorHAnsi" w:hAnsi="Times New Roman"/>
          <w:sz w:val="24"/>
          <w:szCs w:val="24"/>
          <w:lang w:val="en-US" w:bidi="hi-IN"/>
        </w:rPr>
        <w:lastRenderedPageBreak/>
        <w:t>relapses are frequently observed. The removal of underlying causes is the primary goal of treatment for otitis externa.</w:t>
      </w:r>
    </w:p>
    <w:p w14:paraId="46A53F50" w14:textId="77777777" w:rsidR="001E02C8" w:rsidRPr="00A1383C" w:rsidRDefault="001E02C8" w:rsidP="001E02C8">
      <w:pPr>
        <w:autoSpaceDE w:val="0"/>
        <w:autoSpaceDN w:val="0"/>
        <w:adjustRightInd w:val="0"/>
        <w:spacing w:after="0" w:line="480" w:lineRule="auto"/>
        <w:ind w:left="-284" w:firstLine="1135"/>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 xml:space="preserve"> For the therapeutic management of canine otitis externa, a number of pharmaceutical preparations (ear cleaner solutions, topical and systemic antimicrobial medicines) are available. For the treatment of canine otitis externa in our investigation, ear cleaner solutions, topical, and systemic antibacterial medicines were employed. The improvement in clinical signs and restoration after therapy were used to evaluate the clinical recoveries in canine patients with otitis externa. </w:t>
      </w:r>
    </w:p>
    <w:p w14:paraId="4C7AB4A8" w14:textId="377CFB9D" w:rsidR="001E02C8" w:rsidRPr="00A1383C" w:rsidRDefault="001E02C8" w:rsidP="001E02C8">
      <w:pPr>
        <w:autoSpaceDE w:val="0"/>
        <w:autoSpaceDN w:val="0"/>
        <w:adjustRightInd w:val="0"/>
        <w:spacing w:after="0" w:line="480" w:lineRule="auto"/>
        <w:ind w:left="-284" w:firstLine="1135"/>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The results of therapeutic efficacy of various modalities in our study have been presented in Table 2. The animals of Group III</w:t>
      </w:r>
      <w:r w:rsidR="00200C55" w:rsidRPr="00A1383C">
        <w:rPr>
          <w:rFonts w:ascii="Times New Roman" w:eastAsiaTheme="minorHAnsi" w:hAnsi="Times New Roman"/>
          <w:sz w:val="24"/>
          <w:szCs w:val="24"/>
          <w:lang w:val="en-US" w:bidi="hi-IN"/>
        </w:rPr>
        <w:t xml:space="preserve"> (Fig. 1 &amp; 2)</w:t>
      </w:r>
      <w:r w:rsidRPr="00A1383C">
        <w:rPr>
          <w:rFonts w:ascii="Times New Roman" w:eastAsiaTheme="minorHAnsi" w:hAnsi="Times New Roman"/>
          <w:sz w:val="24"/>
          <w:szCs w:val="24"/>
          <w:lang w:val="en-US" w:bidi="hi-IN"/>
        </w:rPr>
        <w:t xml:space="preserve"> revealed highest recovery (100%), followed by the animals Group IV which revealed 83.3% recovery</w:t>
      </w:r>
      <w:r w:rsidR="00200C55" w:rsidRPr="00A1383C">
        <w:rPr>
          <w:rFonts w:ascii="Times New Roman" w:eastAsiaTheme="minorHAnsi" w:hAnsi="Times New Roman"/>
          <w:sz w:val="24"/>
          <w:szCs w:val="24"/>
          <w:lang w:val="en-US" w:bidi="hi-IN"/>
        </w:rPr>
        <w:t xml:space="preserve"> (Fig. 3)</w:t>
      </w:r>
      <w:r w:rsidRPr="00A1383C">
        <w:rPr>
          <w:rFonts w:ascii="Times New Roman" w:eastAsiaTheme="minorHAnsi" w:hAnsi="Times New Roman"/>
          <w:sz w:val="24"/>
          <w:szCs w:val="24"/>
          <w:lang w:val="en-US" w:bidi="hi-IN"/>
        </w:rPr>
        <w:t>. However, the animals of Group II showed 66.6% recovery after completion of treatment</w:t>
      </w:r>
      <w:r w:rsidR="00200C55" w:rsidRPr="00A1383C">
        <w:rPr>
          <w:rFonts w:ascii="Times New Roman" w:eastAsiaTheme="minorHAnsi" w:hAnsi="Times New Roman"/>
          <w:sz w:val="24"/>
          <w:szCs w:val="24"/>
          <w:lang w:val="en-US" w:bidi="hi-IN"/>
        </w:rPr>
        <w:t xml:space="preserve"> (Fig. 4)</w:t>
      </w:r>
      <w:r w:rsidRPr="00A1383C">
        <w:rPr>
          <w:rFonts w:ascii="Times New Roman" w:eastAsiaTheme="minorHAnsi" w:hAnsi="Times New Roman"/>
          <w:sz w:val="24"/>
          <w:szCs w:val="24"/>
          <w:lang w:val="en-US" w:bidi="hi-IN"/>
        </w:rPr>
        <w:t xml:space="preserve">. During the present study, marbofloxacin orally along with flushing with Tris-EDTA and chlorhexidine solution once daily for 2 week was found to be most effective (100%) in dogs with </w:t>
      </w:r>
      <w:r w:rsidRPr="00A1383C">
        <w:rPr>
          <w:rFonts w:ascii="Times New Roman" w:eastAsiaTheme="minorHAnsi" w:hAnsi="Times New Roman"/>
          <w:i/>
          <w:iCs/>
          <w:sz w:val="24"/>
          <w:szCs w:val="24"/>
          <w:lang w:val="en-US" w:bidi="hi-IN"/>
        </w:rPr>
        <w:t>Pseudomonas</w:t>
      </w:r>
      <w:r w:rsidRPr="00A1383C">
        <w:rPr>
          <w:rFonts w:ascii="Times New Roman" w:eastAsiaTheme="minorHAnsi" w:hAnsi="Times New Roman"/>
          <w:sz w:val="24"/>
          <w:szCs w:val="24"/>
          <w:lang w:val="en-US" w:bidi="hi-IN"/>
        </w:rPr>
        <w:t xml:space="preserve"> otitis externa. However, amoxycillin potentiated with clavulanic acid orally almost was found effective (83.33%) in dogs with </w:t>
      </w:r>
      <w:r w:rsidRPr="00A1383C">
        <w:rPr>
          <w:rFonts w:ascii="Times New Roman" w:eastAsiaTheme="minorHAnsi" w:hAnsi="Times New Roman"/>
          <w:i/>
          <w:iCs/>
          <w:sz w:val="24"/>
          <w:szCs w:val="24"/>
          <w:lang w:val="en-US" w:bidi="hi-IN"/>
        </w:rPr>
        <w:t>Pseudomonas</w:t>
      </w:r>
      <w:r w:rsidRPr="00A1383C">
        <w:rPr>
          <w:rFonts w:ascii="Times New Roman" w:eastAsiaTheme="minorHAnsi" w:hAnsi="Times New Roman"/>
          <w:sz w:val="24"/>
          <w:szCs w:val="24"/>
          <w:lang w:val="en-US" w:bidi="hi-IN"/>
        </w:rPr>
        <w:t xml:space="preserve"> otitis externa. Administration of enrofloxacin orally along with flushing with Tris-EDTA and chlorhexidine solution once daily for 2 week was found to be effective in only 66.66% in dogs with </w:t>
      </w:r>
      <w:r w:rsidRPr="00A1383C">
        <w:rPr>
          <w:rFonts w:ascii="Times New Roman" w:eastAsiaTheme="minorHAnsi" w:hAnsi="Times New Roman"/>
          <w:i/>
          <w:iCs/>
          <w:sz w:val="24"/>
          <w:szCs w:val="24"/>
          <w:lang w:val="en-US" w:bidi="hi-IN"/>
        </w:rPr>
        <w:t>Pseudomonas</w:t>
      </w:r>
      <w:r w:rsidRPr="00A1383C">
        <w:rPr>
          <w:rFonts w:ascii="Times New Roman" w:eastAsiaTheme="minorHAnsi" w:hAnsi="Times New Roman"/>
          <w:sz w:val="24"/>
          <w:szCs w:val="24"/>
          <w:lang w:val="en-US" w:bidi="hi-IN"/>
        </w:rPr>
        <w:t xml:space="preserve"> otitis externa.</w:t>
      </w:r>
    </w:p>
    <w:p w14:paraId="753E4246" w14:textId="77777777" w:rsidR="00200C55" w:rsidRPr="00A1383C" w:rsidRDefault="00200C55" w:rsidP="001E02C8">
      <w:pPr>
        <w:autoSpaceDE w:val="0"/>
        <w:autoSpaceDN w:val="0"/>
        <w:adjustRightInd w:val="0"/>
        <w:spacing w:after="0" w:line="480" w:lineRule="auto"/>
        <w:ind w:left="-284" w:firstLine="1135"/>
        <w:jc w:val="both"/>
        <w:rPr>
          <w:rFonts w:ascii="Times New Roman" w:eastAsiaTheme="minorHAnsi" w:hAnsi="Times New Roman"/>
          <w:sz w:val="24"/>
          <w:szCs w:val="24"/>
          <w:lang w:val="en-US" w:bidi="hi-IN"/>
        </w:rPr>
      </w:pPr>
    </w:p>
    <w:p w14:paraId="3044E5B5" w14:textId="77777777" w:rsidR="00200C55" w:rsidRPr="00A1383C" w:rsidRDefault="00200C55" w:rsidP="001E02C8">
      <w:pPr>
        <w:autoSpaceDE w:val="0"/>
        <w:autoSpaceDN w:val="0"/>
        <w:adjustRightInd w:val="0"/>
        <w:spacing w:after="0" w:line="480" w:lineRule="auto"/>
        <w:ind w:left="-284" w:firstLine="1135"/>
        <w:jc w:val="both"/>
        <w:rPr>
          <w:rFonts w:ascii="Times New Roman" w:eastAsiaTheme="minorHAnsi" w:hAnsi="Times New Roman"/>
          <w:sz w:val="24"/>
          <w:szCs w:val="24"/>
          <w:lang w:val="en-US" w:bidi="hi-IN"/>
        </w:rPr>
      </w:pPr>
    </w:p>
    <w:p w14:paraId="013E8F24" w14:textId="77777777" w:rsidR="00200C55" w:rsidRPr="00A1383C" w:rsidRDefault="00200C55" w:rsidP="001E02C8">
      <w:pPr>
        <w:autoSpaceDE w:val="0"/>
        <w:autoSpaceDN w:val="0"/>
        <w:adjustRightInd w:val="0"/>
        <w:spacing w:after="0" w:line="480" w:lineRule="auto"/>
        <w:ind w:left="-284" w:firstLine="1135"/>
        <w:jc w:val="both"/>
        <w:rPr>
          <w:rFonts w:ascii="Times New Roman" w:eastAsiaTheme="minorHAnsi" w:hAnsi="Times New Roman"/>
          <w:sz w:val="24"/>
          <w:szCs w:val="24"/>
          <w:lang w:val="en-US" w:bidi="hi-IN"/>
        </w:rPr>
      </w:pPr>
    </w:p>
    <w:p w14:paraId="1A716DA5" w14:textId="77777777" w:rsidR="001E02C8" w:rsidRPr="00A1383C" w:rsidRDefault="001E02C8" w:rsidP="001E02C8">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t xml:space="preserve">Table 2: Evaluation of therapeutic efficacy of different groups of treatments against canine otitis externa </w:t>
      </w:r>
    </w:p>
    <w:tbl>
      <w:tblPr>
        <w:tblStyle w:val="TableGrid"/>
        <w:tblW w:w="0" w:type="auto"/>
        <w:tblLook w:val="04A0" w:firstRow="1" w:lastRow="0" w:firstColumn="1" w:lastColumn="0" w:noHBand="0" w:noVBand="1"/>
      </w:tblPr>
      <w:tblGrid>
        <w:gridCol w:w="2343"/>
        <w:gridCol w:w="2328"/>
        <w:gridCol w:w="2342"/>
        <w:gridCol w:w="2337"/>
      </w:tblGrid>
      <w:tr w:rsidR="00A1383C" w:rsidRPr="00A1383C" w14:paraId="6A862FE8" w14:textId="77777777" w:rsidTr="001D1E8A">
        <w:tc>
          <w:tcPr>
            <w:tcW w:w="2394" w:type="dxa"/>
          </w:tcPr>
          <w:p w14:paraId="0C8819E7"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b/>
                <w:bCs/>
                <w:sz w:val="24"/>
                <w:szCs w:val="24"/>
                <w:lang w:val="en-US" w:bidi="hi-IN"/>
              </w:rPr>
              <w:t>Particulars</w:t>
            </w:r>
          </w:p>
        </w:tc>
        <w:tc>
          <w:tcPr>
            <w:tcW w:w="2394" w:type="dxa"/>
          </w:tcPr>
          <w:p w14:paraId="5C5666EB"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t>Number of</w:t>
            </w:r>
          </w:p>
          <w:p w14:paraId="79B72174"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b/>
                <w:bCs/>
                <w:sz w:val="24"/>
                <w:szCs w:val="24"/>
                <w:lang w:val="en-US" w:bidi="hi-IN"/>
              </w:rPr>
              <w:lastRenderedPageBreak/>
              <w:t>total cases</w:t>
            </w:r>
          </w:p>
        </w:tc>
        <w:tc>
          <w:tcPr>
            <w:tcW w:w="2394" w:type="dxa"/>
          </w:tcPr>
          <w:p w14:paraId="018B686A"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lastRenderedPageBreak/>
              <w:t>Number of</w:t>
            </w:r>
          </w:p>
          <w:p w14:paraId="5C3154FE"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lastRenderedPageBreak/>
              <w:t>cases with</w:t>
            </w:r>
          </w:p>
          <w:p w14:paraId="6B966DBD"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t>incomplete</w:t>
            </w:r>
          </w:p>
          <w:p w14:paraId="04FCCC52"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b/>
                <w:bCs/>
                <w:sz w:val="24"/>
                <w:szCs w:val="24"/>
                <w:lang w:val="en-US" w:bidi="hi-IN"/>
              </w:rPr>
              <w:t>recovery</w:t>
            </w:r>
          </w:p>
        </w:tc>
        <w:tc>
          <w:tcPr>
            <w:tcW w:w="2394" w:type="dxa"/>
          </w:tcPr>
          <w:p w14:paraId="7137258D"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lastRenderedPageBreak/>
              <w:t>Number of</w:t>
            </w:r>
          </w:p>
          <w:p w14:paraId="6BA8822A"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lastRenderedPageBreak/>
              <w:t>cases with</w:t>
            </w:r>
          </w:p>
          <w:p w14:paraId="3A966D7C"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t>resolution of</w:t>
            </w:r>
          </w:p>
          <w:p w14:paraId="37F2FB00"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b/>
                <w:bCs/>
                <w:sz w:val="24"/>
                <w:szCs w:val="24"/>
                <w:lang w:val="en-US" w:bidi="hi-IN"/>
              </w:rPr>
            </w:pPr>
            <w:r w:rsidRPr="00A1383C">
              <w:rPr>
                <w:rFonts w:ascii="Times New Roman" w:eastAsiaTheme="minorHAnsi" w:hAnsi="Times New Roman"/>
                <w:b/>
                <w:bCs/>
                <w:sz w:val="24"/>
                <w:szCs w:val="24"/>
                <w:lang w:val="en-US" w:bidi="hi-IN"/>
              </w:rPr>
              <w:t>condition</w:t>
            </w:r>
          </w:p>
          <w:p w14:paraId="7F93F761"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b/>
                <w:bCs/>
                <w:sz w:val="24"/>
                <w:szCs w:val="24"/>
                <w:lang w:val="en-US" w:bidi="hi-IN"/>
              </w:rPr>
              <w:t>(%)</w:t>
            </w:r>
          </w:p>
        </w:tc>
      </w:tr>
      <w:tr w:rsidR="00A1383C" w:rsidRPr="00A1383C" w14:paraId="54E788C5" w14:textId="77777777" w:rsidTr="001D1E8A">
        <w:tc>
          <w:tcPr>
            <w:tcW w:w="2394" w:type="dxa"/>
          </w:tcPr>
          <w:p w14:paraId="38E8D83C"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lastRenderedPageBreak/>
              <w:t>Group II</w:t>
            </w:r>
          </w:p>
        </w:tc>
        <w:tc>
          <w:tcPr>
            <w:tcW w:w="2394" w:type="dxa"/>
          </w:tcPr>
          <w:p w14:paraId="57BC406D"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6</w:t>
            </w:r>
          </w:p>
        </w:tc>
        <w:tc>
          <w:tcPr>
            <w:tcW w:w="2394" w:type="dxa"/>
          </w:tcPr>
          <w:p w14:paraId="6C006C23"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2</w:t>
            </w:r>
          </w:p>
        </w:tc>
        <w:tc>
          <w:tcPr>
            <w:tcW w:w="2394" w:type="dxa"/>
          </w:tcPr>
          <w:p w14:paraId="6741730C"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66.66</w:t>
            </w:r>
          </w:p>
        </w:tc>
      </w:tr>
      <w:tr w:rsidR="00A1383C" w:rsidRPr="00A1383C" w14:paraId="2A77AEDE" w14:textId="77777777" w:rsidTr="001D1E8A">
        <w:tc>
          <w:tcPr>
            <w:tcW w:w="2394" w:type="dxa"/>
          </w:tcPr>
          <w:p w14:paraId="5176DF9B"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Group III</w:t>
            </w:r>
          </w:p>
        </w:tc>
        <w:tc>
          <w:tcPr>
            <w:tcW w:w="2394" w:type="dxa"/>
          </w:tcPr>
          <w:p w14:paraId="586D28AE"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6</w:t>
            </w:r>
          </w:p>
        </w:tc>
        <w:tc>
          <w:tcPr>
            <w:tcW w:w="2394" w:type="dxa"/>
          </w:tcPr>
          <w:p w14:paraId="6EBE8036"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Nil</w:t>
            </w:r>
          </w:p>
        </w:tc>
        <w:tc>
          <w:tcPr>
            <w:tcW w:w="2394" w:type="dxa"/>
          </w:tcPr>
          <w:p w14:paraId="1D499221"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100.00</w:t>
            </w:r>
          </w:p>
        </w:tc>
      </w:tr>
      <w:tr w:rsidR="001E02C8" w:rsidRPr="00A1383C" w14:paraId="49B4B2EC" w14:textId="77777777" w:rsidTr="001D1E8A">
        <w:tc>
          <w:tcPr>
            <w:tcW w:w="2394" w:type="dxa"/>
          </w:tcPr>
          <w:p w14:paraId="4C7C3AF0"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Group IV</w:t>
            </w:r>
          </w:p>
        </w:tc>
        <w:tc>
          <w:tcPr>
            <w:tcW w:w="2394" w:type="dxa"/>
          </w:tcPr>
          <w:p w14:paraId="54EDDD2E"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6</w:t>
            </w:r>
          </w:p>
        </w:tc>
        <w:tc>
          <w:tcPr>
            <w:tcW w:w="2394" w:type="dxa"/>
          </w:tcPr>
          <w:p w14:paraId="444B1F4D"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1</w:t>
            </w:r>
          </w:p>
        </w:tc>
        <w:tc>
          <w:tcPr>
            <w:tcW w:w="2394" w:type="dxa"/>
          </w:tcPr>
          <w:p w14:paraId="10FCB4E7" w14:textId="77777777" w:rsidR="001E02C8" w:rsidRPr="00A1383C" w:rsidRDefault="001E02C8" w:rsidP="001D1E8A">
            <w:pPr>
              <w:autoSpaceDE w:val="0"/>
              <w:autoSpaceDN w:val="0"/>
              <w:adjustRightInd w:val="0"/>
              <w:spacing w:after="0" w:line="480" w:lineRule="auto"/>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83.33</w:t>
            </w:r>
          </w:p>
        </w:tc>
      </w:tr>
    </w:tbl>
    <w:p w14:paraId="3440D9A2" w14:textId="77777777" w:rsidR="001E02C8" w:rsidRPr="00A1383C" w:rsidRDefault="001E02C8" w:rsidP="001E02C8">
      <w:pPr>
        <w:autoSpaceDE w:val="0"/>
        <w:autoSpaceDN w:val="0"/>
        <w:adjustRightInd w:val="0"/>
        <w:spacing w:after="0" w:line="480" w:lineRule="auto"/>
        <w:ind w:left="-284" w:firstLine="1135"/>
        <w:jc w:val="both"/>
        <w:rPr>
          <w:rFonts w:ascii="Times New Roman" w:eastAsiaTheme="minorHAnsi" w:hAnsi="Times New Roman"/>
          <w:sz w:val="24"/>
          <w:szCs w:val="24"/>
          <w:lang w:val="en-US" w:bidi="hi-IN"/>
        </w:rPr>
      </w:pPr>
    </w:p>
    <w:p w14:paraId="36E9E3C9" w14:textId="79E4B6A0" w:rsidR="001E02C8" w:rsidRPr="00A1383C" w:rsidRDefault="001E02C8" w:rsidP="001E02C8">
      <w:pPr>
        <w:autoSpaceDE w:val="0"/>
        <w:autoSpaceDN w:val="0"/>
        <w:adjustRightInd w:val="0"/>
        <w:spacing w:after="0" w:line="480" w:lineRule="auto"/>
        <w:ind w:left="-284" w:firstLine="851"/>
        <w:jc w:val="both"/>
        <w:rPr>
          <w:rFonts w:ascii="Times New Roman" w:eastAsiaTheme="minorHAnsi" w:hAnsi="Times New Roman"/>
          <w:sz w:val="24"/>
          <w:szCs w:val="24"/>
          <w:lang w:val="en-US" w:bidi="hi-IN"/>
        </w:rPr>
      </w:pPr>
      <w:r w:rsidRPr="00A1383C">
        <w:rPr>
          <w:rFonts w:ascii="Times New Roman" w:hAnsi="Times New Roman"/>
          <w:sz w:val="24"/>
          <w:szCs w:val="24"/>
          <w:shd w:val="clear" w:color="auto" w:fill="FFFFFF"/>
        </w:rPr>
        <w:t>Kroemer</w:t>
      </w:r>
      <w:r w:rsidR="00980C97" w:rsidRPr="00A1383C">
        <w:rPr>
          <w:rFonts w:ascii="Times New Roman" w:hAnsi="Times New Roman"/>
          <w:sz w:val="24"/>
          <w:szCs w:val="24"/>
          <w:shd w:val="clear" w:color="auto" w:fill="FFFFFF"/>
        </w:rPr>
        <w:t xml:space="preserve"> </w:t>
      </w:r>
      <w:r w:rsidR="00980C97" w:rsidRPr="00A1383C">
        <w:rPr>
          <w:rFonts w:ascii="Times New Roman" w:hAnsi="Times New Roman"/>
          <w:i/>
          <w:iCs/>
          <w:sz w:val="24"/>
          <w:szCs w:val="24"/>
          <w:shd w:val="clear" w:color="auto" w:fill="FFFFFF"/>
        </w:rPr>
        <w:t>et al</w:t>
      </w:r>
      <w:r w:rsidR="00980C97" w:rsidRPr="00A1383C">
        <w:rPr>
          <w:rFonts w:ascii="Times New Roman" w:hAnsi="Times New Roman"/>
          <w:sz w:val="24"/>
          <w:szCs w:val="24"/>
          <w:shd w:val="clear" w:color="auto" w:fill="FFFFFF"/>
        </w:rPr>
        <w:t>.</w:t>
      </w:r>
      <w:r w:rsidRPr="00A1383C">
        <w:rPr>
          <w:rFonts w:ascii="Times New Roman" w:hAnsi="Times New Roman"/>
          <w:sz w:val="24"/>
          <w:szCs w:val="24"/>
          <w:shd w:val="clear" w:color="auto" w:fill="FFFFFF"/>
        </w:rPr>
        <w:t xml:space="preserve"> (2014) isolated a total of 1857 bacterial strains from clinical cases of otitis, respiratory, urinary and dermatological infections in cats and dogs throughout Europe. </w:t>
      </w:r>
      <w:r w:rsidR="00225979" w:rsidRPr="00A1383C">
        <w:rPr>
          <w:rFonts w:ascii="Times New Roman" w:hAnsi="Times New Roman"/>
          <w:sz w:val="24"/>
          <w:szCs w:val="24"/>
          <w:shd w:val="clear" w:color="auto" w:fill="FFFFFF"/>
        </w:rPr>
        <w:t xml:space="preserve">Observed clinical resistance among the recovered isolates ranged from 0 to 14.48%. In contrast, susceptibility to marbofloxacin was notably high, indicating that this drug may be one of the most effective options for managing otitis, urinary tract, respiratory, and skin infections in companion animals. </w:t>
      </w:r>
      <w:r w:rsidRPr="00A1383C">
        <w:rPr>
          <w:rFonts w:ascii="Times New Roman" w:eastAsiaTheme="minorHAnsi" w:hAnsi="Times New Roman"/>
          <w:sz w:val="24"/>
          <w:szCs w:val="24"/>
          <w:lang w:val="en-US" w:bidi="hi-IN"/>
        </w:rPr>
        <w:t xml:space="preserve">Jerzsele </w:t>
      </w:r>
      <w:r w:rsidR="00687ACD" w:rsidRPr="00A1383C">
        <w:rPr>
          <w:rFonts w:ascii="Times New Roman" w:eastAsiaTheme="minorHAnsi" w:hAnsi="Times New Roman"/>
          <w:i/>
          <w:iCs/>
          <w:sz w:val="24"/>
          <w:szCs w:val="24"/>
          <w:lang w:val="en-US" w:bidi="hi-IN"/>
        </w:rPr>
        <w:t>et al.</w:t>
      </w:r>
      <w:r w:rsidRPr="00A1383C">
        <w:rPr>
          <w:rFonts w:ascii="Times New Roman" w:eastAsiaTheme="minorHAnsi" w:hAnsi="Times New Roman"/>
          <w:sz w:val="24"/>
          <w:szCs w:val="24"/>
          <w:lang w:val="en-US" w:bidi="hi-IN"/>
        </w:rPr>
        <w:t xml:space="preserve"> (201</w:t>
      </w:r>
      <w:r w:rsidR="00687ACD" w:rsidRPr="00A1383C">
        <w:rPr>
          <w:rFonts w:ascii="Times New Roman" w:eastAsiaTheme="minorHAnsi" w:hAnsi="Times New Roman"/>
          <w:sz w:val="24"/>
          <w:szCs w:val="24"/>
          <w:lang w:val="en-US" w:bidi="hi-IN"/>
        </w:rPr>
        <w:t>3</w:t>
      </w:r>
      <w:r w:rsidRPr="00A1383C">
        <w:rPr>
          <w:rFonts w:ascii="Times New Roman" w:eastAsiaTheme="minorHAnsi" w:hAnsi="Times New Roman"/>
          <w:sz w:val="24"/>
          <w:szCs w:val="24"/>
          <w:lang w:val="en-US" w:bidi="hi-IN"/>
        </w:rPr>
        <w:t xml:space="preserve">) have also observed that marbofloxacin has marked efficacy against </w:t>
      </w:r>
      <w:r w:rsidRPr="00A1383C">
        <w:rPr>
          <w:rFonts w:ascii="Times New Roman" w:eastAsiaTheme="minorHAnsi" w:hAnsi="Times New Roman"/>
          <w:i/>
          <w:iCs/>
          <w:sz w:val="24"/>
          <w:szCs w:val="24"/>
          <w:lang w:val="en-US" w:bidi="hi-IN"/>
        </w:rPr>
        <w:t>P.aeruginosa</w:t>
      </w:r>
      <w:r w:rsidRPr="00A1383C">
        <w:rPr>
          <w:rFonts w:ascii="Times New Roman" w:eastAsiaTheme="minorHAnsi" w:hAnsi="Times New Roman"/>
          <w:sz w:val="24"/>
          <w:szCs w:val="24"/>
          <w:lang w:val="en-US" w:bidi="hi-IN"/>
        </w:rPr>
        <w:t xml:space="preserve"> and has better activity and a longer postantibiotic effect against the pathogen compared to enrofloxacin (Farca</w:t>
      </w:r>
      <w:r w:rsidR="00687ACD" w:rsidRPr="00A1383C">
        <w:rPr>
          <w:rFonts w:ascii="Times New Roman" w:eastAsiaTheme="minorHAnsi" w:hAnsi="Times New Roman"/>
          <w:sz w:val="24"/>
          <w:szCs w:val="24"/>
          <w:lang w:val="en-US" w:bidi="hi-IN"/>
        </w:rPr>
        <w:t xml:space="preserve"> </w:t>
      </w:r>
      <w:r w:rsidR="00687ACD" w:rsidRPr="00A1383C">
        <w:rPr>
          <w:rFonts w:ascii="Times New Roman" w:eastAsiaTheme="minorHAnsi" w:hAnsi="Times New Roman"/>
          <w:i/>
          <w:iCs/>
          <w:sz w:val="24"/>
          <w:szCs w:val="24"/>
          <w:lang w:val="en-US" w:bidi="hi-IN"/>
        </w:rPr>
        <w:t>et al</w:t>
      </w:r>
      <w:r w:rsidR="00687ACD" w:rsidRPr="00A1383C">
        <w:rPr>
          <w:rFonts w:ascii="Times New Roman" w:eastAsiaTheme="minorHAnsi" w:hAnsi="Times New Roman"/>
          <w:sz w:val="24"/>
          <w:szCs w:val="24"/>
          <w:lang w:val="en-US" w:bidi="hi-IN"/>
        </w:rPr>
        <w:t>.</w:t>
      </w:r>
      <w:r w:rsidRPr="00A1383C">
        <w:rPr>
          <w:rFonts w:ascii="Times New Roman" w:eastAsiaTheme="minorHAnsi" w:hAnsi="Times New Roman"/>
          <w:sz w:val="24"/>
          <w:szCs w:val="24"/>
          <w:lang w:val="en-US" w:bidi="hi-IN"/>
        </w:rPr>
        <w:t>, 2007; Muller and Horn, 2009)</w:t>
      </w:r>
    </w:p>
    <w:p w14:paraId="45D457E2" w14:textId="77777777" w:rsidR="001E02C8" w:rsidRPr="00A1383C" w:rsidRDefault="001E02C8" w:rsidP="001E02C8">
      <w:pPr>
        <w:autoSpaceDE w:val="0"/>
        <w:autoSpaceDN w:val="0"/>
        <w:adjustRightInd w:val="0"/>
        <w:spacing w:after="0" w:line="480" w:lineRule="auto"/>
        <w:ind w:left="-284" w:firstLine="1135"/>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Amoxycillin and clavulanic acid were observed to be 83.33% efficacious for treatment of otitis externa in our study which is in close proximity to those stated by Hariharan</w:t>
      </w:r>
      <w:r w:rsidRPr="00A1383C">
        <w:rPr>
          <w:rFonts w:ascii="Times New Roman" w:eastAsiaTheme="minorHAnsi" w:hAnsi="Times New Roman"/>
          <w:i/>
          <w:iCs/>
          <w:sz w:val="24"/>
          <w:szCs w:val="24"/>
          <w:lang w:val="en-US" w:bidi="hi-IN"/>
        </w:rPr>
        <w:t xml:space="preserve"> et al</w:t>
      </w:r>
      <w:r w:rsidRPr="00A1383C">
        <w:rPr>
          <w:rFonts w:ascii="Times New Roman" w:eastAsiaTheme="minorHAnsi" w:hAnsi="Times New Roman"/>
          <w:sz w:val="24"/>
          <w:szCs w:val="24"/>
          <w:lang w:val="en-US" w:bidi="hi-IN"/>
        </w:rPr>
        <w:t xml:space="preserve">. (2006) in clinical cases of canine otitis externa where in 100% efficacy of this combination was reported. Choudhury (2014) have reported that the bacteria that cause otitis are sensitive to amoxycillin and clavulanic acid, which are 100% effective when used to treat clinical cases of otitis in dogs. Similarly, Kashyap </w:t>
      </w:r>
      <w:r w:rsidRPr="00A1383C">
        <w:rPr>
          <w:rFonts w:ascii="Times New Roman" w:eastAsiaTheme="minorHAnsi" w:hAnsi="Times New Roman"/>
          <w:i/>
          <w:iCs/>
          <w:sz w:val="24"/>
          <w:szCs w:val="24"/>
          <w:lang w:val="en-US" w:bidi="hi-IN"/>
        </w:rPr>
        <w:t>et al</w:t>
      </w:r>
      <w:r w:rsidRPr="00A1383C">
        <w:rPr>
          <w:rFonts w:ascii="Times New Roman" w:eastAsiaTheme="minorHAnsi" w:hAnsi="Times New Roman"/>
          <w:sz w:val="24"/>
          <w:szCs w:val="24"/>
          <w:lang w:val="en-US" w:bidi="hi-IN"/>
        </w:rPr>
        <w:t xml:space="preserve">. (2018) have also documented that the optimum combination for treating canine otitis </w:t>
      </w:r>
      <w:r w:rsidRPr="00A1383C">
        <w:rPr>
          <w:rFonts w:ascii="Times New Roman" w:eastAsiaTheme="minorHAnsi" w:hAnsi="Times New Roman"/>
          <w:sz w:val="24"/>
          <w:szCs w:val="24"/>
          <w:lang w:val="en-US" w:bidi="hi-IN"/>
        </w:rPr>
        <w:lastRenderedPageBreak/>
        <w:t>externa was amoxycillin and sulbactum. The efficacy of potentiated Amoxycillin with Clavulanic acid orally in otitis in dogs might be due to the synergistic action of Clavulanic acid in combination.</w:t>
      </w:r>
    </w:p>
    <w:p w14:paraId="7E3C45F9" w14:textId="77777777" w:rsidR="00486003" w:rsidRPr="00A1383C" w:rsidRDefault="001E02C8" w:rsidP="00486003">
      <w:pPr>
        <w:autoSpaceDE w:val="0"/>
        <w:autoSpaceDN w:val="0"/>
        <w:adjustRightInd w:val="0"/>
        <w:spacing w:after="0" w:line="480" w:lineRule="auto"/>
        <w:ind w:left="-284" w:firstLine="720"/>
        <w:jc w:val="both"/>
        <w:rPr>
          <w:rFonts w:ascii="Times New Roman" w:hAnsi="Times New Roman"/>
          <w:sz w:val="24"/>
          <w:szCs w:val="24"/>
          <w:shd w:val="clear" w:color="auto" w:fill="FFFFFF"/>
        </w:rPr>
      </w:pPr>
      <w:r w:rsidRPr="00A1383C">
        <w:rPr>
          <w:rFonts w:ascii="Times New Roman" w:hAnsi="Times New Roman"/>
          <w:sz w:val="24"/>
          <w:szCs w:val="24"/>
          <w:shd w:val="clear" w:color="auto" w:fill="FFFFFF"/>
        </w:rPr>
        <w:t xml:space="preserve">Dogs treated with enrofloxacin revealed 66.66% efficacy for therapeutic management of Pseudomonas otitis externa. Mekic </w:t>
      </w:r>
      <w:r w:rsidRPr="00A1383C">
        <w:rPr>
          <w:rFonts w:ascii="Times New Roman" w:hAnsi="Times New Roman"/>
          <w:i/>
          <w:iCs/>
          <w:sz w:val="24"/>
          <w:szCs w:val="24"/>
          <w:shd w:val="clear" w:color="auto" w:fill="FFFFFF"/>
        </w:rPr>
        <w:t xml:space="preserve">et al. </w:t>
      </w:r>
      <w:r w:rsidRPr="00A1383C">
        <w:rPr>
          <w:rFonts w:ascii="Times New Roman" w:hAnsi="Times New Roman"/>
          <w:sz w:val="24"/>
          <w:szCs w:val="24"/>
          <w:shd w:val="clear" w:color="auto" w:fill="FFFFFF"/>
        </w:rPr>
        <w:t>(2011) have also documented highest resistance of enrofloxacin (51.90%) and gentamicin (43.3%) against Pseudomonas isolated from canine otitis externa.</w:t>
      </w:r>
    </w:p>
    <w:p w14:paraId="1E40C470" w14:textId="77777777" w:rsidR="00BA744F" w:rsidRPr="00A1383C" w:rsidRDefault="00DD5A14" w:rsidP="00BA744F">
      <w:pPr>
        <w:pStyle w:val="ListParagraph"/>
        <w:numPr>
          <w:ilvl w:val="0"/>
          <w:numId w:val="3"/>
        </w:numPr>
        <w:autoSpaceDE w:val="0"/>
        <w:autoSpaceDN w:val="0"/>
        <w:adjustRightInd w:val="0"/>
        <w:spacing w:after="0" w:line="480" w:lineRule="auto"/>
        <w:ind w:left="-142"/>
        <w:jc w:val="both"/>
        <w:rPr>
          <w:rFonts w:ascii="Times New Roman" w:hAnsi="Times New Roman"/>
          <w:b/>
          <w:bCs/>
          <w:sz w:val="24"/>
          <w:szCs w:val="24"/>
          <w:shd w:val="clear" w:color="auto" w:fill="FFFFFF"/>
        </w:rPr>
      </w:pPr>
      <w:r w:rsidRPr="00A1383C">
        <w:rPr>
          <w:rFonts w:ascii="Times New Roman" w:hAnsi="Times New Roman"/>
          <w:b/>
          <w:bCs/>
          <w:sz w:val="24"/>
          <w:szCs w:val="24"/>
          <w:shd w:val="clear" w:color="auto" w:fill="FFFFFF"/>
        </w:rPr>
        <w:t>Conclusion</w:t>
      </w:r>
    </w:p>
    <w:p w14:paraId="362917EB" w14:textId="7981BEF1" w:rsidR="00BF1081" w:rsidRDefault="00BA744F" w:rsidP="00752CDA">
      <w:pPr>
        <w:pStyle w:val="ListParagraph"/>
        <w:autoSpaceDE w:val="0"/>
        <w:autoSpaceDN w:val="0"/>
        <w:adjustRightInd w:val="0"/>
        <w:spacing w:after="0" w:line="480" w:lineRule="auto"/>
        <w:ind w:left="-142"/>
        <w:jc w:val="both"/>
        <w:rPr>
          <w:rFonts w:ascii="Times New Roman" w:hAnsi="Times New Roman"/>
          <w:sz w:val="24"/>
          <w:szCs w:val="24"/>
        </w:rPr>
      </w:pPr>
      <w:r w:rsidRPr="00A1383C">
        <w:rPr>
          <w:rFonts w:ascii="Times New Roman" w:hAnsi="Times New Roman"/>
          <w:sz w:val="24"/>
          <w:szCs w:val="24"/>
        </w:rPr>
        <w:t>Canine otitis externa patients treated with marbofloxacin along with daily ear flushing with Tris-EDTA solution demonstrated the highest recovery rate (100%), followed by Amoxycillin-clavulanic acid combination (83.3%), while enrofloxacin treated dogs showed 66.6% recovery after treatment.</w:t>
      </w:r>
    </w:p>
    <w:p w14:paraId="01871A51" w14:textId="77777777" w:rsidR="00752CDA" w:rsidRPr="00752CDA" w:rsidRDefault="00752CDA" w:rsidP="00752CDA">
      <w:pPr>
        <w:pStyle w:val="ListParagraph"/>
        <w:autoSpaceDE w:val="0"/>
        <w:autoSpaceDN w:val="0"/>
        <w:adjustRightInd w:val="0"/>
        <w:spacing w:after="0" w:line="480" w:lineRule="auto"/>
        <w:ind w:left="-142"/>
        <w:jc w:val="both"/>
        <w:rPr>
          <w:rFonts w:ascii="Times New Roman" w:hAnsi="Times New Roman"/>
          <w:b/>
          <w:bCs/>
          <w:sz w:val="24"/>
          <w:szCs w:val="24"/>
          <w:shd w:val="clear" w:color="auto" w:fill="FFFFFF"/>
        </w:rPr>
      </w:pPr>
    </w:p>
    <w:p w14:paraId="69556F98" w14:textId="77777777" w:rsidR="00486003" w:rsidRPr="00A1383C" w:rsidRDefault="00486003" w:rsidP="00DD5A14">
      <w:pPr>
        <w:autoSpaceDE w:val="0"/>
        <w:autoSpaceDN w:val="0"/>
        <w:adjustRightInd w:val="0"/>
        <w:spacing w:after="0" w:line="480" w:lineRule="auto"/>
        <w:ind w:left="-142" w:firstLine="720"/>
        <w:jc w:val="both"/>
        <w:rPr>
          <w:rFonts w:ascii="Times New Roman" w:hAnsi="Times New Roman"/>
          <w:sz w:val="24"/>
          <w:szCs w:val="24"/>
          <w:shd w:val="clear" w:color="auto" w:fill="FFFFFF"/>
        </w:rPr>
      </w:pPr>
    </w:p>
    <w:p w14:paraId="5C3ACF19" w14:textId="77777777" w:rsidR="00486003" w:rsidRPr="00A1383C" w:rsidRDefault="00486003" w:rsidP="00486003">
      <w:pPr>
        <w:autoSpaceDE w:val="0"/>
        <w:autoSpaceDN w:val="0"/>
        <w:adjustRightInd w:val="0"/>
        <w:spacing w:after="0" w:line="480" w:lineRule="auto"/>
        <w:jc w:val="both"/>
        <w:rPr>
          <w:rFonts w:ascii="Times New Roman" w:hAnsi="Times New Roman"/>
          <w:b/>
          <w:bCs/>
          <w:sz w:val="24"/>
          <w:szCs w:val="24"/>
          <w:shd w:val="clear" w:color="auto" w:fill="FFFFFF"/>
        </w:rPr>
      </w:pPr>
      <w:commentRangeStart w:id="6"/>
      <w:r w:rsidRPr="00A1383C">
        <w:rPr>
          <w:rFonts w:ascii="Times New Roman" w:hAnsi="Times New Roman"/>
          <w:b/>
          <w:bCs/>
          <w:sz w:val="24"/>
          <w:szCs w:val="24"/>
          <w:shd w:val="clear" w:color="auto" w:fill="FFFFFF"/>
        </w:rPr>
        <w:t>References</w:t>
      </w:r>
      <w:commentRangeEnd w:id="6"/>
      <w:r w:rsidR="00A87985">
        <w:rPr>
          <w:rStyle w:val="CommentReference"/>
        </w:rPr>
        <w:commentReference w:id="6"/>
      </w:r>
    </w:p>
    <w:p w14:paraId="5727DB81" w14:textId="1BA8A0D6" w:rsidR="00486003" w:rsidRPr="00A1383C" w:rsidRDefault="00486003" w:rsidP="00486003">
      <w:pPr>
        <w:autoSpaceDE w:val="0"/>
        <w:autoSpaceDN w:val="0"/>
        <w:adjustRightInd w:val="0"/>
        <w:spacing w:after="0" w:line="480" w:lineRule="auto"/>
        <w:ind w:left="567" w:hanging="567"/>
        <w:jc w:val="both"/>
        <w:rPr>
          <w:rFonts w:ascii="Times New Roman" w:hAnsi="Times New Roman"/>
          <w:sz w:val="24"/>
          <w:szCs w:val="24"/>
          <w:lang w:val="en-US"/>
        </w:rPr>
      </w:pPr>
      <w:r w:rsidRPr="00A1383C">
        <w:rPr>
          <w:rFonts w:ascii="Times New Roman" w:hAnsi="Times New Roman"/>
          <w:sz w:val="24"/>
          <w:szCs w:val="24"/>
          <w:lang w:val="en-US"/>
        </w:rPr>
        <w:t>Barnard, N.</w:t>
      </w:r>
      <w:r w:rsidR="00DD5A14" w:rsidRPr="00A1383C">
        <w:rPr>
          <w:rFonts w:ascii="Times New Roman" w:hAnsi="Times New Roman"/>
          <w:sz w:val="24"/>
          <w:szCs w:val="24"/>
          <w:lang w:val="en-US"/>
        </w:rPr>
        <w:t>,</w:t>
      </w:r>
      <w:r w:rsidRPr="00A1383C">
        <w:rPr>
          <w:rFonts w:ascii="Times New Roman" w:hAnsi="Times New Roman"/>
          <w:sz w:val="24"/>
          <w:szCs w:val="24"/>
          <w:lang w:val="en-US"/>
        </w:rPr>
        <w:t xml:space="preserve"> </w:t>
      </w:r>
      <w:r w:rsidR="00DD5A14" w:rsidRPr="00A1383C">
        <w:rPr>
          <w:rFonts w:ascii="Times New Roman" w:hAnsi="Times New Roman"/>
          <w:sz w:val="24"/>
          <w:szCs w:val="24"/>
          <w:lang w:val="en-US"/>
        </w:rPr>
        <w:t>&amp;</w:t>
      </w:r>
      <w:r w:rsidRPr="00A1383C">
        <w:rPr>
          <w:rFonts w:ascii="Times New Roman" w:hAnsi="Times New Roman"/>
          <w:sz w:val="24"/>
          <w:szCs w:val="24"/>
          <w:lang w:val="en-US"/>
        </w:rPr>
        <w:t xml:space="preserve"> Foster, A. (2017). Pseudomonas otitis in dogs: a general practitioner's guide to treatment. </w:t>
      </w:r>
      <w:r w:rsidRPr="00A1383C">
        <w:rPr>
          <w:rFonts w:ascii="Times New Roman" w:hAnsi="Times New Roman"/>
          <w:i/>
          <w:iCs/>
          <w:sz w:val="24"/>
          <w:szCs w:val="24"/>
          <w:lang w:val="en-US"/>
        </w:rPr>
        <w:t>In Practice</w:t>
      </w:r>
      <w:r w:rsidR="0032310D" w:rsidRPr="00A1383C">
        <w:rPr>
          <w:rFonts w:ascii="Times New Roman" w:hAnsi="Times New Roman"/>
          <w:sz w:val="24"/>
          <w:szCs w:val="24"/>
          <w:lang w:val="en-US"/>
        </w:rPr>
        <w:t>,</w:t>
      </w:r>
      <w:r w:rsidRPr="00A1383C">
        <w:rPr>
          <w:rFonts w:ascii="Times New Roman" w:hAnsi="Times New Roman"/>
          <w:sz w:val="24"/>
          <w:szCs w:val="24"/>
          <w:lang w:val="en-US"/>
        </w:rPr>
        <w:t xml:space="preserve"> 39(9)</w:t>
      </w:r>
      <w:r w:rsidR="0032310D" w:rsidRPr="00A1383C">
        <w:rPr>
          <w:rFonts w:ascii="Times New Roman" w:hAnsi="Times New Roman"/>
          <w:sz w:val="24"/>
          <w:szCs w:val="24"/>
          <w:lang w:val="en-US"/>
        </w:rPr>
        <w:t>,</w:t>
      </w:r>
      <w:r w:rsidRPr="00A1383C">
        <w:rPr>
          <w:rFonts w:ascii="Times New Roman" w:hAnsi="Times New Roman"/>
          <w:sz w:val="24"/>
          <w:szCs w:val="24"/>
          <w:lang w:val="en-US"/>
        </w:rPr>
        <w:t xml:space="preserve"> 386-398.</w:t>
      </w:r>
    </w:p>
    <w:p w14:paraId="2F1CD382" w14:textId="48D94F14" w:rsidR="00486003" w:rsidRPr="00A1383C" w:rsidRDefault="00486003" w:rsidP="00486003">
      <w:pPr>
        <w:autoSpaceDE w:val="0"/>
        <w:autoSpaceDN w:val="0"/>
        <w:adjustRightInd w:val="0"/>
        <w:spacing w:after="0" w:line="480" w:lineRule="auto"/>
        <w:ind w:left="567" w:hanging="567"/>
        <w:jc w:val="both"/>
        <w:rPr>
          <w:rFonts w:ascii="Times New Roman" w:hAnsi="Times New Roman"/>
          <w:sz w:val="24"/>
          <w:szCs w:val="24"/>
          <w:lang w:val="en-US"/>
        </w:rPr>
      </w:pPr>
      <w:r w:rsidRPr="00A1383C">
        <w:rPr>
          <w:rFonts w:ascii="Times New Roman" w:hAnsi="Times New Roman"/>
          <w:sz w:val="24"/>
          <w:szCs w:val="24"/>
          <w:lang w:val="en-US"/>
        </w:rPr>
        <w:t>Bradley, C. W., Lee, F. F., Rankin, S. C., Kalan, L. R., Horwinski, J., Morris, D. O., Grice, E. A.</w:t>
      </w:r>
      <w:r w:rsidR="0032310D" w:rsidRPr="00A1383C">
        <w:rPr>
          <w:rFonts w:ascii="Times New Roman" w:hAnsi="Times New Roman"/>
          <w:sz w:val="24"/>
          <w:szCs w:val="24"/>
          <w:lang w:val="en-US"/>
        </w:rPr>
        <w:t>,</w:t>
      </w:r>
      <w:r w:rsidRPr="00A1383C">
        <w:rPr>
          <w:rFonts w:ascii="Times New Roman" w:hAnsi="Times New Roman"/>
          <w:sz w:val="24"/>
          <w:szCs w:val="24"/>
          <w:lang w:val="en-US"/>
        </w:rPr>
        <w:t xml:space="preserve"> </w:t>
      </w:r>
      <w:r w:rsidR="0032310D" w:rsidRPr="00A1383C">
        <w:rPr>
          <w:rFonts w:ascii="Times New Roman" w:hAnsi="Times New Roman"/>
          <w:sz w:val="24"/>
          <w:szCs w:val="24"/>
          <w:lang w:val="en-US"/>
        </w:rPr>
        <w:t xml:space="preserve">&amp; </w:t>
      </w:r>
      <w:r w:rsidRPr="00A1383C">
        <w:rPr>
          <w:rFonts w:ascii="Times New Roman" w:hAnsi="Times New Roman"/>
          <w:sz w:val="24"/>
          <w:szCs w:val="24"/>
          <w:lang w:val="en-US"/>
        </w:rPr>
        <w:t xml:space="preserve">Cain, C. L. (2020). The otic microbiota and mycobiota in a referral population of dogs in eastern USA with otitis externa. </w:t>
      </w:r>
      <w:r w:rsidRPr="00A1383C">
        <w:rPr>
          <w:rFonts w:ascii="Times New Roman" w:hAnsi="Times New Roman"/>
          <w:i/>
          <w:iCs/>
          <w:sz w:val="24"/>
          <w:szCs w:val="24"/>
          <w:lang w:val="en-US"/>
        </w:rPr>
        <w:t>Veterinary Dermatology</w:t>
      </w:r>
      <w:r w:rsidRPr="00A1383C">
        <w:rPr>
          <w:rFonts w:ascii="Times New Roman" w:hAnsi="Times New Roman"/>
          <w:sz w:val="24"/>
          <w:szCs w:val="24"/>
          <w:lang w:val="en-US"/>
        </w:rPr>
        <w:t>, 31(3)</w:t>
      </w:r>
      <w:r w:rsidR="0032310D" w:rsidRPr="00A1383C">
        <w:rPr>
          <w:rFonts w:ascii="Times New Roman" w:hAnsi="Times New Roman"/>
          <w:sz w:val="24"/>
          <w:szCs w:val="24"/>
          <w:lang w:val="en-US"/>
        </w:rPr>
        <w:t>,</w:t>
      </w:r>
      <w:r w:rsidRPr="00A1383C">
        <w:rPr>
          <w:rFonts w:ascii="Times New Roman" w:hAnsi="Times New Roman"/>
          <w:sz w:val="24"/>
          <w:szCs w:val="24"/>
          <w:lang w:val="en-US"/>
        </w:rPr>
        <w:t xml:space="preserve"> 225-e49.</w:t>
      </w:r>
    </w:p>
    <w:p w14:paraId="7FEAEE6D" w14:textId="77777777" w:rsidR="00EC1918" w:rsidRPr="00A1383C" w:rsidRDefault="00EC1918" w:rsidP="00EC1918">
      <w:pPr>
        <w:autoSpaceDE w:val="0"/>
        <w:autoSpaceDN w:val="0"/>
        <w:adjustRightInd w:val="0"/>
        <w:spacing w:after="0" w:line="480" w:lineRule="auto"/>
        <w:ind w:left="567" w:hanging="567"/>
        <w:jc w:val="both"/>
        <w:rPr>
          <w:rFonts w:ascii="Times New Roman" w:hAnsi="Times New Roman"/>
          <w:sz w:val="24"/>
          <w:szCs w:val="24"/>
          <w:lang w:val="en-US"/>
        </w:rPr>
      </w:pPr>
      <w:r w:rsidRPr="00A1383C">
        <w:rPr>
          <w:rFonts w:ascii="Times New Roman" w:hAnsi="Times New Roman"/>
          <w:sz w:val="24"/>
          <w:szCs w:val="24"/>
          <w:lang w:val="en-US"/>
        </w:rPr>
        <w:t>Choudhury, S. (2014). Studies on canine bacterial otitis externa and its therapeutic management with special reference to clove oil. M.V.Sc. Thesis submitted to WBUAFS, Kolkata, West Bengal, India.</w:t>
      </w:r>
    </w:p>
    <w:p w14:paraId="72C9C162" w14:textId="1705A0E1" w:rsidR="00EC1918" w:rsidRPr="00A1383C" w:rsidRDefault="00EC1918" w:rsidP="00EC1918">
      <w:pPr>
        <w:autoSpaceDE w:val="0"/>
        <w:autoSpaceDN w:val="0"/>
        <w:adjustRightInd w:val="0"/>
        <w:spacing w:after="0" w:line="480" w:lineRule="auto"/>
        <w:ind w:left="567" w:hanging="567"/>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lastRenderedPageBreak/>
        <w:t>Farca, A.M., Cavana, P., Robino, P.,</w:t>
      </w:r>
      <w:r w:rsidR="0032310D" w:rsidRPr="00A1383C">
        <w:rPr>
          <w:rFonts w:ascii="Times New Roman" w:eastAsiaTheme="minorHAnsi" w:hAnsi="Times New Roman"/>
          <w:sz w:val="24"/>
          <w:szCs w:val="24"/>
          <w:lang w:val="en-US" w:bidi="hi-IN"/>
        </w:rPr>
        <w:t xml:space="preserve"> &amp;</w:t>
      </w:r>
      <w:r w:rsidRPr="00A1383C">
        <w:rPr>
          <w:rFonts w:ascii="Times New Roman" w:eastAsiaTheme="minorHAnsi" w:hAnsi="Times New Roman"/>
          <w:sz w:val="24"/>
          <w:szCs w:val="24"/>
          <w:lang w:val="en-US" w:bidi="hi-IN"/>
        </w:rPr>
        <w:t xml:space="preserve"> Nebbia, P.</w:t>
      </w:r>
      <w:r w:rsidR="00687ACD" w:rsidRPr="00A1383C">
        <w:rPr>
          <w:rFonts w:ascii="Times New Roman" w:eastAsiaTheme="minorHAnsi" w:hAnsi="Times New Roman"/>
          <w:sz w:val="24"/>
          <w:szCs w:val="24"/>
          <w:lang w:val="en-US" w:bidi="hi-IN"/>
        </w:rPr>
        <w:t xml:space="preserve"> (2007).</w:t>
      </w:r>
      <w:r w:rsidRPr="00A1383C">
        <w:rPr>
          <w:rFonts w:ascii="Times New Roman" w:eastAsiaTheme="minorHAnsi" w:hAnsi="Times New Roman"/>
          <w:sz w:val="24"/>
          <w:szCs w:val="24"/>
          <w:lang w:val="en-US" w:bidi="hi-IN"/>
        </w:rPr>
        <w:t xml:space="preserve"> In vitro antimicrobial activity of marbofloxacin and enrofloxacin against bacterial strains isolated from companion animals. </w:t>
      </w:r>
      <w:r w:rsidRPr="00A1383C">
        <w:rPr>
          <w:rFonts w:ascii="Times New Roman" w:eastAsiaTheme="minorHAnsi" w:hAnsi="Times New Roman"/>
          <w:i/>
          <w:iCs/>
          <w:sz w:val="24"/>
          <w:szCs w:val="24"/>
          <w:lang w:val="en-US" w:bidi="hi-IN"/>
        </w:rPr>
        <w:t>Schweiz Arch Tierh</w:t>
      </w:r>
      <w:r w:rsidR="0032310D" w:rsidRPr="00A1383C">
        <w:rPr>
          <w:rFonts w:ascii="Times New Roman" w:eastAsiaTheme="minorHAnsi" w:hAnsi="Times New Roman"/>
          <w:i/>
          <w:iCs/>
          <w:sz w:val="24"/>
          <w:szCs w:val="24"/>
          <w:lang w:val="en-US" w:bidi="hi-IN"/>
        </w:rPr>
        <w:t>,</w:t>
      </w:r>
      <w:r w:rsidRPr="00A1383C">
        <w:rPr>
          <w:rFonts w:ascii="Times New Roman" w:eastAsiaTheme="minorHAnsi" w:hAnsi="Times New Roman"/>
          <w:sz w:val="24"/>
          <w:szCs w:val="24"/>
          <w:lang w:val="en-US" w:bidi="hi-IN"/>
        </w:rPr>
        <w:t xml:space="preserve"> 149,</w:t>
      </w:r>
      <w:r w:rsidRPr="00A1383C">
        <w:rPr>
          <w:rFonts w:ascii="Times New Roman" w:eastAsiaTheme="minorHAnsi" w:hAnsi="Times New Roman"/>
          <w:b/>
          <w:bCs/>
          <w:sz w:val="24"/>
          <w:szCs w:val="24"/>
          <w:lang w:val="en-US" w:bidi="hi-IN"/>
        </w:rPr>
        <w:t xml:space="preserve"> </w:t>
      </w:r>
      <w:r w:rsidRPr="00A1383C">
        <w:rPr>
          <w:rFonts w:ascii="Times New Roman" w:eastAsiaTheme="minorHAnsi" w:hAnsi="Times New Roman"/>
          <w:sz w:val="24"/>
          <w:szCs w:val="24"/>
          <w:lang w:val="en-US" w:bidi="hi-IN"/>
        </w:rPr>
        <w:t>265</w:t>
      </w:r>
      <w:r w:rsidR="00687ACD" w:rsidRPr="00A1383C">
        <w:rPr>
          <w:rFonts w:ascii="Times New Roman" w:eastAsiaTheme="minorHAnsi" w:hAnsi="Times New Roman"/>
          <w:sz w:val="24"/>
          <w:szCs w:val="24"/>
          <w:lang w:val="en-US" w:bidi="hi-IN"/>
        </w:rPr>
        <w:t>-</w:t>
      </w:r>
      <w:r w:rsidRPr="00A1383C">
        <w:rPr>
          <w:rFonts w:ascii="Times New Roman" w:eastAsiaTheme="minorHAnsi" w:hAnsi="Times New Roman"/>
          <w:sz w:val="24"/>
          <w:szCs w:val="24"/>
          <w:lang w:val="en-US" w:bidi="hi-IN"/>
        </w:rPr>
        <w:t>271</w:t>
      </w:r>
      <w:r w:rsidR="00687ACD" w:rsidRPr="00A1383C">
        <w:rPr>
          <w:rFonts w:ascii="Times New Roman" w:eastAsiaTheme="minorHAnsi" w:hAnsi="Times New Roman"/>
          <w:sz w:val="24"/>
          <w:szCs w:val="24"/>
          <w:lang w:val="en-US" w:bidi="hi-IN"/>
        </w:rPr>
        <w:t>.</w:t>
      </w:r>
    </w:p>
    <w:p w14:paraId="410CBB1F" w14:textId="49068403" w:rsidR="00EC1918" w:rsidRPr="00A1383C" w:rsidRDefault="00EC1918" w:rsidP="00EC1918">
      <w:pPr>
        <w:shd w:val="clear" w:color="auto" w:fill="FFFFFF"/>
        <w:spacing w:after="0" w:line="480" w:lineRule="auto"/>
        <w:ind w:left="567" w:hanging="567"/>
        <w:jc w:val="both"/>
        <w:rPr>
          <w:rFonts w:ascii="Times New Roman" w:hAnsi="Times New Roman"/>
          <w:iCs/>
          <w:sz w:val="24"/>
          <w:szCs w:val="24"/>
          <w:lang w:eastAsia="en-IN"/>
        </w:rPr>
      </w:pPr>
      <w:r w:rsidRPr="00A1383C">
        <w:rPr>
          <w:rFonts w:ascii="Times New Roman" w:hAnsi="Times New Roman"/>
          <w:iCs/>
          <w:sz w:val="24"/>
          <w:szCs w:val="24"/>
          <w:lang w:eastAsia="en-IN"/>
        </w:rPr>
        <w:t>Goto, S</w:t>
      </w:r>
      <w:r w:rsidR="0032310D" w:rsidRPr="00A1383C">
        <w:rPr>
          <w:rFonts w:ascii="Times New Roman" w:hAnsi="Times New Roman"/>
          <w:iCs/>
          <w:sz w:val="24"/>
          <w:szCs w:val="24"/>
          <w:lang w:eastAsia="en-IN"/>
        </w:rPr>
        <w:t>. &amp;</w:t>
      </w:r>
      <w:r w:rsidRPr="00A1383C">
        <w:rPr>
          <w:rFonts w:ascii="Times New Roman" w:hAnsi="Times New Roman"/>
          <w:iCs/>
          <w:sz w:val="24"/>
          <w:szCs w:val="24"/>
          <w:lang w:eastAsia="en-IN"/>
        </w:rPr>
        <w:t xml:space="preserve"> Enomoto, S</w:t>
      </w:r>
      <w:r w:rsidR="0032310D" w:rsidRPr="00A1383C">
        <w:rPr>
          <w:rFonts w:ascii="Times New Roman" w:hAnsi="Times New Roman"/>
          <w:iCs/>
          <w:sz w:val="24"/>
          <w:szCs w:val="24"/>
          <w:lang w:eastAsia="en-IN"/>
        </w:rPr>
        <w:t>.</w:t>
      </w:r>
      <w:r w:rsidRPr="00A1383C">
        <w:rPr>
          <w:rFonts w:ascii="Times New Roman" w:hAnsi="Times New Roman"/>
          <w:iCs/>
          <w:sz w:val="24"/>
          <w:szCs w:val="24"/>
          <w:lang w:eastAsia="en-IN"/>
        </w:rPr>
        <w:t xml:space="preserve"> </w:t>
      </w:r>
      <w:r w:rsidR="0032310D" w:rsidRPr="00A1383C">
        <w:rPr>
          <w:rFonts w:ascii="Times New Roman" w:hAnsi="Times New Roman"/>
          <w:iCs/>
          <w:sz w:val="24"/>
          <w:szCs w:val="24"/>
          <w:lang w:eastAsia="en-IN"/>
        </w:rPr>
        <w:t>(</w:t>
      </w:r>
      <w:r w:rsidRPr="00A1383C">
        <w:rPr>
          <w:rFonts w:ascii="Times New Roman" w:hAnsi="Times New Roman"/>
          <w:iCs/>
          <w:sz w:val="24"/>
          <w:szCs w:val="24"/>
          <w:lang w:eastAsia="en-IN"/>
        </w:rPr>
        <w:t>1970</w:t>
      </w:r>
      <w:r w:rsidR="0032310D" w:rsidRPr="00A1383C">
        <w:rPr>
          <w:rFonts w:ascii="Times New Roman" w:hAnsi="Times New Roman"/>
          <w:iCs/>
          <w:sz w:val="24"/>
          <w:szCs w:val="24"/>
          <w:lang w:eastAsia="en-IN"/>
        </w:rPr>
        <w:t>)</w:t>
      </w:r>
      <w:r w:rsidRPr="00A1383C">
        <w:rPr>
          <w:rFonts w:ascii="Times New Roman" w:hAnsi="Times New Roman"/>
          <w:iCs/>
          <w:sz w:val="24"/>
          <w:szCs w:val="24"/>
          <w:lang w:eastAsia="en-IN"/>
        </w:rPr>
        <w:t>.</w:t>
      </w:r>
      <w:r w:rsidR="0032310D" w:rsidRPr="00A1383C">
        <w:rPr>
          <w:rFonts w:ascii="Times New Roman" w:hAnsi="Times New Roman"/>
          <w:iCs/>
          <w:sz w:val="24"/>
          <w:szCs w:val="24"/>
          <w:lang w:eastAsia="en-IN"/>
        </w:rPr>
        <w:t xml:space="preserve"> </w:t>
      </w:r>
      <w:r w:rsidRPr="00A1383C">
        <w:rPr>
          <w:rFonts w:ascii="Times New Roman" w:hAnsi="Times New Roman"/>
          <w:sz w:val="24"/>
          <w:szCs w:val="24"/>
          <w:shd w:val="clear" w:color="auto" w:fill="FFFFFF"/>
          <w:lang w:eastAsia="en-IN"/>
        </w:rPr>
        <w:t xml:space="preserve">Nalidixic acid cetrimide agar. A new selective plating medium for the selective isolation of </w:t>
      </w:r>
      <w:r w:rsidRPr="00A1383C">
        <w:rPr>
          <w:rFonts w:ascii="Times New Roman" w:hAnsi="Times New Roman"/>
          <w:i/>
          <w:sz w:val="24"/>
          <w:szCs w:val="24"/>
          <w:shd w:val="clear" w:color="auto" w:fill="FFFFFF"/>
          <w:lang w:eastAsia="en-IN"/>
        </w:rPr>
        <w:t>Pseudomonas aeruginosa</w:t>
      </w:r>
      <w:r w:rsidRPr="00A1383C">
        <w:rPr>
          <w:rFonts w:ascii="Times New Roman" w:hAnsi="Times New Roman"/>
          <w:sz w:val="24"/>
          <w:szCs w:val="24"/>
          <w:shd w:val="clear" w:color="auto" w:fill="FFFFFF"/>
          <w:lang w:eastAsia="en-IN"/>
        </w:rPr>
        <w:t>.</w:t>
      </w:r>
      <w:r w:rsidR="0032310D" w:rsidRPr="00A1383C">
        <w:rPr>
          <w:rFonts w:ascii="Times New Roman" w:hAnsi="Times New Roman"/>
          <w:sz w:val="24"/>
          <w:szCs w:val="24"/>
          <w:shd w:val="clear" w:color="auto" w:fill="FFFFFF"/>
          <w:lang w:eastAsia="en-IN"/>
        </w:rPr>
        <w:t xml:space="preserve"> </w:t>
      </w:r>
      <w:r w:rsidRPr="00A1383C">
        <w:rPr>
          <w:rFonts w:ascii="Times New Roman" w:hAnsi="Times New Roman"/>
          <w:i/>
          <w:sz w:val="24"/>
          <w:szCs w:val="24"/>
          <w:lang w:eastAsia="en-IN"/>
        </w:rPr>
        <w:t>Japanese Journal of Microbiology</w:t>
      </w:r>
      <w:r w:rsidR="0032310D" w:rsidRPr="00A1383C">
        <w:rPr>
          <w:rFonts w:ascii="Times New Roman" w:hAnsi="Times New Roman"/>
          <w:i/>
          <w:sz w:val="24"/>
          <w:szCs w:val="24"/>
          <w:lang w:eastAsia="en-IN"/>
        </w:rPr>
        <w:t>,</w:t>
      </w:r>
      <w:r w:rsidRPr="00A1383C">
        <w:rPr>
          <w:rFonts w:ascii="Times New Roman" w:hAnsi="Times New Roman"/>
          <w:i/>
          <w:sz w:val="24"/>
          <w:szCs w:val="24"/>
          <w:lang w:eastAsia="en-IN"/>
        </w:rPr>
        <w:t xml:space="preserve"> </w:t>
      </w:r>
      <w:r w:rsidRPr="00A1383C">
        <w:rPr>
          <w:rFonts w:ascii="Times New Roman" w:hAnsi="Times New Roman"/>
          <w:bCs/>
          <w:iCs/>
          <w:sz w:val="24"/>
          <w:szCs w:val="24"/>
          <w:lang w:eastAsia="en-IN"/>
        </w:rPr>
        <w:t>14</w:t>
      </w:r>
      <w:r w:rsidR="0032310D" w:rsidRPr="00A1383C">
        <w:rPr>
          <w:rFonts w:ascii="Times New Roman" w:hAnsi="Times New Roman"/>
          <w:bCs/>
          <w:iCs/>
          <w:sz w:val="24"/>
          <w:szCs w:val="24"/>
          <w:lang w:eastAsia="en-IN"/>
        </w:rPr>
        <w:t xml:space="preserve">, </w:t>
      </w:r>
      <w:r w:rsidRPr="00A1383C">
        <w:rPr>
          <w:rFonts w:ascii="Times New Roman" w:hAnsi="Times New Roman"/>
          <w:iCs/>
          <w:sz w:val="24"/>
          <w:szCs w:val="24"/>
          <w:lang w:eastAsia="en-IN"/>
        </w:rPr>
        <w:t>65-72.</w:t>
      </w:r>
    </w:p>
    <w:p w14:paraId="1F94CFA2" w14:textId="77777777" w:rsidR="0032310D" w:rsidRPr="00A1383C" w:rsidRDefault="00486003" w:rsidP="0032310D">
      <w:pPr>
        <w:tabs>
          <w:tab w:val="left" w:pos="567"/>
        </w:tabs>
        <w:autoSpaceDE w:val="0"/>
        <w:autoSpaceDN w:val="0"/>
        <w:adjustRightInd w:val="0"/>
        <w:spacing w:after="0" w:line="480" w:lineRule="auto"/>
        <w:ind w:left="567" w:hanging="567"/>
        <w:jc w:val="both"/>
        <w:rPr>
          <w:rFonts w:ascii="Times New Roman" w:hAnsi="Times New Roman"/>
          <w:sz w:val="24"/>
          <w:szCs w:val="24"/>
          <w:lang w:val="en-US"/>
        </w:rPr>
      </w:pPr>
      <w:r w:rsidRPr="00A1383C">
        <w:rPr>
          <w:rFonts w:ascii="Times New Roman" w:hAnsi="Times New Roman"/>
          <w:sz w:val="24"/>
          <w:szCs w:val="24"/>
          <w:lang w:val="en-US"/>
        </w:rPr>
        <w:t>Hariharan, H., Coles, M., Poole, D., Lund, L.</w:t>
      </w:r>
      <w:r w:rsidR="0032310D" w:rsidRPr="00A1383C">
        <w:rPr>
          <w:rFonts w:ascii="Times New Roman" w:hAnsi="Times New Roman"/>
          <w:sz w:val="24"/>
          <w:szCs w:val="24"/>
          <w:lang w:val="en-US"/>
        </w:rPr>
        <w:t>, &amp;</w:t>
      </w:r>
      <w:r w:rsidRPr="00A1383C">
        <w:rPr>
          <w:rFonts w:ascii="Times New Roman" w:hAnsi="Times New Roman"/>
          <w:sz w:val="24"/>
          <w:szCs w:val="24"/>
          <w:lang w:val="en-US"/>
        </w:rPr>
        <w:t xml:space="preserve"> Page, R. (2006). Update on antimicrobial susceptibilities of bacterial isolates from canine and feline otitis externa. </w:t>
      </w:r>
      <w:r w:rsidRPr="00A1383C">
        <w:rPr>
          <w:rFonts w:ascii="Times New Roman" w:hAnsi="Times New Roman"/>
          <w:i/>
          <w:iCs/>
          <w:sz w:val="24"/>
          <w:szCs w:val="24"/>
          <w:lang w:val="en-US"/>
        </w:rPr>
        <w:t>The Canadian Veterinary Journal</w:t>
      </w:r>
      <w:r w:rsidRPr="00A1383C">
        <w:rPr>
          <w:rFonts w:ascii="Times New Roman" w:hAnsi="Times New Roman"/>
          <w:sz w:val="24"/>
          <w:szCs w:val="24"/>
          <w:lang w:val="en-US"/>
        </w:rPr>
        <w:t>, 47</w:t>
      </w:r>
      <w:r w:rsidR="0032310D" w:rsidRPr="00A1383C">
        <w:rPr>
          <w:rFonts w:ascii="Times New Roman" w:hAnsi="Times New Roman"/>
          <w:sz w:val="24"/>
          <w:szCs w:val="24"/>
          <w:lang w:val="en-US"/>
        </w:rPr>
        <w:t>,</w:t>
      </w:r>
      <w:r w:rsidRPr="00A1383C">
        <w:rPr>
          <w:rFonts w:ascii="Times New Roman" w:hAnsi="Times New Roman"/>
          <w:sz w:val="24"/>
          <w:szCs w:val="24"/>
          <w:lang w:val="en-US"/>
        </w:rPr>
        <w:t xml:space="preserve"> 253-255.</w:t>
      </w:r>
    </w:p>
    <w:p w14:paraId="7524A5A9" w14:textId="4CBF1D2E" w:rsidR="00EC1918" w:rsidRPr="00A1383C" w:rsidRDefault="00EC1918" w:rsidP="0032310D">
      <w:pPr>
        <w:tabs>
          <w:tab w:val="left" w:pos="567"/>
        </w:tabs>
        <w:autoSpaceDE w:val="0"/>
        <w:autoSpaceDN w:val="0"/>
        <w:adjustRightInd w:val="0"/>
        <w:spacing w:after="0" w:line="480" w:lineRule="auto"/>
        <w:ind w:left="567" w:hanging="567"/>
        <w:jc w:val="both"/>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t>Jerzsele, A., Balazs, B., Lajos, Z., Galfi, P.,</w:t>
      </w:r>
      <w:r w:rsidR="0032310D" w:rsidRPr="00A1383C">
        <w:rPr>
          <w:rFonts w:ascii="Times New Roman" w:eastAsiaTheme="minorHAnsi" w:hAnsi="Times New Roman"/>
          <w:sz w:val="24"/>
          <w:szCs w:val="24"/>
          <w:lang w:val="en-US" w:bidi="hi-IN"/>
        </w:rPr>
        <w:t xml:space="preserve"> &amp;</w:t>
      </w:r>
      <w:r w:rsidRPr="00A1383C">
        <w:rPr>
          <w:rFonts w:ascii="Times New Roman" w:eastAsiaTheme="minorHAnsi" w:hAnsi="Times New Roman"/>
          <w:sz w:val="24"/>
          <w:szCs w:val="24"/>
          <w:lang w:val="en-US" w:bidi="hi-IN"/>
        </w:rPr>
        <w:t xml:space="preserve"> Gyetvai, B.</w:t>
      </w:r>
      <w:r w:rsidR="00687ACD" w:rsidRPr="00A1383C">
        <w:rPr>
          <w:rFonts w:ascii="Times New Roman" w:eastAsiaTheme="minorHAnsi" w:hAnsi="Times New Roman"/>
          <w:sz w:val="24"/>
          <w:szCs w:val="24"/>
          <w:lang w:val="en-US" w:bidi="hi-IN"/>
        </w:rPr>
        <w:t xml:space="preserve"> (2013).</w:t>
      </w:r>
      <w:r w:rsidRPr="00A1383C">
        <w:rPr>
          <w:rFonts w:ascii="Times New Roman" w:eastAsiaTheme="minorHAnsi" w:hAnsi="Times New Roman"/>
          <w:sz w:val="24"/>
          <w:szCs w:val="24"/>
          <w:lang w:val="en-US" w:bidi="hi-IN"/>
        </w:rPr>
        <w:t xml:space="preserve"> In vitro susceptibility of </w:t>
      </w:r>
      <w:r w:rsidRPr="00A1383C">
        <w:rPr>
          <w:rFonts w:ascii="Times New Roman" w:eastAsiaTheme="minorHAnsi" w:hAnsi="Times New Roman"/>
          <w:i/>
          <w:iCs/>
          <w:sz w:val="24"/>
          <w:szCs w:val="24"/>
          <w:lang w:val="en-US" w:bidi="hi-IN"/>
        </w:rPr>
        <w:t>Pseudomonas</w:t>
      </w:r>
      <w:r w:rsidR="00687ACD" w:rsidRPr="00A1383C">
        <w:rPr>
          <w:rFonts w:ascii="Times New Roman" w:eastAsiaTheme="minorHAnsi" w:hAnsi="Times New Roman"/>
          <w:i/>
          <w:iCs/>
          <w:sz w:val="24"/>
          <w:szCs w:val="24"/>
          <w:lang w:val="en-US" w:bidi="hi-IN"/>
        </w:rPr>
        <w:t xml:space="preserve"> </w:t>
      </w:r>
      <w:r w:rsidRPr="00A1383C">
        <w:rPr>
          <w:rFonts w:ascii="Times New Roman" w:eastAsiaTheme="minorHAnsi" w:hAnsi="Times New Roman"/>
          <w:i/>
          <w:iCs/>
          <w:sz w:val="24"/>
          <w:szCs w:val="24"/>
          <w:lang w:val="en-US" w:bidi="hi-IN"/>
        </w:rPr>
        <w:t xml:space="preserve">aeruginosa </w:t>
      </w:r>
      <w:r w:rsidRPr="00A1383C">
        <w:rPr>
          <w:rFonts w:ascii="Times New Roman" w:eastAsiaTheme="minorHAnsi" w:hAnsi="Times New Roman"/>
          <w:sz w:val="24"/>
          <w:szCs w:val="24"/>
          <w:lang w:val="en-US" w:bidi="hi-IN"/>
        </w:rPr>
        <w:t xml:space="preserve">strains isolated from dogs with otitis externa. </w:t>
      </w:r>
      <w:r w:rsidRPr="00A1383C">
        <w:rPr>
          <w:rFonts w:ascii="Times New Roman" w:eastAsiaTheme="minorHAnsi" w:hAnsi="Times New Roman"/>
          <w:i/>
          <w:iCs/>
          <w:sz w:val="24"/>
          <w:szCs w:val="24"/>
          <w:lang w:val="en-US" w:bidi="hi-IN"/>
        </w:rPr>
        <w:t>Magy Állatorvosok</w:t>
      </w:r>
      <w:r w:rsidR="0032310D" w:rsidRPr="00A1383C">
        <w:rPr>
          <w:rFonts w:ascii="Times New Roman" w:eastAsiaTheme="minorHAnsi" w:hAnsi="Times New Roman"/>
          <w:i/>
          <w:iCs/>
          <w:sz w:val="24"/>
          <w:szCs w:val="24"/>
          <w:lang w:val="en-US" w:bidi="hi-IN"/>
        </w:rPr>
        <w:t xml:space="preserve">, </w:t>
      </w:r>
      <w:r w:rsidRPr="00A1383C">
        <w:rPr>
          <w:rFonts w:ascii="Times New Roman" w:eastAsiaTheme="minorHAnsi" w:hAnsi="Times New Roman"/>
          <w:sz w:val="24"/>
          <w:szCs w:val="24"/>
          <w:lang w:val="en-US" w:bidi="hi-IN"/>
        </w:rPr>
        <w:t>135,</w:t>
      </w:r>
      <w:r w:rsidRPr="00A1383C">
        <w:rPr>
          <w:rFonts w:ascii="Times New Roman" w:eastAsiaTheme="minorHAnsi" w:hAnsi="Times New Roman"/>
          <w:b/>
          <w:bCs/>
          <w:sz w:val="24"/>
          <w:szCs w:val="24"/>
          <w:lang w:val="en-US" w:bidi="hi-IN"/>
        </w:rPr>
        <w:t xml:space="preserve"> </w:t>
      </w:r>
      <w:r w:rsidRPr="00A1383C">
        <w:rPr>
          <w:rFonts w:ascii="Times New Roman" w:eastAsiaTheme="minorHAnsi" w:hAnsi="Times New Roman"/>
          <w:sz w:val="24"/>
          <w:szCs w:val="24"/>
          <w:lang w:val="en-US" w:bidi="hi-IN"/>
        </w:rPr>
        <w:t>746</w:t>
      </w:r>
      <w:r w:rsidR="0032310D" w:rsidRPr="00A1383C">
        <w:rPr>
          <w:rFonts w:ascii="Times New Roman" w:eastAsiaTheme="minorHAnsi" w:hAnsi="Times New Roman"/>
          <w:sz w:val="24"/>
          <w:szCs w:val="24"/>
          <w:lang w:val="en-US" w:bidi="hi-IN"/>
        </w:rPr>
        <w:t>-</w:t>
      </w:r>
      <w:r w:rsidRPr="00A1383C">
        <w:rPr>
          <w:rFonts w:ascii="Times New Roman" w:eastAsiaTheme="minorHAnsi" w:hAnsi="Times New Roman"/>
          <w:sz w:val="24"/>
          <w:szCs w:val="24"/>
          <w:lang w:val="en-US" w:bidi="hi-IN"/>
        </w:rPr>
        <w:t>750.</w:t>
      </w:r>
    </w:p>
    <w:p w14:paraId="5B7C3886" w14:textId="77777777" w:rsidR="00D6728A" w:rsidRPr="00A1383C" w:rsidRDefault="00EC1918" w:rsidP="00D6728A">
      <w:pPr>
        <w:autoSpaceDE w:val="0"/>
        <w:autoSpaceDN w:val="0"/>
        <w:adjustRightInd w:val="0"/>
        <w:spacing w:after="0" w:line="480" w:lineRule="auto"/>
        <w:ind w:left="567" w:hanging="567"/>
        <w:jc w:val="both"/>
        <w:rPr>
          <w:rFonts w:ascii="Times New Roman" w:hAnsi="Times New Roman"/>
          <w:sz w:val="24"/>
          <w:szCs w:val="24"/>
          <w:lang w:val="en-US"/>
        </w:rPr>
      </w:pPr>
      <w:r w:rsidRPr="00A1383C">
        <w:rPr>
          <w:rFonts w:ascii="Times New Roman" w:hAnsi="Times New Roman"/>
          <w:sz w:val="24"/>
          <w:szCs w:val="24"/>
          <w:lang w:val="en-US"/>
        </w:rPr>
        <w:t>Kashyap, R., Roy, M.</w:t>
      </w:r>
      <w:r w:rsidR="0032310D" w:rsidRPr="00A1383C">
        <w:rPr>
          <w:rFonts w:ascii="Times New Roman" w:hAnsi="Times New Roman"/>
          <w:sz w:val="24"/>
          <w:szCs w:val="24"/>
          <w:lang w:val="en-US"/>
        </w:rPr>
        <w:t>, &amp;</w:t>
      </w:r>
      <w:r w:rsidRPr="00A1383C">
        <w:rPr>
          <w:rFonts w:ascii="Times New Roman" w:hAnsi="Times New Roman"/>
          <w:sz w:val="24"/>
          <w:szCs w:val="24"/>
          <w:lang w:val="en-US"/>
        </w:rPr>
        <w:t xml:space="preserve"> Roy, S. (2018). Isolation and identification of pathological agents in dogs with otitis externa. </w:t>
      </w:r>
      <w:r w:rsidRPr="00A1383C">
        <w:rPr>
          <w:rFonts w:ascii="Times New Roman" w:hAnsi="Times New Roman"/>
          <w:i/>
          <w:iCs/>
          <w:sz w:val="24"/>
          <w:szCs w:val="24"/>
          <w:lang w:val="en-US"/>
        </w:rPr>
        <w:t>International Journal of</w:t>
      </w:r>
      <w:r w:rsidRPr="00A1383C">
        <w:rPr>
          <w:rFonts w:ascii="Times New Roman" w:hAnsi="Times New Roman"/>
          <w:sz w:val="24"/>
          <w:szCs w:val="24"/>
          <w:lang w:val="en-US"/>
        </w:rPr>
        <w:t xml:space="preserve"> </w:t>
      </w:r>
      <w:r w:rsidRPr="00A1383C">
        <w:rPr>
          <w:rFonts w:ascii="Times New Roman" w:hAnsi="Times New Roman"/>
          <w:i/>
          <w:iCs/>
          <w:sz w:val="24"/>
          <w:szCs w:val="24"/>
          <w:lang w:val="en-US"/>
        </w:rPr>
        <w:t xml:space="preserve">Agricultural Science and Research, </w:t>
      </w:r>
      <w:r w:rsidRPr="00A1383C">
        <w:rPr>
          <w:rFonts w:ascii="Times New Roman" w:hAnsi="Times New Roman"/>
          <w:sz w:val="24"/>
          <w:szCs w:val="24"/>
          <w:lang w:val="en-US"/>
        </w:rPr>
        <w:t>8(2)</w:t>
      </w:r>
      <w:r w:rsidR="0032310D" w:rsidRPr="00A1383C">
        <w:rPr>
          <w:rFonts w:ascii="Times New Roman" w:hAnsi="Times New Roman"/>
          <w:sz w:val="24"/>
          <w:szCs w:val="24"/>
          <w:lang w:val="en-US"/>
        </w:rPr>
        <w:t>,</w:t>
      </w:r>
      <w:r w:rsidRPr="00A1383C">
        <w:rPr>
          <w:rFonts w:ascii="Times New Roman" w:hAnsi="Times New Roman"/>
          <w:sz w:val="24"/>
          <w:szCs w:val="24"/>
          <w:lang w:val="en-US"/>
        </w:rPr>
        <w:t xml:space="preserve"> 19-24.</w:t>
      </w:r>
    </w:p>
    <w:p w14:paraId="7A3BFEC1" w14:textId="47915581" w:rsidR="00D6728A" w:rsidRPr="00A1383C" w:rsidRDefault="00D6728A" w:rsidP="00D6728A">
      <w:pPr>
        <w:autoSpaceDE w:val="0"/>
        <w:autoSpaceDN w:val="0"/>
        <w:adjustRightInd w:val="0"/>
        <w:spacing w:after="0" w:line="480" w:lineRule="auto"/>
        <w:ind w:left="567" w:hanging="567"/>
        <w:jc w:val="both"/>
        <w:rPr>
          <w:rFonts w:ascii="Times New Roman" w:hAnsi="Times New Roman"/>
          <w:sz w:val="24"/>
          <w:szCs w:val="24"/>
          <w:lang w:val="en-US"/>
        </w:rPr>
      </w:pPr>
      <w:r w:rsidRPr="00A1383C">
        <w:rPr>
          <w:rFonts w:ascii="Times New Roman" w:hAnsi="Times New Roman"/>
          <w:sz w:val="24"/>
          <w:szCs w:val="24"/>
        </w:rPr>
        <w:t>Kashyap, K. P, Ali, S. L., Shakya, S., Singh, J., Gade, N. E., Rawat, N., Patyal, A., Naik, V. K., &amp; Verma, A. (2023). Assessment of antibiogram profiles in Pseudomonas isolates from canine otitis externa.</w:t>
      </w:r>
      <w:r w:rsidRPr="00A1383C">
        <w:rPr>
          <w:rFonts w:ascii="Times New Roman" w:hAnsi="Times New Roman"/>
          <w:i/>
          <w:iCs/>
          <w:sz w:val="24"/>
          <w:szCs w:val="24"/>
        </w:rPr>
        <w:t xml:space="preserve"> The Pharma Innovation Journal,</w:t>
      </w:r>
      <w:r w:rsidRPr="00A1383C">
        <w:rPr>
          <w:rFonts w:ascii="Times New Roman" w:hAnsi="Times New Roman"/>
          <w:sz w:val="24"/>
          <w:szCs w:val="24"/>
        </w:rPr>
        <w:t xml:space="preserve"> SP-12(12), 2183-2186.</w:t>
      </w:r>
    </w:p>
    <w:p w14:paraId="1344F258" w14:textId="55DBCD01" w:rsidR="00980C97" w:rsidRPr="00A1383C" w:rsidRDefault="00980C97" w:rsidP="00EC1918">
      <w:pPr>
        <w:autoSpaceDE w:val="0"/>
        <w:autoSpaceDN w:val="0"/>
        <w:adjustRightInd w:val="0"/>
        <w:spacing w:after="0" w:line="480" w:lineRule="auto"/>
        <w:ind w:left="567" w:hanging="567"/>
        <w:jc w:val="both"/>
        <w:rPr>
          <w:rFonts w:ascii="Times New Roman" w:hAnsi="Times New Roman"/>
          <w:sz w:val="24"/>
          <w:szCs w:val="24"/>
        </w:rPr>
      </w:pPr>
      <w:r w:rsidRPr="00A1383C">
        <w:rPr>
          <w:rFonts w:ascii="Times New Roman" w:hAnsi="Times New Roman"/>
          <w:sz w:val="24"/>
          <w:szCs w:val="24"/>
        </w:rPr>
        <w:t>Kroemer</w:t>
      </w:r>
      <w:r w:rsidR="0032310D" w:rsidRPr="00A1383C">
        <w:rPr>
          <w:rFonts w:ascii="Times New Roman" w:hAnsi="Times New Roman"/>
          <w:sz w:val="24"/>
          <w:szCs w:val="24"/>
        </w:rPr>
        <w:t>,</w:t>
      </w:r>
      <w:r w:rsidRPr="00A1383C">
        <w:rPr>
          <w:rFonts w:ascii="Times New Roman" w:hAnsi="Times New Roman"/>
          <w:sz w:val="24"/>
          <w:szCs w:val="24"/>
        </w:rPr>
        <w:t xml:space="preserve"> S</w:t>
      </w:r>
      <w:r w:rsidR="0032310D" w:rsidRPr="00A1383C">
        <w:rPr>
          <w:rFonts w:ascii="Times New Roman" w:hAnsi="Times New Roman"/>
          <w:sz w:val="24"/>
          <w:szCs w:val="24"/>
        </w:rPr>
        <w:t>.</w:t>
      </w:r>
      <w:r w:rsidRPr="00A1383C">
        <w:rPr>
          <w:rFonts w:ascii="Times New Roman" w:hAnsi="Times New Roman"/>
          <w:sz w:val="24"/>
          <w:szCs w:val="24"/>
        </w:rPr>
        <w:t>, El</w:t>
      </w:r>
      <w:r w:rsidR="0032310D" w:rsidRPr="00A1383C">
        <w:rPr>
          <w:rFonts w:ascii="Times New Roman" w:hAnsi="Times New Roman"/>
          <w:sz w:val="24"/>
          <w:szCs w:val="24"/>
        </w:rPr>
        <w:t xml:space="preserve"> </w:t>
      </w:r>
      <w:r w:rsidRPr="00A1383C">
        <w:rPr>
          <w:rFonts w:ascii="Times New Roman" w:hAnsi="Times New Roman"/>
          <w:sz w:val="24"/>
          <w:szCs w:val="24"/>
        </w:rPr>
        <w:t>Garch</w:t>
      </w:r>
      <w:r w:rsidR="0032310D" w:rsidRPr="00A1383C">
        <w:rPr>
          <w:rFonts w:ascii="Times New Roman" w:hAnsi="Times New Roman"/>
          <w:sz w:val="24"/>
          <w:szCs w:val="24"/>
        </w:rPr>
        <w:t>,</w:t>
      </w:r>
      <w:r w:rsidRPr="00A1383C">
        <w:rPr>
          <w:rFonts w:ascii="Times New Roman" w:hAnsi="Times New Roman"/>
          <w:sz w:val="24"/>
          <w:szCs w:val="24"/>
        </w:rPr>
        <w:t xml:space="preserve"> F</w:t>
      </w:r>
      <w:r w:rsidR="0032310D" w:rsidRPr="00A1383C">
        <w:rPr>
          <w:rFonts w:ascii="Times New Roman" w:hAnsi="Times New Roman"/>
          <w:sz w:val="24"/>
          <w:szCs w:val="24"/>
        </w:rPr>
        <w:t>.</w:t>
      </w:r>
      <w:r w:rsidRPr="00A1383C">
        <w:rPr>
          <w:rFonts w:ascii="Times New Roman" w:hAnsi="Times New Roman"/>
          <w:sz w:val="24"/>
          <w:szCs w:val="24"/>
        </w:rPr>
        <w:t>, Galland</w:t>
      </w:r>
      <w:r w:rsidR="0032310D" w:rsidRPr="00A1383C">
        <w:rPr>
          <w:rFonts w:ascii="Times New Roman" w:hAnsi="Times New Roman"/>
          <w:sz w:val="24"/>
          <w:szCs w:val="24"/>
        </w:rPr>
        <w:t>,</w:t>
      </w:r>
      <w:r w:rsidRPr="00A1383C">
        <w:rPr>
          <w:rFonts w:ascii="Times New Roman" w:hAnsi="Times New Roman"/>
          <w:sz w:val="24"/>
          <w:szCs w:val="24"/>
        </w:rPr>
        <w:t xml:space="preserve"> D</w:t>
      </w:r>
      <w:r w:rsidR="0032310D" w:rsidRPr="00A1383C">
        <w:rPr>
          <w:rFonts w:ascii="Times New Roman" w:hAnsi="Times New Roman"/>
          <w:sz w:val="24"/>
          <w:szCs w:val="24"/>
        </w:rPr>
        <w:t>.</w:t>
      </w:r>
      <w:r w:rsidRPr="00A1383C">
        <w:rPr>
          <w:rFonts w:ascii="Times New Roman" w:hAnsi="Times New Roman"/>
          <w:sz w:val="24"/>
          <w:szCs w:val="24"/>
        </w:rPr>
        <w:t>, Petit</w:t>
      </w:r>
      <w:r w:rsidR="0032310D" w:rsidRPr="00A1383C">
        <w:rPr>
          <w:rFonts w:ascii="Times New Roman" w:hAnsi="Times New Roman"/>
          <w:sz w:val="24"/>
          <w:szCs w:val="24"/>
        </w:rPr>
        <w:t>,</w:t>
      </w:r>
      <w:r w:rsidRPr="00A1383C">
        <w:rPr>
          <w:rFonts w:ascii="Times New Roman" w:hAnsi="Times New Roman"/>
          <w:sz w:val="24"/>
          <w:szCs w:val="24"/>
        </w:rPr>
        <w:t xml:space="preserve"> J</w:t>
      </w:r>
      <w:r w:rsidR="0032310D" w:rsidRPr="00A1383C">
        <w:rPr>
          <w:rFonts w:ascii="Times New Roman" w:hAnsi="Times New Roman"/>
          <w:sz w:val="24"/>
          <w:szCs w:val="24"/>
        </w:rPr>
        <w:t xml:space="preserve">. </w:t>
      </w:r>
      <w:r w:rsidRPr="00A1383C">
        <w:rPr>
          <w:rFonts w:ascii="Times New Roman" w:hAnsi="Times New Roman"/>
          <w:sz w:val="24"/>
          <w:szCs w:val="24"/>
        </w:rPr>
        <w:t>L, Woehrle</w:t>
      </w:r>
      <w:r w:rsidR="0032310D" w:rsidRPr="00A1383C">
        <w:rPr>
          <w:rFonts w:ascii="Times New Roman" w:hAnsi="Times New Roman"/>
          <w:sz w:val="24"/>
          <w:szCs w:val="24"/>
        </w:rPr>
        <w:t>,</w:t>
      </w:r>
      <w:r w:rsidRPr="00A1383C">
        <w:rPr>
          <w:rFonts w:ascii="Times New Roman" w:hAnsi="Times New Roman"/>
          <w:sz w:val="24"/>
          <w:szCs w:val="24"/>
        </w:rPr>
        <w:t xml:space="preserve"> F</w:t>
      </w:r>
      <w:r w:rsidR="0032310D" w:rsidRPr="00A1383C">
        <w:rPr>
          <w:rFonts w:ascii="Times New Roman" w:hAnsi="Times New Roman"/>
          <w:sz w:val="24"/>
          <w:szCs w:val="24"/>
        </w:rPr>
        <w:t>.</w:t>
      </w:r>
      <w:r w:rsidRPr="00A1383C">
        <w:rPr>
          <w:rFonts w:ascii="Times New Roman" w:hAnsi="Times New Roman"/>
          <w:sz w:val="24"/>
          <w:szCs w:val="24"/>
        </w:rPr>
        <w:t>,</w:t>
      </w:r>
      <w:r w:rsidR="0032310D" w:rsidRPr="00A1383C">
        <w:rPr>
          <w:rFonts w:ascii="Times New Roman" w:hAnsi="Times New Roman"/>
          <w:sz w:val="24"/>
          <w:szCs w:val="24"/>
        </w:rPr>
        <w:t xml:space="preserve"> &amp;</w:t>
      </w:r>
      <w:r w:rsidRPr="00A1383C">
        <w:rPr>
          <w:rFonts w:ascii="Times New Roman" w:hAnsi="Times New Roman"/>
          <w:sz w:val="24"/>
          <w:szCs w:val="24"/>
        </w:rPr>
        <w:t xml:space="preserve"> Boulouis</w:t>
      </w:r>
      <w:r w:rsidR="0032310D" w:rsidRPr="00A1383C">
        <w:rPr>
          <w:rFonts w:ascii="Times New Roman" w:hAnsi="Times New Roman"/>
          <w:sz w:val="24"/>
          <w:szCs w:val="24"/>
        </w:rPr>
        <w:t>,</w:t>
      </w:r>
      <w:r w:rsidRPr="00A1383C">
        <w:rPr>
          <w:rFonts w:ascii="Times New Roman" w:hAnsi="Times New Roman"/>
          <w:sz w:val="24"/>
          <w:szCs w:val="24"/>
        </w:rPr>
        <w:t xml:space="preserve"> H</w:t>
      </w:r>
      <w:r w:rsidR="0032310D" w:rsidRPr="00A1383C">
        <w:rPr>
          <w:rFonts w:ascii="Times New Roman" w:hAnsi="Times New Roman"/>
          <w:sz w:val="24"/>
          <w:szCs w:val="24"/>
        </w:rPr>
        <w:t xml:space="preserve">. </w:t>
      </w:r>
      <w:r w:rsidRPr="00A1383C">
        <w:rPr>
          <w:rFonts w:ascii="Times New Roman" w:hAnsi="Times New Roman"/>
          <w:sz w:val="24"/>
          <w:szCs w:val="24"/>
        </w:rPr>
        <w:t xml:space="preserve">J. (2014). Antibiotic susceptibility of bacteria isolated from infections in cats and dogs throughout Europe (2002-2009). </w:t>
      </w:r>
      <w:r w:rsidRPr="00A1383C">
        <w:rPr>
          <w:rFonts w:ascii="Times New Roman" w:hAnsi="Times New Roman"/>
          <w:i/>
          <w:iCs/>
          <w:sz w:val="24"/>
          <w:szCs w:val="24"/>
        </w:rPr>
        <w:t>Comp</w:t>
      </w:r>
      <w:r w:rsidR="0032310D" w:rsidRPr="00A1383C">
        <w:rPr>
          <w:rFonts w:ascii="Times New Roman" w:hAnsi="Times New Roman"/>
          <w:i/>
          <w:iCs/>
          <w:sz w:val="24"/>
          <w:szCs w:val="24"/>
        </w:rPr>
        <w:t xml:space="preserve">arative </w:t>
      </w:r>
      <w:r w:rsidRPr="00A1383C">
        <w:rPr>
          <w:rFonts w:ascii="Times New Roman" w:hAnsi="Times New Roman"/>
          <w:i/>
          <w:iCs/>
          <w:sz w:val="24"/>
          <w:szCs w:val="24"/>
        </w:rPr>
        <w:t>Immunol</w:t>
      </w:r>
      <w:r w:rsidR="0032310D" w:rsidRPr="00A1383C">
        <w:rPr>
          <w:rFonts w:ascii="Times New Roman" w:hAnsi="Times New Roman"/>
          <w:i/>
          <w:iCs/>
          <w:sz w:val="24"/>
          <w:szCs w:val="24"/>
        </w:rPr>
        <w:t>ogy and</w:t>
      </w:r>
      <w:r w:rsidRPr="00A1383C">
        <w:rPr>
          <w:rFonts w:ascii="Times New Roman" w:hAnsi="Times New Roman"/>
          <w:i/>
          <w:iCs/>
          <w:sz w:val="24"/>
          <w:szCs w:val="24"/>
        </w:rPr>
        <w:t xml:space="preserve"> Microbiol</w:t>
      </w:r>
      <w:r w:rsidR="0032310D" w:rsidRPr="00A1383C">
        <w:rPr>
          <w:rFonts w:ascii="Times New Roman" w:hAnsi="Times New Roman"/>
          <w:i/>
          <w:iCs/>
          <w:sz w:val="24"/>
          <w:szCs w:val="24"/>
        </w:rPr>
        <w:t>ogy</w:t>
      </w:r>
      <w:r w:rsidRPr="00A1383C">
        <w:rPr>
          <w:rFonts w:ascii="Times New Roman" w:hAnsi="Times New Roman"/>
          <w:i/>
          <w:iCs/>
          <w:sz w:val="24"/>
          <w:szCs w:val="24"/>
        </w:rPr>
        <w:t xml:space="preserve"> Infect</w:t>
      </w:r>
      <w:r w:rsidR="0032310D" w:rsidRPr="00A1383C">
        <w:rPr>
          <w:rFonts w:ascii="Times New Roman" w:hAnsi="Times New Roman"/>
          <w:i/>
          <w:iCs/>
          <w:sz w:val="24"/>
          <w:szCs w:val="24"/>
        </w:rPr>
        <w:t>ious</w:t>
      </w:r>
      <w:r w:rsidRPr="00A1383C">
        <w:rPr>
          <w:rFonts w:ascii="Times New Roman" w:hAnsi="Times New Roman"/>
          <w:i/>
          <w:iCs/>
          <w:sz w:val="24"/>
          <w:szCs w:val="24"/>
        </w:rPr>
        <w:t xml:space="preserve"> Dis</w:t>
      </w:r>
      <w:r w:rsidR="0032310D" w:rsidRPr="00A1383C">
        <w:rPr>
          <w:rFonts w:ascii="Times New Roman" w:hAnsi="Times New Roman"/>
          <w:i/>
          <w:iCs/>
          <w:sz w:val="24"/>
          <w:szCs w:val="24"/>
        </w:rPr>
        <w:t>eases,</w:t>
      </w:r>
      <w:r w:rsidRPr="00A1383C">
        <w:rPr>
          <w:rFonts w:ascii="Times New Roman" w:hAnsi="Times New Roman"/>
          <w:sz w:val="24"/>
          <w:szCs w:val="24"/>
        </w:rPr>
        <w:t xml:space="preserve"> 37(2)</w:t>
      </w:r>
      <w:r w:rsidR="0032310D" w:rsidRPr="00A1383C">
        <w:rPr>
          <w:rFonts w:ascii="Times New Roman" w:hAnsi="Times New Roman"/>
          <w:sz w:val="24"/>
          <w:szCs w:val="24"/>
        </w:rPr>
        <w:t xml:space="preserve">, </w:t>
      </w:r>
      <w:r w:rsidRPr="00A1383C">
        <w:rPr>
          <w:rFonts w:ascii="Times New Roman" w:hAnsi="Times New Roman"/>
          <w:sz w:val="24"/>
          <w:szCs w:val="24"/>
        </w:rPr>
        <w:t>97-108.</w:t>
      </w:r>
    </w:p>
    <w:p w14:paraId="50D1E29B" w14:textId="289BB823" w:rsidR="00EC1918" w:rsidRPr="00A1383C" w:rsidRDefault="00EC1918" w:rsidP="00EC1918">
      <w:pPr>
        <w:autoSpaceDE w:val="0"/>
        <w:autoSpaceDN w:val="0"/>
        <w:adjustRightInd w:val="0"/>
        <w:spacing w:after="0" w:line="480" w:lineRule="auto"/>
        <w:ind w:left="567" w:hanging="567"/>
        <w:jc w:val="both"/>
        <w:rPr>
          <w:rFonts w:ascii="Times New Roman" w:hAnsi="Times New Roman"/>
          <w:sz w:val="24"/>
          <w:szCs w:val="24"/>
          <w:lang w:val="en-US"/>
        </w:rPr>
      </w:pPr>
      <w:r w:rsidRPr="00A1383C">
        <w:rPr>
          <w:rFonts w:ascii="Times New Roman" w:hAnsi="Times New Roman"/>
          <w:sz w:val="24"/>
          <w:szCs w:val="24"/>
          <w:lang w:val="en-US"/>
        </w:rPr>
        <w:t>Mekic, S., Matanovic, K.</w:t>
      </w:r>
      <w:r w:rsidR="0032310D" w:rsidRPr="00A1383C">
        <w:rPr>
          <w:rFonts w:ascii="Times New Roman" w:hAnsi="Times New Roman"/>
          <w:sz w:val="24"/>
          <w:szCs w:val="24"/>
          <w:lang w:val="en-US"/>
        </w:rPr>
        <w:t xml:space="preserve"> &amp; </w:t>
      </w:r>
      <w:r w:rsidRPr="00A1383C">
        <w:rPr>
          <w:rFonts w:ascii="Times New Roman" w:hAnsi="Times New Roman"/>
          <w:sz w:val="24"/>
          <w:szCs w:val="24"/>
          <w:lang w:val="en-US"/>
        </w:rPr>
        <w:t xml:space="preserve">Seol, B. (2011). Antimicrobial susceptibility of Pseudomonas aeruginosa isolates from dogs with otitis externa. </w:t>
      </w:r>
      <w:r w:rsidRPr="00A1383C">
        <w:rPr>
          <w:rFonts w:ascii="Times New Roman" w:hAnsi="Times New Roman"/>
          <w:i/>
          <w:iCs/>
          <w:sz w:val="24"/>
          <w:szCs w:val="24"/>
          <w:lang w:val="en-US"/>
        </w:rPr>
        <w:t>Veterinary</w:t>
      </w:r>
      <w:r w:rsidRPr="00A1383C">
        <w:rPr>
          <w:rFonts w:ascii="Times New Roman" w:hAnsi="Times New Roman"/>
          <w:sz w:val="24"/>
          <w:szCs w:val="24"/>
          <w:lang w:val="en-US"/>
        </w:rPr>
        <w:t xml:space="preserve"> </w:t>
      </w:r>
      <w:r w:rsidRPr="00A1383C">
        <w:rPr>
          <w:rFonts w:ascii="Times New Roman" w:hAnsi="Times New Roman"/>
          <w:i/>
          <w:iCs/>
          <w:sz w:val="24"/>
          <w:szCs w:val="24"/>
          <w:lang w:val="en-US"/>
        </w:rPr>
        <w:t xml:space="preserve">Record, </w:t>
      </w:r>
      <w:r w:rsidRPr="00A1383C">
        <w:rPr>
          <w:rFonts w:ascii="Times New Roman" w:hAnsi="Times New Roman"/>
          <w:sz w:val="24"/>
          <w:szCs w:val="24"/>
          <w:lang w:val="en-US"/>
        </w:rPr>
        <w:t>169(5)</w:t>
      </w:r>
      <w:r w:rsidR="0032310D" w:rsidRPr="00A1383C">
        <w:rPr>
          <w:rFonts w:ascii="Times New Roman" w:hAnsi="Times New Roman"/>
          <w:sz w:val="24"/>
          <w:szCs w:val="24"/>
          <w:lang w:val="en-US"/>
        </w:rPr>
        <w:t xml:space="preserve">, </w:t>
      </w:r>
      <w:r w:rsidRPr="00A1383C">
        <w:rPr>
          <w:rFonts w:ascii="Times New Roman" w:hAnsi="Times New Roman"/>
          <w:sz w:val="24"/>
          <w:szCs w:val="24"/>
          <w:lang w:val="en-US"/>
        </w:rPr>
        <w:t>125-125.</w:t>
      </w:r>
    </w:p>
    <w:p w14:paraId="1EEF369E" w14:textId="4E20F3AA" w:rsidR="00EC1918" w:rsidRPr="00A1383C" w:rsidRDefault="00EC1918" w:rsidP="00EC1918">
      <w:pPr>
        <w:autoSpaceDE w:val="0"/>
        <w:autoSpaceDN w:val="0"/>
        <w:adjustRightInd w:val="0"/>
        <w:spacing w:after="0" w:line="480" w:lineRule="auto"/>
        <w:ind w:left="567" w:hanging="567"/>
        <w:rPr>
          <w:rFonts w:ascii="Times New Roman" w:eastAsiaTheme="minorHAnsi" w:hAnsi="Times New Roman"/>
          <w:sz w:val="24"/>
          <w:szCs w:val="24"/>
          <w:lang w:val="en-US" w:bidi="hi-IN"/>
        </w:rPr>
      </w:pPr>
      <w:r w:rsidRPr="00A1383C">
        <w:rPr>
          <w:rFonts w:ascii="Times New Roman" w:eastAsiaTheme="minorHAnsi" w:hAnsi="Times New Roman"/>
          <w:sz w:val="24"/>
          <w:szCs w:val="24"/>
          <w:lang w:val="en-US" w:bidi="hi-IN"/>
        </w:rPr>
        <w:lastRenderedPageBreak/>
        <w:t>Müller, E.</w:t>
      </w:r>
      <w:r w:rsidR="0032310D" w:rsidRPr="00A1383C">
        <w:rPr>
          <w:rFonts w:ascii="Times New Roman" w:eastAsiaTheme="minorHAnsi" w:hAnsi="Times New Roman"/>
          <w:sz w:val="24"/>
          <w:szCs w:val="24"/>
          <w:lang w:val="en-US" w:bidi="hi-IN"/>
        </w:rPr>
        <w:t>, &amp;</w:t>
      </w:r>
      <w:r w:rsidRPr="00A1383C">
        <w:rPr>
          <w:rFonts w:ascii="Times New Roman" w:eastAsiaTheme="minorHAnsi" w:hAnsi="Times New Roman"/>
          <w:sz w:val="24"/>
          <w:szCs w:val="24"/>
          <w:lang w:val="en-US" w:bidi="hi-IN"/>
        </w:rPr>
        <w:t xml:space="preserve"> Horn, S</w:t>
      </w:r>
      <w:r w:rsidR="0032310D" w:rsidRPr="00A1383C">
        <w:rPr>
          <w:rFonts w:ascii="Times New Roman" w:eastAsiaTheme="minorHAnsi" w:hAnsi="Times New Roman"/>
          <w:sz w:val="24"/>
          <w:szCs w:val="24"/>
          <w:lang w:val="en-US" w:bidi="hi-IN"/>
        </w:rPr>
        <w:t xml:space="preserve">. (2009). </w:t>
      </w:r>
      <w:r w:rsidRPr="00A1383C">
        <w:rPr>
          <w:rFonts w:ascii="Times New Roman" w:eastAsiaTheme="minorHAnsi" w:hAnsi="Times New Roman"/>
          <w:sz w:val="24"/>
          <w:szCs w:val="24"/>
          <w:lang w:val="en-US" w:bidi="hi-IN"/>
        </w:rPr>
        <w:t xml:space="preserve">Efficacy of enrofloxacin and marbofl oxacin against bacterial isolates from dogs and cats – in vitro resistance study. </w:t>
      </w:r>
      <w:r w:rsidRPr="00A1383C">
        <w:rPr>
          <w:rFonts w:ascii="Times New Roman" w:eastAsiaTheme="minorHAnsi" w:hAnsi="Times New Roman"/>
          <w:i/>
          <w:iCs/>
          <w:sz w:val="24"/>
          <w:szCs w:val="24"/>
          <w:lang w:val="en-US" w:bidi="hi-IN"/>
        </w:rPr>
        <w:t>Der Praktische Tierarzt</w:t>
      </w:r>
      <w:r w:rsidRPr="00A1383C">
        <w:rPr>
          <w:rFonts w:ascii="Times New Roman" w:eastAsiaTheme="minorHAnsi" w:hAnsi="Times New Roman"/>
          <w:sz w:val="24"/>
          <w:szCs w:val="24"/>
          <w:lang w:val="en-US" w:bidi="hi-IN"/>
        </w:rPr>
        <w:t>, 90,</w:t>
      </w:r>
      <w:r w:rsidRPr="00A1383C">
        <w:rPr>
          <w:rFonts w:ascii="Times New Roman" w:eastAsiaTheme="minorHAnsi" w:hAnsi="Times New Roman"/>
          <w:b/>
          <w:bCs/>
          <w:sz w:val="24"/>
          <w:szCs w:val="24"/>
          <w:lang w:val="en-US" w:bidi="hi-IN"/>
        </w:rPr>
        <w:t xml:space="preserve"> </w:t>
      </w:r>
      <w:r w:rsidRPr="00A1383C">
        <w:rPr>
          <w:rFonts w:ascii="Times New Roman" w:eastAsiaTheme="minorHAnsi" w:hAnsi="Times New Roman"/>
          <w:sz w:val="24"/>
          <w:szCs w:val="24"/>
          <w:lang w:val="en-US" w:bidi="hi-IN"/>
        </w:rPr>
        <w:t>512–521.</w:t>
      </w:r>
    </w:p>
    <w:p w14:paraId="5A0F0ADD" w14:textId="0B8183C8" w:rsidR="00486003" w:rsidRPr="00A1383C" w:rsidRDefault="00486003" w:rsidP="00EC1918">
      <w:pPr>
        <w:autoSpaceDE w:val="0"/>
        <w:autoSpaceDN w:val="0"/>
        <w:adjustRightInd w:val="0"/>
        <w:spacing w:after="0" w:line="480" w:lineRule="auto"/>
        <w:ind w:left="567" w:hanging="567"/>
        <w:jc w:val="both"/>
        <w:rPr>
          <w:rFonts w:ascii="Times New Roman" w:hAnsi="Times New Roman"/>
          <w:sz w:val="24"/>
          <w:szCs w:val="24"/>
          <w:lang w:val="en-US"/>
        </w:rPr>
      </w:pPr>
      <w:r w:rsidRPr="00A1383C">
        <w:rPr>
          <w:rFonts w:ascii="Times New Roman" w:hAnsi="Times New Roman"/>
          <w:sz w:val="24"/>
          <w:szCs w:val="24"/>
          <w:lang w:val="en-US"/>
        </w:rPr>
        <w:t xml:space="preserve">Pye, C. (2018). Pseudomonas otitis externa in dogs. </w:t>
      </w:r>
      <w:r w:rsidRPr="00A1383C">
        <w:rPr>
          <w:rFonts w:ascii="Times New Roman" w:hAnsi="Times New Roman"/>
          <w:i/>
          <w:iCs/>
          <w:sz w:val="24"/>
          <w:szCs w:val="24"/>
          <w:lang w:val="en-US"/>
        </w:rPr>
        <w:t>The Canadian Veterinary Journal</w:t>
      </w:r>
      <w:r w:rsidRPr="00A1383C">
        <w:rPr>
          <w:rFonts w:ascii="Times New Roman" w:hAnsi="Times New Roman"/>
          <w:sz w:val="24"/>
          <w:szCs w:val="24"/>
          <w:lang w:val="en-US"/>
        </w:rPr>
        <w:t>, 59(11)</w:t>
      </w:r>
      <w:r w:rsidR="0032310D" w:rsidRPr="00A1383C">
        <w:rPr>
          <w:rFonts w:ascii="Times New Roman" w:hAnsi="Times New Roman"/>
          <w:sz w:val="24"/>
          <w:szCs w:val="24"/>
          <w:lang w:val="en-US"/>
        </w:rPr>
        <w:t xml:space="preserve">, </w:t>
      </w:r>
      <w:r w:rsidRPr="00A1383C">
        <w:rPr>
          <w:rFonts w:ascii="Times New Roman" w:hAnsi="Times New Roman"/>
          <w:sz w:val="24"/>
          <w:szCs w:val="24"/>
          <w:lang w:val="en-US"/>
        </w:rPr>
        <w:t>1231-1234.</w:t>
      </w:r>
    </w:p>
    <w:p w14:paraId="0E20945C" w14:textId="20AC7B31" w:rsidR="00EC1918" w:rsidRPr="00A1383C" w:rsidRDefault="00EC1918" w:rsidP="00EC1918">
      <w:pPr>
        <w:autoSpaceDE w:val="0"/>
        <w:autoSpaceDN w:val="0"/>
        <w:adjustRightInd w:val="0"/>
        <w:spacing w:after="0" w:line="480" w:lineRule="auto"/>
        <w:ind w:left="567" w:hanging="567"/>
        <w:jc w:val="both"/>
        <w:rPr>
          <w:rFonts w:ascii="Times New Roman" w:hAnsi="Times New Roman"/>
          <w:sz w:val="24"/>
          <w:szCs w:val="24"/>
          <w:lang w:val="en-US"/>
        </w:rPr>
      </w:pPr>
      <w:r w:rsidRPr="00A1383C">
        <w:rPr>
          <w:rFonts w:ascii="Times New Roman" w:hAnsi="Times New Roman"/>
          <w:sz w:val="24"/>
          <w:szCs w:val="24"/>
          <w:lang w:val="en-US"/>
        </w:rPr>
        <w:t>Quinn, P. J., Carter M. E., Markey B. K.</w:t>
      </w:r>
      <w:r w:rsidR="0032310D" w:rsidRPr="00A1383C">
        <w:rPr>
          <w:rFonts w:ascii="Times New Roman" w:hAnsi="Times New Roman"/>
          <w:sz w:val="24"/>
          <w:szCs w:val="24"/>
          <w:lang w:val="en-US"/>
        </w:rPr>
        <w:t xml:space="preserve">, &amp; </w:t>
      </w:r>
      <w:r w:rsidRPr="00A1383C">
        <w:rPr>
          <w:rFonts w:ascii="Times New Roman" w:hAnsi="Times New Roman"/>
          <w:sz w:val="24"/>
          <w:szCs w:val="24"/>
          <w:lang w:val="en-US"/>
        </w:rPr>
        <w:t>Carter G. R. (1999). Clinical Veterinary Microbiology, 9</w:t>
      </w:r>
      <w:r w:rsidRPr="00A1383C">
        <w:rPr>
          <w:rFonts w:ascii="Times New Roman" w:hAnsi="Times New Roman"/>
          <w:sz w:val="24"/>
          <w:szCs w:val="24"/>
          <w:vertAlign w:val="superscript"/>
          <w:lang w:val="en-US"/>
        </w:rPr>
        <w:t>th</w:t>
      </w:r>
      <w:r w:rsidR="0032310D" w:rsidRPr="00A1383C">
        <w:rPr>
          <w:rFonts w:ascii="Times New Roman" w:hAnsi="Times New Roman"/>
          <w:sz w:val="24"/>
          <w:szCs w:val="24"/>
          <w:lang w:val="en-US"/>
        </w:rPr>
        <w:t xml:space="preserve"> </w:t>
      </w:r>
      <w:r w:rsidRPr="00A1383C">
        <w:rPr>
          <w:rFonts w:ascii="Times New Roman" w:hAnsi="Times New Roman"/>
          <w:sz w:val="24"/>
          <w:szCs w:val="24"/>
          <w:lang w:val="en-US"/>
        </w:rPr>
        <w:t>Edn, London, Mosby Yearbook Limited, pp 95-126.</w:t>
      </w:r>
    </w:p>
    <w:p w14:paraId="12E83942" w14:textId="48EF2553" w:rsidR="00486003" w:rsidRPr="00A1383C" w:rsidRDefault="00486003" w:rsidP="00486003">
      <w:pPr>
        <w:autoSpaceDE w:val="0"/>
        <w:autoSpaceDN w:val="0"/>
        <w:adjustRightInd w:val="0"/>
        <w:spacing w:after="0" w:line="480" w:lineRule="auto"/>
        <w:ind w:left="567" w:hanging="567"/>
        <w:jc w:val="both"/>
        <w:rPr>
          <w:rFonts w:ascii="Times New Roman" w:hAnsi="Times New Roman"/>
          <w:sz w:val="24"/>
          <w:szCs w:val="24"/>
          <w:lang w:val="en-US"/>
        </w:rPr>
      </w:pPr>
      <w:r w:rsidRPr="00A1383C">
        <w:rPr>
          <w:rFonts w:ascii="Times New Roman" w:hAnsi="Times New Roman"/>
          <w:sz w:val="24"/>
          <w:szCs w:val="24"/>
          <w:lang w:val="en-US"/>
        </w:rPr>
        <w:t xml:space="preserve">Turkyilmaz, S. (2008). Antibiotic susceptibility patterns of </w:t>
      </w:r>
      <w:r w:rsidRPr="00A1383C">
        <w:rPr>
          <w:rFonts w:ascii="Times New Roman" w:hAnsi="Times New Roman"/>
          <w:i/>
          <w:iCs/>
          <w:sz w:val="24"/>
          <w:szCs w:val="24"/>
          <w:lang w:val="en-US"/>
        </w:rPr>
        <w:t xml:space="preserve">Pseudomonas aeruginosa </w:t>
      </w:r>
      <w:r w:rsidRPr="00A1383C">
        <w:rPr>
          <w:rFonts w:ascii="Times New Roman" w:hAnsi="Times New Roman"/>
          <w:sz w:val="24"/>
          <w:szCs w:val="24"/>
          <w:lang w:val="en-US"/>
        </w:rPr>
        <w:t xml:space="preserve">strains isolated from dogs with otitis externa. </w:t>
      </w:r>
      <w:r w:rsidRPr="00A1383C">
        <w:rPr>
          <w:rFonts w:ascii="Times New Roman" w:hAnsi="Times New Roman"/>
          <w:i/>
          <w:iCs/>
          <w:sz w:val="24"/>
          <w:szCs w:val="24"/>
          <w:lang w:val="en-US"/>
        </w:rPr>
        <w:t xml:space="preserve">Turkish Journal of Veterinary and Animal Sciences, </w:t>
      </w:r>
      <w:r w:rsidRPr="00A1383C">
        <w:rPr>
          <w:rFonts w:ascii="Times New Roman" w:hAnsi="Times New Roman"/>
          <w:b/>
          <w:bCs/>
          <w:sz w:val="24"/>
          <w:szCs w:val="24"/>
          <w:lang w:val="en-US"/>
        </w:rPr>
        <w:t>32</w:t>
      </w:r>
      <w:r w:rsidRPr="00A1383C">
        <w:rPr>
          <w:rFonts w:ascii="Times New Roman" w:hAnsi="Times New Roman"/>
          <w:sz w:val="24"/>
          <w:szCs w:val="24"/>
          <w:lang w:val="en-US"/>
        </w:rPr>
        <w:t>(1)</w:t>
      </w:r>
      <w:r w:rsidR="0032310D" w:rsidRPr="00A1383C">
        <w:rPr>
          <w:rFonts w:ascii="Times New Roman" w:hAnsi="Times New Roman"/>
          <w:sz w:val="24"/>
          <w:szCs w:val="24"/>
          <w:lang w:val="en-US"/>
        </w:rPr>
        <w:t>,</w:t>
      </w:r>
      <w:r w:rsidRPr="00A1383C">
        <w:rPr>
          <w:rFonts w:ascii="Times New Roman" w:hAnsi="Times New Roman"/>
          <w:sz w:val="24"/>
          <w:szCs w:val="24"/>
          <w:lang w:val="en-US"/>
        </w:rPr>
        <w:t xml:space="preserve"> 37-42.</w:t>
      </w:r>
    </w:p>
    <w:p w14:paraId="7DBAE4B3" w14:textId="03825D5E" w:rsidR="00486003" w:rsidRDefault="00F3433B" w:rsidP="00796DFB">
      <w:pPr>
        <w:autoSpaceDE w:val="0"/>
        <w:autoSpaceDN w:val="0"/>
        <w:adjustRightInd w:val="0"/>
        <w:spacing w:after="0" w:line="480" w:lineRule="auto"/>
        <w:ind w:left="567" w:hanging="567"/>
        <w:jc w:val="both"/>
        <w:rPr>
          <w:rFonts w:ascii="Times New Roman" w:hAnsi="Times New Roman"/>
          <w:sz w:val="24"/>
          <w:szCs w:val="24"/>
          <w:lang w:val="en-US"/>
        </w:rPr>
      </w:pPr>
      <w:r w:rsidRPr="00A1383C">
        <w:rPr>
          <w:rFonts w:ascii="Times New Roman" w:hAnsi="Times New Roman"/>
          <w:sz w:val="24"/>
          <w:szCs w:val="24"/>
          <w:lang w:val="en-US"/>
        </w:rPr>
        <w:t>Wilkinson, G. T.</w:t>
      </w:r>
      <w:r w:rsidR="0032310D" w:rsidRPr="00A1383C">
        <w:rPr>
          <w:rFonts w:ascii="Times New Roman" w:hAnsi="Times New Roman"/>
          <w:sz w:val="24"/>
          <w:szCs w:val="24"/>
          <w:lang w:val="en-US"/>
        </w:rPr>
        <w:t>, &amp;</w:t>
      </w:r>
      <w:r w:rsidRPr="00A1383C">
        <w:rPr>
          <w:rFonts w:ascii="Times New Roman" w:hAnsi="Times New Roman"/>
          <w:sz w:val="24"/>
          <w:szCs w:val="24"/>
          <w:lang w:val="en-US"/>
        </w:rPr>
        <w:t xml:space="preserve"> Harvey, R. G. (1994). Colour Atlas of Small Animal Dermatology -A Guide to Diagnosis, 2</w:t>
      </w:r>
      <w:r w:rsidRPr="00A1383C">
        <w:rPr>
          <w:rFonts w:ascii="Times New Roman" w:hAnsi="Times New Roman"/>
          <w:sz w:val="24"/>
          <w:szCs w:val="24"/>
          <w:vertAlign w:val="superscript"/>
          <w:lang w:val="en-US"/>
        </w:rPr>
        <w:t>nd</w:t>
      </w:r>
      <w:r w:rsidR="0032310D" w:rsidRPr="00A1383C">
        <w:rPr>
          <w:rFonts w:ascii="Times New Roman" w:hAnsi="Times New Roman"/>
          <w:sz w:val="24"/>
          <w:szCs w:val="24"/>
          <w:lang w:val="en-US"/>
        </w:rPr>
        <w:t xml:space="preserve"> </w:t>
      </w:r>
      <w:r w:rsidRPr="00A1383C">
        <w:rPr>
          <w:rFonts w:ascii="Times New Roman" w:hAnsi="Times New Roman"/>
          <w:sz w:val="24"/>
          <w:szCs w:val="24"/>
          <w:lang w:val="en-US"/>
        </w:rPr>
        <w:t>Edn. Mosby-Wolfe Bar.</w:t>
      </w:r>
    </w:p>
    <w:p w14:paraId="07647E6B" w14:textId="77777777" w:rsidR="00A1383C" w:rsidRDefault="00A1383C" w:rsidP="00796DFB">
      <w:pPr>
        <w:autoSpaceDE w:val="0"/>
        <w:autoSpaceDN w:val="0"/>
        <w:adjustRightInd w:val="0"/>
        <w:spacing w:after="0" w:line="480" w:lineRule="auto"/>
        <w:ind w:left="567" w:hanging="567"/>
        <w:jc w:val="both"/>
        <w:rPr>
          <w:rFonts w:ascii="Times New Roman" w:hAnsi="Times New Roman"/>
          <w:sz w:val="24"/>
          <w:szCs w:val="24"/>
          <w:lang w:val="en-US"/>
        </w:rPr>
      </w:pPr>
    </w:p>
    <w:p w14:paraId="36C48002" w14:textId="77777777" w:rsidR="00A1383C" w:rsidRDefault="00A1383C" w:rsidP="00796DFB">
      <w:pPr>
        <w:autoSpaceDE w:val="0"/>
        <w:autoSpaceDN w:val="0"/>
        <w:adjustRightInd w:val="0"/>
        <w:spacing w:after="0" w:line="480" w:lineRule="auto"/>
        <w:ind w:left="567" w:hanging="567"/>
        <w:jc w:val="both"/>
        <w:rPr>
          <w:rFonts w:ascii="Times New Roman" w:hAnsi="Times New Roman"/>
          <w:sz w:val="24"/>
          <w:szCs w:val="24"/>
          <w:lang w:val="en-US"/>
        </w:rPr>
      </w:pPr>
    </w:p>
    <w:p w14:paraId="74D1A04B" w14:textId="77777777" w:rsidR="00A1383C" w:rsidRDefault="00A1383C" w:rsidP="00796DFB">
      <w:pPr>
        <w:autoSpaceDE w:val="0"/>
        <w:autoSpaceDN w:val="0"/>
        <w:adjustRightInd w:val="0"/>
        <w:spacing w:after="0" w:line="480" w:lineRule="auto"/>
        <w:ind w:left="567" w:hanging="567"/>
        <w:jc w:val="both"/>
        <w:rPr>
          <w:rFonts w:ascii="Times New Roman" w:hAnsi="Times New Roman"/>
          <w:sz w:val="24"/>
          <w:szCs w:val="24"/>
          <w:lang w:val="en-US"/>
        </w:rPr>
      </w:pPr>
    </w:p>
    <w:p w14:paraId="67495B2E" w14:textId="77777777" w:rsidR="00A1383C" w:rsidRDefault="00A1383C" w:rsidP="00796DFB">
      <w:pPr>
        <w:autoSpaceDE w:val="0"/>
        <w:autoSpaceDN w:val="0"/>
        <w:adjustRightInd w:val="0"/>
        <w:spacing w:after="0" w:line="480" w:lineRule="auto"/>
        <w:ind w:left="567" w:hanging="567"/>
        <w:jc w:val="both"/>
        <w:rPr>
          <w:rFonts w:ascii="Times New Roman" w:hAnsi="Times New Roman"/>
          <w:sz w:val="24"/>
          <w:szCs w:val="24"/>
          <w:lang w:val="en-US"/>
        </w:rPr>
      </w:pPr>
    </w:p>
    <w:p w14:paraId="44A53C3E" w14:textId="77777777" w:rsidR="00A1383C" w:rsidRPr="00BB0E37" w:rsidRDefault="00A1383C" w:rsidP="00A1383C">
      <w:pPr>
        <w:jc w:val="center"/>
        <w:rPr>
          <w:rFonts w:ascii="Times New Roman" w:hAnsi="Times New Roman"/>
          <w:b/>
          <w:bCs/>
          <w:sz w:val="24"/>
          <w:szCs w:val="24"/>
        </w:rPr>
      </w:pPr>
      <w:r w:rsidRPr="00BB0E37">
        <w:rPr>
          <w:rFonts w:ascii="Times New Roman" w:hAnsi="Times New Roman"/>
          <w:b/>
          <w:bCs/>
          <w:noProof/>
          <w:sz w:val="24"/>
          <w:szCs w:val="24"/>
          <w:lang w:val="en-US"/>
        </w:rPr>
        <w:lastRenderedPageBreak/>
        <w:drawing>
          <wp:inline distT="0" distB="0" distL="0" distR="0" wp14:anchorId="064B1616" wp14:editId="099B087C">
            <wp:extent cx="3600000" cy="2880000"/>
            <wp:effectExtent l="0" t="0" r="635" b="0"/>
            <wp:docPr id="14954548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2880000"/>
                    </a:xfrm>
                    <a:prstGeom prst="rect">
                      <a:avLst/>
                    </a:prstGeom>
                    <a:noFill/>
                    <a:ln>
                      <a:noFill/>
                    </a:ln>
                  </pic:spPr>
                </pic:pic>
              </a:graphicData>
            </a:graphic>
          </wp:inline>
        </w:drawing>
      </w:r>
    </w:p>
    <w:p w14:paraId="1204F35D" w14:textId="77777777" w:rsidR="00A1383C" w:rsidRPr="00BB0E37" w:rsidRDefault="00A1383C" w:rsidP="00A1383C">
      <w:pPr>
        <w:jc w:val="center"/>
        <w:rPr>
          <w:rFonts w:ascii="Times New Roman" w:hAnsi="Times New Roman"/>
          <w:b/>
          <w:bCs/>
          <w:sz w:val="24"/>
          <w:szCs w:val="24"/>
        </w:rPr>
      </w:pPr>
    </w:p>
    <w:p w14:paraId="62F8EC48" w14:textId="77777777" w:rsidR="00A1383C" w:rsidRPr="00BB0E37" w:rsidRDefault="00A1383C" w:rsidP="00A1383C">
      <w:pPr>
        <w:jc w:val="center"/>
        <w:rPr>
          <w:rFonts w:ascii="Times New Roman" w:hAnsi="Times New Roman"/>
          <w:b/>
          <w:bCs/>
          <w:sz w:val="24"/>
          <w:szCs w:val="24"/>
        </w:rPr>
      </w:pPr>
    </w:p>
    <w:p w14:paraId="028D7A86" w14:textId="77777777" w:rsidR="00A1383C" w:rsidRPr="00BB0E37" w:rsidRDefault="00A1383C" w:rsidP="00A1383C">
      <w:pPr>
        <w:jc w:val="center"/>
        <w:rPr>
          <w:rFonts w:ascii="Times New Roman" w:hAnsi="Times New Roman"/>
          <w:b/>
          <w:bCs/>
          <w:sz w:val="24"/>
          <w:szCs w:val="24"/>
        </w:rPr>
      </w:pPr>
      <w:r w:rsidRPr="00BB0E37">
        <w:rPr>
          <w:rFonts w:ascii="Times New Roman" w:hAnsi="Times New Roman"/>
          <w:b/>
          <w:bCs/>
          <w:sz w:val="24"/>
          <w:szCs w:val="24"/>
        </w:rPr>
        <w:t xml:space="preserve">Fig. 1 </w:t>
      </w:r>
      <w:r w:rsidRPr="00987F58">
        <w:rPr>
          <w:rFonts w:ascii="Times New Roman" w:hAnsi="Times New Roman"/>
          <w:b/>
          <w:bCs/>
          <w:sz w:val="24"/>
          <w:szCs w:val="24"/>
        </w:rPr>
        <w:t xml:space="preserve">(a) : Greasy discharge and inflammed ear in German shepherd dog of group III before </w:t>
      </w:r>
      <w:r w:rsidRPr="00BB0E37">
        <w:rPr>
          <w:rFonts w:ascii="Times New Roman" w:hAnsi="Times New Roman"/>
          <w:b/>
          <w:bCs/>
          <w:sz w:val="24"/>
          <w:szCs w:val="24"/>
        </w:rPr>
        <w:t xml:space="preserve"> </w:t>
      </w:r>
      <w:r w:rsidRPr="00987F58">
        <w:rPr>
          <w:rFonts w:ascii="Times New Roman" w:hAnsi="Times New Roman"/>
          <w:b/>
          <w:bCs/>
          <w:sz w:val="24"/>
          <w:szCs w:val="24"/>
        </w:rPr>
        <w:t>treatment</w:t>
      </w:r>
    </w:p>
    <w:p w14:paraId="08A21D88" w14:textId="77777777" w:rsidR="00A1383C" w:rsidRPr="00BB0E37" w:rsidRDefault="00A1383C" w:rsidP="00A1383C">
      <w:pPr>
        <w:jc w:val="center"/>
        <w:rPr>
          <w:rFonts w:ascii="Times New Roman" w:hAnsi="Times New Roman"/>
          <w:b/>
          <w:bCs/>
          <w:sz w:val="24"/>
          <w:szCs w:val="24"/>
        </w:rPr>
      </w:pPr>
    </w:p>
    <w:p w14:paraId="4E539C63" w14:textId="77777777" w:rsidR="00A1383C" w:rsidRPr="00BB0E37" w:rsidRDefault="00A1383C" w:rsidP="00A1383C">
      <w:pPr>
        <w:jc w:val="center"/>
        <w:rPr>
          <w:rFonts w:ascii="Times New Roman" w:hAnsi="Times New Roman"/>
          <w:b/>
          <w:bCs/>
          <w:sz w:val="24"/>
          <w:szCs w:val="24"/>
        </w:rPr>
      </w:pPr>
    </w:p>
    <w:p w14:paraId="78A3525A" w14:textId="77777777" w:rsidR="00A1383C" w:rsidRPr="00987F58" w:rsidRDefault="00A1383C" w:rsidP="00A1383C">
      <w:pPr>
        <w:jc w:val="center"/>
        <w:rPr>
          <w:rFonts w:ascii="Times New Roman" w:hAnsi="Times New Roman"/>
          <w:sz w:val="24"/>
          <w:szCs w:val="24"/>
        </w:rPr>
      </w:pPr>
      <w:r w:rsidRPr="00BB0E37">
        <w:rPr>
          <w:rFonts w:ascii="Times New Roman" w:hAnsi="Times New Roman"/>
          <w:noProof/>
          <w:sz w:val="24"/>
          <w:szCs w:val="24"/>
          <w:lang w:val="en-US"/>
        </w:rPr>
        <w:drawing>
          <wp:inline distT="0" distB="0" distL="0" distR="0" wp14:anchorId="1BA14342" wp14:editId="149DF606">
            <wp:extent cx="3625062" cy="2664000"/>
            <wp:effectExtent l="0" t="0" r="0" b="3175"/>
            <wp:docPr id="2163256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5062" cy="2664000"/>
                    </a:xfrm>
                    <a:prstGeom prst="rect">
                      <a:avLst/>
                    </a:prstGeom>
                    <a:noFill/>
                    <a:ln>
                      <a:noFill/>
                    </a:ln>
                  </pic:spPr>
                </pic:pic>
              </a:graphicData>
            </a:graphic>
          </wp:inline>
        </w:drawing>
      </w:r>
    </w:p>
    <w:p w14:paraId="2C9B33CB" w14:textId="77777777" w:rsidR="00A1383C" w:rsidRPr="00987F58" w:rsidRDefault="00A1383C" w:rsidP="00A1383C">
      <w:pPr>
        <w:jc w:val="center"/>
        <w:rPr>
          <w:rFonts w:ascii="Times New Roman" w:hAnsi="Times New Roman"/>
          <w:sz w:val="24"/>
          <w:szCs w:val="24"/>
        </w:rPr>
      </w:pPr>
    </w:p>
    <w:p w14:paraId="591EB834" w14:textId="77777777" w:rsidR="00A1383C" w:rsidRPr="00987F58" w:rsidRDefault="00A1383C" w:rsidP="00A1383C">
      <w:pPr>
        <w:jc w:val="center"/>
        <w:rPr>
          <w:rFonts w:ascii="Times New Roman" w:hAnsi="Times New Roman"/>
          <w:sz w:val="24"/>
          <w:szCs w:val="24"/>
        </w:rPr>
      </w:pPr>
      <w:r w:rsidRPr="00BB0E37">
        <w:rPr>
          <w:rFonts w:ascii="Times New Roman" w:hAnsi="Times New Roman"/>
          <w:b/>
          <w:bCs/>
          <w:sz w:val="24"/>
          <w:szCs w:val="24"/>
        </w:rPr>
        <w:t>Fig. 1</w:t>
      </w:r>
      <w:r w:rsidRPr="00987F58">
        <w:rPr>
          <w:rFonts w:ascii="Times New Roman" w:hAnsi="Times New Roman"/>
          <w:b/>
          <w:bCs/>
          <w:sz w:val="24"/>
          <w:szCs w:val="24"/>
        </w:rPr>
        <w:t>(b) : Complete re</w:t>
      </w:r>
      <w:r>
        <w:rPr>
          <w:rFonts w:ascii="Times New Roman" w:hAnsi="Times New Roman"/>
          <w:b/>
          <w:bCs/>
          <w:sz w:val="24"/>
          <w:szCs w:val="24"/>
        </w:rPr>
        <w:t xml:space="preserve">storation of normal ear surface after </w:t>
      </w:r>
      <w:r w:rsidRPr="00987F58">
        <w:rPr>
          <w:rFonts w:ascii="Times New Roman" w:hAnsi="Times New Roman"/>
          <w:b/>
          <w:bCs/>
          <w:sz w:val="24"/>
          <w:szCs w:val="24"/>
        </w:rPr>
        <w:t>treatment</w:t>
      </w:r>
      <w:r>
        <w:rPr>
          <w:rFonts w:ascii="Times New Roman" w:hAnsi="Times New Roman"/>
          <w:b/>
          <w:bCs/>
          <w:sz w:val="24"/>
          <w:szCs w:val="24"/>
        </w:rPr>
        <w:t xml:space="preserve"> with Marbofloxacin</w:t>
      </w:r>
    </w:p>
    <w:p w14:paraId="0A8D8B58" w14:textId="77777777" w:rsidR="00A1383C" w:rsidRPr="00BB0E37" w:rsidRDefault="00A1383C" w:rsidP="00A1383C">
      <w:pPr>
        <w:jc w:val="center"/>
        <w:rPr>
          <w:rFonts w:ascii="Times New Roman" w:hAnsi="Times New Roman"/>
          <w:b/>
          <w:bCs/>
          <w:sz w:val="24"/>
          <w:szCs w:val="24"/>
        </w:rPr>
      </w:pPr>
    </w:p>
    <w:p w14:paraId="73276A62" w14:textId="77777777" w:rsidR="00A1383C" w:rsidRPr="00BB0E37" w:rsidRDefault="00A1383C" w:rsidP="00A1383C">
      <w:pPr>
        <w:jc w:val="center"/>
        <w:rPr>
          <w:rFonts w:ascii="Times New Roman" w:hAnsi="Times New Roman"/>
          <w:b/>
          <w:bCs/>
          <w:sz w:val="24"/>
          <w:szCs w:val="24"/>
        </w:rPr>
      </w:pPr>
    </w:p>
    <w:p w14:paraId="4A293361" w14:textId="77777777" w:rsidR="00A1383C" w:rsidRPr="00BB0E37" w:rsidRDefault="00A1383C" w:rsidP="00A1383C">
      <w:pPr>
        <w:jc w:val="center"/>
        <w:rPr>
          <w:rFonts w:ascii="Times New Roman" w:hAnsi="Times New Roman"/>
          <w:b/>
          <w:bCs/>
          <w:sz w:val="24"/>
          <w:szCs w:val="24"/>
        </w:rPr>
      </w:pPr>
    </w:p>
    <w:p w14:paraId="29A4DACB" w14:textId="77777777" w:rsidR="00A1383C" w:rsidRPr="00BB0E37" w:rsidRDefault="00A1383C" w:rsidP="00A1383C">
      <w:pPr>
        <w:jc w:val="center"/>
        <w:rPr>
          <w:rFonts w:ascii="Times New Roman" w:hAnsi="Times New Roman"/>
          <w:b/>
          <w:bCs/>
          <w:sz w:val="24"/>
          <w:szCs w:val="24"/>
        </w:rPr>
      </w:pPr>
    </w:p>
    <w:p w14:paraId="346A6D52" w14:textId="77777777" w:rsidR="00A1383C" w:rsidRPr="00BB0E37" w:rsidRDefault="00A1383C" w:rsidP="00A1383C">
      <w:pPr>
        <w:jc w:val="center"/>
        <w:rPr>
          <w:rFonts w:ascii="Times New Roman" w:hAnsi="Times New Roman"/>
          <w:sz w:val="24"/>
          <w:szCs w:val="24"/>
        </w:rPr>
      </w:pPr>
      <w:r w:rsidRPr="00BB0E37">
        <w:rPr>
          <w:rFonts w:ascii="Times New Roman" w:hAnsi="Times New Roman"/>
          <w:b/>
          <w:bCs/>
          <w:noProof/>
          <w:sz w:val="24"/>
          <w:szCs w:val="24"/>
          <w:lang w:val="en-US"/>
        </w:rPr>
        <w:drawing>
          <wp:inline distT="0" distB="0" distL="0" distR="0" wp14:anchorId="0AF3FCC1" wp14:editId="4D3430E9">
            <wp:extent cx="3420000" cy="2942420"/>
            <wp:effectExtent l="0" t="0" r="0" b="0"/>
            <wp:docPr id="1231549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0000" cy="2942420"/>
                    </a:xfrm>
                    <a:prstGeom prst="rect">
                      <a:avLst/>
                    </a:prstGeom>
                    <a:noFill/>
                    <a:ln>
                      <a:noFill/>
                    </a:ln>
                  </pic:spPr>
                </pic:pic>
              </a:graphicData>
            </a:graphic>
          </wp:inline>
        </w:drawing>
      </w:r>
    </w:p>
    <w:p w14:paraId="71F0B8E1" w14:textId="77777777" w:rsidR="00A1383C" w:rsidRPr="00987F58" w:rsidRDefault="00A1383C" w:rsidP="00A1383C">
      <w:pPr>
        <w:jc w:val="center"/>
        <w:rPr>
          <w:rFonts w:ascii="Times New Roman" w:hAnsi="Times New Roman"/>
          <w:sz w:val="24"/>
          <w:szCs w:val="24"/>
        </w:rPr>
      </w:pPr>
      <w:r w:rsidRPr="00BB0E37">
        <w:rPr>
          <w:rFonts w:ascii="Times New Roman" w:hAnsi="Times New Roman"/>
          <w:b/>
          <w:bCs/>
          <w:sz w:val="24"/>
          <w:szCs w:val="24"/>
        </w:rPr>
        <w:t>Fig. 2</w:t>
      </w:r>
      <w:r w:rsidRPr="00987F58">
        <w:rPr>
          <w:rFonts w:ascii="Times New Roman" w:hAnsi="Times New Roman"/>
          <w:b/>
          <w:bCs/>
          <w:sz w:val="24"/>
          <w:szCs w:val="24"/>
        </w:rPr>
        <w:t xml:space="preserve"> (a) : Purulent discharge and inflamed ear in Mongrel dog of group III</w:t>
      </w:r>
    </w:p>
    <w:p w14:paraId="3AF184A1" w14:textId="77777777" w:rsidR="00A1383C" w:rsidRPr="00987F58" w:rsidRDefault="00A1383C" w:rsidP="00A1383C">
      <w:pPr>
        <w:jc w:val="center"/>
        <w:rPr>
          <w:rFonts w:ascii="Times New Roman" w:hAnsi="Times New Roman"/>
          <w:sz w:val="24"/>
          <w:szCs w:val="24"/>
        </w:rPr>
      </w:pPr>
      <w:r w:rsidRPr="00987F58">
        <w:rPr>
          <w:rFonts w:ascii="Times New Roman" w:hAnsi="Times New Roman"/>
          <w:b/>
          <w:bCs/>
          <w:sz w:val="24"/>
          <w:szCs w:val="24"/>
        </w:rPr>
        <w:t>before treatment</w:t>
      </w:r>
    </w:p>
    <w:p w14:paraId="030A089C" w14:textId="77777777" w:rsidR="00A1383C" w:rsidRPr="00987F58" w:rsidRDefault="00A1383C" w:rsidP="00A1383C">
      <w:pPr>
        <w:jc w:val="center"/>
        <w:rPr>
          <w:rFonts w:ascii="Times New Roman" w:hAnsi="Times New Roman"/>
          <w:sz w:val="24"/>
          <w:szCs w:val="24"/>
        </w:rPr>
      </w:pPr>
    </w:p>
    <w:p w14:paraId="32F904B1" w14:textId="77777777" w:rsidR="00A1383C" w:rsidRPr="00987F58" w:rsidRDefault="00A1383C" w:rsidP="00A1383C">
      <w:pPr>
        <w:jc w:val="center"/>
        <w:rPr>
          <w:rFonts w:ascii="Times New Roman" w:hAnsi="Times New Roman"/>
          <w:sz w:val="24"/>
          <w:szCs w:val="24"/>
        </w:rPr>
      </w:pPr>
      <w:r w:rsidRPr="00BB0E37">
        <w:rPr>
          <w:rFonts w:ascii="Times New Roman" w:hAnsi="Times New Roman"/>
          <w:b/>
          <w:bCs/>
          <w:noProof/>
          <w:sz w:val="24"/>
          <w:szCs w:val="24"/>
          <w:lang w:val="en-US"/>
        </w:rPr>
        <w:drawing>
          <wp:inline distT="0" distB="0" distL="0" distR="0" wp14:anchorId="66452858" wp14:editId="06299FAC">
            <wp:extent cx="3534578" cy="2880000"/>
            <wp:effectExtent l="0" t="0" r="8890" b="0"/>
            <wp:docPr id="274973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4578" cy="2880000"/>
                    </a:xfrm>
                    <a:prstGeom prst="rect">
                      <a:avLst/>
                    </a:prstGeom>
                    <a:noFill/>
                    <a:ln>
                      <a:noFill/>
                    </a:ln>
                  </pic:spPr>
                </pic:pic>
              </a:graphicData>
            </a:graphic>
          </wp:inline>
        </w:drawing>
      </w:r>
    </w:p>
    <w:p w14:paraId="1635C0BD" w14:textId="77777777" w:rsidR="00A1383C" w:rsidRPr="00BB0E37" w:rsidRDefault="00A1383C" w:rsidP="00A1383C">
      <w:pPr>
        <w:jc w:val="center"/>
        <w:rPr>
          <w:rFonts w:ascii="Times New Roman" w:hAnsi="Times New Roman"/>
          <w:b/>
          <w:bCs/>
          <w:sz w:val="24"/>
          <w:szCs w:val="24"/>
        </w:rPr>
      </w:pPr>
      <w:r w:rsidRPr="00BB0E37">
        <w:rPr>
          <w:rFonts w:ascii="Times New Roman" w:hAnsi="Times New Roman"/>
          <w:b/>
          <w:bCs/>
          <w:sz w:val="24"/>
          <w:szCs w:val="24"/>
        </w:rPr>
        <w:t xml:space="preserve">Fig. 2 </w:t>
      </w:r>
      <w:r w:rsidRPr="00987F58">
        <w:rPr>
          <w:rFonts w:ascii="Times New Roman" w:hAnsi="Times New Roman"/>
          <w:b/>
          <w:bCs/>
          <w:sz w:val="24"/>
          <w:szCs w:val="24"/>
        </w:rPr>
        <w:t>(</w:t>
      </w:r>
      <w:r w:rsidRPr="00BB0E37">
        <w:rPr>
          <w:rFonts w:ascii="Times New Roman" w:hAnsi="Times New Roman"/>
          <w:b/>
          <w:bCs/>
          <w:sz w:val="24"/>
          <w:szCs w:val="24"/>
        </w:rPr>
        <w:t>b</w:t>
      </w:r>
      <w:r w:rsidRPr="00987F58">
        <w:rPr>
          <w:rFonts w:ascii="Times New Roman" w:hAnsi="Times New Roman"/>
          <w:b/>
          <w:bCs/>
          <w:sz w:val="24"/>
          <w:szCs w:val="24"/>
        </w:rPr>
        <w:t xml:space="preserve">) : </w:t>
      </w:r>
      <w:r w:rsidRPr="00BB0E37">
        <w:rPr>
          <w:rFonts w:ascii="Times New Roman" w:hAnsi="Times New Roman"/>
          <w:b/>
          <w:bCs/>
          <w:sz w:val="24"/>
          <w:szCs w:val="24"/>
        </w:rPr>
        <w:t xml:space="preserve"> Complete recovery in the same dog after treatment</w:t>
      </w:r>
      <w:r>
        <w:rPr>
          <w:rFonts w:ascii="Times New Roman" w:hAnsi="Times New Roman"/>
          <w:b/>
          <w:bCs/>
          <w:sz w:val="24"/>
          <w:szCs w:val="24"/>
        </w:rPr>
        <w:t xml:space="preserve"> (Group III)</w:t>
      </w:r>
    </w:p>
    <w:p w14:paraId="272FD340" w14:textId="77777777" w:rsidR="00A1383C" w:rsidRPr="00BB0E37" w:rsidRDefault="00A1383C" w:rsidP="00A1383C">
      <w:pPr>
        <w:jc w:val="center"/>
        <w:rPr>
          <w:rFonts w:ascii="Times New Roman" w:hAnsi="Times New Roman"/>
          <w:b/>
          <w:bCs/>
          <w:sz w:val="24"/>
          <w:szCs w:val="24"/>
        </w:rPr>
      </w:pPr>
    </w:p>
    <w:p w14:paraId="70C807C1" w14:textId="77777777" w:rsidR="00A1383C" w:rsidRPr="00987F58" w:rsidRDefault="00A1383C" w:rsidP="00A1383C">
      <w:pPr>
        <w:jc w:val="center"/>
        <w:rPr>
          <w:rFonts w:ascii="Times New Roman" w:hAnsi="Times New Roman"/>
          <w:sz w:val="24"/>
          <w:szCs w:val="24"/>
        </w:rPr>
      </w:pPr>
    </w:p>
    <w:p w14:paraId="44DE5838" w14:textId="77777777" w:rsidR="00A1383C" w:rsidRPr="00BB0E37" w:rsidRDefault="00A1383C" w:rsidP="00A1383C">
      <w:pPr>
        <w:jc w:val="center"/>
        <w:rPr>
          <w:rFonts w:ascii="Times New Roman" w:hAnsi="Times New Roman"/>
          <w:b/>
          <w:bCs/>
          <w:sz w:val="24"/>
          <w:szCs w:val="24"/>
        </w:rPr>
      </w:pPr>
      <w:r w:rsidRPr="00BB0E37">
        <w:rPr>
          <w:rFonts w:ascii="Times New Roman" w:hAnsi="Times New Roman"/>
          <w:b/>
          <w:bCs/>
          <w:noProof/>
          <w:sz w:val="24"/>
          <w:szCs w:val="24"/>
          <w:lang w:val="en-US"/>
        </w:rPr>
        <w:drawing>
          <wp:inline distT="0" distB="0" distL="0" distR="0" wp14:anchorId="05DF4BF3" wp14:editId="6271612C">
            <wp:extent cx="3515445" cy="2880000"/>
            <wp:effectExtent l="0" t="0" r="8890" b="0"/>
            <wp:docPr id="2028746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5445" cy="2880000"/>
                    </a:xfrm>
                    <a:prstGeom prst="rect">
                      <a:avLst/>
                    </a:prstGeom>
                    <a:noFill/>
                    <a:ln>
                      <a:noFill/>
                    </a:ln>
                  </pic:spPr>
                </pic:pic>
              </a:graphicData>
            </a:graphic>
          </wp:inline>
        </w:drawing>
      </w:r>
    </w:p>
    <w:p w14:paraId="20EB45C5" w14:textId="77777777" w:rsidR="00A1383C" w:rsidRPr="00987F58" w:rsidRDefault="00A1383C" w:rsidP="00A1383C">
      <w:pPr>
        <w:jc w:val="center"/>
        <w:rPr>
          <w:rFonts w:ascii="Times New Roman" w:hAnsi="Times New Roman"/>
          <w:sz w:val="24"/>
          <w:szCs w:val="24"/>
        </w:rPr>
      </w:pPr>
      <w:r w:rsidRPr="00BB0E37">
        <w:rPr>
          <w:rFonts w:ascii="Times New Roman" w:hAnsi="Times New Roman"/>
          <w:b/>
          <w:bCs/>
          <w:sz w:val="24"/>
          <w:szCs w:val="24"/>
        </w:rPr>
        <w:t>Fig 2</w:t>
      </w:r>
      <w:r w:rsidRPr="00987F58">
        <w:rPr>
          <w:rFonts w:ascii="Times New Roman" w:hAnsi="Times New Roman"/>
          <w:b/>
          <w:bCs/>
          <w:sz w:val="24"/>
          <w:szCs w:val="24"/>
        </w:rPr>
        <w:t xml:space="preserve"> (a) : Ceruminous discharge and erythema in the e</w:t>
      </w:r>
      <w:r w:rsidRPr="00BB0E37">
        <w:rPr>
          <w:rFonts w:ascii="Times New Roman" w:hAnsi="Times New Roman"/>
          <w:b/>
          <w:bCs/>
          <w:sz w:val="24"/>
          <w:szCs w:val="24"/>
        </w:rPr>
        <w:t>a</w:t>
      </w:r>
      <w:r w:rsidRPr="00987F58">
        <w:rPr>
          <w:rFonts w:ascii="Times New Roman" w:hAnsi="Times New Roman"/>
          <w:b/>
          <w:bCs/>
          <w:sz w:val="24"/>
          <w:szCs w:val="24"/>
        </w:rPr>
        <w:t>r of dog of group IV</w:t>
      </w:r>
    </w:p>
    <w:p w14:paraId="7CE05FD8" w14:textId="77777777" w:rsidR="00A1383C" w:rsidRPr="00BB0E37" w:rsidRDefault="00A1383C" w:rsidP="00A1383C">
      <w:pPr>
        <w:jc w:val="center"/>
        <w:rPr>
          <w:rFonts w:ascii="Times New Roman" w:hAnsi="Times New Roman"/>
          <w:b/>
          <w:bCs/>
          <w:sz w:val="24"/>
          <w:szCs w:val="24"/>
        </w:rPr>
      </w:pPr>
      <w:r w:rsidRPr="00987F58">
        <w:rPr>
          <w:rFonts w:ascii="Times New Roman" w:hAnsi="Times New Roman"/>
          <w:b/>
          <w:bCs/>
          <w:sz w:val="24"/>
          <w:szCs w:val="24"/>
        </w:rPr>
        <w:t>before treatment</w:t>
      </w:r>
    </w:p>
    <w:p w14:paraId="46C9D409" w14:textId="77777777" w:rsidR="00A1383C" w:rsidRPr="00987F58" w:rsidRDefault="00A1383C" w:rsidP="00A1383C">
      <w:pPr>
        <w:jc w:val="center"/>
        <w:rPr>
          <w:rFonts w:ascii="Times New Roman" w:hAnsi="Times New Roman"/>
          <w:sz w:val="24"/>
          <w:szCs w:val="24"/>
        </w:rPr>
      </w:pPr>
      <w:r w:rsidRPr="00BB0E37">
        <w:rPr>
          <w:rFonts w:ascii="Times New Roman" w:hAnsi="Times New Roman"/>
          <w:noProof/>
          <w:sz w:val="24"/>
          <w:szCs w:val="24"/>
          <w:lang w:val="en-US"/>
        </w:rPr>
        <w:drawing>
          <wp:inline distT="0" distB="0" distL="0" distR="0" wp14:anchorId="32A9C228" wp14:editId="358A44F6">
            <wp:extent cx="3348000" cy="2903013"/>
            <wp:effectExtent l="0" t="0" r="5080" b="0"/>
            <wp:docPr id="487165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8000" cy="2903013"/>
                    </a:xfrm>
                    <a:prstGeom prst="rect">
                      <a:avLst/>
                    </a:prstGeom>
                    <a:noFill/>
                    <a:ln>
                      <a:noFill/>
                    </a:ln>
                  </pic:spPr>
                </pic:pic>
              </a:graphicData>
            </a:graphic>
          </wp:inline>
        </w:drawing>
      </w:r>
    </w:p>
    <w:p w14:paraId="47D82CC5" w14:textId="77777777" w:rsidR="00A1383C" w:rsidRPr="00BB0E37" w:rsidRDefault="00A1383C" w:rsidP="00A1383C">
      <w:pPr>
        <w:jc w:val="center"/>
        <w:rPr>
          <w:rFonts w:ascii="Times New Roman" w:hAnsi="Times New Roman"/>
          <w:b/>
          <w:bCs/>
          <w:sz w:val="24"/>
          <w:szCs w:val="24"/>
        </w:rPr>
      </w:pPr>
      <w:r w:rsidRPr="00BB0E37">
        <w:rPr>
          <w:rFonts w:ascii="Times New Roman" w:hAnsi="Times New Roman"/>
          <w:b/>
          <w:bCs/>
          <w:sz w:val="24"/>
          <w:szCs w:val="24"/>
        </w:rPr>
        <w:t xml:space="preserve">Fig. 2 </w:t>
      </w:r>
      <w:r w:rsidRPr="00987F58">
        <w:rPr>
          <w:rFonts w:ascii="Times New Roman" w:hAnsi="Times New Roman"/>
          <w:b/>
          <w:bCs/>
          <w:sz w:val="24"/>
          <w:szCs w:val="24"/>
        </w:rPr>
        <w:t>(b)</w:t>
      </w:r>
      <w:r w:rsidRPr="00BB0E37">
        <w:rPr>
          <w:rFonts w:ascii="Times New Roman" w:hAnsi="Times New Roman"/>
          <w:b/>
          <w:bCs/>
          <w:sz w:val="24"/>
          <w:szCs w:val="24"/>
        </w:rPr>
        <w:t>:</w:t>
      </w:r>
      <w:r w:rsidRPr="00987F58">
        <w:rPr>
          <w:rFonts w:ascii="Times New Roman" w:hAnsi="Times New Roman"/>
          <w:b/>
          <w:bCs/>
          <w:sz w:val="24"/>
          <w:szCs w:val="24"/>
        </w:rPr>
        <w:t xml:space="preserve"> Recovery in the same dog after treatment</w:t>
      </w:r>
      <w:r>
        <w:rPr>
          <w:rFonts w:ascii="Times New Roman" w:hAnsi="Times New Roman"/>
          <w:b/>
          <w:bCs/>
          <w:sz w:val="24"/>
          <w:szCs w:val="24"/>
        </w:rPr>
        <w:t xml:space="preserve"> (Group IV)</w:t>
      </w:r>
    </w:p>
    <w:p w14:paraId="4B3A50B1" w14:textId="77777777" w:rsidR="00A1383C" w:rsidRPr="00BB0E37" w:rsidRDefault="00A1383C" w:rsidP="00A1383C">
      <w:pPr>
        <w:jc w:val="center"/>
        <w:rPr>
          <w:rFonts w:ascii="Times New Roman" w:hAnsi="Times New Roman"/>
          <w:b/>
          <w:bCs/>
          <w:sz w:val="24"/>
          <w:szCs w:val="24"/>
        </w:rPr>
      </w:pPr>
    </w:p>
    <w:p w14:paraId="173668F3" w14:textId="77777777" w:rsidR="00A1383C" w:rsidRPr="00BB0E37" w:rsidRDefault="00A1383C" w:rsidP="00A1383C">
      <w:pPr>
        <w:jc w:val="center"/>
        <w:rPr>
          <w:rFonts w:ascii="Times New Roman" w:hAnsi="Times New Roman"/>
          <w:b/>
          <w:bCs/>
          <w:sz w:val="24"/>
          <w:szCs w:val="24"/>
        </w:rPr>
      </w:pPr>
    </w:p>
    <w:p w14:paraId="1D64F32B" w14:textId="77777777" w:rsidR="00A1383C" w:rsidRPr="00BB0E37" w:rsidRDefault="00A1383C" w:rsidP="00A1383C">
      <w:pPr>
        <w:jc w:val="center"/>
        <w:rPr>
          <w:rFonts w:ascii="Times New Roman" w:hAnsi="Times New Roman"/>
          <w:b/>
          <w:bCs/>
          <w:sz w:val="24"/>
          <w:szCs w:val="24"/>
        </w:rPr>
      </w:pPr>
    </w:p>
    <w:p w14:paraId="44D177A3" w14:textId="77777777" w:rsidR="00A1383C" w:rsidRPr="00BB0E37" w:rsidRDefault="00A1383C" w:rsidP="00A1383C">
      <w:pPr>
        <w:jc w:val="center"/>
        <w:rPr>
          <w:rFonts w:ascii="Times New Roman" w:hAnsi="Times New Roman"/>
          <w:b/>
          <w:bCs/>
          <w:sz w:val="24"/>
          <w:szCs w:val="24"/>
        </w:rPr>
      </w:pPr>
    </w:p>
    <w:p w14:paraId="32E778D7" w14:textId="77777777" w:rsidR="00A1383C" w:rsidRPr="00BB0E37" w:rsidRDefault="00A1383C" w:rsidP="00A1383C">
      <w:pPr>
        <w:jc w:val="center"/>
        <w:rPr>
          <w:rFonts w:ascii="Times New Roman" w:hAnsi="Times New Roman"/>
          <w:b/>
          <w:bCs/>
          <w:sz w:val="24"/>
          <w:szCs w:val="24"/>
        </w:rPr>
      </w:pPr>
      <w:r w:rsidRPr="00BB0E37">
        <w:rPr>
          <w:rFonts w:ascii="Times New Roman" w:hAnsi="Times New Roman"/>
          <w:b/>
          <w:bCs/>
          <w:noProof/>
          <w:sz w:val="24"/>
          <w:szCs w:val="24"/>
          <w:lang w:val="en-US"/>
        </w:rPr>
        <w:drawing>
          <wp:inline distT="0" distB="0" distL="0" distR="0" wp14:anchorId="14844F56" wp14:editId="32E45209">
            <wp:extent cx="3600450" cy="2843530"/>
            <wp:effectExtent l="0" t="0" r="0" b="0"/>
            <wp:docPr id="787902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1046" cy="2844001"/>
                    </a:xfrm>
                    <a:prstGeom prst="rect">
                      <a:avLst/>
                    </a:prstGeom>
                    <a:noFill/>
                    <a:ln>
                      <a:noFill/>
                    </a:ln>
                  </pic:spPr>
                </pic:pic>
              </a:graphicData>
            </a:graphic>
          </wp:inline>
        </w:drawing>
      </w:r>
    </w:p>
    <w:p w14:paraId="751394A9" w14:textId="77777777" w:rsidR="00A1383C" w:rsidRPr="00BB0E37" w:rsidRDefault="00A1383C" w:rsidP="00A1383C">
      <w:pPr>
        <w:jc w:val="center"/>
        <w:rPr>
          <w:rFonts w:ascii="Times New Roman" w:hAnsi="Times New Roman"/>
          <w:b/>
          <w:bCs/>
          <w:sz w:val="24"/>
          <w:szCs w:val="24"/>
        </w:rPr>
      </w:pPr>
    </w:p>
    <w:p w14:paraId="0B3B1F51" w14:textId="77777777" w:rsidR="00A1383C" w:rsidRPr="00987F58" w:rsidRDefault="00A1383C" w:rsidP="00A1383C">
      <w:pPr>
        <w:jc w:val="center"/>
        <w:rPr>
          <w:rFonts w:ascii="Times New Roman" w:hAnsi="Times New Roman"/>
          <w:sz w:val="24"/>
          <w:szCs w:val="24"/>
        </w:rPr>
      </w:pPr>
      <w:r w:rsidRPr="00BB0E37">
        <w:rPr>
          <w:rFonts w:ascii="Times New Roman" w:hAnsi="Times New Roman"/>
          <w:b/>
          <w:bCs/>
          <w:sz w:val="24"/>
          <w:szCs w:val="24"/>
        </w:rPr>
        <w:t xml:space="preserve">Fig </w:t>
      </w:r>
      <w:r>
        <w:rPr>
          <w:rFonts w:ascii="Times New Roman" w:hAnsi="Times New Roman"/>
          <w:b/>
          <w:bCs/>
          <w:sz w:val="24"/>
          <w:szCs w:val="24"/>
        </w:rPr>
        <w:t>3</w:t>
      </w:r>
      <w:r w:rsidRPr="00987F58">
        <w:rPr>
          <w:rFonts w:ascii="Times New Roman" w:hAnsi="Times New Roman"/>
          <w:b/>
          <w:bCs/>
          <w:sz w:val="24"/>
          <w:szCs w:val="24"/>
        </w:rPr>
        <w:t xml:space="preserve"> (a) : Aural pruritis in Labrador retriever dog of group II before</w:t>
      </w:r>
    </w:p>
    <w:p w14:paraId="762D2D15" w14:textId="77777777" w:rsidR="00A1383C" w:rsidRPr="00BB0E37" w:rsidRDefault="00A1383C" w:rsidP="00A1383C">
      <w:pPr>
        <w:jc w:val="center"/>
        <w:rPr>
          <w:rFonts w:ascii="Times New Roman" w:hAnsi="Times New Roman"/>
          <w:b/>
          <w:bCs/>
          <w:sz w:val="24"/>
          <w:szCs w:val="24"/>
        </w:rPr>
      </w:pPr>
      <w:r w:rsidRPr="00987F58">
        <w:rPr>
          <w:rFonts w:ascii="Times New Roman" w:hAnsi="Times New Roman"/>
          <w:b/>
          <w:bCs/>
          <w:sz w:val="24"/>
          <w:szCs w:val="24"/>
        </w:rPr>
        <w:t>treatment</w:t>
      </w:r>
    </w:p>
    <w:p w14:paraId="3E27637C" w14:textId="77777777" w:rsidR="00A1383C" w:rsidRPr="00BB0E37" w:rsidRDefault="00A1383C" w:rsidP="00A1383C">
      <w:pPr>
        <w:jc w:val="center"/>
        <w:rPr>
          <w:rFonts w:ascii="Times New Roman" w:hAnsi="Times New Roman"/>
          <w:b/>
          <w:bCs/>
          <w:sz w:val="24"/>
          <w:szCs w:val="24"/>
        </w:rPr>
      </w:pPr>
    </w:p>
    <w:p w14:paraId="08205269" w14:textId="77777777" w:rsidR="00A1383C" w:rsidRPr="00BB0E37" w:rsidRDefault="00A1383C" w:rsidP="00A1383C">
      <w:pPr>
        <w:jc w:val="center"/>
        <w:rPr>
          <w:rFonts w:ascii="Times New Roman" w:hAnsi="Times New Roman"/>
          <w:sz w:val="24"/>
          <w:szCs w:val="24"/>
        </w:rPr>
      </w:pPr>
      <w:r w:rsidRPr="00BB0E37">
        <w:rPr>
          <w:rFonts w:ascii="Times New Roman" w:hAnsi="Times New Roman"/>
          <w:b/>
          <w:bCs/>
          <w:noProof/>
          <w:sz w:val="24"/>
          <w:szCs w:val="24"/>
          <w:lang w:val="en-US"/>
        </w:rPr>
        <w:drawing>
          <wp:inline distT="0" distB="0" distL="0" distR="0" wp14:anchorId="7C2BFB28" wp14:editId="3E4F3035">
            <wp:extent cx="3860800" cy="2879719"/>
            <wp:effectExtent l="0" t="0" r="6350" b="0"/>
            <wp:docPr id="20681984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5396" cy="2883147"/>
                    </a:xfrm>
                    <a:prstGeom prst="rect">
                      <a:avLst/>
                    </a:prstGeom>
                    <a:noFill/>
                    <a:ln>
                      <a:noFill/>
                    </a:ln>
                  </pic:spPr>
                </pic:pic>
              </a:graphicData>
            </a:graphic>
          </wp:inline>
        </w:drawing>
      </w:r>
    </w:p>
    <w:p w14:paraId="5B0628C3" w14:textId="77777777" w:rsidR="00A1383C" w:rsidRPr="00987F58" w:rsidRDefault="00A1383C" w:rsidP="00A1383C">
      <w:pPr>
        <w:jc w:val="center"/>
        <w:rPr>
          <w:rFonts w:ascii="Times New Roman" w:hAnsi="Times New Roman"/>
          <w:sz w:val="24"/>
          <w:szCs w:val="24"/>
        </w:rPr>
      </w:pPr>
    </w:p>
    <w:p w14:paraId="34B952AB" w14:textId="3CD86F97" w:rsidR="00A1383C" w:rsidRPr="00A1383C" w:rsidRDefault="00A1383C" w:rsidP="00A1383C">
      <w:pPr>
        <w:jc w:val="center"/>
        <w:rPr>
          <w:rFonts w:ascii="Times New Roman" w:hAnsi="Times New Roman"/>
          <w:b/>
          <w:bCs/>
          <w:sz w:val="24"/>
          <w:szCs w:val="24"/>
          <w:shd w:val="clear" w:color="auto" w:fill="FFFFFF"/>
        </w:rPr>
      </w:pPr>
      <w:r>
        <w:rPr>
          <w:rFonts w:ascii="Times New Roman" w:hAnsi="Times New Roman"/>
          <w:b/>
          <w:bCs/>
          <w:sz w:val="24"/>
          <w:szCs w:val="24"/>
        </w:rPr>
        <w:t>F</w:t>
      </w:r>
      <w:r w:rsidRPr="00BB0E37">
        <w:rPr>
          <w:rFonts w:ascii="Times New Roman" w:hAnsi="Times New Roman"/>
          <w:b/>
          <w:bCs/>
          <w:sz w:val="24"/>
          <w:szCs w:val="24"/>
        </w:rPr>
        <w:t xml:space="preserve">ig. </w:t>
      </w:r>
      <w:r>
        <w:rPr>
          <w:rFonts w:ascii="Times New Roman" w:hAnsi="Times New Roman"/>
          <w:b/>
          <w:bCs/>
          <w:sz w:val="24"/>
          <w:szCs w:val="24"/>
        </w:rPr>
        <w:t>4</w:t>
      </w:r>
      <w:r w:rsidRPr="00BB0E37">
        <w:rPr>
          <w:rFonts w:ascii="Times New Roman" w:hAnsi="Times New Roman"/>
          <w:b/>
          <w:bCs/>
          <w:sz w:val="24"/>
          <w:szCs w:val="24"/>
        </w:rPr>
        <w:t xml:space="preserve"> </w:t>
      </w:r>
      <w:r w:rsidRPr="00987F58">
        <w:rPr>
          <w:rFonts w:ascii="Times New Roman" w:hAnsi="Times New Roman"/>
          <w:b/>
          <w:bCs/>
          <w:sz w:val="24"/>
          <w:szCs w:val="24"/>
        </w:rPr>
        <w:t xml:space="preserve">(b) : Clinical improvement in the same dog after </w:t>
      </w:r>
      <w:r>
        <w:rPr>
          <w:rFonts w:ascii="Times New Roman" w:hAnsi="Times New Roman"/>
          <w:b/>
          <w:bCs/>
          <w:sz w:val="24"/>
          <w:szCs w:val="24"/>
        </w:rPr>
        <w:t>treatment with amoxicillin-clavulanic acid combination</w:t>
      </w:r>
    </w:p>
    <w:sectPr w:rsidR="00A1383C" w:rsidRPr="00A1383C" w:rsidSect="00F56A0F">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User" w:date="2026-02-21T07:58:00Z" w:initials="U">
    <w:p w14:paraId="27702F83" w14:textId="77777777" w:rsidR="00151101" w:rsidRPr="00151101" w:rsidRDefault="00151101" w:rsidP="00151101">
      <w:pPr>
        <w:pStyle w:val="CommentText"/>
        <w:rPr>
          <w:lang w:val="en-US"/>
        </w:rPr>
      </w:pPr>
      <w:r>
        <w:rPr>
          <w:rStyle w:val="CommentReference"/>
        </w:rPr>
        <w:annotationRef/>
      </w:r>
      <w:r w:rsidRPr="00151101">
        <w:rPr>
          <w:lang w:val="en-US"/>
        </w:rPr>
        <w:t>The title is generally appropriate but could be made more specific.</w:t>
      </w:r>
    </w:p>
    <w:p w14:paraId="15DB800C" w14:textId="7DDDCE6B" w:rsidR="00151101" w:rsidRPr="00151101" w:rsidRDefault="00151101" w:rsidP="00151101">
      <w:pPr>
        <w:pStyle w:val="CommentText"/>
        <w:rPr>
          <w:lang w:val="en-US"/>
        </w:rPr>
      </w:pPr>
      <w:r w:rsidRPr="00151101">
        <w:rPr>
          <w:b/>
          <w:bCs/>
          <w:lang w:val="en-US"/>
        </w:rPr>
        <w:t>Alternative Title:</w:t>
      </w:r>
      <w:r w:rsidRPr="00151101">
        <w:rPr>
          <w:lang w:val="en-US"/>
        </w:rPr>
        <w:br/>
        <w:t>“Comparative Clinical Evaluation of Systemic Antibiotic Regimens Combined with Tris-EDTA Flushing in Canine Pseudomonas Otitis Externa”</w:t>
      </w:r>
    </w:p>
    <w:p w14:paraId="0A56F94E" w14:textId="45A6E6F9" w:rsidR="00151101" w:rsidRDefault="00151101">
      <w:pPr>
        <w:pStyle w:val="CommentText"/>
      </w:pPr>
    </w:p>
  </w:comment>
  <w:comment w:id="1" w:author="User" w:date="2026-02-21T07:59:00Z" w:initials="U">
    <w:p w14:paraId="711DE9BE" w14:textId="77777777" w:rsidR="00151101" w:rsidRPr="00151101" w:rsidRDefault="00151101" w:rsidP="00151101">
      <w:pPr>
        <w:pStyle w:val="CommentText"/>
        <w:numPr>
          <w:ilvl w:val="0"/>
          <w:numId w:val="6"/>
        </w:numPr>
        <w:rPr>
          <w:lang w:val="en-US"/>
        </w:rPr>
      </w:pPr>
      <w:r>
        <w:rPr>
          <w:rStyle w:val="CommentReference"/>
        </w:rPr>
        <w:annotationRef/>
      </w:r>
      <w:r w:rsidRPr="00151101">
        <w:rPr>
          <w:lang w:val="en-US"/>
        </w:rPr>
        <w:t>No statistical analysis mentioned.</w:t>
      </w:r>
    </w:p>
    <w:p w14:paraId="239D0DBE" w14:textId="77777777" w:rsidR="00151101" w:rsidRPr="00151101" w:rsidRDefault="00151101" w:rsidP="00151101">
      <w:pPr>
        <w:pStyle w:val="CommentText"/>
        <w:numPr>
          <w:ilvl w:val="0"/>
          <w:numId w:val="6"/>
        </w:numPr>
        <w:rPr>
          <w:lang w:val="en-US"/>
        </w:rPr>
      </w:pPr>
      <w:r w:rsidRPr="00151101">
        <w:rPr>
          <w:lang w:val="en-US"/>
        </w:rPr>
        <w:t>No clear study design description (randomization? controlled?).</w:t>
      </w:r>
    </w:p>
    <w:p w14:paraId="3EAFCFA7" w14:textId="58AAF80E" w:rsidR="00A87985" w:rsidRDefault="00A87985" w:rsidP="00A87985">
      <w:pPr>
        <w:pStyle w:val="CommentText"/>
      </w:pPr>
      <w:r>
        <w:t>•</w:t>
      </w:r>
      <w:r>
        <w:t>Mention grouping (6 per group).</w:t>
      </w:r>
    </w:p>
    <w:p w14:paraId="79BE1993" w14:textId="259154DB" w:rsidR="00A87985" w:rsidRDefault="00A87985" w:rsidP="00A87985">
      <w:pPr>
        <w:pStyle w:val="CommentText"/>
      </w:pPr>
      <w:r>
        <w:t>•</w:t>
      </w:r>
      <w:r>
        <w:t>Clarify whether statistical comparison was performed.</w:t>
      </w:r>
    </w:p>
    <w:p w14:paraId="39EBB9FD" w14:textId="6375B49C" w:rsidR="00151101" w:rsidRDefault="00A87985" w:rsidP="00A87985">
      <w:pPr>
        <w:pStyle w:val="CommentText"/>
      </w:pPr>
      <w:r>
        <w:t>•</w:t>
      </w:r>
      <w:r>
        <w:t>Briefly state limitation</w:t>
      </w:r>
    </w:p>
  </w:comment>
  <w:comment w:id="2" w:author="User" w:date="2026-02-21T08:03:00Z" w:initials="U">
    <w:p w14:paraId="470958F9" w14:textId="77777777" w:rsidR="009E43DD" w:rsidRPr="009E43DD" w:rsidRDefault="009E43DD" w:rsidP="009E43DD">
      <w:pPr>
        <w:pStyle w:val="CommentText"/>
        <w:rPr>
          <w:lang w:val="en-US"/>
        </w:rPr>
      </w:pPr>
      <w:r>
        <w:rPr>
          <w:rStyle w:val="CommentReference"/>
        </w:rPr>
        <w:annotationRef/>
      </w:r>
      <w:r w:rsidRPr="009E43DD">
        <w:rPr>
          <w:b/>
          <w:bCs/>
          <w:lang w:val="en-US"/>
        </w:rPr>
        <w:t>Major Concerns:</w:t>
      </w:r>
    </w:p>
    <w:p w14:paraId="4CA71615" w14:textId="77777777" w:rsidR="009E43DD" w:rsidRPr="009E43DD" w:rsidRDefault="009E43DD" w:rsidP="009E43DD">
      <w:pPr>
        <w:pStyle w:val="CommentText"/>
        <w:numPr>
          <w:ilvl w:val="0"/>
          <w:numId w:val="8"/>
        </w:numPr>
        <w:rPr>
          <w:lang w:val="en-US"/>
        </w:rPr>
      </w:pPr>
      <w:r w:rsidRPr="009E43DD">
        <w:rPr>
          <w:b/>
          <w:bCs/>
          <w:lang w:val="en-US"/>
        </w:rPr>
        <w:t>Small Sample Size (n=6 per group)</w:t>
      </w:r>
      <w:r w:rsidRPr="009E43DD">
        <w:rPr>
          <w:lang w:val="en-US"/>
        </w:rPr>
        <w:br/>
        <w:t>Limits statistical power.</w:t>
      </w:r>
    </w:p>
    <w:p w14:paraId="4107045D" w14:textId="77777777" w:rsidR="009E43DD" w:rsidRPr="009E43DD" w:rsidRDefault="009E43DD" w:rsidP="009E43DD">
      <w:pPr>
        <w:pStyle w:val="CommentText"/>
        <w:numPr>
          <w:ilvl w:val="0"/>
          <w:numId w:val="8"/>
        </w:numPr>
        <w:rPr>
          <w:lang w:val="en-US"/>
        </w:rPr>
      </w:pPr>
      <w:r w:rsidRPr="009E43DD">
        <w:rPr>
          <w:b/>
          <w:bCs/>
          <w:lang w:val="en-US"/>
        </w:rPr>
        <w:t>No Statistical Analysis Presented</w:t>
      </w:r>
      <w:r w:rsidRPr="009E43DD">
        <w:rPr>
          <w:lang w:val="en-US"/>
        </w:rPr>
        <w:br/>
        <w:t>Percentages are reported without statistical validation (e.g., Chi-square or Fisher’s exact test).</w:t>
      </w:r>
    </w:p>
    <w:p w14:paraId="453F2A5E" w14:textId="77777777" w:rsidR="009E43DD" w:rsidRPr="009E43DD" w:rsidRDefault="009E43DD" w:rsidP="009E43DD">
      <w:pPr>
        <w:pStyle w:val="CommentText"/>
        <w:numPr>
          <w:ilvl w:val="0"/>
          <w:numId w:val="8"/>
        </w:numPr>
        <w:rPr>
          <w:lang w:val="en-US"/>
        </w:rPr>
      </w:pPr>
      <w:r w:rsidRPr="009E43DD">
        <w:rPr>
          <w:b/>
          <w:bCs/>
          <w:lang w:val="en-US"/>
        </w:rPr>
        <w:t>No Randomization Mentioned</w:t>
      </w:r>
      <w:r w:rsidRPr="009E43DD">
        <w:rPr>
          <w:lang w:val="en-US"/>
        </w:rPr>
        <w:br/>
        <w:t>Method of group allocation unclear.</w:t>
      </w:r>
    </w:p>
    <w:p w14:paraId="23493609" w14:textId="77777777" w:rsidR="009E43DD" w:rsidRPr="009E43DD" w:rsidRDefault="009E43DD" w:rsidP="009E43DD">
      <w:pPr>
        <w:pStyle w:val="CommentText"/>
        <w:numPr>
          <w:ilvl w:val="0"/>
          <w:numId w:val="8"/>
        </w:numPr>
        <w:rPr>
          <w:lang w:val="en-US"/>
        </w:rPr>
      </w:pPr>
      <w:r w:rsidRPr="009E43DD">
        <w:rPr>
          <w:b/>
          <w:bCs/>
          <w:lang w:val="en-US"/>
        </w:rPr>
        <w:t>No Antimicrobial Sensitivity Testing Reported</w:t>
      </w:r>
      <w:r w:rsidRPr="009E43DD">
        <w:rPr>
          <w:lang w:val="en-US"/>
        </w:rPr>
        <w:br/>
        <w:t>Although isolation was done, antibiogram results are not shown.</w:t>
      </w:r>
    </w:p>
    <w:p w14:paraId="4AAAC199" w14:textId="3F207604" w:rsidR="009E43DD" w:rsidRDefault="009E43DD" w:rsidP="009E43DD">
      <w:pPr>
        <w:pStyle w:val="CommentText"/>
        <w:numPr>
          <w:ilvl w:val="0"/>
          <w:numId w:val="8"/>
        </w:numPr>
        <w:rPr>
          <w:lang w:val="en-US"/>
        </w:rPr>
      </w:pPr>
      <w:r w:rsidRPr="009E43DD">
        <w:rPr>
          <w:b/>
          <w:bCs/>
          <w:lang w:val="en-US"/>
        </w:rPr>
        <w:t>Control Group Issue</w:t>
      </w:r>
      <w:r w:rsidRPr="009E43DD">
        <w:rPr>
          <w:lang w:val="en-US"/>
        </w:rPr>
        <w:br/>
        <w:t>Group I (healthy control) is not used for therapeutic comparison.</w:t>
      </w:r>
    </w:p>
    <w:p w14:paraId="6EA5CBE6" w14:textId="0FA9ED6C" w:rsidR="001B6B97" w:rsidRPr="001B6B97" w:rsidRDefault="001B6B97" w:rsidP="001B6B97">
      <w:pPr>
        <w:pStyle w:val="CommentText"/>
        <w:numPr>
          <w:ilvl w:val="0"/>
          <w:numId w:val="9"/>
        </w:numPr>
        <w:rPr>
          <w:lang w:val="en-US"/>
        </w:rPr>
      </w:pPr>
      <w:r w:rsidRPr="001B6B97">
        <w:rPr>
          <w:lang w:val="en-US"/>
        </w:rPr>
        <w:t>Outcome Assessment Criteria Not Defined</w:t>
      </w:r>
    </w:p>
    <w:p w14:paraId="698C3388" w14:textId="77777777" w:rsidR="001B6B97" w:rsidRPr="001B6B97" w:rsidRDefault="001B6B97" w:rsidP="001B6B97">
      <w:pPr>
        <w:pStyle w:val="CommentText"/>
        <w:rPr>
          <w:lang w:val="en-US"/>
        </w:rPr>
      </w:pPr>
      <w:r w:rsidRPr="001B6B97">
        <w:rPr>
          <w:lang w:val="en-US"/>
        </w:rPr>
        <w:t>What defines “complete recovery”? Clinical scoring? Cytology?</w:t>
      </w:r>
    </w:p>
    <w:p w14:paraId="5B5C5ABB" w14:textId="42A1E7B6" w:rsidR="001B6B97" w:rsidRPr="009E43DD" w:rsidRDefault="001B6B97" w:rsidP="001B6B97">
      <w:pPr>
        <w:pStyle w:val="CommentText"/>
        <w:rPr>
          <w:lang w:val="en-US"/>
        </w:rPr>
      </w:pPr>
      <w:r w:rsidRPr="001B6B97">
        <w:rPr>
          <w:lang w:val="en-US"/>
        </w:rPr>
        <w:t>Recommendation: Major Revision</w:t>
      </w:r>
    </w:p>
    <w:p w14:paraId="26F53FD2" w14:textId="299E2984" w:rsidR="009E43DD" w:rsidRDefault="009E43DD">
      <w:pPr>
        <w:pStyle w:val="CommentText"/>
      </w:pPr>
    </w:p>
  </w:comment>
  <w:comment w:id="4" w:author="User" w:date="2026-02-21T08:10:00Z" w:initials="U">
    <w:p w14:paraId="10A5FC50" w14:textId="77777777" w:rsidR="00933E42" w:rsidRDefault="00933E42" w:rsidP="00933E42">
      <w:pPr>
        <w:pStyle w:val="CommentText"/>
      </w:pPr>
      <w:r>
        <w:rPr>
          <w:rStyle w:val="CommentReference"/>
        </w:rPr>
        <w:annotationRef/>
      </w:r>
      <w:r>
        <w:t>Consider including:</w:t>
      </w:r>
    </w:p>
    <w:p w14:paraId="4ACD3C2A" w14:textId="77777777" w:rsidR="00933E42" w:rsidRDefault="00933E42" w:rsidP="00933E42">
      <w:pPr>
        <w:pStyle w:val="CommentText"/>
      </w:pPr>
      <w:r>
        <w:t>Statistical comparison table</w:t>
      </w:r>
    </w:p>
    <w:p w14:paraId="3E89EC74" w14:textId="77777777" w:rsidR="00933E42" w:rsidRDefault="00933E42" w:rsidP="00933E42">
      <w:pPr>
        <w:pStyle w:val="CommentText"/>
      </w:pPr>
      <w:r>
        <w:t>Clinical scoring system</w:t>
      </w:r>
    </w:p>
    <w:p w14:paraId="4C40E5C6" w14:textId="77777777" w:rsidR="00933E42" w:rsidRDefault="00933E42" w:rsidP="00933E42">
      <w:pPr>
        <w:pStyle w:val="CommentText"/>
      </w:pPr>
      <w:r>
        <w:t>Post-treatment bacteriological confirmation</w:t>
      </w:r>
    </w:p>
    <w:p w14:paraId="70BBA947" w14:textId="77777777" w:rsidR="00933E42" w:rsidRDefault="00933E42" w:rsidP="00933E42">
      <w:pPr>
        <w:pStyle w:val="CommentText"/>
      </w:pPr>
      <w:r>
        <w:t>Discussion on antimicrobial resistance implications</w:t>
      </w:r>
    </w:p>
    <w:p w14:paraId="07ACA2C4" w14:textId="04ECDF6C" w:rsidR="00933E42" w:rsidRDefault="00933E42">
      <w:pPr>
        <w:pStyle w:val="CommentText"/>
      </w:pPr>
    </w:p>
  </w:comment>
  <w:comment w:id="5" w:author="User" w:date="2026-02-21T08:10:00Z" w:initials="U">
    <w:p w14:paraId="40C73403" w14:textId="77777777" w:rsidR="00F60345" w:rsidRPr="00F60345" w:rsidRDefault="00F60345" w:rsidP="00F60345">
      <w:pPr>
        <w:pStyle w:val="CommentText"/>
        <w:numPr>
          <w:ilvl w:val="0"/>
          <w:numId w:val="10"/>
        </w:numPr>
        <w:rPr>
          <w:lang w:val="en-US"/>
        </w:rPr>
      </w:pPr>
      <w:r>
        <w:rPr>
          <w:rStyle w:val="CommentReference"/>
        </w:rPr>
        <w:annotationRef/>
      </w:r>
      <w:r w:rsidRPr="00F60345">
        <w:rPr>
          <w:lang w:val="en-US"/>
        </w:rPr>
        <w:t>Repetition in Results &amp; Conclusion.</w:t>
      </w:r>
    </w:p>
    <w:p w14:paraId="35233D71" w14:textId="77777777" w:rsidR="00F60345" w:rsidRPr="00F60345" w:rsidRDefault="00F60345" w:rsidP="00F60345">
      <w:pPr>
        <w:pStyle w:val="CommentText"/>
        <w:numPr>
          <w:ilvl w:val="0"/>
          <w:numId w:val="10"/>
        </w:numPr>
        <w:rPr>
          <w:lang w:val="en-US"/>
        </w:rPr>
      </w:pPr>
      <w:r w:rsidRPr="00F60345">
        <w:rPr>
          <w:lang w:val="en-US"/>
        </w:rPr>
        <w:t>Grammatical errors (e.g., “flusing”, spacing issues).</w:t>
      </w:r>
    </w:p>
    <w:p w14:paraId="23F8F68A" w14:textId="77777777" w:rsidR="00F60345" w:rsidRPr="00F60345" w:rsidRDefault="00F60345" w:rsidP="00F60345">
      <w:pPr>
        <w:pStyle w:val="CommentText"/>
        <w:numPr>
          <w:ilvl w:val="0"/>
          <w:numId w:val="10"/>
        </w:numPr>
        <w:rPr>
          <w:lang w:val="en-US"/>
        </w:rPr>
      </w:pPr>
      <w:r w:rsidRPr="00F60345">
        <w:rPr>
          <w:lang w:val="en-US"/>
        </w:rPr>
        <w:t>Figure numbering errors (Fig 2 repeated).</w:t>
      </w:r>
    </w:p>
    <w:p w14:paraId="2116C17C" w14:textId="77777777" w:rsidR="00F60345" w:rsidRPr="00F60345" w:rsidRDefault="00F60345" w:rsidP="00F60345">
      <w:pPr>
        <w:pStyle w:val="CommentText"/>
        <w:numPr>
          <w:ilvl w:val="0"/>
          <w:numId w:val="10"/>
        </w:numPr>
        <w:rPr>
          <w:lang w:val="en-US"/>
        </w:rPr>
      </w:pPr>
      <w:r w:rsidRPr="00F60345">
        <w:rPr>
          <w:lang w:val="en-US"/>
        </w:rPr>
        <w:t>Formatting inconsistencies.</w:t>
      </w:r>
    </w:p>
    <w:p w14:paraId="769E6B4C" w14:textId="36874390" w:rsidR="00F60345" w:rsidRDefault="00F60345">
      <w:pPr>
        <w:pStyle w:val="CommentText"/>
      </w:pPr>
    </w:p>
  </w:comment>
  <w:comment w:id="6" w:author="User" w:date="2026-02-21T08:02:00Z" w:initials="U">
    <w:p w14:paraId="779745C1" w14:textId="77777777" w:rsidR="00A87985" w:rsidRPr="00A87985" w:rsidRDefault="00A87985" w:rsidP="00A87985">
      <w:pPr>
        <w:pStyle w:val="CommentText"/>
        <w:rPr>
          <w:lang w:val="en-US"/>
        </w:rPr>
      </w:pPr>
      <w:r>
        <w:rPr>
          <w:rStyle w:val="CommentReference"/>
        </w:rPr>
        <w:annotationRef/>
      </w:r>
      <w:r w:rsidRPr="00A87985">
        <w:rPr>
          <w:lang w:val="en-US"/>
        </w:rPr>
        <w:t>References are generally relevant but limited in recent literature (post-2020). More updated antimicrobial resistance studies should be included (2020–2024).</w:t>
      </w:r>
    </w:p>
    <w:p w14:paraId="015BF035" w14:textId="77777777" w:rsidR="00A87985" w:rsidRPr="00A87985" w:rsidRDefault="00A87985" w:rsidP="00A87985">
      <w:pPr>
        <w:pStyle w:val="CommentText"/>
        <w:rPr>
          <w:lang w:val="en-US"/>
        </w:rPr>
      </w:pPr>
      <w:r w:rsidRPr="00A87985">
        <w:rPr>
          <w:b/>
          <w:bCs/>
          <w:lang w:val="en-US"/>
        </w:rPr>
        <w:t>Suggested Additions:</w:t>
      </w:r>
    </w:p>
    <w:p w14:paraId="3F1AD4BB" w14:textId="77777777" w:rsidR="00A87985" w:rsidRPr="00A87985" w:rsidRDefault="00A87985" w:rsidP="00A87985">
      <w:pPr>
        <w:pStyle w:val="CommentText"/>
        <w:numPr>
          <w:ilvl w:val="0"/>
          <w:numId w:val="7"/>
        </w:numPr>
        <w:rPr>
          <w:lang w:val="en-US"/>
        </w:rPr>
      </w:pPr>
      <w:r w:rsidRPr="00A87985">
        <w:rPr>
          <w:lang w:val="en-US"/>
        </w:rPr>
        <w:t>Recent studies on antimicrobial resistance in veterinary otitis.</w:t>
      </w:r>
    </w:p>
    <w:p w14:paraId="035FDB9C" w14:textId="77777777" w:rsidR="00A87985" w:rsidRPr="00A87985" w:rsidRDefault="00A87985" w:rsidP="00A87985">
      <w:pPr>
        <w:pStyle w:val="CommentText"/>
        <w:numPr>
          <w:ilvl w:val="0"/>
          <w:numId w:val="7"/>
        </w:numPr>
        <w:rPr>
          <w:lang w:val="en-US"/>
        </w:rPr>
      </w:pPr>
      <w:r w:rsidRPr="00A87985">
        <w:rPr>
          <w:lang w:val="en-US"/>
        </w:rPr>
        <w:t>Guidelines on antimicrobial stewardship in companion animals.</w:t>
      </w:r>
    </w:p>
    <w:p w14:paraId="6C005722" w14:textId="641BB49A" w:rsidR="00A87985" w:rsidRDefault="00A8798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A56F94E" w15:done="0"/>
  <w15:commentEx w15:paraId="39EBB9FD" w15:done="0"/>
  <w15:commentEx w15:paraId="26F53FD2" w15:done="0"/>
  <w15:commentEx w15:paraId="07ACA2C4" w15:done="0"/>
  <w15:commentEx w15:paraId="769E6B4C" w15:done="0"/>
  <w15:commentEx w15:paraId="6C00572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9931F" w14:textId="77777777" w:rsidR="00CF2AD9" w:rsidRDefault="00CF2AD9" w:rsidP="002D6664">
      <w:pPr>
        <w:spacing w:after="0" w:line="240" w:lineRule="auto"/>
      </w:pPr>
      <w:r>
        <w:separator/>
      </w:r>
    </w:p>
  </w:endnote>
  <w:endnote w:type="continuationSeparator" w:id="0">
    <w:p w14:paraId="3EBB1366" w14:textId="77777777" w:rsidR="00CF2AD9" w:rsidRDefault="00CF2AD9" w:rsidP="002D6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33989" w14:textId="77777777" w:rsidR="00CE01E1" w:rsidRDefault="00CE01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58942"/>
      <w:docPartObj>
        <w:docPartGallery w:val="Page Numbers (Bottom of Page)"/>
        <w:docPartUnique/>
      </w:docPartObj>
    </w:sdtPr>
    <w:sdtEndPr/>
    <w:sdtContent>
      <w:p w14:paraId="22B29248" w14:textId="0372513F" w:rsidR="007E0E08" w:rsidRDefault="005A7252">
        <w:pPr>
          <w:pStyle w:val="Footer"/>
          <w:jc w:val="right"/>
        </w:pPr>
        <w:r>
          <w:fldChar w:fldCharType="begin"/>
        </w:r>
        <w:r>
          <w:instrText xml:space="preserve"> PAGE   \* MERGEFORMAT </w:instrText>
        </w:r>
        <w:r>
          <w:fldChar w:fldCharType="separate"/>
        </w:r>
        <w:r w:rsidR="00933E42">
          <w:rPr>
            <w:noProof/>
          </w:rPr>
          <w:t>3</w:t>
        </w:r>
        <w:r>
          <w:rPr>
            <w:noProof/>
          </w:rPr>
          <w:fldChar w:fldCharType="end"/>
        </w:r>
      </w:p>
    </w:sdtContent>
  </w:sdt>
  <w:p w14:paraId="37A2A288" w14:textId="77777777" w:rsidR="007E0E08" w:rsidRDefault="007E0E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064E4" w14:textId="77777777" w:rsidR="00CE01E1" w:rsidRDefault="00CE01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F5ABB" w14:textId="77777777" w:rsidR="00CF2AD9" w:rsidRDefault="00CF2AD9" w:rsidP="002D6664">
      <w:pPr>
        <w:spacing w:after="0" w:line="240" w:lineRule="auto"/>
      </w:pPr>
      <w:r>
        <w:separator/>
      </w:r>
    </w:p>
  </w:footnote>
  <w:footnote w:type="continuationSeparator" w:id="0">
    <w:p w14:paraId="29A562A4" w14:textId="77777777" w:rsidR="00CF2AD9" w:rsidRDefault="00CF2AD9" w:rsidP="002D6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322C1" w14:textId="2EA79280" w:rsidR="00CE01E1" w:rsidRDefault="00CF2AD9">
    <w:pPr>
      <w:pStyle w:val="Header"/>
    </w:pPr>
    <w:r>
      <w:rPr>
        <w:noProof/>
      </w:rPr>
      <w:pict w14:anchorId="06C78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691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B1875" w14:textId="049B63AA" w:rsidR="00CE01E1" w:rsidRDefault="00CF2AD9">
    <w:pPr>
      <w:pStyle w:val="Header"/>
    </w:pPr>
    <w:r>
      <w:rPr>
        <w:noProof/>
      </w:rPr>
      <w:pict w14:anchorId="4B39D4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691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0B3E9" w14:textId="5BB6E2CF" w:rsidR="00CE01E1" w:rsidRDefault="00CF2AD9">
    <w:pPr>
      <w:pStyle w:val="Header"/>
    </w:pPr>
    <w:r>
      <w:rPr>
        <w:noProof/>
      </w:rPr>
      <w:pict w14:anchorId="0148AA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691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339F"/>
    <w:multiLevelType w:val="hybridMultilevel"/>
    <w:tmpl w:val="C9A8B29A"/>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575F87"/>
    <w:multiLevelType w:val="hybridMultilevel"/>
    <w:tmpl w:val="0D48FC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E59253D"/>
    <w:multiLevelType w:val="hybridMultilevel"/>
    <w:tmpl w:val="C9A8B29A"/>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E160131"/>
    <w:multiLevelType w:val="multilevel"/>
    <w:tmpl w:val="E886E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F496024"/>
    <w:multiLevelType w:val="multilevel"/>
    <w:tmpl w:val="FB56C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042F7C"/>
    <w:multiLevelType w:val="hybridMultilevel"/>
    <w:tmpl w:val="36049E1A"/>
    <w:lvl w:ilvl="0" w:tplc="D5C0DA2E">
      <w:start w:val="1"/>
      <w:numFmt w:val="decimal"/>
      <w:lvlText w:val="%1."/>
      <w:lvlJc w:val="left"/>
      <w:pPr>
        <w:ind w:left="720" w:hanging="360"/>
      </w:pPr>
      <w:rPr>
        <w:rFonts w:eastAsiaTheme="minorHAns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CCE56FF"/>
    <w:multiLevelType w:val="hybridMultilevel"/>
    <w:tmpl w:val="8AEACB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3E7FAA"/>
    <w:multiLevelType w:val="multilevel"/>
    <w:tmpl w:val="D214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063295"/>
    <w:multiLevelType w:val="multilevel"/>
    <w:tmpl w:val="5ACA6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BC1739"/>
    <w:multiLevelType w:val="hybridMultilevel"/>
    <w:tmpl w:val="3A3A52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5"/>
  </w:num>
  <w:num w:numId="3">
    <w:abstractNumId w:val="0"/>
  </w:num>
  <w:num w:numId="4">
    <w:abstractNumId w:val="2"/>
  </w:num>
  <w:num w:numId="5">
    <w:abstractNumId w:val="1"/>
  </w:num>
  <w:num w:numId="6">
    <w:abstractNumId w:val="7"/>
  </w:num>
  <w:num w:numId="7">
    <w:abstractNumId w:val="4"/>
  </w:num>
  <w:num w:numId="8">
    <w:abstractNumId w:val="3"/>
  </w:num>
  <w:num w:numId="9">
    <w:abstractNumId w:val="6"/>
  </w:num>
  <w:num w:numId="1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Windows Live" w15:userId="1e609f2b54305c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1AD"/>
    <w:rsid w:val="00001573"/>
    <w:rsid w:val="00037C9B"/>
    <w:rsid w:val="0004028D"/>
    <w:rsid w:val="0004173B"/>
    <w:rsid w:val="00060D69"/>
    <w:rsid w:val="000C7C3A"/>
    <w:rsid w:val="000F1EB4"/>
    <w:rsid w:val="000F6AE0"/>
    <w:rsid w:val="00113FA8"/>
    <w:rsid w:val="00116548"/>
    <w:rsid w:val="0013313D"/>
    <w:rsid w:val="00151101"/>
    <w:rsid w:val="001577AE"/>
    <w:rsid w:val="00181454"/>
    <w:rsid w:val="001A004C"/>
    <w:rsid w:val="001A0DAD"/>
    <w:rsid w:val="001B2C88"/>
    <w:rsid w:val="001B56E6"/>
    <w:rsid w:val="001B6B97"/>
    <w:rsid w:val="001E02C8"/>
    <w:rsid w:val="00200C55"/>
    <w:rsid w:val="00211009"/>
    <w:rsid w:val="0022029D"/>
    <w:rsid w:val="00225979"/>
    <w:rsid w:val="00242A7C"/>
    <w:rsid w:val="00250200"/>
    <w:rsid w:val="00263B72"/>
    <w:rsid w:val="002834BE"/>
    <w:rsid w:val="0029786E"/>
    <w:rsid w:val="002A553D"/>
    <w:rsid w:val="002B2DD4"/>
    <w:rsid w:val="002C51EF"/>
    <w:rsid w:val="002D6664"/>
    <w:rsid w:val="0032310D"/>
    <w:rsid w:val="00331130"/>
    <w:rsid w:val="00333E7B"/>
    <w:rsid w:val="00334AA6"/>
    <w:rsid w:val="003457BE"/>
    <w:rsid w:val="003C1815"/>
    <w:rsid w:val="00437994"/>
    <w:rsid w:val="0045448E"/>
    <w:rsid w:val="00482B22"/>
    <w:rsid w:val="00484931"/>
    <w:rsid w:val="00486003"/>
    <w:rsid w:val="00487DD5"/>
    <w:rsid w:val="004D07EE"/>
    <w:rsid w:val="004F5F0C"/>
    <w:rsid w:val="005074A1"/>
    <w:rsid w:val="005630B1"/>
    <w:rsid w:val="005632A7"/>
    <w:rsid w:val="00585E8A"/>
    <w:rsid w:val="005A7252"/>
    <w:rsid w:val="00620410"/>
    <w:rsid w:val="00622F7F"/>
    <w:rsid w:val="00634E88"/>
    <w:rsid w:val="00671A45"/>
    <w:rsid w:val="0068569E"/>
    <w:rsid w:val="00687ACD"/>
    <w:rsid w:val="006C2402"/>
    <w:rsid w:val="007023B7"/>
    <w:rsid w:val="0070420D"/>
    <w:rsid w:val="007471A8"/>
    <w:rsid w:val="00752CDA"/>
    <w:rsid w:val="00770AA7"/>
    <w:rsid w:val="00796DFB"/>
    <w:rsid w:val="007B402D"/>
    <w:rsid w:val="007E0E08"/>
    <w:rsid w:val="00892C30"/>
    <w:rsid w:val="008A773F"/>
    <w:rsid w:val="008B70B2"/>
    <w:rsid w:val="00933E42"/>
    <w:rsid w:val="009701AD"/>
    <w:rsid w:val="0097618E"/>
    <w:rsid w:val="00980C97"/>
    <w:rsid w:val="009856E4"/>
    <w:rsid w:val="00993EBA"/>
    <w:rsid w:val="009B59F2"/>
    <w:rsid w:val="009C37DB"/>
    <w:rsid w:val="009E43DD"/>
    <w:rsid w:val="009F30E1"/>
    <w:rsid w:val="009F7D38"/>
    <w:rsid w:val="00A1383C"/>
    <w:rsid w:val="00A44EDC"/>
    <w:rsid w:val="00A87985"/>
    <w:rsid w:val="00AD373F"/>
    <w:rsid w:val="00B0626F"/>
    <w:rsid w:val="00B364EE"/>
    <w:rsid w:val="00B37819"/>
    <w:rsid w:val="00BA08DC"/>
    <w:rsid w:val="00BA744F"/>
    <w:rsid w:val="00BD2105"/>
    <w:rsid w:val="00BF1081"/>
    <w:rsid w:val="00C41E85"/>
    <w:rsid w:val="00C43189"/>
    <w:rsid w:val="00C75279"/>
    <w:rsid w:val="00CC4EA1"/>
    <w:rsid w:val="00CD41B4"/>
    <w:rsid w:val="00CE01E1"/>
    <w:rsid w:val="00CF2AD9"/>
    <w:rsid w:val="00D01523"/>
    <w:rsid w:val="00D534BF"/>
    <w:rsid w:val="00D61744"/>
    <w:rsid w:val="00D6728A"/>
    <w:rsid w:val="00D67829"/>
    <w:rsid w:val="00D84213"/>
    <w:rsid w:val="00DA2BA8"/>
    <w:rsid w:val="00DB6202"/>
    <w:rsid w:val="00DD5A14"/>
    <w:rsid w:val="00DE3904"/>
    <w:rsid w:val="00DE6E60"/>
    <w:rsid w:val="00E07146"/>
    <w:rsid w:val="00E90FB1"/>
    <w:rsid w:val="00E933FD"/>
    <w:rsid w:val="00E95316"/>
    <w:rsid w:val="00EC13F1"/>
    <w:rsid w:val="00EC1918"/>
    <w:rsid w:val="00F1623E"/>
    <w:rsid w:val="00F16F9D"/>
    <w:rsid w:val="00F34218"/>
    <w:rsid w:val="00F3433B"/>
    <w:rsid w:val="00F463CC"/>
    <w:rsid w:val="00F52ABC"/>
    <w:rsid w:val="00F55E6C"/>
    <w:rsid w:val="00F56A0F"/>
    <w:rsid w:val="00F60345"/>
    <w:rsid w:val="00F62831"/>
    <w:rsid w:val="00F64209"/>
    <w:rsid w:val="00F760D4"/>
    <w:rsid w:val="00FE61FE"/>
    <w:rsid w:val="00FF672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653D6E"/>
  <w15:docId w15:val="{AB54E0E8-05F3-4835-B37A-C29A52537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E08"/>
    <w:pPr>
      <w:spacing w:after="160" w:line="259" w:lineRule="auto"/>
    </w:pPr>
    <w:rPr>
      <w:rFonts w:ascii="Calibri" w:eastAsia="Calibri" w:hAnsi="Calibri" w:cs="Times New Roman"/>
      <w:lang w:val="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664"/>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2D6664"/>
  </w:style>
  <w:style w:type="paragraph" w:styleId="Footer">
    <w:name w:val="footer"/>
    <w:basedOn w:val="Normal"/>
    <w:link w:val="FooterChar"/>
    <w:uiPriority w:val="99"/>
    <w:unhideWhenUsed/>
    <w:rsid w:val="002D6664"/>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2D6664"/>
  </w:style>
  <w:style w:type="paragraph" w:customStyle="1" w:styleId="mb15">
    <w:name w:val="mb15"/>
    <w:basedOn w:val="Normal"/>
    <w:rsid w:val="002D6664"/>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basedOn w:val="DefaultParagraphFont"/>
    <w:uiPriority w:val="99"/>
    <w:unhideWhenUsed/>
    <w:rsid w:val="002D6664"/>
    <w:rPr>
      <w:color w:val="0000FF"/>
      <w:u w:val="single"/>
    </w:rPr>
  </w:style>
  <w:style w:type="paragraph" w:customStyle="1" w:styleId="mb0">
    <w:name w:val="mb0"/>
    <w:basedOn w:val="Normal"/>
    <w:rsid w:val="002D6664"/>
    <w:pPr>
      <w:spacing w:before="100" w:beforeAutospacing="1" w:after="100" w:afterAutospacing="1" w:line="240" w:lineRule="auto"/>
    </w:pPr>
    <w:rPr>
      <w:rFonts w:ascii="Times New Roman" w:eastAsia="Times New Roman" w:hAnsi="Times New Roman"/>
      <w:sz w:val="24"/>
      <w:szCs w:val="24"/>
      <w:lang w:val="en-US"/>
    </w:rPr>
  </w:style>
  <w:style w:type="table" w:styleId="TableGrid">
    <w:name w:val="Table Grid"/>
    <w:basedOn w:val="TableNormal"/>
    <w:uiPriority w:val="59"/>
    <w:rsid w:val="007E0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A004C"/>
    <w:pPr>
      <w:spacing w:after="0" w:line="240" w:lineRule="auto"/>
    </w:pPr>
  </w:style>
  <w:style w:type="paragraph" w:styleId="ListParagraph">
    <w:name w:val="List Paragraph"/>
    <w:basedOn w:val="Normal"/>
    <w:uiPriority w:val="34"/>
    <w:qFormat/>
    <w:rsid w:val="007B402D"/>
    <w:pPr>
      <w:ind w:left="720"/>
      <w:contextualSpacing/>
    </w:pPr>
  </w:style>
  <w:style w:type="paragraph" w:customStyle="1" w:styleId="Default">
    <w:name w:val="Default"/>
    <w:rsid w:val="009F7D38"/>
    <w:pPr>
      <w:autoSpaceDE w:val="0"/>
      <w:autoSpaceDN w:val="0"/>
      <w:adjustRightInd w:val="0"/>
      <w:spacing w:after="0" w:line="240" w:lineRule="auto"/>
    </w:pPr>
    <w:rPr>
      <w:rFonts w:ascii="Arial" w:hAnsi="Arial" w:cs="Arial"/>
      <w:color w:val="000000"/>
      <w:sz w:val="24"/>
      <w:szCs w:val="24"/>
      <w:lang w:val="en-IN"/>
    </w:rPr>
  </w:style>
  <w:style w:type="paragraph" w:styleId="NormalWeb">
    <w:name w:val="Normal (Web)"/>
    <w:basedOn w:val="Normal"/>
    <w:uiPriority w:val="99"/>
    <w:unhideWhenUsed/>
    <w:rsid w:val="009F30E1"/>
    <w:rPr>
      <w:rFonts w:ascii="Times New Roman" w:hAnsi="Times New Roman"/>
      <w:sz w:val="24"/>
      <w:szCs w:val="24"/>
    </w:rPr>
  </w:style>
  <w:style w:type="character" w:customStyle="1" w:styleId="UnresolvedMention">
    <w:name w:val="Unresolved Mention"/>
    <w:basedOn w:val="DefaultParagraphFont"/>
    <w:uiPriority w:val="99"/>
    <w:semiHidden/>
    <w:unhideWhenUsed/>
    <w:rsid w:val="00C43189"/>
    <w:rPr>
      <w:color w:val="605E5C"/>
      <w:shd w:val="clear" w:color="auto" w:fill="E1DFDD"/>
    </w:rPr>
  </w:style>
  <w:style w:type="character" w:styleId="CommentReference">
    <w:name w:val="annotation reference"/>
    <w:basedOn w:val="DefaultParagraphFont"/>
    <w:uiPriority w:val="99"/>
    <w:semiHidden/>
    <w:unhideWhenUsed/>
    <w:rsid w:val="00151101"/>
    <w:rPr>
      <w:sz w:val="16"/>
      <w:szCs w:val="16"/>
    </w:rPr>
  </w:style>
  <w:style w:type="paragraph" w:styleId="CommentText">
    <w:name w:val="annotation text"/>
    <w:basedOn w:val="Normal"/>
    <w:link w:val="CommentTextChar"/>
    <w:uiPriority w:val="99"/>
    <w:semiHidden/>
    <w:unhideWhenUsed/>
    <w:rsid w:val="00151101"/>
    <w:pPr>
      <w:spacing w:line="240" w:lineRule="auto"/>
    </w:pPr>
    <w:rPr>
      <w:sz w:val="20"/>
      <w:szCs w:val="20"/>
    </w:rPr>
  </w:style>
  <w:style w:type="character" w:customStyle="1" w:styleId="CommentTextChar">
    <w:name w:val="Comment Text Char"/>
    <w:basedOn w:val="DefaultParagraphFont"/>
    <w:link w:val="CommentText"/>
    <w:uiPriority w:val="99"/>
    <w:semiHidden/>
    <w:rsid w:val="00151101"/>
    <w:rPr>
      <w:rFonts w:ascii="Calibri" w:eastAsia="Calibri" w:hAnsi="Calibri" w:cs="Times New Roman"/>
      <w:sz w:val="20"/>
      <w:szCs w:val="20"/>
      <w:lang w:val="en-IN"/>
    </w:rPr>
  </w:style>
  <w:style w:type="paragraph" w:styleId="CommentSubject">
    <w:name w:val="annotation subject"/>
    <w:basedOn w:val="CommentText"/>
    <w:next w:val="CommentText"/>
    <w:link w:val="CommentSubjectChar"/>
    <w:uiPriority w:val="99"/>
    <w:semiHidden/>
    <w:unhideWhenUsed/>
    <w:rsid w:val="00151101"/>
    <w:rPr>
      <w:b/>
      <w:bCs/>
    </w:rPr>
  </w:style>
  <w:style w:type="character" w:customStyle="1" w:styleId="CommentSubjectChar">
    <w:name w:val="Comment Subject Char"/>
    <w:basedOn w:val="CommentTextChar"/>
    <w:link w:val="CommentSubject"/>
    <w:uiPriority w:val="99"/>
    <w:semiHidden/>
    <w:rsid w:val="00151101"/>
    <w:rPr>
      <w:rFonts w:ascii="Calibri" w:eastAsia="Calibri" w:hAnsi="Calibri" w:cs="Times New Roman"/>
      <w:b/>
      <w:bCs/>
      <w:sz w:val="20"/>
      <w:szCs w:val="20"/>
      <w:lang w:val="en-IN"/>
    </w:rPr>
  </w:style>
  <w:style w:type="paragraph" w:styleId="BalloonText">
    <w:name w:val="Balloon Text"/>
    <w:basedOn w:val="Normal"/>
    <w:link w:val="BalloonTextChar"/>
    <w:uiPriority w:val="99"/>
    <w:semiHidden/>
    <w:unhideWhenUsed/>
    <w:rsid w:val="001511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101"/>
    <w:rPr>
      <w:rFonts w:ascii="Segoe UI" w:eastAsia="Calibri" w:hAnsi="Segoe UI" w:cs="Segoe UI"/>
      <w:sz w:val="18"/>
      <w:szCs w:val="18"/>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983438">
      <w:bodyDiv w:val="1"/>
      <w:marLeft w:val="0"/>
      <w:marRight w:val="0"/>
      <w:marTop w:val="0"/>
      <w:marBottom w:val="0"/>
      <w:divBdr>
        <w:top w:val="none" w:sz="0" w:space="0" w:color="auto"/>
        <w:left w:val="none" w:sz="0" w:space="0" w:color="auto"/>
        <w:bottom w:val="none" w:sz="0" w:space="0" w:color="auto"/>
        <w:right w:val="none" w:sz="0" w:space="0" w:color="auto"/>
      </w:divBdr>
    </w:div>
    <w:div w:id="1909340426">
      <w:bodyDiv w:val="1"/>
      <w:marLeft w:val="0"/>
      <w:marRight w:val="0"/>
      <w:marTop w:val="0"/>
      <w:marBottom w:val="0"/>
      <w:divBdr>
        <w:top w:val="none" w:sz="0" w:space="0" w:color="auto"/>
        <w:left w:val="none" w:sz="0" w:space="0" w:color="auto"/>
        <w:bottom w:val="none" w:sz="0" w:space="0" w:color="auto"/>
        <w:right w:val="none" w:sz="0" w:space="0" w:color="auto"/>
      </w:divBdr>
      <w:divsChild>
        <w:div w:id="1262253432">
          <w:marLeft w:val="0"/>
          <w:marRight w:val="0"/>
          <w:marTop w:val="0"/>
          <w:marBottom w:val="0"/>
          <w:divBdr>
            <w:top w:val="none" w:sz="0" w:space="0" w:color="auto"/>
            <w:left w:val="none" w:sz="0" w:space="0" w:color="auto"/>
            <w:bottom w:val="none" w:sz="0" w:space="0" w:color="auto"/>
            <w:right w:val="none" w:sz="0" w:space="0" w:color="auto"/>
          </w:divBdr>
        </w:div>
        <w:div w:id="696201073">
          <w:marLeft w:val="0"/>
          <w:marRight w:val="0"/>
          <w:marTop w:val="0"/>
          <w:marBottom w:val="0"/>
          <w:divBdr>
            <w:top w:val="none" w:sz="0" w:space="0" w:color="auto"/>
            <w:left w:val="none" w:sz="0" w:space="0" w:color="auto"/>
            <w:bottom w:val="none" w:sz="0" w:space="0" w:color="auto"/>
            <w:right w:val="none" w:sz="0" w:space="0" w:color="auto"/>
          </w:divBdr>
        </w:div>
        <w:div w:id="1171680844">
          <w:marLeft w:val="0"/>
          <w:marRight w:val="0"/>
          <w:marTop w:val="0"/>
          <w:marBottom w:val="0"/>
          <w:divBdr>
            <w:top w:val="none" w:sz="0" w:space="0" w:color="auto"/>
            <w:left w:val="none" w:sz="0" w:space="0" w:color="auto"/>
            <w:bottom w:val="none" w:sz="0" w:space="0" w:color="auto"/>
            <w:right w:val="none" w:sz="0" w:space="0" w:color="auto"/>
          </w:divBdr>
          <w:divsChild>
            <w:div w:id="891308169">
              <w:marLeft w:val="0"/>
              <w:marRight w:val="0"/>
              <w:marTop w:val="0"/>
              <w:marBottom w:val="0"/>
              <w:divBdr>
                <w:top w:val="none" w:sz="0" w:space="0" w:color="auto"/>
                <w:left w:val="none" w:sz="0" w:space="0" w:color="auto"/>
                <w:bottom w:val="none" w:sz="0" w:space="0" w:color="auto"/>
                <w:right w:val="none" w:sz="0" w:space="0" w:color="auto"/>
              </w:divBdr>
              <w:divsChild>
                <w:div w:id="810446870">
                  <w:marLeft w:val="0"/>
                  <w:marRight w:val="0"/>
                  <w:marTop w:val="0"/>
                  <w:marBottom w:val="0"/>
                  <w:divBdr>
                    <w:top w:val="none" w:sz="0" w:space="0" w:color="auto"/>
                    <w:left w:val="none" w:sz="0" w:space="0" w:color="auto"/>
                    <w:bottom w:val="none" w:sz="0" w:space="0" w:color="auto"/>
                    <w:right w:val="none" w:sz="0" w:space="0" w:color="auto"/>
                  </w:divBdr>
                  <w:divsChild>
                    <w:div w:id="1345285912">
                      <w:marLeft w:val="0"/>
                      <w:marRight w:val="0"/>
                      <w:marTop w:val="0"/>
                      <w:marBottom w:val="0"/>
                      <w:divBdr>
                        <w:top w:val="none" w:sz="0" w:space="0" w:color="auto"/>
                        <w:left w:val="none" w:sz="0" w:space="0" w:color="auto"/>
                        <w:bottom w:val="none" w:sz="0" w:space="0" w:color="auto"/>
                        <w:right w:val="none" w:sz="0" w:space="0" w:color="auto"/>
                      </w:divBdr>
                      <w:divsChild>
                        <w:div w:id="248513065">
                          <w:marLeft w:val="0"/>
                          <w:marRight w:val="0"/>
                          <w:marTop w:val="0"/>
                          <w:marBottom w:val="0"/>
                          <w:divBdr>
                            <w:top w:val="none" w:sz="0" w:space="0" w:color="auto"/>
                            <w:left w:val="none" w:sz="0" w:space="0" w:color="auto"/>
                            <w:bottom w:val="none" w:sz="0" w:space="0" w:color="auto"/>
                            <w:right w:val="none" w:sz="0" w:space="0" w:color="auto"/>
                          </w:divBdr>
                        </w:div>
                        <w:div w:id="1717313930">
                          <w:marLeft w:val="0"/>
                          <w:marRight w:val="0"/>
                          <w:marTop w:val="0"/>
                          <w:marBottom w:val="0"/>
                          <w:divBdr>
                            <w:top w:val="none" w:sz="0" w:space="0" w:color="auto"/>
                            <w:left w:val="none" w:sz="0" w:space="0" w:color="auto"/>
                            <w:bottom w:val="none" w:sz="0" w:space="0" w:color="auto"/>
                            <w:right w:val="none" w:sz="0" w:space="0" w:color="auto"/>
                          </w:divBdr>
                        </w:div>
                      </w:divsChild>
                    </w:div>
                    <w:div w:id="43648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4.emf"/><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14</Pages>
  <Words>2415</Words>
  <Characters>13768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44</cp:revision>
  <dcterms:created xsi:type="dcterms:W3CDTF">2026-02-18T23:48:00Z</dcterms:created>
  <dcterms:modified xsi:type="dcterms:W3CDTF">2026-02-21T16:11:00Z</dcterms:modified>
</cp:coreProperties>
</file>