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072F8" w14:textId="7D8D3028" w:rsidR="00F31F64" w:rsidRDefault="006900CC" w:rsidP="00DA3538">
      <w:pPr>
        <w:spacing w:line="276" w:lineRule="auto"/>
        <w:jc w:val="center"/>
        <w:rPr>
          <w:rFonts w:ascii="Times New Roman" w:hAnsi="Times New Roman" w:cs="Times New Roman"/>
          <w:b/>
          <w:bCs/>
          <w:sz w:val="28"/>
          <w:szCs w:val="28"/>
        </w:rPr>
      </w:pPr>
      <w:r w:rsidRPr="002F0F1D">
        <w:rPr>
          <w:rFonts w:ascii="Times New Roman" w:hAnsi="Times New Roman" w:cs="Times New Roman"/>
          <w:b/>
          <w:bCs/>
          <w:sz w:val="28"/>
          <w:szCs w:val="28"/>
        </w:rPr>
        <w:t>Financial Literacy and Its Influence on C</w:t>
      </w:r>
      <w:r w:rsidR="00AF440C" w:rsidRPr="002F0F1D">
        <w:rPr>
          <w:rFonts w:ascii="Times New Roman" w:hAnsi="Times New Roman" w:cs="Times New Roman"/>
          <w:b/>
          <w:bCs/>
          <w:sz w:val="28"/>
          <w:szCs w:val="28"/>
        </w:rPr>
        <w:t>usto</w:t>
      </w:r>
      <w:r w:rsidRPr="002F0F1D">
        <w:rPr>
          <w:rFonts w:ascii="Times New Roman" w:hAnsi="Times New Roman" w:cs="Times New Roman"/>
          <w:b/>
          <w:bCs/>
          <w:sz w:val="28"/>
          <w:szCs w:val="28"/>
        </w:rPr>
        <w:t xml:space="preserve">mers’ Online Banking </w:t>
      </w:r>
      <w:proofErr w:type="spellStart"/>
      <w:r w:rsidRPr="002F0F1D">
        <w:rPr>
          <w:rFonts w:ascii="Times New Roman" w:hAnsi="Times New Roman" w:cs="Times New Roman"/>
          <w:b/>
          <w:bCs/>
          <w:sz w:val="28"/>
          <w:szCs w:val="28"/>
        </w:rPr>
        <w:t>Behaviour</w:t>
      </w:r>
      <w:proofErr w:type="spellEnd"/>
    </w:p>
    <w:p w14:paraId="71AABF18" w14:textId="77777777" w:rsidR="00D96C9F" w:rsidRDefault="00D96C9F" w:rsidP="00DA3538">
      <w:pPr>
        <w:spacing w:line="276" w:lineRule="auto"/>
        <w:jc w:val="center"/>
        <w:rPr>
          <w:rFonts w:ascii="Times New Roman" w:hAnsi="Times New Roman" w:cs="Times New Roman"/>
          <w:b/>
          <w:bCs/>
          <w:sz w:val="28"/>
          <w:szCs w:val="28"/>
        </w:rPr>
      </w:pPr>
    </w:p>
    <w:p w14:paraId="5B369A6E" w14:textId="77777777" w:rsidR="00D96C9F" w:rsidRPr="006242DD" w:rsidRDefault="00D96C9F" w:rsidP="00DA3538">
      <w:pPr>
        <w:spacing w:after="0" w:line="276" w:lineRule="auto"/>
        <w:jc w:val="center"/>
        <w:rPr>
          <w:rFonts w:ascii="Times New Roman" w:hAnsi="Times New Roman" w:cs="Times New Roman"/>
          <w:b/>
          <w:bCs/>
          <w:sz w:val="20"/>
          <w:szCs w:val="20"/>
        </w:rPr>
      </w:pPr>
      <w:bookmarkStart w:id="0" w:name="_GoBack"/>
      <w:bookmarkEnd w:id="0"/>
    </w:p>
    <w:p w14:paraId="4B4E2513" w14:textId="7DA0FB89" w:rsidR="00EF580E" w:rsidRPr="00FA161E" w:rsidRDefault="00EF580E" w:rsidP="00DA3538">
      <w:p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Abstract</w:t>
      </w:r>
    </w:p>
    <w:p w14:paraId="6358155F" w14:textId="3A8434EF" w:rsidR="00741958" w:rsidRPr="00FA161E" w:rsidRDefault="00741958"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With the rapid digitization of financial services of the banks, financial literacy has become critical for individuals to access and benefit from online banking platforms, therefore this study explored the impact of financial literacy on c</w:t>
      </w:r>
      <w:r w:rsidR="002F0F1D">
        <w:rPr>
          <w:rFonts w:ascii="Times New Roman" w:hAnsi="Times New Roman" w:cs="Times New Roman"/>
          <w:sz w:val="24"/>
          <w:szCs w:val="24"/>
        </w:rPr>
        <w:t>ustome</w:t>
      </w:r>
      <w:r w:rsidRPr="00FA161E">
        <w:rPr>
          <w:rFonts w:ascii="Times New Roman" w:hAnsi="Times New Roman" w:cs="Times New Roman"/>
          <w:sz w:val="24"/>
          <w:szCs w:val="24"/>
        </w:rPr>
        <w:t xml:space="preserve">rs' online banking behavior, focusing on the </w:t>
      </w:r>
      <w:proofErr w:type="spellStart"/>
      <w:r w:rsidRPr="00FA161E">
        <w:rPr>
          <w:rFonts w:ascii="Times New Roman" w:hAnsi="Times New Roman" w:cs="Times New Roman"/>
          <w:sz w:val="24"/>
          <w:szCs w:val="24"/>
        </w:rPr>
        <w:t>Balangoda</w:t>
      </w:r>
      <w:proofErr w:type="spellEnd"/>
      <w:r w:rsidRPr="00FA161E">
        <w:rPr>
          <w:rFonts w:ascii="Times New Roman" w:hAnsi="Times New Roman" w:cs="Times New Roman"/>
          <w:sz w:val="24"/>
          <w:szCs w:val="24"/>
        </w:rPr>
        <w:t xml:space="preserve"> Divisional Secretariat Division in Sri Lanka. A sample of 382 bank customers was selected using simple random sampling, and data </w:t>
      </w:r>
      <w:r w:rsidR="00122232" w:rsidRPr="00FA161E">
        <w:rPr>
          <w:rFonts w:ascii="Times New Roman" w:hAnsi="Times New Roman" w:cs="Times New Roman"/>
          <w:sz w:val="24"/>
          <w:szCs w:val="24"/>
        </w:rPr>
        <w:t>was</w:t>
      </w:r>
      <w:r w:rsidRPr="00FA161E">
        <w:rPr>
          <w:rFonts w:ascii="Times New Roman" w:hAnsi="Times New Roman" w:cs="Times New Roman"/>
          <w:sz w:val="24"/>
          <w:szCs w:val="24"/>
        </w:rPr>
        <w:t xml:space="preserve"> gathered through structured questionnaires and interviews. Analysis using Multiple Linear Regression and Binary Logistic Regression models through IBM SPSS 23 revealed that financial knowledge, attitudes, and behavior positively influence online banking behavior, also financial literacy increases, customers are more likely to engage with online banking. Therefore, this study brings out the essential role of financial literacy in encouraging online banking facilities and the essential of targeted educational programs by banks to increase </w:t>
      </w:r>
      <w:r w:rsidR="002F0F1D" w:rsidRPr="00FA161E">
        <w:rPr>
          <w:rFonts w:ascii="Times New Roman" w:hAnsi="Times New Roman" w:cs="Times New Roman"/>
          <w:sz w:val="24"/>
          <w:szCs w:val="24"/>
        </w:rPr>
        <w:t>c</w:t>
      </w:r>
      <w:r w:rsidR="002F0F1D">
        <w:rPr>
          <w:rFonts w:ascii="Times New Roman" w:hAnsi="Times New Roman" w:cs="Times New Roman"/>
          <w:sz w:val="24"/>
          <w:szCs w:val="24"/>
        </w:rPr>
        <w:t>ustome</w:t>
      </w:r>
      <w:r w:rsidR="002F0F1D" w:rsidRPr="00FA161E">
        <w:rPr>
          <w:rFonts w:ascii="Times New Roman" w:hAnsi="Times New Roman" w:cs="Times New Roman"/>
          <w:sz w:val="24"/>
          <w:szCs w:val="24"/>
        </w:rPr>
        <w:t>rs'</w:t>
      </w:r>
      <w:r w:rsidRPr="00FA161E">
        <w:rPr>
          <w:rFonts w:ascii="Times New Roman" w:hAnsi="Times New Roman" w:cs="Times New Roman"/>
          <w:sz w:val="24"/>
          <w:szCs w:val="24"/>
        </w:rPr>
        <w:t xml:space="preserve"> awareness and comfort with online banking Facilities.</w:t>
      </w:r>
    </w:p>
    <w:p w14:paraId="62A863A2" w14:textId="2A3DD0DC" w:rsidR="004D1FA3" w:rsidRPr="00FA161E" w:rsidRDefault="004D1FA3"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Keywords: </w:t>
      </w:r>
      <w:r w:rsidR="00586F0F" w:rsidRPr="00FA161E">
        <w:rPr>
          <w:rFonts w:ascii="Times New Roman" w:hAnsi="Times New Roman" w:cs="Times New Roman"/>
          <w:sz w:val="24"/>
          <w:szCs w:val="24"/>
        </w:rPr>
        <w:t xml:space="preserve">Financial attitudes, Financial </w:t>
      </w:r>
      <w:proofErr w:type="spellStart"/>
      <w:r w:rsidR="00586F0F" w:rsidRPr="00FA161E">
        <w:rPr>
          <w:rFonts w:ascii="Times New Roman" w:hAnsi="Times New Roman" w:cs="Times New Roman"/>
          <w:sz w:val="24"/>
          <w:szCs w:val="24"/>
        </w:rPr>
        <w:t>behaviour</w:t>
      </w:r>
      <w:proofErr w:type="spellEnd"/>
      <w:r w:rsidR="00586F0F" w:rsidRPr="00FA161E">
        <w:rPr>
          <w:rFonts w:ascii="Times New Roman" w:hAnsi="Times New Roman" w:cs="Times New Roman"/>
          <w:sz w:val="24"/>
          <w:szCs w:val="24"/>
        </w:rPr>
        <w:t xml:space="preserve">, </w:t>
      </w:r>
      <w:r w:rsidRPr="00FA161E">
        <w:rPr>
          <w:rFonts w:ascii="Times New Roman" w:hAnsi="Times New Roman" w:cs="Times New Roman"/>
          <w:sz w:val="24"/>
          <w:szCs w:val="24"/>
        </w:rPr>
        <w:t xml:space="preserve">Financial </w:t>
      </w:r>
      <w:r w:rsidR="00C42B82" w:rsidRPr="00FA161E">
        <w:rPr>
          <w:rFonts w:ascii="Times New Roman" w:hAnsi="Times New Roman" w:cs="Times New Roman"/>
          <w:sz w:val="24"/>
          <w:szCs w:val="24"/>
        </w:rPr>
        <w:t>l</w:t>
      </w:r>
      <w:r w:rsidRPr="00FA161E">
        <w:rPr>
          <w:rFonts w:ascii="Times New Roman" w:hAnsi="Times New Roman" w:cs="Times New Roman"/>
          <w:sz w:val="24"/>
          <w:szCs w:val="24"/>
        </w:rPr>
        <w:t xml:space="preserve">iteracy, </w:t>
      </w:r>
      <w:r w:rsidR="00C42B82" w:rsidRPr="00FA161E">
        <w:rPr>
          <w:rFonts w:ascii="Times New Roman" w:hAnsi="Times New Roman" w:cs="Times New Roman"/>
          <w:sz w:val="24"/>
          <w:szCs w:val="24"/>
        </w:rPr>
        <w:t>F</w:t>
      </w:r>
      <w:r w:rsidR="00586F0F" w:rsidRPr="00FA161E">
        <w:rPr>
          <w:rFonts w:ascii="Times New Roman" w:hAnsi="Times New Roman" w:cs="Times New Roman"/>
          <w:sz w:val="24"/>
          <w:szCs w:val="24"/>
        </w:rPr>
        <w:t xml:space="preserve">inancial knowledge, </w:t>
      </w:r>
      <w:r w:rsidRPr="00FA161E">
        <w:rPr>
          <w:rFonts w:ascii="Times New Roman" w:hAnsi="Times New Roman" w:cs="Times New Roman"/>
          <w:sz w:val="24"/>
          <w:szCs w:val="24"/>
        </w:rPr>
        <w:t xml:space="preserve">Online </w:t>
      </w:r>
      <w:r w:rsidR="00C42B82" w:rsidRPr="00FA161E">
        <w:rPr>
          <w:rFonts w:ascii="Times New Roman" w:hAnsi="Times New Roman" w:cs="Times New Roman"/>
          <w:sz w:val="24"/>
          <w:szCs w:val="24"/>
        </w:rPr>
        <w:t>b</w:t>
      </w:r>
      <w:r w:rsidRPr="00FA161E">
        <w:rPr>
          <w:rFonts w:ascii="Times New Roman" w:hAnsi="Times New Roman" w:cs="Times New Roman"/>
          <w:sz w:val="24"/>
          <w:szCs w:val="24"/>
        </w:rPr>
        <w:t xml:space="preserve">anking </w:t>
      </w:r>
      <w:proofErr w:type="spellStart"/>
      <w:r w:rsidR="00C42B82" w:rsidRPr="00FA161E">
        <w:rPr>
          <w:rFonts w:ascii="Times New Roman" w:hAnsi="Times New Roman" w:cs="Times New Roman"/>
          <w:sz w:val="24"/>
          <w:szCs w:val="24"/>
        </w:rPr>
        <w:t>b</w:t>
      </w:r>
      <w:r w:rsidRPr="00FA161E">
        <w:rPr>
          <w:rFonts w:ascii="Times New Roman" w:hAnsi="Times New Roman" w:cs="Times New Roman"/>
          <w:sz w:val="24"/>
          <w:szCs w:val="24"/>
        </w:rPr>
        <w:t>ehaviour</w:t>
      </w:r>
      <w:proofErr w:type="spellEnd"/>
      <w:r w:rsidRPr="00FA161E">
        <w:rPr>
          <w:rFonts w:ascii="Times New Roman" w:hAnsi="Times New Roman" w:cs="Times New Roman"/>
          <w:sz w:val="24"/>
          <w:szCs w:val="24"/>
        </w:rPr>
        <w:t xml:space="preserve">, </w:t>
      </w:r>
    </w:p>
    <w:p w14:paraId="3074D358" w14:textId="77777777" w:rsidR="00EF580E" w:rsidRPr="00FA161E" w:rsidRDefault="00EF580E" w:rsidP="00DA3538">
      <w:pPr>
        <w:spacing w:line="276" w:lineRule="auto"/>
        <w:jc w:val="both"/>
        <w:rPr>
          <w:rFonts w:ascii="Times New Roman" w:hAnsi="Times New Roman" w:cs="Times New Roman"/>
          <w:sz w:val="24"/>
          <w:szCs w:val="24"/>
        </w:rPr>
      </w:pPr>
    </w:p>
    <w:p w14:paraId="61B76803" w14:textId="391E0E86" w:rsidR="00F31F64" w:rsidRPr="00FA161E" w:rsidRDefault="00F31F64" w:rsidP="00DA3538">
      <w:pPr>
        <w:pStyle w:val="ListParagraph"/>
        <w:numPr>
          <w:ilvl w:val="0"/>
          <w:numId w:val="2"/>
        </w:num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Introduction</w:t>
      </w:r>
    </w:p>
    <w:p w14:paraId="2399A32A" w14:textId="44C0EF73" w:rsidR="00F31F64" w:rsidRPr="00FA161E" w:rsidRDefault="00F31F64"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Financial literacy plays a </w:t>
      </w:r>
      <w:r w:rsidR="008D40C9" w:rsidRPr="00FA161E">
        <w:rPr>
          <w:rFonts w:ascii="Times New Roman" w:hAnsi="Times New Roman" w:cs="Times New Roman"/>
          <w:sz w:val="24"/>
          <w:szCs w:val="24"/>
        </w:rPr>
        <w:t>vital</w:t>
      </w:r>
      <w:r w:rsidRPr="00FA161E">
        <w:rPr>
          <w:rFonts w:ascii="Times New Roman" w:hAnsi="Times New Roman" w:cs="Times New Roman"/>
          <w:sz w:val="24"/>
          <w:szCs w:val="24"/>
        </w:rPr>
        <w:t xml:space="preserve"> role in </w:t>
      </w:r>
      <w:r w:rsidR="008D40C9" w:rsidRPr="00FA161E">
        <w:rPr>
          <w:rFonts w:ascii="Times New Roman" w:hAnsi="Times New Roman" w:cs="Times New Roman"/>
          <w:sz w:val="24"/>
          <w:szCs w:val="24"/>
        </w:rPr>
        <w:t>preparing</w:t>
      </w:r>
      <w:r w:rsidRPr="00FA161E">
        <w:rPr>
          <w:rFonts w:ascii="Times New Roman" w:hAnsi="Times New Roman" w:cs="Times New Roman"/>
          <w:sz w:val="24"/>
          <w:szCs w:val="24"/>
        </w:rPr>
        <w:t xml:space="preserve"> individuals to manage their financial activities effectively, particularly in a rapidly digitalizing economy. As financial services increasingly transition to online platforms, </w:t>
      </w:r>
      <w:r w:rsidR="002F0F1D" w:rsidRPr="00FA161E">
        <w:rPr>
          <w:rFonts w:ascii="Times New Roman" w:hAnsi="Times New Roman" w:cs="Times New Roman"/>
          <w:sz w:val="24"/>
          <w:szCs w:val="24"/>
        </w:rPr>
        <w:t>c</w:t>
      </w:r>
      <w:r w:rsidR="002F0F1D">
        <w:rPr>
          <w:rFonts w:ascii="Times New Roman" w:hAnsi="Times New Roman" w:cs="Times New Roman"/>
          <w:sz w:val="24"/>
          <w:szCs w:val="24"/>
        </w:rPr>
        <w:t>ustome</w:t>
      </w:r>
      <w:r w:rsidR="002F0F1D" w:rsidRPr="00FA161E">
        <w:rPr>
          <w:rFonts w:ascii="Times New Roman" w:hAnsi="Times New Roman" w:cs="Times New Roman"/>
          <w:sz w:val="24"/>
          <w:szCs w:val="24"/>
        </w:rPr>
        <w:t>rs</w:t>
      </w:r>
      <w:r w:rsidRPr="00FA161E">
        <w:rPr>
          <w:rFonts w:ascii="Times New Roman" w:hAnsi="Times New Roman" w:cs="Times New Roman"/>
          <w:sz w:val="24"/>
          <w:szCs w:val="24"/>
        </w:rPr>
        <w:t xml:space="preserve"> need both financial </w:t>
      </w:r>
      <w:r w:rsidR="00F62E48" w:rsidRPr="00FA161E">
        <w:rPr>
          <w:rFonts w:ascii="Times New Roman" w:hAnsi="Times New Roman" w:cs="Times New Roman"/>
          <w:sz w:val="24"/>
          <w:szCs w:val="24"/>
        </w:rPr>
        <w:t>literacy</w:t>
      </w:r>
      <w:r w:rsidRPr="00FA161E">
        <w:rPr>
          <w:rFonts w:ascii="Times New Roman" w:hAnsi="Times New Roman" w:cs="Times New Roman"/>
          <w:sz w:val="24"/>
          <w:szCs w:val="24"/>
        </w:rPr>
        <w:t xml:space="preserve"> and digital competencies to benefit from these services. The </w:t>
      </w:r>
      <w:r w:rsidR="00F62E48" w:rsidRPr="00FA161E">
        <w:rPr>
          <w:rFonts w:ascii="Times New Roman" w:hAnsi="Times New Roman" w:cs="Times New Roman"/>
          <w:sz w:val="24"/>
          <w:szCs w:val="24"/>
        </w:rPr>
        <w:t>Organization</w:t>
      </w:r>
      <w:r w:rsidRPr="00FA161E">
        <w:rPr>
          <w:rFonts w:ascii="Times New Roman" w:hAnsi="Times New Roman" w:cs="Times New Roman"/>
          <w:sz w:val="24"/>
          <w:szCs w:val="24"/>
        </w:rPr>
        <w:t xml:space="preserve"> for Economic Co-operation and Development (OECD) defines financial literacy as a combination of awareness, knowledge, skill, and behavior necessary to make sound financial decisions (OECD,</w:t>
      </w:r>
      <w:r w:rsidR="00566B4B" w:rsidRPr="00FA161E">
        <w:rPr>
          <w:rFonts w:ascii="Times New Roman" w:hAnsi="Times New Roman" w:cs="Times New Roman"/>
          <w:sz w:val="24"/>
          <w:szCs w:val="24"/>
        </w:rPr>
        <w:t xml:space="preserve"> </w:t>
      </w:r>
      <w:r w:rsidRPr="00FA161E">
        <w:rPr>
          <w:rFonts w:ascii="Times New Roman" w:hAnsi="Times New Roman" w:cs="Times New Roman"/>
          <w:sz w:val="24"/>
          <w:szCs w:val="24"/>
        </w:rPr>
        <w:t>2018)​</w:t>
      </w:r>
      <w:r w:rsidR="004D54F5" w:rsidRPr="00FA161E">
        <w:rPr>
          <w:rFonts w:ascii="Times New Roman" w:hAnsi="Times New Roman" w:cs="Times New Roman"/>
          <w:sz w:val="24"/>
          <w:szCs w:val="24"/>
        </w:rPr>
        <w:t>.</w:t>
      </w:r>
      <w:r w:rsidRPr="00FA161E">
        <w:rPr>
          <w:rFonts w:ascii="Times New Roman" w:hAnsi="Times New Roman" w:cs="Times New Roman"/>
          <w:sz w:val="24"/>
          <w:szCs w:val="24"/>
        </w:rPr>
        <w:t xml:space="preserve"> Studies </w:t>
      </w:r>
      <w:r w:rsidR="00F62E48" w:rsidRPr="00FA161E">
        <w:rPr>
          <w:rFonts w:ascii="Times New Roman" w:hAnsi="Times New Roman" w:cs="Times New Roman"/>
          <w:sz w:val="24"/>
          <w:szCs w:val="24"/>
        </w:rPr>
        <w:t>indicate</w:t>
      </w:r>
      <w:r w:rsidRPr="00FA161E">
        <w:rPr>
          <w:rFonts w:ascii="Times New Roman" w:hAnsi="Times New Roman" w:cs="Times New Roman"/>
          <w:sz w:val="24"/>
          <w:szCs w:val="24"/>
        </w:rPr>
        <w:t xml:space="preserve"> that higher levels of financial literacy positively influence the </w:t>
      </w:r>
      <w:r w:rsidR="00F62E48" w:rsidRPr="00FA161E">
        <w:rPr>
          <w:rFonts w:ascii="Times New Roman" w:hAnsi="Times New Roman" w:cs="Times New Roman"/>
          <w:sz w:val="24"/>
          <w:szCs w:val="24"/>
        </w:rPr>
        <w:t>usage</w:t>
      </w:r>
      <w:r w:rsidRPr="00FA161E">
        <w:rPr>
          <w:rFonts w:ascii="Times New Roman" w:hAnsi="Times New Roman" w:cs="Times New Roman"/>
          <w:sz w:val="24"/>
          <w:szCs w:val="24"/>
        </w:rPr>
        <w:t xml:space="preserve"> of online banking </w:t>
      </w:r>
      <w:r w:rsidR="00B205BE" w:rsidRPr="00FA161E">
        <w:rPr>
          <w:rFonts w:ascii="Times New Roman" w:hAnsi="Times New Roman" w:cs="Times New Roman"/>
          <w:sz w:val="24"/>
          <w:szCs w:val="24"/>
        </w:rPr>
        <w:t xml:space="preserve">facilities </w:t>
      </w:r>
      <w:r w:rsidRPr="00FA161E">
        <w:rPr>
          <w:rFonts w:ascii="Times New Roman" w:hAnsi="Times New Roman" w:cs="Times New Roman"/>
          <w:sz w:val="24"/>
          <w:szCs w:val="24"/>
        </w:rPr>
        <w:t>(</w:t>
      </w:r>
      <w:proofErr w:type="spellStart"/>
      <w:r w:rsidRPr="00FA161E">
        <w:rPr>
          <w:rFonts w:ascii="Times New Roman" w:hAnsi="Times New Roman" w:cs="Times New Roman"/>
          <w:sz w:val="24"/>
          <w:szCs w:val="24"/>
        </w:rPr>
        <w:t>Andreou</w:t>
      </w:r>
      <w:proofErr w:type="spellEnd"/>
      <w:r w:rsidRPr="00FA161E">
        <w:rPr>
          <w:rFonts w:ascii="Times New Roman" w:hAnsi="Times New Roman" w:cs="Times New Roman"/>
          <w:sz w:val="24"/>
          <w:szCs w:val="24"/>
        </w:rPr>
        <w:t xml:space="preserve"> &amp; </w:t>
      </w:r>
      <w:proofErr w:type="spellStart"/>
      <w:r w:rsidRPr="00FA161E">
        <w:rPr>
          <w:rFonts w:ascii="Times New Roman" w:hAnsi="Times New Roman" w:cs="Times New Roman"/>
          <w:sz w:val="24"/>
          <w:szCs w:val="24"/>
        </w:rPr>
        <w:t>Anyfantaki</w:t>
      </w:r>
      <w:proofErr w:type="spellEnd"/>
      <w:r w:rsidRPr="00FA161E">
        <w:rPr>
          <w:rFonts w:ascii="Times New Roman" w:hAnsi="Times New Roman" w:cs="Times New Roman"/>
          <w:sz w:val="24"/>
          <w:szCs w:val="24"/>
        </w:rPr>
        <w:t>, 20</w:t>
      </w:r>
      <w:r w:rsidR="00EF305C" w:rsidRPr="00FA161E">
        <w:rPr>
          <w:rFonts w:ascii="Times New Roman" w:hAnsi="Times New Roman" w:cs="Times New Roman"/>
          <w:sz w:val="24"/>
          <w:szCs w:val="24"/>
        </w:rPr>
        <w:t>20</w:t>
      </w:r>
      <w:r w:rsidR="004D54F5" w:rsidRPr="00FA161E">
        <w:rPr>
          <w:rFonts w:ascii="Times New Roman" w:hAnsi="Times New Roman" w:cs="Times New Roman"/>
          <w:sz w:val="24"/>
          <w:szCs w:val="24"/>
        </w:rPr>
        <w:t xml:space="preserve">). </w:t>
      </w:r>
      <w:r w:rsidRPr="00FA161E">
        <w:rPr>
          <w:rFonts w:ascii="Times New Roman" w:hAnsi="Times New Roman" w:cs="Times New Roman"/>
          <w:sz w:val="24"/>
          <w:szCs w:val="24"/>
        </w:rPr>
        <w:t xml:space="preserve">However, in many developing economies, including Sri Lanka, digital banking adoption remains limited despite the growing accessibility of internet-enabled devices and mobile phones (Shaikh &amp; </w:t>
      </w:r>
      <w:proofErr w:type="spellStart"/>
      <w:r w:rsidRPr="00FA161E">
        <w:rPr>
          <w:rFonts w:ascii="Times New Roman" w:hAnsi="Times New Roman" w:cs="Times New Roman"/>
          <w:sz w:val="24"/>
          <w:szCs w:val="24"/>
        </w:rPr>
        <w:t>Karjaluoto</w:t>
      </w:r>
      <w:proofErr w:type="spellEnd"/>
      <w:r w:rsidRPr="00FA161E">
        <w:rPr>
          <w:rFonts w:ascii="Times New Roman" w:hAnsi="Times New Roman" w:cs="Times New Roman"/>
          <w:sz w:val="24"/>
          <w:szCs w:val="24"/>
        </w:rPr>
        <w:t>, 2015</w:t>
      </w:r>
      <w:r w:rsidR="004D54F5" w:rsidRPr="00FA161E">
        <w:rPr>
          <w:rFonts w:ascii="Times New Roman" w:hAnsi="Times New Roman" w:cs="Times New Roman"/>
          <w:sz w:val="24"/>
          <w:szCs w:val="24"/>
        </w:rPr>
        <w:t>).</w:t>
      </w:r>
    </w:p>
    <w:p w14:paraId="1F40FEF3" w14:textId="675BCB37" w:rsidR="007C4924" w:rsidRPr="00FA161E" w:rsidRDefault="007C4924"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According to SNS internal research, the online banking market size is estimated to be USD 18.94 billion in 2022. It has been growing at a healthy CAGR of 12.1% over the forecast period of 2023-2030. According to this report, it is expected to reach 47.24 billion dollars by 2030 (Yugandhara,2023).</w:t>
      </w:r>
      <w:r w:rsidR="00A008C8">
        <w:rPr>
          <w:rFonts w:ascii="Times New Roman" w:hAnsi="Times New Roman" w:cs="Times New Roman"/>
          <w:sz w:val="24"/>
          <w:szCs w:val="24"/>
        </w:rPr>
        <w:t xml:space="preserve"> </w:t>
      </w:r>
      <w:r w:rsidR="0046104F">
        <w:rPr>
          <w:rFonts w:ascii="Times New Roman" w:hAnsi="Times New Roman" w:cs="Times New Roman"/>
          <w:sz w:val="24"/>
          <w:szCs w:val="24"/>
        </w:rPr>
        <w:t xml:space="preserve"> </w:t>
      </w:r>
      <w:r w:rsidR="00A008C8">
        <w:rPr>
          <w:rFonts w:ascii="Times New Roman" w:hAnsi="Times New Roman" w:cs="Times New Roman"/>
          <w:sz w:val="24"/>
          <w:szCs w:val="24"/>
        </w:rPr>
        <w:t xml:space="preserve">Also, </w:t>
      </w:r>
      <w:r w:rsidRPr="00FA161E">
        <w:rPr>
          <w:rFonts w:ascii="Times New Roman" w:hAnsi="Times New Roman" w:cs="Times New Roman"/>
          <w:sz w:val="24"/>
          <w:szCs w:val="24"/>
        </w:rPr>
        <w:t xml:space="preserve">the </w:t>
      </w:r>
      <w:proofErr w:type="spellStart"/>
      <w:r w:rsidRPr="00FA161E">
        <w:rPr>
          <w:rFonts w:ascii="Times New Roman" w:hAnsi="Times New Roman" w:cs="Times New Roman"/>
          <w:sz w:val="24"/>
          <w:szCs w:val="24"/>
        </w:rPr>
        <w:t>Gitnux</w:t>
      </w:r>
      <w:proofErr w:type="spellEnd"/>
      <w:r w:rsidRPr="00FA161E">
        <w:rPr>
          <w:rFonts w:ascii="Times New Roman" w:hAnsi="Times New Roman" w:cs="Times New Roman"/>
          <w:sz w:val="24"/>
          <w:szCs w:val="24"/>
        </w:rPr>
        <w:t xml:space="preserve"> Marketdata Report 2024, it has been identified that there is a significant difference between different age groups when it comes to the use of online banking, even if the world is considered as a whole. It is 48.5% baby boomers and 80% millennials.</w:t>
      </w:r>
    </w:p>
    <w:p w14:paraId="1B81639B" w14:textId="77777777" w:rsidR="007C4924" w:rsidRPr="00FA161E" w:rsidRDefault="007C4924"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lastRenderedPageBreak/>
        <w:t>When considering Asia, online banking is the most popular banking method in Asia, and it is reported that in 2022, more than 805 million users were gathered around it. Also, considering Norway, it is reported that more than 96% of people used online banking in 2022, 2023. In the context of America, in 2010 only a minority of 36% of Americans used online banking, and by 2020 it will be only approximately 60%. Also, considering North America, its online banking usage is around 74%.</w:t>
      </w:r>
    </w:p>
    <w:p w14:paraId="4DD6F50B" w14:textId="6702634C" w:rsidR="007C4924" w:rsidRPr="00FA161E" w:rsidRDefault="007C4924"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According to </w:t>
      </w:r>
      <w:proofErr w:type="spellStart"/>
      <w:r w:rsidRPr="00FA161E">
        <w:rPr>
          <w:rFonts w:ascii="Times New Roman" w:hAnsi="Times New Roman" w:cs="Times New Roman"/>
          <w:sz w:val="24"/>
          <w:szCs w:val="24"/>
        </w:rPr>
        <w:t>Gitnux</w:t>
      </w:r>
      <w:proofErr w:type="spellEnd"/>
      <w:r w:rsidRPr="00FA161E">
        <w:rPr>
          <w:rFonts w:ascii="Times New Roman" w:hAnsi="Times New Roman" w:cs="Times New Roman"/>
          <w:sz w:val="24"/>
          <w:szCs w:val="24"/>
        </w:rPr>
        <w:t xml:space="preserve"> Marketdata Report 2024, the global online banking market is forecast to reach $20.5 billion by 2026. It has been recognized that technological development has a strong impact on people's literacy and especially financial literacy.</w:t>
      </w:r>
    </w:p>
    <w:p w14:paraId="0D929617" w14:textId="5229EA0C" w:rsidR="00F31F64" w:rsidRPr="00FA161E" w:rsidRDefault="00F31F64"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Online banking simplifies financial transactions, offering convenience, cost savings, and broader service accessibility (Verma &amp; Tanwar, 2021)​</w:t>
      </w:r>
      <w:r w:rsidR="004D54F5" w:rsidRPr="00FA161E">
        <w:rPr>
          <w:rFonts w:ascii="Times New Roman" w:hAnsi="Times New Roman" w:cs="Times New Roman"/>
          <w:sz w:val="24"/>
          <w:szCs w:val="24"/>
        </w:rPr>
        <w:t>.</w:t>
      </w:r>
      <w:r w:rsidRPr="00FA161E">
        <w:rPr>
          <w:rFonts w:ascii="Times New Roman" w:hAnsi="Times New Roman" w:cs="Times New Roman"/>
          <w:sz w:val="24"/>
          <w:szCs w:val="24"/>
        </w:rPr>
        <w:t xml:space="preserve"> However, despite the advantages and the increasing availability of internet facilities</w:t>
      </w:r>
      <w:r w:rsidR="004D54F5" w:rsidRPr="00FA161E">
        <w:rPr>
          <w:rFonts w:ascii="Times New Roman" w:hAnsi="Times New Roman" w:cs="Times New Roman"/>
          <w:sz w:val="24"/>
          <w:szCs w:val="24"/>
        </w:rPr>
        <w:t xml:space="preserve"> </w:t>
      </w:r>
      <w:r w:rsidRPr="00FA161E">
        <w:rPr>
          <w:rFonts w:ascii="Times New Roman" w:hAnsi="Times New Roman" w:cs="Times New Roman"/>
          <w:sz w:val="24"/>
          <w:szCs w:val="24"/>
        </w:rPr>
        <w:t>used by 34.5% of Sri Lanka’s population</w:t>
      </w:r>
      <w:r w:rsidR="004D54F5" w:rsidRPr="00FA161E">
        <w:rPr>
          <w:rFonts w:ascii="Times New Roman" w:hAnsi="Times New Roman" w:cs="Times New Roman"/>
          <w:sz w:val="24"/>
          <w:szCs w:val="24"/>
        </w:rPr>
        <w:t xml:space="preserve"> </w:t>
      </w:r>
      <w:r w:rsidRPr="00FA161E">
        <w:rPr>
          <w:rFonts w:ascii="Times New Roman" w:hAnsi="Times New Roman" w:cs="Times New Roman"/>
          <w:sz w:val="24"/>
          <w:szCs w:val="24"/>
        </w:rPr>
        <w:t>adoption of online banking services remains low, with only 1% of bank customers using these platforms (Mano et al., 2020</w:t>
      </w:r>
      <w:r w:rsidR="004D54F5" w:rsidRPr="00FA161E">
        <w:rPr>
          <w:rFonts w:ascii="Times New Roman" w:hAnsi="Times New Roman" w:cs="Times New Roman"/>
          <w:sz w:val="24"/>
          <w:szCs w:val="24"/>
        </w:rPr>
        <w:t xml:space="preserve">). </w:t>
      </w:r>
      <w:r w:rsidRPr="00FA161E">
        <w:rPr>
          <w:rFonts w:ascii="Times New Roman" w:hAnsi="Times New Roman" w:cs="Times New Roman"/>
          <w:sz w:val="24"/>
          <w:szCs w:val="24"/>
        </w:rPr>
        <w:t>This is surprising given the rising internet penetration and access to mobile devices, with 70.9% of users accessing the internet through mobile phones (</w:t>
      </w:r>
      <w:bookmarkStart w:id="1" w:name="_Hlk186452206"/>
      <w:r w:rsidRPr="00FA161E">
        <w:rPr>
          <w:rFonts w:ascii="Times New Roman" w:hAnsi="Times New Roman" w:cs="Times New Roman"/>
          <w:sz w:val="24"/>
          <w:szCs w:val="24"/>
        </w:rPr>
        <w:t>Central Bank Annual Report, 2018</w:t>
      </w:r>
      <w:bookmarkEnd w:id="1"/>
      <w:r w:rsidR="004D54F5" w:rsidRPr="00FA161E">
        <w:rPr>
          <w:rFonts w:ascii="Times New Roman" w:hAnsi="Times New Roman" w:cs="Times New Roman"/>
          <w:sz w:val="24"/>
          <w:szCs w:val="24"/>
        </w:rPr>
        <w:t>).</w:t>
      </w:r>
    </w:p>
    <w:p w14:paraId="20A5D0D2" w14:textId="014D924A" w:rsidR="00F31F64" w:rsidRPr="00FA161E" w:rsidRDefault="00F31F64"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Moreover, the financial literacy rate in Sri Lanka was recorded </w:t>
      </w:r>
      <w:r w:rsidR="004D54F5" w:rsidRPr="00FA161E">
        <w:rPr>
          <w:rFonts w:ascii="Times New Roman" w:hAnsi="Times New Roman" w:cs="Times New Roman"/>
          <w:sz w:val="24"/>
          <w:szCs w:val="24"/>
        </w:rPr>
        <w:t>the female financial literacy rate 55.2% and the male literacy rate is 61.1%. (Financial literacy survey Sri Lanka, 2021).</w:t>
      </w:r>
      <w:r w:rsidR="00423AC5" w:rsidRPr="00FA161E">
        <w:rPr>
          <w:rFonts w:ascii="Times New Roman" w:hAnsi="Times New Roman" w:cs="Times New Roman"/>
          <w:sz w:val="24"/>
          <w:szCs w:val="24"/>
        </w:rPr>
        <w:t xml:space="preserve"> </w:t>
      </w:r>
      <w:r w:rsidRPr="00FA161E">
        <w:rPr>
          <w:rFonts w:ascii="Times New Roman" w:hAnsi="Times New Roman" w:cs="Times New Roman"/>
          <w:sz w:val="24"/>
          <w:szCs w:val="24"/>
        </w:rPr>
        <w:t>Although individuals aged 15–34 exhibit higher general literacy levels, their use of online banking services is notably low (Mano et al., 2020</w:t>
      </w:r>
      <w:r w:rsidR="00423AC5" w:rsidRPr="00FA161E">
        <w:rPr>
          <w:rFonts w:ascii="Times New Roman" w:hAnsi="Times New Roman" w:cs="Times New Roman"/>
          <w:sz w:val="24"/>
          <w:szCs w:val="24"/>
        </w:rPr>
        <w:t xml:space="preserve">). </w:t>
      </w:r>
      <w:r w:rsidRPr="00FA161E">
        <w:rPr>
          <w:rFonts w:ascii="Times New Roman" w:hAnsi="Times New Roman" w:cs="Times New Roman"/>
          <w:sz w:val="24"/>
          <w:szCs w:val="24"/>
        </w:rPr>
        <w:t xml:space="preserve">Studies suggest that even when infrastructure is available, insufficient financial literacy limits </w:t>
      </w:r>
      <w:r w:rsidR="002F0F1D" w:rsidRPr="00FA161E">
        <w:rPr>
          <w:rFonts w:ascii="Times New Roman" w:hAnsi="Times New Roman" w:cs="Times New Roman"/>
          <w:sz w:val="24"/>
          <w:szCs w:val="24"/>
        </w:rPr>
        <w:t>c</w:t>
      </w:r>
      <w:r w:rsidR="002F0F1D">
        <w:rPr>
          <w:rFonts w:ascii="Times New Roman" w:hAnsi="Times New Roman" w:cs="Times New Roman"/>
          <w:sz w:val="24"/>
          <w:szCs w:val="24"/>
        </w:rPr>
        <w:t>ustome</w:t>
      </w:r>
      <w:r w:rsidR="002F0F1D" w:rsidRPr="00FA161E">
        <w:rPr>
          <w:rFonts w:ascii="Times New Roman" w:hAnsi="Times New Roman" w:cs="Times New Roman"/>
          <w:sz w:val="24"/>
          <w:szCs w:val="24"/>
        </w:rPr>
        <w:t>rs</w:t>
      </w:r>
      <w:r w:rsidRPr="00FA161E">
        <w:rPr>
          <w:rFonts w:ascii="Times New Roman" w:hAnsi="Times New Roman" w:cs="Times New Roman"/>
          <w:sz w:val="24"/>
          <w:szCs w:val="24"/>
        </w:rPr>
        <w:t xml:space="preserve"> from embracing </w:t>
      </w:r>
      <w:r w:rsidR="00287962" w:rsidRPr="00FA161E">
        <w:rPr>
          <w:rFonts w:ascii="Times New Roman" w:hAnsi="Times New Roman" w:cs="Times New Roman"/>
          <w:sz w:val="24"/>
          <w:szCs w:val="24"/>
        </w:rPr>
        <w:t>online banking services</w:t>
      </w:r>
      <w:r w:rsidRPr="00FA161E">
        <w:rPr>
          <w:rFonts w:ascii="Times New Roman" w:hAnsi="Times New Roman" w:cs="Times New Roman"/>
          <w:sz w:val="24"/>
          <w:szCs w:val="24"/>
        </w:rPr>
        <w:t xml:space="preserve"> (</w:t>
      </w:r>
      <w:proofErr w:type="spellStart"/>
      <w:r w:rsidRPr="00FA161E">
        <w:rPr>
          <w:rFonts w:ascii="Times New Roman" w:hAnsi="Times New Roman" w:cs="Times New Roman"/>
          <w:sz w:val="24"/>
          <w:szCs w:val="24"/>
        </w:rPr>
        <w:t>Nethananthan</w:t>
      </w:r>
      <w:proofErr w:type="spellEnd"/>
      <w:r w:rsidRPr="00FA161E">
        <w:rPr>
          <w:rFonts w:ascii="Times New Roman" w:hAnsi="Times New Roman" w:cs="Times New Roman"/>
          <w:sz w:val="24"/>
          <w:szCs w:val="24"/>
        </w:rPr>
        <w:t xml:space="preserve"> &amp; </w:t>
      </w:r>
      <w:proofErr w:type="spellStart"/>
      <w:r w:rsidRPr="00FA161E">
        <w:rPr>
          <w:rFonts w:ascii="Times New Roman" w:hAnsi="Times New Roman" w:cs="Times New Roman"/>
          <w:sz w:val="24"/>
          <w:szCs w:val="24"/>
        </w:rPr>
        <w:t>Shanmugathas</w:t>
      </w:r>
      <w:proofErr w:type="spellEnd"/>
      <w:r w:rsidRPr="00FA161E">
        <w:rPr>
          <w:rFonts w:ascii="Times New Roman" w:hAnsi="Times New Roman" w:cs="Times New Roman"/>
          <w:sz w:val="24"/>
          <w:szCs w:val="24"/>
        </w:rPr>
        <w:t>, 2018)​</w:t>
      </w:r>
      <w:r w:rsidR="00423AC5" w:rsidRPr="00FA161E">
        <w:rPr>
          <w:rFonts w:ascii="Times New Roman" w:hAnsi="Times New Roman" w:cs="Times New Roman"/>
          <w:sz w:val="24"/>
          <w:szCs w:val="24"/>
        </w:rPr>
        <w:t>.</w:t>
      </w:r>
    </w:p>
    <w:p w14:paraId="4B944C72" w14:textId="06BE9442" w:rsidR="00EE6BAF" w:rsidRPr="00FA161E" w:rsidRDefault="00EE6BA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This study is expected to generate valuable insights for multiple stakeholders by exploring the impact of financial literacy on online banking behavior within the Sri Lankan context. For financial institutions, the findings will enable the development of targeted educational programs and strategies designed to enhance customer engagement with online banking services. As noted by Gautam and Devkota (2020), such efforts can significantly improve customer satisfaction by encouraging the effective use of </w:t>
      </w:r>
      <w:r w:rsidR="00287962" w:rsidRPr="00FA161E">
        <w:rPr>
          <w:rFonts w:ascii="Times New Roman" w:hAnsi="Times New Roman" w:cs="Times New Roman"/>
          <w:sz w:val="24"/>
          <w:szCs w:val="24"/>
        </w:rPr>
        <w:t>online banking</w:t>
      </w:r>
      <w:r w:rsidRPr="00FA161E">
        <w:rPr>
          <w:rFonts w:ascii="Times New Roman" w:hAnsi="Times New Roman" w:cs="Times New Roman"/>
          <w:sz w:val="24"/>
          <w:szCs w:val="24"/>
        </w:rPr>
        <w:t xml:space="preserve"> </w:t>
      </w:r>
      <w:r w:rsidR="00287962" w:rsidRPr="00FA161E">
        <w:rPr>
          <w:rFonts w:ascii="Times New Roman" w:hAnsi="Times New Roman" w:cs="Times New Roman"/>
          <w:sz w:val="24"/>
          <w:szCs w:val="24"/>
        </w:rPr>
        <w:t>facilities</w:t>
      </w:r>
      <w:r w:rsidRPr="00FA161E">
        <w:rPr>
          <w:rFonts w:ascii="Times New Roman" w:hAnsi="Times New Roman" w:cs="Times New Roman"/>
          <w:sz w:val="24"/>
          <w:szCs w:val="24"/>
        </w:rPr>
        <w:t xml:space="preserve">. Banks can also benefit by identifying the challenges </w:t>
      </w:r>
      <w:r w:rsidR="002F0F1D" w:rsidRPr="00FA161E">
        <w:rPr>
          <w:rFonts w:ascii="Times New Roman" w:hAnsi="Times New Roman" w:cs="Times New Roman"/>
          <w:sz w:val="24"/>
          <w:szCs w:val="24"/>
        </w:rPr>
        <w:t>c</w:t>
      </w:r>
      <w:r w:rsidR="002F0F1D">
        <w:rPr>
          <w:rFonts w:ascii="Times New Roman" w:hAnsi="Times New Roman" w:cs="Times New Roman"/>
          <w:sz w:val="24"/>
          <w:szCs w:val="24"/>
        </w:rPr>
        <w:t>ustome</w:t>
      </w:r>
      <w:r w:rsidR="002F0F1D" w:rsidRPr="00FA161E">
        <w:rPr>
          <w:rFonts w:ascii="Times New Roman" w:hAnsi="Times New Roman" w:cs="Times New Roman"/>
          <w:sz w:val="24"/>
          <w:szCs w:val="24"/>
        </w:rPr>
        <w:t>rs</w:t>
      </w:r>
      <w:r w:rsidR="002F0F1D">
        <w:rPr>
          <w:rFonts w:ascii="Times New Roman" w:hAnsi="Times New Roman" w:cs="Times New Roman"/>
          <w:sz w:val="24"/>
          <w:szCs w:val="24"/>
        </w:rPr>
        <w:t xml:space="preserve"> </w:t>
      </w:r>
      <w:r w:rsidRPr="00FA161E">
        <w:rPr>
          <w:rFonts w:ascii="Times New Roman" w:hAnsi="Times New Roman" w:cs="Times New Roman"/>
          <w:sz w:val="24"/>
          <w:szCs w:val="24"/>
        </w:rPr>
        <w:t>face in adopting online banking, allowing them to address barriers and refine service delivery.</w:t>
      </w:r>
    </w:p>
    <w:p w14:paraId="13458616" w14:textId="4C607D2F" w:rsidR="00EE6BAF" w:rsidRPr="00FA161E" w:rsidRDefault="00EE6BA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For policymakers and regulatory bodies, this research will provide empirical evidence to support the design of policies that promote financial literacy and encourage the use of </w:t>
      </w:r>
      <w:r w:rsidR="00287962" w:rsidRPr="00FA161E">
        <w:rPr>
          <w:rFonts w:ascii="Times New Roman" w:hAnsi="Times New Roman" w:cs="Times New Roman"/>
          <w:sz w:val="24"/>
          <w:szCs w:val="24"/>
        </w:rPr>
        <w:t>online banking facilities</w:t>
      </w:r>
      <w:r w:rsidRPr="00FA161E">
        <w:rPr>
          <w:rFonts w:ascii="Times New Roman" w:hAnsi="Times New Roman" w:cs="Times New Roman"/>
          <w:sz w:val="24"/>
          <w:szCs w:val="24"/>
        </w:rPr>
        <w:t>. As financial literacy plays a critical role in achieving financial inclusion, the study’s findings will help foster the expansion of online banking across diverse segments of the population (OECD, 2018). These insights are essential for developing initiatives that align with national goals for financial inclusion, particularly as internet usage and access to digital tools continue to grow.</w:t>
      </w:r>
    </w:p>
    <w:p w14:paraId="6D35B735" w14:textId="1482AFB1" w:rsidR="00EE6BAF" w:rsidRPr="00FA161E" w:rsidRDefault="001F61B0" w:rsidP="00DA3538">
      <w:pPr>
        <w:spacing w:line="276" w:lineRule="auto"/>
        <w:jc w:val="both"/>
        <w:rPr>
          <w:rFonts w:ascii="Times New Roman" w:hAnsi="Times New Roman" w:cs="Times New Roman"/>
          <w:sz w:val="24"/>
          <w:szCs w:val="24"/>
        </w:rPr>
      </w:pPr>
      <w:r>
        <w:rPr>
          <w:rFonts w:ascii="Times New Roman" w:hAnsi="Times New Roman" w:cs="Times New Roman"/>
          <w:sz w:val="24"/>
          <w:szCs w:val="24"/>
        </w:rPr>
        <w:t>C</w:t>
      </w:r>
      <w:r w:rsidR="002F0F1D">
        <w:rPr>
          <w:rFonts w:ascii="Times New Roman" w:hAnsi="Times New Roman" w:cs="Times New Roman"/>
          <w:sz w:val="24"/>
          <w:szCs w:val="24"/>
        </w:rPr>
        <w:t>ustome</w:t>
      </w:r>
      <w:r w:rsidR="002F0F1D" w:rsidRPr="00FA161E">
        <w:rPr>
          <w:rFonts w:ascii="Times New Roman" w:hAnsi="Times New Roman" w:cs="Times New Roman"/>
          <w:sz w:val="24"/>
          <w:szCs w:val="24"/>
        </w:rPr>
        <w:t>rs</w:t>
      </w:r>
      <w:r w:rsidR="00EE6BAF" w:rsidRPr="00FA161E">
        <w:rPr>
          <w:rFonts w:ascii="Times New Roman" w:hAnsi="Times New Roman" w:cs="Times New Roman"/>
          <w:sz w:val="24"/>
          <w:szCs w:val="24"/>
        </w:rPr>
        <w:t xml:space="preserve"> will also benefit directly from the research</w:t>
      </w:r>
      <w:r w:rsidR="00E77F52" w:rsidRPr="00FA161E">
        <w:rPr>
          <w:rFonts w:ascii="Times New Roman" w:hAnsi="Times New Roman" w:cs="Times New Roman"/>
          <w:sz w:val="24"/>
          <w:szCs w:val="24"/>
        </w:rPr>
        <w:t xml:space="preserve"> b</w:t>
      </w:r>
      <w:r w:rsidR="00EE6BAF" w:rsidRPr="00FA161E">
        <w:rPr>
          <w:rFonts w:ascii="Times New Roman" w:hAnsi="Times New Roman" w:cs="Times New Roman"/>
          <w:sz w:val="24"/>
          <w:szCs w:val="24"/>
        </w:rPr>
        <w:t>y identifying how financial literacy influences the adoption of online banking</w:t>
      </w:r>
      <w:r w:rsidR="009B7A6C" w:rsidRPr="00FA161E">
        <w:rPr>
          <w:rFonts w:ascii="Times New Roman" w:hAnsi="Times New Roman" w:cs="Times New Roman"/>
          <w:sz w:val="24"/>
          <w:szCs w:val="24"/>
        </w:rPr>
        <w:t>. The</w:t>
      </w:r>
      <w:r w:rsidR="00EE6BAF" w:rsidRPr="00FA161E">
        <w:rPr>
          <w:rFonts w:ascii="Times New Roman" w:hAnsi="Times New Roman" w:cs="Times New Roman"/>
          <w:sz w:val="24"/>
          <w:szCs w:val="24"/>
        </w:rPr>
        <w:t xml:space="preserve"> study aims to empower individuals to make informed decisions about their use of </w:t>
      </w:r>
      <w:r w:rsidR="00287962" w:rsidRPr="00FA161E">
        <w:rPr>
          <w:rFonts w:ascii="Times New Roman" w:hAnsi="Times New Roman" w:cs="Times New Roman"/>
          <w:sz w:val="24"/>
          <w:szCs w:val="24"/>
        </w:rPr>
        <w:t>online banking</w:t>
      </w:r>
      <w:r w:rsidR="00EE6BAF" w:rsidRPr="00FA161E">
        <w:rPr>
          <w:rFonts w:ascii="Times New Roman" w:hAnsi="Times New Roman" w:cs="Times New Roman"/>
          <w:sz w:val="24"/>
          <w:szCs w:val="24"/>
        </w:rPr>
        <w:t xml:space="preserve"> services. As Hashim et al. (2021) indicate, improved financial literacy enhances personal financial well-being, helping </w:t>
      </w:r>
      <w:r w:rsidR="002F0F1D" w:rsidRPr="00FA161E">
        <w:rPr>
          <w:rFonts w:ascii="Times New Roman" w:hAnsi="Times New Roman" w:cs="Times New Roman"/>
          <w:sz w:val="24"/>
          <w:szCs w:val="24"/>
        </w:rPr>
        <w:t>c</w:t>
      </w:r>
      <w:r w:rsidR="002F0F1D">
        <w:rPr>
          <w:rFonts w:ascii="Times New Roman" w:hAnsi="Times New Roman" w:cs="Times New Roman"/>
          <w:sz w:val="24"/>
          <w:szCs w:val="24"/>
        </w:rPr>
        <w:t>ustome</w:t>
      </w:r>
      <w:r w:rsidR="002F0F1D" w:rsidRPr="00FA161E">
        <w:rPr>
          <w:rFonts w:ascii="Times New Roman" w:hAnsi="Times New Roman" w:cs="Times New Roman"/>
          <w:sz w:val="24"/>
          <w:szCs w:val="24"/>
        </w:rPr>
        <w:t>rs</w:t>
      </w:r>
      <w:r w:rsidR="00EE6BAF" w:rsidRPr="00FA161E">
        <w:rPr>
          <w:rFonts w:ascii="Times New Roman" w:hAnsi="Times New Roman" w:cs="Times New Roman"/>
          <w:sz w:val="24"/>
          <w:szCs w:val="24"/>
        </w:rPr>
        <w:t xml:space="preserve"> manage </w:t>
      </w:r>
      <w:r w:rsidR="00EE6BAF" w:rsidRPr="00FA161E">
        <w:rPr>
          <w:rFonts w:ascii="Times New Roman" w:hAnsi="Times New Roman" w:cs="Times New Roman"/>
          <w:sz w:val="24"/>
          <w:szCs w:val="24"/>
        </w:rPr>
        <w:lastRenderedPageBreak/>
        <w:t>their finances more effectively and confidently navigate digital platforms. This empowerment can lead to a more positive user experience with online banking, reducing the perceived complexity of financial technology.</w:t>
      </w:r>
    </w:p>
    <w:p w14:paraId="40C25574" w14:textId="15D19E43" w:rsidR="00EE6BAF" w:rsidRPr="00FA161E" w:rsidRDefault="00287962"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Also, </w:t>
      </w:r>
      <w:r w:rsidR="00EE6BAF" w:rsidRPr="00FA161E">
        <w:rPr>
          <w:rFonts w:ascii="Times New Roman" w:hAnsi="Times New Roman" w:cs="Times New Roman"/>
          <w:sz w:val="24"/>
          <w:szCs w:val="24"/>
        </w:rPr>
        <w:t>th</w:t>
      </w:r>
      <w:r w:rsidRPr="00FA161E">
        <w:rPr>
          <w:rFonts w:ascii="Times New Roman" w:hAnsi="Times New Roman" w:cs="Times New Roman"/>
          <w:sz w:val="24"/>
          <w:szCs w:val="24"/>
        </w:rPr>
        <w:t>is</w:t>
      </w:r>
      <w:r w:rsidR="00EE6BAF" w:rsidRPr="00FA161E">
        <w:rPr>
          <w:rFonts w:ascii="Times New Roman" w:hAnsi="Times New Roman" w:cs="Times New Roman"/>
          <w:sz w:val="24"/>
          <w:szCs w:val="24"/>
        </w:rPr>
        <w:t xml:space="preserve"> research will offer significant contributions to academic literature by addressing a critical gap regarding the relationship between financial literacy and digital financial behavior in developing countries, particularly Sri Lanka. Previous studies have explored these issues in other global contexts (</w:t>
      </w:r>
      <w:proofErr w:type="spellStart"/>
      <w:r w:rsidR="00EE6BAF" w:rsidRPr="00FA161E">
        <w:rPr>
          <w:rFonts w:ascii="Times New Roman" w:hAnsi="Times New Roman" w:cs="Times New Roman"/>
          <w:sz w:val="24"/>
          <w:szCs w:val="24"/>
        </w:rPr>
        <w:t>Andreou</w:t>
      </w:r>
      <w:proofErr w:type="spellEnd"/>
      <w:r w:rsidR="00EE6BAF" w:rsidRPr="00FA161E">
        <w:rPr>
          <w:rFonts w:ascii="Times New Roman" w:hAnsi="Times New Roman" w:cs="Times New Roman"/>
          <w:sz w:val="24"/>
          <w:szCs w:val="24"/>
        </w:rPr>
        <w:t xml:space="preserve"> &amp; </w:t>
      </w:r>
      <w:proofErr w:type="spellStart"/>
      <w:r w:rsidR="00EE6BAF" w:rsidRPr="00FA161E">
        <w:rPr>
          <w:rFonts w:ascii="Times New Roman" w:hAnsi="Times New Roman" w:cs="Times New Roman"/>
          <w:sz w:val="24"/>
          <w:szCs w:val="24"/>
        </w:rPr>
        <w:t>Anyfantaki</w:t>
      </w:r>
      <w:proofErr w:type="spellEnd"/>
      <w:r w:rsidR="00EE6BAF" w:rsidRPr="00FA161E">
        <w:rPr>
          <w:rFonts w:ascii="Times New Roman" w:hAnsi="Times New Roman" w:cs="Times New Roman"/>
          <w:sz w:val="24"/>
          <w:szCs w:val="24"/>
        </w:rPr>
        <w:t>, 20</w:t>
      </w:r>
      <w:r w:rsidR="00EF305C" w:rsidRPr="00FA161E">
        <w:rPr>
          <w:rFonts w:ascii="Times New Roman" w:hAnsi="Times New Roman" w:cs="Times New Roman"/>
          <w:sz w:val="24"/>
          <w:szCs w:val="24"/>
        </w:rPr>
        <w:t>20</w:t>
      </w:r>
      <w:r w:rsidR="00EE6BAF" w:rsidRPr="00FA161E">
        <w:rPr>
          <w:rFonts w:ascii="Times New Roman" w:hAnsi="Times New Roman" w:cs="Times New Roman"/>
          <w:sz w:val="24"/>
          <w:szCs w:val="24"/>
        </w:rPr>
        <w:t>) but comprehensive research focusing on rural and developing regions of Sri Lanka remains limited. The study will therefore provide a solid foundation for further investigations into financial literacy, digital adoption, and financial inclusion, serving as a valuable resource for future researchers exploring similar topics.</w:t>
      </w:r>
    </w:p>
    <w:p w14:paraId="07394CEF" w14:textId="3BC7ED5B" w:rsidR="002A76B7" w:rsidRPr="00FA161E" w:rsidRDefault="00EE6BA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By contributing to the understanding of financial literacy’s role in online banking behavior, this research will have far-reaching implications for stakeholders across sectors, promoting financial inclusion and improving the accessibility and usability of </w:t>
      </w:r>
      <w:r w:rsidR="00287962" w:rsidRPr="00FA161E">
        <w:rPr>
          <w:rFonts w:ascii="Times New Roman" w:hAnsi="Times New Roman" w:cs="Times New Roman"/>
          <w:sz w:val="24"/>
          <w:szCs w:val="24"/>
        </w:rPr>
        <w:t>online</w:t>
      </w:r>
      <w:r w:rsidRPr="00FA161E">
        <w:rPr>
          <w:rFonts w:ascii="Times New Roman" w:hAnsi="Times New Roman" w:cs="Times New Roman"/>
          <w:sz w:val="24"/>
          <w:szCs w:val="24"/>
        </w:rPr>
        <w:t xml:space="preserve"> banking services. </w:t>
      </w:r>
    </w:p>
    <w:p w14:paraId="196CC3F7" w14:textId="2E1731D0" w:rsidR="00BB230A" w:rsidRPr="00FA161E" w:rsidRDefault="00BB230A" w:rsidP="00DA3538">
      <w:pPr>
        <w:pStyle w:val="ListParagraph"/>
        <w:numPr>
          <w:ilvl w:val="0"/>
          <w:numId w:val="2"/>
        </w:num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Theoretical Background</w:t>
      </w:r>
    </w:p>
    <w:p w14:paraId="30D2BC1D" w14:textId="38843603" w:rsidR="00BB230A" w:rsidRPr="00FA161E" w:rsidRDefault="00797D5D"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An important part of this research is to study how customers approach financial activities and their behavior in the context of digitalization. Previous studies have identified several models that help to critically explain the issues of technological adaptation. Accordingly, some of the important theories regarding customers’ adaptation to online banking and their financial literacy are as follows.</w:t>
      </w:r>
    </w:p>
    <w:p w14:paraId="441F65F5" w14:textId="6BF1E724" w:rsidR="00BB230A" w:rsidRPr="00FA161E" w:rsidRDefault="008B4258" w:rsidP="00DA3538">
      <w:pPr>
        <w:pStyle w:val="ListParagraph"/>
        <w:numPr>
          <w:ilvl w:val="1"/>
          <w:numId w:val="2"/>
        </w:numPr>
        <w:spacing w:line="276" w:lineRule="auto"/>
        <w:rPr>
          <w:rFonts w:ascii="Times New Roman" w:hAnsi="Times New Roman" w:cs="Times New Roman"/>
          <w:bCs/>
          <w:sz w:val="24"/>
          <w:szCs w:val="24"/>
        </w:rPr>
      </w:pPr>
      <w:r w:rsidRPr="00FA161E">
        <w:rPr>
          <w:rFonts w:ascii="Times New Roman" w:hAnsi="Times New Roman" w:cs="Times New Roman"/>
          <w:bCs/>
          <w:sz w:val="24"/>
          <w:szCs w:val="24"/>
        </w:rPr>
        <w:t xml:space="preserve"> </w:t>
      </w:r>
      <w:r w:rsidR="00BB230A" w:rsidRPr="00FA161E">
        <w:rPr>
          <w:rFonts w:ascii="Times New Roman" w:hAnsi="Times New Roman" w:cs="Times New Roman"/>
          <w:bCs/>
          <w:sz w:val="24"/>
          <w:szCs w:val="24"/>
        </w:rPr>
        <w:t>Human capital theory</w:t>
      </w:r>
    </w:p>
    <w:p w14:paraId="5C29CCB1" w14:textId="77777777" w:rsidR="005C3791" w:rsidRDefault="005C3791" w:rsidP="00DA3538">
      <w:pPr>
        <w:pStyle w:val="NormalWeb"/>
        <w:spacing w:line="276" w:lineRule="auto"/>
        <w:jc w:val="both"/>
      </w:pPr>
      <w:r>
        <w:rPr>
          <w:rStyle w:val="bzpyqfadein"/>
          <w:rFonts w:eastAsiaTheme="majorEastAsia"/>
        </w:rPr>
        <w:t>Human capital theory is an economic perspective that regards individuals’ knowledge, skills, abilities, and experience as valuable assets that enhance productivity and earning potential. The theory suggests that investments in education, training, and health contribute to the development of human capital, which in turn improves individual productivity and promotes economic growth.</w:t>
      </w:r>
    </w:p>
    <w:p w14:paraId="4A9E813C" w14:textId="77777777" w:rsidR="005C3791" w:rsidRDefault="005C3791" w:rsidP="00DA3538">
      <w:pPr>
        <w:pStyle w:val="NormalWeb"/>
        <w:spacing w:line="276" w:lineRule="auto"/>
        <w:jc w:val="both"/>
      </w:pPr>
      <w:r>
        <w:rPr>
          <w:rStyle w:val="bzpyqfadein"/>
          <w:rFonts w:eastAsiaTheme="majorEastAsia"/>
        </w:rPr>
        <w:t>Within the labor market, individuals differ in their levels of education, knowledge, and competencies. Those with higher levels of education and specialized skills are generally able to provide more effective contributions to organizations compared to individuals with limited knowledge and training. Consequently, the concept of human capital has received considerable attention in the context of organizational development and workforce productivity (McConnell et al., 2009).</w:t>
      </w:r>
    </w:p>
    <w:p w14:paraId="3DD0B9F5" w14:textId="77777777" w:rsidR="005C3791" w:rsidRDefault="005C3791" w:rsidP="00DA3538">
      <w:pPr>
        <w:pStyle w:val="NormalWeb"/>
        <w:spacing w:line="276" w:lineRule="auto"/>
        <w:jc w:val="both"/>
      </w:pPr>
      <w:r>
        <w:rPr>
          <w:rStyle w:val="bzpyqfadein"/>
          <w:rFonts w:eastAsiaTheme="majorEastAsia"/>
        </w:rPr>
        <w:t xml:space="preserve">The origins of human capital theory can be traced back to the eighteenth century. Adam Smith initially emphasized the importance of human capabilities in the production process. Later, Theodore W. Schultz formally introduced the term “human capital,” highlighting the role of education and investment in human abilities. The concept gained further prominence when Gary Becker expanded the theory and was awarded the Nobel Prize for his work on human capital. According to this perspective, differences in wages and salaries among individuals largely arise from variations in education, training, and skills. Furthermore, individuals with </w:t>
      </w:r>
      <w:r>
        <w:rPr>
          <w:rStyle w:val="bzpyqfadein"/>
          <w:rFonts w:eastAsiaTheme="majorEastAsia"/>
        </w:rPr>
        <w:lastRenderedPageBreak/>
        <w:t>higher levels of knowledge and competencies are more likely to secure employment opportunities (Blair, 2012).</w:t>
      </w:r>
    </w:p>
    <w:p w14:paraId="0B7AB9B5" w14:textId="77777777" w:rsidR="005C3791" w:rsidRDefault="005C3791" w:rsidP="00DA3538">
      <w:pPr>
        <w:pStyle w:val="NormalWeb"/>
        <w:spacing w:line="276" w:lineRule="auto"/>
        <w:jc w:val="both"/>
      </w:pPr>
      <w:r>
        <w:rPr>
          <w:rStyle w:val="bzpyqfadein"/>
          <w:rFonts w:eastAsiaTheme="majorEastAsia"/>
        </w:rPr>
        <w:t>Thomas Davenport (1999) later conceptualized human capital as a combination of knowledge, skills, personal talent, behavior, and effort, and subsequently incorporated the element of time into this framework. Knowledge includes intelligence, cognitive abilities, and both general and specialized knowledge required to perform specific tasks. Skills refer to the physical capabilities and technical expertise necessary to perform job-related activities. Personal talent reflects the inherent attributes of individuals that can be further enhanced through development. Behavior encompasses observable actions, attitudes, ethical standards, and personal beliefs that influence work performance. Effort represents the application of knowledge, experience, and abilities toward achieving work-related goals. In addition, Davenport emphasized the importance of time as a critical factor influencing the utilization of human capital.</w:t>
      </w:r>
    </w:p>
    <w:p w14:paraId="08E3592F" w14:textId="0BCB323F" w:rsidR="005C3791" w:rsidRDefault="005C3791" w:rsidP="00DA3538">
      <w:pPr>
        <w:pStyle w:val="NormalWeb"/>
        <w:spacing w:line="276" w:lineRule="auto"/>
        <w:jc w:val="both"/>
      </w:pPr>
      <w:r>
        <w:rPr>
          <w:rStyle w:val="bzpyqfadein"/>
          <w:rFonts w:eastAsiaTheme="majorEastAsia"/>
        </w:rPr>
        <w:t>Based on human capital theory, several fundamental components contribute to the development of human capital.</w:t>
      </w:r>
      <w:r w:rsidR="00122232">
        <w:t xml:space="preserve"> </w:t>
      </w:r>
      <w:r>
        <w:rPr>
          <w:rStyle w:val="bzpyqfadein"/>
          <w:rFonts w:eastAsiaTheme="majorEastAsia"/>
        </w:rPr>
        <w:t>Investments in education are considered a primary mechanism for enhancing human capital. Formal education enables individuals to acquire knowledge and competencies that increase their productivity and earning potential in the labor market (Thomas et al., 2013). In recent years, scholars have also emphasized the importance of financial literacy as an additional dimension of human capital development (Abubakar et al., 2021).</w:t>
      </w:r>
    </w:p>
    <w:p w14:paraId="15AFD106" w14:textId="5185E68D" w:rsidR="005C3791" w:rsidRDefault="005C3791" w:rsidP="00DA3538">
      <w:pPr>
        <w:pStyle w:val="NormalWeb"/>
        <w:spacing w:line="276" w:lineRule="auto"/>
        <w:jc w:val="both"/>
      </w:pPr>
      <w:r>
        <w:rPr>
          <w:rStyle w:val="bzpyqfadein"/>
          <w:rFonts w:eastAsiaTheme="majorEastAsia"/>
        </w:rPr>
        <w:t>Training and development represent another important aspect of human capital formation. Beyond formal education, continuous skill development and professional training are essential for individuals to adapt to changing economic conditions and technological advancements (Mayo, 2012).</w:t>
      </w:r>
      <w:r w:rsidR="00122232">
        <w:t xml:space="preserve"> </w:t>
      </w:r>
      <w:r>
        <w:rPr>
          <w:rStyle w:val="bzpyqfadein"/>
          <w:rFonts w:eastAsiaTheme="majorEastAsia"/>
        </w:rPr>
        <w:t>Healthcare also plays a crucial role in strengthening human capital. Healthy individuals are more capable of maintaining higher levels of productivity and efficiency, which contributes positively to organizational performance and overall economic growth (</w:t>
      </w:r>
      <w:proofErr w:type="spellStart"/>
      <w:r>
        <w:rPr>
          <w:rStyle w:val="bzpyqfadein"/>
          <w:rFonts w:eastAsiaTheme="majorEastAsia"/>
        </w:rPr>
        <w:t>Coff</w:t>
      </w:r>
      <w:proofErr w:type="spellEnd"/>
      <w:r>
        <w:rPr>
          <w:rStyle w:val="bzpyqfadein"/>
          <w:rFonts w:eastAsiaTheme="majorEastAsia"/>
        </w:rPr>
        <w:t xml:space="preserve"> &amp; </w:t>
      </w:r>
      <w:proofErr w:type="spellStart"/>
      <w:r>
        <w:rPr>
          <w:rStyle w:val="bzpyqfadein"/>
          <w:rFonts w:eastAsiaTheme="majorEastAsia"/>
        </w:rPr>
        <w:t>Kryscynski</w:t>
      </w:r>
      <w:proofErr w:type="spellEnd"/>
      <w:r>
        <w:rPr>
          <w:rStyle w:val="bzpyqfadein"/>
          <w:rFonts w:eastAsiaTheme="majorEastAsia"/>
        </w:rPr>
        <w:t>, 2011).</w:t>
      </w:r>
      <w:r w:rsidR="00122232">
        <w:t xml:space="preserve"> </w:t>
      </w:r>
      <w:r>
        <w:rPr>
          <w:rStyle w:val="bzpyqfadein"/>
          <w:rFonts w:eastAsiaTheme="majorEastAsia"/>
        </w:rPr>
        <w:t>Human capital theory further explains labor market outcomes by suggesting that individuals with higher levels of human capital tend to receive higher wages and have greater access to quality employment opportunities compared to those with lower levels of human capital (McConnell et al., 2009).</w:t>
      </w:r>
    </w:p>
    <w:p w14:paraId="38C579F4" w14:textId="77A78758" w:rsidR="005C3791" w:rsidRDefault="005C3791" w:rsidP="00DA3538">
      <w:pPr>
        <w:pStyle w:val="NormalWeb"/>
        <w:spacing w:line="276" w:lineRule="auto"/>
        <w:jc w:val="both"/>
      </w:pPr>
      <w:r>
        <w:rPr>
          <w:rStyle w:val="bzpyqfadein"/>
          <w:rFonts w:eastAsiaTheme="majorEastAsia"/>
        </w:rPr>
        <w:t>In contemporary research, financial literacy has gained significant attention as a key component of human capital. Financial literacy is viewed as the knowledge and skills that enable individuals to make informed financial decisions and manage economic resources effectively. As such, it is increasingly recognized as an important dimension of human capital (Abubakar et al., 2021).</w:t>
      </w:r>
      <w:r w:rsidR="00122232">
        <w:t xml:space="preserve"> </w:t>
      </w:r>
      <w:r>
        <w:rPr>
          <w:rStyle w:val="bzpyqfadein"/>
          <w:rFonts w:eastAsiaTheme="majorEastAsia"/>
        </w:rPr>
        <w:t>Rahim et al. (2021) emphasize that the development of human capital and economic growth requires both accessible financial systems and adequate financial literacy. Improving financial literacy enhances individuals’ knowledge and skills, thereby strengthening human capital and contributing to broader economic development.</w:t>
      </w:r>
    </w:p>
    <w:p w14:paraId="72CE8A48" w14:textId="30FC17F5" w:rsidR="005C3791" w:rsidRDefault="005C3791" w:rsidP="00DA3538">
      <w:pPr>
        <w:pStyle w:val="NormalWeb"/>
        <w:spacing w:line="276" w:lineRule="auto"/>
        <w:jc w:val="both"/>
        <w:rPr>
          <w:rStyle w:val="bzpyqfadein"/>
          <w:rFonts w:eastAsiaTheme="majorEastAsia"/>
        </w:rPr>
      </w:pPr>
      <w:r>
        <w:rPr>
          <w:rStyle w:val="bzpyqfadein"/>
          <w:rFonts w:eastAsiaTheme="majorEastAsia"/>
        </w:rPr>
        <w:t xml:space="preserve">Similarly, Mishra and Narayan (2015) highlight the influence of the financial system on the capacity to absorb capital, which is closely related to financial literacy. Higher levels of financial literacy enable businesses to access greater financial resources, improve financial </w:t>
      </w:r>
      <w:r>
        <w:rPr>
          <w:rStyle w:val="bzpyqfadein"/>
          <w:rFonts w:eastAsiaTheme="majorEastAsia"/>
        </w:rPr>
        <w:lastRenderedPageBreak/>
        <w:t>management practices, and enhance investment capacity. As a result, firms are better positioned to expand operations and contribute to economic growth.</w:t>
      </w:r>
      <w:r w:rsidR="00122232">
        <w:t xml:space="preserve"> </w:t>
      </w:r>
      <w:r>
        <w:rPr>
          <w:rStyle w:val="bzpyqfadein"/>
          <w:rFonts w:eastAsiaTheme="majorEastAsia"/>
        </w:rPr>
        <w:t>Furthermore, the advancement of financial literacy contributes to the development of human capital by strengthening individuals’ knowledge and competencies. This improvement supports the growth of the real sector and ultimately facilitates economic development. Consequently, financial literacy not only supports organizational growth but also contributes to overall economic progress (Shahid et al., 2015).</w:t>
      </w:r>
    </w:p>
    <w:p w14:paraId="10BFEE71" w14:textId="77777777" w:rsidR="00122232" w:rsidRDefault="00122232" w:rsidP="00DA3538">
      <w:pPr>
        <w:pStyle w:val="NormalWeb"/>
        <w:spacing w:line="276" w:lineRule="auto"/>
        <w:jc w:val="both"/>
      </w:pPr>
    </w:p>
    <w:p w14:paraId="1D0AE009" w14:textId="5E68410F" w:rsidR="00BB230A" w:rsidRPr="00FA161E" w:rsidRDefault="002A361A" w:rsidP="00DA3538">
      <w:pPr>
        <w:spacing w:line="276" w:lineRule="auto"/>
        <w:ind w:left="540" w:hanging="180"/>
        <w:jc w:val="both"/>
        <w:rPr>
          <w:rFonts w:ascii="Times New Roman" w:hAnsi="Times New Roman" w:cs="Times New Roman"/>
          <w:bCs/>
          <w:sz w:val="24"/>
          <w:szCs w:val="24"/>
        </w:rPr>
      </w:pPr>
      <w:r w:rsidRPr="00FA161E">
        <w:rPr>
          <w:rFonts w:ascii="Times New Roman" w:hAnsi="Times New Roman" w:cs="Times New Roman"/>
          <w:bCs/>
          <w:sz w:val="24"/>
          <w:szCs w:val="24"/>
        </w:rPr>
        <w:t xml:space="preserve">02.2 </w:t>
      </w:r>
      <w:r w:rsidR="00BB230A" w:rsidRPr="00FA161E">
        <w:rPr>
          <w:rFonts w:ascii="Times New Roman" w:hAnsi="Times New Roman" w:cs="Times New Roman"/>
          <w:bCs/>
          <w:sz w:val="24"/>
          <w:szCs w:val="24"/>
        </w:rPr>
        <w:t>Social learning theory</w:t>
      </w:r>
    </w:p>
    <w:p w14:paraId="45417656" w14:textId="77777777"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Albert Bandura proposed social learning theory. This theory explains that people learn from each other through observation, imitation and modeling. Socialization and how it affects human behavior is studied through this theory. Accordingly, the basis of the social learning theory is that people observe the behavior, attitudes and consequences of others and adjust their actions based on the information obtained from it (Bandura and Walters, 1963).</w:t>
      </w:r>
    </w:p>
    <w:p w14:paraId="7B659C80" w14:textId="77777777"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According to the social learning theory, a person can see 4 basic stages in building his actions based on the experiences he gets through the actions of others. That is, attention, retention and memory, initiation and motor behavior, and motivation (Bandura and Walters, 1963).</w:t>
      </w:r>
    </w:p>
    <w:p w14:paraId="0431E3D9" w14:textId="77777777"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This can be shown graphically as follows.</w:t>
      </w:r>
    </w:p>
    <w:p w14:paraId="08FEAD5D" w14:textId="2CF3901B" w:rsidR="00BB230A" w:rsidRPr="00FA161E" w:rsidRDefault="00BB230A" w:rsidP="00DA3538">
      <w:pPr>
        <w:spacing w:line="276" w:lineRule="auto"/>
        <w:jc w:val="both"/>
        <w:rPr>
          <w:rFonts w:ascii="Times New Roman" w:hAnsi="Times New Roman" w:cs="Times New Roman"/>
          <w:b/>
          <w:sz w:val="24"/>
          <w:szCs w:val="24"/>
        </w:rPr>
      </w:pPr>
      <w:r w:rsidRPr="00FA161E">
        <w:rPr>
          <w:rFonts w:ascii="Times New Roman" w:hAnsi="Times New Roman" w:cs="Times New Roman"/>
          <w:noProof/>
          <w:sz w:val="24"/>
          <w:szCs w:val="24"/>
        </w:rPr>
        <mc:AlternateContent>
          <mc:Choice Requires="wpg">
            <w:drawing>
              <wp:anchor distT="0" distB="0" distL="114300" distR="114300" simplePos="0" relativeHeight="251669504" behindDoc="0" locked="0" layoutInCell="1" allowOverlap="1" wp14:anchorId="6650EB51" wp14:editId="5B871EBB">
                <wp:simplePos x="0" y="0"/>
                <wp:positionH relativeFrom="column">
                  <wp:posOffset>-180975</wp:posOffset>
                </wp:positionH>
                <wp:positionV relativeFrom="paragraph">
                  <wp:posOffset>320675</wp:posOffset>
                </wp:positionV>
                <wp:extent cx="6686550" cy="1571625"/>
                <wp:effectExtent l="0" t="0" r="0" b="0"/>
                <wp:wrapNone/>
                <wp:docPr id="70" name="Group 70"/>
                <wp:cNvGraphicFramePr/>
                <a:graphic xmlns:a="http://schemas.openxmlformats.org/drawingml/2006/main">
                  <a:graphicData uri="http://schemas.microsoft.com/office/word/2010/wordprocessingGroup">
                    <wpg:wgp>
                      <wpg:cNvGrpSpPr/>
                      <wpg:grpSpPr>
                        <a:xfrm>
                          <a:off x="0" y="0"/>
                          <a:ext cx="6686550" cy="1571625"/>
                          <a:chOff x="0" y="0"/>
                          <a:chExt cx="6686550" cy="1571625"/>
                        </a:xfrm>
                      </wpg:grpSpPr>
                      <wpg:grpSp>
                        <wpg:cNvPr id="65" name="Group 65"/>
                        <wpg:cNvGrpSpPr/>
                        <wpg:grpSpPr>
                          <a:xfrm>
                            <a:off x="0" y="0"/>
                            <a:ext cx="6477000" cy="1143000"/>
                            <a:chOff x="0" y="0"/>
                            <a:chExt cx="6477000" cy="1143000"/>
                          </a:xfrm>
                        </wpg:grpSpPr>
                        <wpg:grpSp>
                          <wpg:cNvPr id="59" name="Group 59"/>
                          <wpg:cNvGrpSpPr/>
                          <wpg:grpSpPr>
                            <a:xfrm>
                              <a:off x="0" y="0"/>
                              <a:ext cx="6381750" cy="1085850"/>
                              <a:chOff x="0" y="0"/>
                              <a:chExt cx="6381750" cy="1085850"/>
                            </a:xfrm>
                          </wpg:grpSpPr>
                          <wps:wsp>
                            <wps:cNvPr id="4" name="Oval 4"/>
                            <wps:cNvSpPr/>
                            <wps:spPr>
                              <a:xfrm>
                                <a:off x="0" y="0"/>
                                <a:ext cx="1181100" cy="1066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Oval 28"/>
                            <wps:cNvSpPr/>
                            <wps:spPr>
                              <a:xfrm>
                                <a:off x="1771650" y="9525"/>
                                <a:ext cx="1181100" cy="1066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Oval 53"/>
                            <wps:cNvSpPr/>
                            <wps:spPr>
                              <a:xfrm>
                                <a:off x="3533775" y="19050"/>
                                <a:ext cx="1181100" cy="1066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Oval 54"/>
                            <wps:cNvSpPr/>
                            <wps:spPr>
                              <a:xfrm>
                                <a:off x="5200650" y="9525"/>
                                <a:ext cx="1181100" cy="1066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ight Arrow 55"/>
                            <wps:cNvSpPr/>
                            <wps:spPr>
                              <a:xfrm>
                                <a:off x="1295400" y="466725"/>
                                <a:ext cx="409575" cy="17145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ight Arrow 56"/>
                            <wps:cNvSpPr/>
                            <wps:spPr>
                              <a:xfrm>
                                <a:off x="3038475" y="457200"/>
                                <a:ext cx="409575" cy="17145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ight Arrow 57"/>
                            <wps:cNvSpPr/>
                            <wps:spPr>
                              <a:xfrm>
                                <a:off x="4743450" y="457200"/>
                                <a:ext cx="409575" cy="17145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2" name="Group 62"/>
                          <wpg:cNvGrpSpPr/>
                          <wpg:grpSpPr>
                            <a:xfrm>
                              <a:off x="180975" y="390525"/>
                              <a:ext cx="2962275" cy="752475"/>
                              <a:chOff x="238125" y="371474"/>
                              <a:chExt cx="2962275" cy="752475"/>
                            </a:xfrm>
                          </wpg:grpSpPr>
                          <wps:wsp>
                            <wps:cNvPr id="60" name="Text Box 60"/>
                            <wps:cNvSpPr txBox="1"/>
                            <wps:spPr>
                              <a:xfrm>
                                <a:off x="238125" y="371474"/>
                                <a:ext cx="1066800" cy="752475"/>
                              </a:xfrm>
                              <a:prstGeom prst="rect">
                                <a:avLst/>
                              </a:prstGeom>
                              <a:noFill/>
                              <a:ln w="6350">
                                <a:noFill/>
                              </a:ln>
                            </wps:spPr>
                            <wps:txbx>
                              <w:txbxContent>
                                <w:p w14:paraId="369C2454" w14:textId="77777777" w:rsidR="00BB230A" w:rsidRPr="00567D56" w:rsidRDefault="00BB230A" w:rsidP="00BB230A">
                                  <w:pPr>
                                    <w:rPr>
                                      <w:rFonts w:ascii="Times New Roman" w:hAnsi="Times New Roman" w:cs="Times New Roman"/>
                                      <w:sz w:val="24"/>
                                      <w:szCs w:val="24"/>
                                    </w:rPr>
                                  </w:pPr>
                                  <w:r w:rsidRPr="00567D56">
                                    <w:rPr>
                                      <w:rFonts w:ascii="Times New Roman" w:hAnsi="Times New Roman" w:cs="Times New Roman"/>
                                      <w:sz w:val="24"/>
                                      <w:szCs w:val="24"/>
                                    </w:rPr>
                                    <w:t>Attention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a:off x="2047875" y="371474"/>
                                <a:ext cx="1152525" cy="656624"/>
                              </a:xfrm>
                              <a:prstGeom prst="rect">
                                <a:avLst/>
                              </a:prstGeom>
                              <a:noFill/>
                              <a:ln w="6350">
                                <a:noFill/>
                              </a:ln>
                            </wps:spPr>
                            <wps:txbx>
                              <w:txbxContent>
                                <w:p w14:paraId="3DD6A0B6" w14:textId="77777777" w:rsidR="00BB230A" w:rsidRPr="00567D56" w:rsidRDefault="00BB230A" w:rsidP="00BB230A">
                                  <w:pPr>
                                    <w:rPr>
                                      <w:rFonts w:ascii="Times New Roman" w:hAnsi="Times New Roman" w:cs="Times New Roman"/>
                                      <w:sz w:val="24"/>
                                      <w:szCs w:val="24"/>
                                    </w:rPr>
                                  </w:pPr>
                                  <w:r w:rsidRPr="00567D56">
                                    <w:rPr>
                                      <w:rFonts w:ascii="Times New Roman" w:hAnsi="Times New Roman" w:cs="Times New Roman"/>
                                      <w:sz w:val="24"/>
                                      <w:szCs w:val="24"/>
                                    </w:rPr>
                                    <w:t>Retention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3" name="Text Box 63"/>
                          <wps:cNvSpPr txBox="1"/>
                          <wps:spPr>
                            <a:xfrm>
                              <a:off x="3667125" y="314325"/>
                              <a:ext cx="1152525" cy="656624"/>
                            </a:xfrm>
                            <a:prstGeom prst="rect">
                              <a:avLst/>
                            </a:prstGeom>
                            <a:noFill/>
                            <a:ln w="6350">
                              <a:noFill/>
                            </a:ln>
                          </wps:spPr>
                          <wps:txbx>
                            <w:txbxContent>
                              <w:p w14:paraId="50E555F3"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Motor Reproduction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64"/>
                          <wps:cNvSpPr txBox="1"/>
                          <wps:spPr>
                            <a:xfrm>
                              <a:off x="5324475" y="352425"/>
                              <a:ext cx="1152525" cy="656624"/>
                            </a:xfrm>
                            <a:prstGeom prst="rect">
                              <a:avLst/>
                            </a:prstGeom>
                            <a:noFill/>
                            <a:ln w="6350">
                              <a:noFill/>
                            </a:ln>
                          </wps:spPr>
                          <wps:txbx>
                            <w:txbxContent>
                              <w:p w14:paraId="0A8F4532"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Motivation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6" name="Text Box 66"/>
                        <wps:cNvSpPr txBox="1"/>
                        <wps:spPr>
                          <a:xfrm>
                            <a:off x="142875" y="1114425"/>
                            <a:ext cx="1152525" cy="285750"/>
                          </a:xfrm>
                          <a:prstGeom prst="rect">
                            <a:avLst/>
                          </a:prstGeom>
                          <a:noFill/>
                          <a:ln w="6350">
                            <a:noFill/>
                          </a:ln>
                        </wps:spPr>
                        <wps:txbx>
                          <w:txbxContent>
                            <w:p w14:paraId="7C299F81"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Stimuli Focus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wps:spPr>
                          <a:xfrm>
                            <a:off x="1790700" y="1095375"/>
                            <a:ext cx="1409700" cy="476250"/>
                          </a:xfrm>
                          <a:prstGeom prst="rect">
                            <a:avLst/>
                          </a:prstGeom>
                          <a:noFill/>
                          <a:ln w="6350">
                            <a:noFill/>
                          </a:ln>
                        </wps:spPr>
                        <wps:txbx>
                          <w:txbxContent>
                            <w:p w14:paraId="1BA8087A"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Rehearse Encode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Text Box 68"/>
                        <wps:cNvSpPr txBox="1"/>
                        <wps:spPr>
                          <a:xfrm>
                            <a:off x="3457575" y="1114425"/>
                            <a:ext cx="1409700" cy="304800"/>
                          </a:xfrm>
                          <a:prstGeom prst="rect">
                            <a:avLst/>
                          </a:prstGeom>
                          <a:noFill/>
                          <a:ln w="6350">
                            <a:noFill/>
                          </a:ln>
                        </wps:spPr>
                        <wps:txbx>
                          <w:txbxContent>
                            <w:p w14:paraId="4B81FAE9"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Practice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Text Box 69"/>
                        <wps:cNvSpPr txBox="1"/>
                        <wps:spPr>
                          <a:xfrm>
                            <a:off x="5276850" y="1095375"/>
                            <a:ext cx="1409700" cy="304800"/>
                          </a:xfrm>
                          <a:prstGeom prst="rect">
                            <a:avLst/>
                          </a:prstGeom>
                          <a:noFill/>
                          <a:ln w="6350">
                            <a:noFill/>
                          </a:ln>
                        </wps:spPr>
                        <wps:txbx>
                          <w:txbxContent>
                            <w:p w14:paraId="57BDBE61"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Reward Reinforce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650EB51" id="Group 70" o:spid="_x0000_s1026" style="position:absolute;left:0;text-align:left;margin-left:-14.25pt;margin-top:25.25pt;width:526.5pt;height:123.75pt;z-index:251669504" coordsize="66865,15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">
                <v:group id="Group 65" o:spid="_x0000_s1027" style="position:absolute;width:64770;height:11430" coordsize="6477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group id="Group 59" o:spid="_x0000_s1028" style="position:absolute;width:63817;height:10858" coordsize="63817,1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oval id="Oval 4" o:spid="_x0000_s1029" style="position:absolute;width:11811;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" filled="f" strokecolor="black [3213]" strokeweight="1pt">
                      <v:stroke joinstyle="miter"/>
                    </v:oval>
                    <v:oval id="Oval 28" o:spid="_x0000_s1030" style="position:absolute;left:17716;top:95;width:11811;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" filled="f" strokecolor="black [3213]" strokeweight="1pt">
                      <v:stroke joinstyle="miter"/>
                    </v:oval>
                    <v:oval id="Oval 53" o:spid="_x0000_s1031" style="position:absolute;left:35337;top:190;width:11811;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oval id="Oval 54" o:spid="_x0000_s1032" style="position:absolute;left:52006;top:95;width:11811;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" filled="f" strokecolor="black [3213]" strokeweight="1pt">
                      <v:stroke joinstyle="miter"/>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5" o:spid="_x0000_s1033" type="#_x0000_t13" style="position:absolute;left:12954;top:4667;width:4095;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" adj="17079" filled="f" strokecolor="black [3213]" strokeweight="1pt"/>
                    <v:shape id="Right Arrow 56" o:spid="_x0000_s1034" type="#_x0000_t13" style="position:absolute;left:30384;top:4572;width:4096;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" adj="17079" filled="f" strokecolor="black [3213]" strokeweight="1pt"/>
                    <v:shape id="Right Arrow 57" o:spid="_x0000_s1035" type="#_x0000_t13" style="position:absolute;left:47434;top:4572;width:4096;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" adj="17079" filled="f" strokecolor="black [3213]" strokeweight="1pt"/>
                  </v:group>
                  <v:group id="Group 62" o:spid="_x0000_s1036" style="position:absolute;left:1809;top:3905;width:29623;height:7525" coordorigin="2381,3714" coordsize="29622,7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type id="_x0000_t202" coordsize="21600,21600" o:spt="202" path="m,l,21600r21600,l21600,xe">
                      <v:stroke joinstyle="miter"/>
                      <v:path gradientshapeok="t" o:connecttype="rect"/>
                    </v:shapetype>
                    <v:shape id="Text Box 60" o:spid="_x0000_s1037" type="#_x0000_t202" style="position:absolute;left:2381;top:3714;width:10668;height:7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14:paraId="369C2454" w14:textId="77777777" w:rsidR="00BB230A" w:rsidRPr="00567D56" w:rsidRDefault="00BB230A" w:rsidP="00BB230A">
                            <w:pPr>
                              <w:rPr>
                                <w:rFonts w:ascii="Times New Roman" w:hAnsi="Times New Roman" w:cs="Times New Roman"/>
                                <w:sz w:val="24"/>
                                <w:szCs w:val="24"/>
                              </w:rPr>
                            </w:pPr>
                            <w:r w:rsidRPr="00567D56">
                              <w:rPr>
                                <w:rFonts w:ascii="Times New Roman" w:hAnsi="Times New Roman" w:cs="Times New Roman"/>
                                <w:sz w:val="24"/>
                                <w:szCs w:val="24"/>
                              </w:rPr>
                              <w:t>Attention</w:t>
                            </w:r>
                          </w:p>
                        </w:txbxContent>
                      </v:textbox>
                    </v:shape>
                    <v:shape id="Text Box 61" o:spid="_x0000_s1038" type="#_x0000_t202" style="position:absolute;left:20478;top:3714;width:11526;height:6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14:paraId="3DD6A0B6" w14:textId="77777777" w:rsidR="00BB230A" w:rsidRPr="00567D56" w:rsidRDefault="00BB230A" w:rsidP="00BB230A">
                            <w:pPr>
                              <w:rPr>
                                <w:rFonts w:ascii="Times New Roman" w:hAnsi="Times New Roman" w:cs="Times New Roman"/>
                                <w:sz w:val="24"/>
                                <w:szCs w:val="24"/>
                              </w:rPr>
                            </w:pPr>
                            <w:r w:rsidRPr="00567D56">
                              <w:rPr>
                                <w:rFonts w:ascii="Times New Roman" w:hAnsi="Times New Roman" w:cs="Times New Roman"/>
                                <w:sz w:val="24"/>
                                <w:szCs w:val="24"/>
                              </w:rPr>
                              <w:t>Retention</w:t>
                            </w:r>
                          </w:p>
                        </w:txbxContent>
                      </v:textbox>
                    </v:shape>
                  </v:group>
                  <v:shape id="Text Box 63" o:spid="_x0000_s1039" type="#_x0000_t202" style="position:absolute;left:36671;top:3143;width:11525;height:6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14:paraId="50E555F3"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Motor Reproduction</w:t>
                          </w:r>
                        </w:p>
                      </w:txbxContent>
                    </v:textbox>
                  </v:shape>
                  <v:shape id="Text Box 64" o:spid="_x0000_s1040" type="#_x0000_t202" style="position:absolute;left:53244;top:3524;width:11526;height:6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14:paraId="0A8F4532"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Motivation</w:t>
                          </w:r>
                        </w:p>
                      </w:txbxContent>
                    </v:textbox>
                  </v:shape>
                </v:group>
                <v:shape id="Text Box 66" o:spid="_x0000_s1041" type="#_x0000_t202" style="position:absolute;left:1428;top:11144;width:1152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7C299F81"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Stimuli Focus</w:t>
                        </w:r>
                      </w:p>
                    </w:txbxContent>
                  </v:textbox>
                </v:shape>
                <v:shape id="Text Box 67" o:spid="_x0000_s1042" type="#_x0000_t202" style="position:absolute;left:17907;top:10953;width:14097;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14:paraId="1BA8087A"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Rehearse Encode</w:t>
                        </w:r>
                      </w:p>
                    </w:txbxContent>
                  </v:textbox>
                </v:shape>
                <v:shape id="Text Box 68" o:spid="_x0000_s1043" type="#_x0000_t202" style="position:absolute;left:34575;top:11144;width:1409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4B81FAE9"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Practice Feedback</w:t>
                        </w:r>
                      </w:p>
                    </w:txbxContent>
                  </v:textbox>
                </v:shape>
                <v:shape id="Text Box 69" o:spid="_x0000_s1044" type="#_x0000_t202" style="position:absolute;left:52768;top:10953;width:1409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" filled="f" stroked="f" strokeweight=".5pt">
                  <v:textbox>
                    <w:txbxContent>
                      <w:p w14:paraId="57BDBE61"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Reward Reinforce</w:t>
                        </w:r>
                      </w:p>
                    </w:txbxContent>
                  </v:textbox>
                </v:shape>
              </v:group>
            </w:pict>
          </mc:Fallback>
        </mc:AlternateContent>
      </w:r>
    </w:p>
    <w:p w14:paraId="2D4D7EBC" w14:textId="77777777" w:rsidR="00BB230A" w:rsidRPr="00FA161E" w:rsidRDefault="00BB230A" w:rsidP="00DA3538">
      <w:pPr>
        <w:spacing w:line="276" w:lineRule="auto"/>
        <w:jc w:val="both"/>
        <w:rPr>
          <w:rFonts w:ascii="Times New Roman" w:hAnsi="Times New Roman" w:cs="Times New Roman"/>
          <w:sz w:val="24"/>
          <w:szCs w:val="24"/>
        </w:rPr>
      </w:pPr>
    </w:p>
    <w:p w14:paraId="1103C3BF" w14:textId="77777777" w:rsidR="00BB230A" w:rsidRPr="00FA161E" w:rsidRDefault="00BB230A" w:rsidP="00DA3538">
      <w:pPr>
        <w:spacing w:line="276" w:lineRule="auto"/>
        <w:jc w:val="both"/>
        <w:rPr>
          <w:rFonts w:ascii="Times New Roman" w:hAnsi="Times New Roman" w:cs="Times New Roman"/>
          <w:sz w:val="24"/>
          <w:szCs w:val="24"/>
        </w:rPr>
      </w:pPr>
    </w:p>
    <w:p w14:paraId="58793ADF" w14:textId="77777777" w:rsidR="00BB230A" w:rsidRPr="00FA161E" w:rsidRDefault="00BB230A" w:rsidP="00DA3538">
      <w:pPr>
        <w:spacing w:line="276" w:lineRule="auto"/>
        <w:jc w:val="both"/>
        <w:rPr>
          <w:rFonts w:ascii="Times New Roman" w:hAnsi="Times New Roman" w:cs="Times New Roman"/>
          <w:b/>
          <w:sz w:val="24"/>
          <w:szCs w:val="24"/>
        </w:rPr>
      </w:pPr>
    </w:p>
    <w:p w14:paraId="3DD4579A" w14:textId="77777777" w:rsidR="00BB230A" w:rsidRPr="00FA161E" w:rsidRDefault="00BB230A" w:rsidP="00DA3538">
      <w:pPr>
        <w:spacing w:line="276" w:lineRule="auto"/>
        <w:jc w:val="both"/>
        <w:rPr>
          <w:rFonts w:ascii="Times New Roman" w:hAnsi="Times New Roman" w:cs="Times New Roman"/>
          <w:b/>
          <w:sz w:val="24"/>
          <w:szCs w:val="24"/>
        </w:rPr>
      </w:pPr>
    </w:p>
    <w:p w14:paraId="16317994" w14:textId="77777777" w:rsidR="00BB230A" w:rsidRPr="00FA161E" w:rsidRDefault="00BB230A" w:rsidP="00DA3538">
      <w:pPr>
        <w:spacing w:line="276" w:lineRule="auto"/>
        <w:jc w:val="both"/>
        <w:rPr>
          <w:rFonts w:ascii="Times New Roman" w:hAnsi="Times New Roman" w:cs="Times New Roman"/>
          <w:b/>
          <w:sz w:val="24"/>
          <w:szCs w:val="24"/>
        </w:rPr>
      </w:pPr>
    </w:p>
    <w:p w14:paraId="4AD7B344" w14:textId="6E818787" w:rsidR="008B4258" w:rsidRPr="00FA161E" w:rsidRDefault="008B4258"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Figure 1:</w:t>
      </w:r>
      <w:r w:rsidRPr="00FA161E">
        <w:rPr>
          <w:rFonts w:ascii="Times New Roman" w:hAnsi="Times New Roman" w:cs="Times New Roman"/>
          <w:b/>
          <w:sz w:val="24"/>
          <w:szCs w:val="24"/>
        </w:rPr>
        <w:t xml:space="preserve"> </w:t>
      </w:r>
      <w:r w:rsidRPr="00FA161E">
        <w:rPr>
          <w:rFonts w:ascii="Times New Roman" w:hAnsi="Times New Roman" w:cs="Times New Roman"/>
          <w:sz w:val="24"/>
          <w:szCs w:val="24"/>
        </w:rPr>
        <w:t>Social learning theory</w:t>
      </w:r>
    </w:p>
    <w:p w14:paraId="0311D2F3" w14:textId="7D128726"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Attention: According to social learning theory, in order for a person to imitate a behavior, it must attract our attention. Humans observe many behaviors on a daily basis and most of them are not significant (Lee and Lee, 2018). Accordingly, in order for any lesson or experience to have an effect on an observer, that observer must observe his surroundings carefully. In order for the observer to have positive feelings about it, the observer must recognize the model well. Also, the way the observer invests in the observation process is important for the observer to have strong feelings about the experience being observed. Accordingly, factors affecting attention include complexity, uniqueness and functional value (Amatucci and Crawley, 2011).</w:t>
      </w:r>
    </w:p>
    <w:p w14:paraId="5DD65FE2" w14:textId="77777777"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Retention: This refers to the extent to which an observer remembers what has been observed. If something observed at some point is not remembered, it does not allow for imitation. Accordingly, it is important to remember that to imitate something. As for most social actions, </w:t>
      </w:r>
      <w:r w:rsidRPr="00FA161E">
        <w:rPr>
          <w:rFonts w:ascii="Times New Roman" w:hAnsi="Times New Roman" w:cs="Times New Roman"/>
          <w:sz w:val="24"/>
          <w:szCs w:val="24"/>
        </w:rPr>
        <w:lastRenderedPageBreak/>
        <w:t>they are not instantaneous. Memory is important to refer to an event even if it happens again. Therefore, according to the social learning process, Retention is important for making their own actions based on the experience and information obtained from society (McLeod, 2016).</w:t>
      </w:r>
    </w:p>
    <w:p w14:paraId="0429565F" w14:textId="77777777"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Reproduction/ Initiation and motor capability: This means the ability to repeat the same based on the information and experience gathered through observation. Although people want to imitate, they are not always able to do so. Many behaviors are observed by people every day, and they are stored in memory. But sometimes it is not possible to imitate them due to physical abilities or other reasons. Therefore, individuals want to reproduce but are unable to do so (Bandura, 1977).</w:t>
      </w:r>
    </w:p>
    <w:p w14:paraId="40E328E5" w14:textId="77777777"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If a person wants to apply the lesson learned, the observer must be able to reproduce it realistically. But in order to reproduce and model a behavior, the necessary skills must be learned (Bandura, 1986). Through that, based on the information obtained through the observation of the society, it is possible to remember and reconstruct them.</w:t>
      </w:r>
    </w:p>
    <w:p w14:paraId="65A49D60" w14:textId="27A2E9CA"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Motivation: According to the social learning theory, motivation is important for engaging in some action based on the information gathered by an observer from the society. Accordingly, even if an observer focuses on a lesson, remembers all its details, and prepares all the necessary steps to do it, it will not happen if he is not motivated to do it (</w:t>
      </w:r>
      <w:proofErr w:type="spellStart"/>
      <w:r w:rsidRPr="00FA161E">
        <w:rPr>
          <w:rFonts w:ascii="Times New Roman" w:hAnsi="Times New Roman" w:cs="Times New Roman"/>
          <w:sz w:val="24"/>
          <w:szCs w:val="24"/>
        </w:rPr>
        <w:t>Mu‟izzuddin</w:t>
      </w:r>
      <w:proofErr w:type="spellEnd"/>
      <w:r w:rsidR="00AB5A90" w:rsidRPr="00FA161E">
        <w:rPr>
          <w:rFonts w:ascii="Times New Roman" w:hAnsi="Times New Roman" w:cs="Times New Roman"/>
          <w:sz w:val="24"/>
          <w:szCs w:val="24"/>
        </w:rPr>
        <w:t xml:space="preserve"> et al</w:t>
      </w:r>
      <w:r w:rsidRPr="00FA161E">
        <w:rPr>
          <w:rFonts w:ascii="Times New Roman" w:hAnsi="Times New Roman" w:cs="Times New Roman"/>
          <w:sz w:val="24"/>
          <w:szCs w:val="24"/>
        </w:rPr>
        <w:t>, 2017).</w:t>
      </w:r>
    </w:p>
    <w:p w14:paraId="773650F3" w14:textId="77777777"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The observer focuses on the rewards and punishments for that action to create motivation. It can also include the observation that similar behavior is rewarded, the behavior, the desire to be like the model displayed, or the desire to improve or learn. In addition, other factors that influence motivation include personal characteristics, past experiences, promised incentives, positive reinforcement and punishment (McLeod, 2016).</w:t>
      </w:r>
    </w:p>
    <w:p w14:paraId="79CC7BC0" w14:textId="7BB06A9F"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Social learning theory is important in discussing financial literacy. In other words, people are directed to learn about the financial literacy of individuals through society. According to social learning theory, people learn various things from their environment and especially from their parents, family and peers (Pinto et al., 2005). Accordingly, social learning refers to learning by interacting with others. In this context, individuals tend to learn certain things from their peers and family about the use of financial services and related concepts (</w:t>
      </w:r>
      <w:proofErr w:type="spellStart"/>
      <w:r w:rsidRPr="00FA161E">
        <w:rPr>
          <w:rFonts w:ascii="Times New Roman" w:hAnsi="Times New Roman" w:cs="Times New Roman"/>
          <w:sz w:val="24"/>
          <w:szCs w:val="24"/>
        </w:rPr>
        <w:t>Agabalinda</w:t>
      </w:r>
      <w:proofErr w:type="spellEnd"/>
      <w:r w:rsidR="00D53313" w:rsidRPr="00FA161E">
        <w:rPr>
          <w:rFonts w:ascii="Times New Roman" w:hAnsi="Times New Roman" w:cs="Times New Roman"/>
          <w:sz w:val="24"/>
          <w:szCs w:val="24"/>
        </w:rPr>
        <w:t xml:space="preserve"> and</w:t>
      </w:r>
      <w:r w:rsidRPr="00FA161E">
        <w:rPr>
          <w:rFonts w:ascii="Times New Roman" w:hAnsi="Times New Roman" w:cs="Times New Roman"/>
          <w:sz w:val="24"/>
          <w:szCs w:val="24"/>
        </w:rPr>
        <w:t xml:space="preserve"> </w:t>
      </w:r>
      <w:proofErr w:type="spellStart"/>
      <w:r w:rsidRPr="00FA161E">
        <w:rPr>
          <w:rFonts w:ascii="Times New Roman" w:hAnsi="Times New Roman" w:cs="Times New Roman"/>
          <w:sz w:val="24"/>
          <w:szCs w:val="24"/>
        </w:rPr>
        <w:t>Isoh</w:t>
      </w:r>
      <w:proofErr w:type="spellEnd"/>
      <w:r w:rsidRPr="00FA161E">
        <w:rPr>
          <w:rFonts w:ascii="Times New Roman" w:hAnsi="Times New Roman" w:cs="Times New Roman"/>
          <w:sz w:val="24"/>
          <w:szCs w:val="24"/>
        </w:rPr>
        <w:t>, 2020).</w:t>
      </w:r>
    </w:p>
    <w:p w14:paraId="34B47028" w14:textId="77777777"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Within the scope of financial social learning, many dimensions are included such as the way money management is done, the way new financial decisions are reached, and they refer to the learning of individuals socially. In it, the issues related to the financial literacy of individuals refer to gathering individuals through society (</w:t>
      </w:r>
      <w:proofErr w:type="spellStart"/>
      <w:r w:rsidRPr="00FA161E">
        <w:rPr>
          <w:rFonts w:ascii="Times New Roman" w:hAnsi="Times New Roman" w:cs="Times New Roman"/>
          <w:sz w:val="24"/>
          <w:szCs w:val="24"/>
        </w:rPr>
        <w:t>Agabalinda</w:t>
      </w:r>
      <w:proofErr w:type="spellEnd"/>
      <w:r w:rsidRPr="00FA161E">
        <w:rPr>
          <w:rFonts w:ascii="Times New Roman" w:hAnsi="Times New Roman" w:cs="Times New Roman"/>
          <w:sz w:val="24"/>
          <w:szCs w:val="24"/>
        </w:rPr>
        <w:t xml:space="preserve"> and </w:t>
      </w:r>
      <w:proofErr w:type="spellStart"/>
      <w:r w:rsidRPr="00FA161E">
        <w:rPr>
          <w:rFonts w:ascii="Times New Roman" w:hAnsi="Times New Roman" w:cs="Times New Roman"/>
          <w:sz w:val="24"/>
          <w:szCs w:val="24"/>
        </w:rPr>
        <w:t>Isoh</w:t>
      </w:r>
      <w:proofErr w:type="spellEnd"/>
      <w:r w:rsidRPr="00FA161E">
        <w:rPr>
          <w:rFonts w:ascii="Times New Roman" w:hAnsi="Times New Roman" w:cs="Times New Roman"/>
          <w:sz w:val="24"/>
          <w:szCs w:val="24"/>
        </w:rPr>
        <w:t>, 2020). According to Lee and Lee (2018), there is a positive relationship between financial knowledge and social learning. It found that people acquire or improve financial skills based on experiences from their peers, family members and parents (Gutter et al, 2010).</w:t>
      </w:r>
    </w:p>
    <w:p w14:paraId="093F8EAB" w14:textId="12D447AB"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Also, it has been recognized that individuals observe and gain experience from what their family and peers do about financial affairs, remember that information and use it for their own financial affairs (Mahdavi</w:t>
      </w:r>
      <w:r w:rsidR="00551482" w:rsidRPr="00FA161E">
        <w:rPr>
          <w:rFonts w:ascii="Times New Roman" w:hAnsi="Times New Roman" w:cs="Times New Roman"/>
          <w:sz w:val="24"/>
          <w:szCs w:val="24"/>
        </w:rPr>
        <w:t xml:space="preserve"> et al, </w:t>
      </w:r>
      <w:r w:rsidRPr="00FA161E">
        <w:rPr>
          <w:rFonts w:ascii="Times New Roman" w:hAnsi="Times New Roman" w:cs="Times New Roman"/>
          <w:sz w:val="24"/>
          <w:szCs w:val="24"/>
        </w:rPr>
        <w:t xml:space="preserve">2012). It has been recognized that individuals will be directed to prepare and make positive and profitable decisions from related financial matters (Campbell, </w:t>
      </w:r>
      <w:r w:rsidRPr="00FA161E">
        <w:rPr>
          <w:rFonts w:ascii="Times New Roman" w:hAnsi="Times New Roman" w:cs="Times New Roman"/>
          <w:sz w:val="24"/>
          <w:szCs w:val="24"/>
        </w:rPr>
        <w:lastRenderedPageBreak/>
        <w:t>2006). Accordingly, considering the facts indicated by the social learning theory, individuals use those facts in making financial decisions. It is also clear that the knowledge gathered through the society will increase the financial literacy of individuals (Lusardi and Mitchell, 2011a).</w:t>
      </w:r>
    </w:p>
    <w:p w14:paraId="6C273153" w14:textId="77777777" w:rsidR="00BB230A" w:rsidRPr="00FA161E" w:rsidRDefault="00BB230A" w:rsidP="00DA3538">
      <w:pPr>
        <w:spacing w:line="276" w:lineRule="auto"/>
        <w:jc w:val="both"/>
        <w:rPr>
          <w:rFonts w:ascii="Times New Roman" w:hAnsi="Times New Roman" w:cs="Times New Roman"/>
          <w:sz w:val="24"/>
          <w:szCs w:val="24"/>
        </w:rPr>
      </w:pPr>
    </w:p>
    <w:p w14:paraId="7E605DA3" w14:textId="77777777" w:rsidR="008B4258" w:rsidRDefault="008B4258" w:rsidP="00DA3538">
      <w:pPr>
        <w:spacing w:line="276" w:lineRule="auto"/>
        <w:ind w:left="450" w:hanging="90"/>
        <w:jc w:val="both"/>
        <w:rPr>
          <w:rFonts w:ascii="Times New Roman" w:hAnsi="Times New Roman" w:cs="Times New Roman"/>
          <w:sz w:val="24"/>
          <w:szCs w:val="24"/>
        </w:rPr>
      </w:pPr>
    </w:p>
    <w:p w14:paraId="4641C5C0" w14:textId="77777777" w:rsidR="00122232" w:rsidRDefault="00122232" w:rsidP="00DA3538">
      <w:pPr>
        <w:spacing w:line="276" w:lineRule="auto"/>
        <w:ind w:left="450" w:hanging="90"/>
        <w:jc w:val="both"/>
        <w:rPr>
          <w:rFonts w:ascii="Times New Roman" w:hAnsi="Times New Roman" w:cs="Times New Roman"/>
          <w:sz w:val="24"/>
          <w:szCs w:val="24"/>
        </w:rPr>
      </w:pPr>
    </w:p>
    <w:p w14:paraId="5910AC9D" w14:textId="77777777" w:rsidR="00122232" w:rsidRPr="00FA161E" w:rsidRDefault="00122232" w:rsidP="00DA3538">
      <w:pPr>
        <w:spacing w:line="276" w:lineRule="auto"/>
        <w:ind w:left="450" w:hanging="90"/>
        <w:jc w:val="both"/>
        <w:rPr>
          <w:rFonts w:ascii="Times New Roman" w:hAnsi="Times New Roman" w:cs="Times New Roman"/>
          <w:sz w:val="24"/>
          <w:szCs w:val="24"/>
        </w:rPr>
      </w:pPr>
    </w:p>
    <w:p w14:paraId="6A6409D7" w14:textId="7A392C2B" w:rsidR="002A76B7" w:rsidRPr="00FA161E" w:rsidRDefault="002A361A" w:rsidP="00DA3538">
      <w:pPr>
        <w:spacing w:line="276" w:lineRule="auto"/>
        <w:ind w:left="450" w:hanging="90"/>
        <w:jc w:val="both"/>
        <w:rPr>
          <w:rFonts w:ascii="Times New Roman" w:hAnsi="Times New Roman" w:cs="Times New Roman"/>
          <w:sz w:val="24"/>
          <w:szCs w:val="24"/>
        </w:rPr>
      </w:pPr>
      <w:r w:rsidRPr="00FA161E">
        <w:rPr>
          <w:rFonts w:ascii="Times New Roman" w:hAnsi="Times New Roman" w:cs="Times New Roman"/>
          <w:sz w:val="24"/>
          <w:szCs w:val="24"/>
        </w:rPr>
        <w:t xml:space="preserve">02.3 </w:t>
      </w:r>
      <w:r w:rsidR="001B2F93" w:rsidRPr="00FA161E">
        <w:rPr>
          <w:rFonts w:ascii="Times New Roman" w:hAnsi="Times New Roman" w:cs="Times New Roman"/>
          <w:sz w:val="24"/>
          <w:szCs w:val="24"/>
        </w:rPr>
        <w:t>Empirical Review of the Study</w:t>
      </w:r>
    </w:p>
    <w:p w14:paraId="7E0FF685"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A considerable number of studies have examined the concept of online banking from different perspectives. Previous research has explored several aspects such as the factors influencing customers’ adoption of online banking, the efficiency of online banking services, and the advantages and limitations associated with its use. The key findings of earlier studies related to online banking can therefore be summarized as follows.</w:t>
      </w:r>
    </w:p>
    <w:p w14:paraId="45715536" w14:textId="77777777" w:rsidR="005C3791" w:rsidRPr="005C3791" w:rsidRDefault="005C3791" w:rsidP="00DA3538">
      <w:pPr>
        <w:spacing w:line="276" w:lineRule="auto"/>
        <w:jc w:val="both"/>
        <w:rPr>
          <w:rFonts w:ascii="Times New Roman" w:hAnsi="Times New Roman" w:cs="Times New Roman"/>
          <w:sz w:val="24"/>
          <w:szCs w:val="24"/>
        </w:rPr>
      </w:pPr>
      <w:proofErr w:type="spellStart"/>
      <w:r w:rsidRPr="005C3791">
        <w:rPr>
          <w:rFonts w:ascii="Times New Roman" w:hAnsi="Times New Roman" w:cs="Times New Roman"/>
          <w:sz w:val="24"/>
          <w:szCs w:val="24"/>
        </w:rPr>
        <w:t>Jegatheesparan</w:t>
      </w:r>
      <w:proofErr w:type="spellEnd"/>
      <w:r w:rsidRPr="005C3791">
        <w:rPr>
          <w:rFonts w:ascii="Times New Roman" w:hAnsi="Times New Roman" w:cs="Times New Roman"/>
          <w:sz w:val="24"/>
          <w:szCs w:val="24"/>
        </w:rPr>
        <w:t xml:space="preserve"> and </w:t>
      </w:r>
      <w:proofErr w:type="spellStart"/>
      <w:r w:rsidRPr="005C3791">
        <w:rPr>
          <w:rFonts w:ascii="Times New Roman" w:hAnsi="Times New Roman" w:cs="Times New Roman"/>
          <w:sz w:val="24"/>
          <w:szCs w:val="24"/>
        </w:rPr>
        <w:t>Ajeshwaran</w:t>
      </w:r>
      <w:proofErr w:type="spellEnd"/>
      <w:r w:rsidRPr="005C3791">
        <w:rPr>
          <w:rFonts w:ascii="Times New Roman" w:hAnsi="Times New Roman" w:cs="Times New Roman"/>
          <w:sz w:val="24"/>
          <w:szCs w:val="24"/>
        </w:rPr>
        <w:t xml:space="preserve"> (2020) conducted a study to identify the factors influencing customers in Sri Lanka to adopt online banking services. The study was based on a sample of 180 respondents and examined variables such as ease of use, perceived usefulness, compatibility, security, and information quality. The findings revealed that ease of use, usefulness, compatibility, and information quality have a significant positive influence on customers’ adoption of online banking services. Similarly, </w:t>
      </w:r>
      <w:proofErr w:type="spellStart"/>
      <w:r w:rsidRPr="005C3791">
        <w:rPr>
          <w:rFonts w:ascii="Times New Roman" w:hAnsi="Times New Roman" w:cs="Times New Roman"/>
          <w:sz w:val="24"/>
          <w:szCs w:val="24"/>
        </w:rPr>
        <w:t>Nedumaran</w:t>
      </w:r>
      <w:proofErr w:type="spellEnd"/>
      <w:r w:rsidRPr="005C3791">
        <w:rPr>
          <w:rFonts w:ascii="Times New Roman" w:hAnsi="Times New Roman" w:cs="Times New Roman"/>
          <w:sz w:val="24"/>
          <w:szCs w:val="24"/>
        </w:rPr>
        <w:t xml:space="preserve"> and </w:t>
      </w:r>
      <w:proofErr w:type="spellStart"/>
      <w:r w:rsidRPr="005C3791">
        <w:rPr>
          <w:rFonts w:ascii="Times New Roman" w:hAnsi="Times New Roman" w:cs="Times New Roman"/>
          <w:sz w:val="24"/>
          <w:szCs w:val="24"/>
        </w:rPr>
        <w:t>Baladevi</w:t>
      </w:r>
      <w:proofErr w:type="spellEnd"/>
      <w:r w:rsidRPr="005C3791">
        <w:rPr>
          <w:rFonts w:ascii="Times New Roman" w:hAnsi="Times New Roman" w:cs="Times New Roman"/>
          <w:sz w:val="24"/>
          <w:szCs w:val="24"/>
        </w:rPr>
        <w:t xml:space="preserve"> (2018) investigated the level of customer awareness regarding the services offered through online banking. Their findings indicated that although most respondents possessed a reasonable level of awareness about these services, banks should take further steps to educate customers about new technological developments and available services. In addition, the study suggested extending customer interaction time with bank officials in order to retain existing customers and attract potential clients. These findings indicate that increased customer awareness can encourage greater adoption of online banking services.</w:t>
      </w:r>
    </w:p>
    <w:p w14:paraId="27DECD10"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A study conducted in Thailand examined the determinants influencing customers’ usage of online banking by analyzing variables such as customer expectations, perceived value, perceived quality, customer complaints, customer satisfaction, and customer loyalty. The results demonstrated that all these factors influence the use of online banking, with perceived quality and perceived value having the strongest impact on customers’ adoption behavior (</w:t>
      </w:r>
      <w:proofErr w:type="spellStart"/>
      <w:r w:rsidRPr="005C3791">
        <w:rPr>
          <w:rFonts w:ascii="Times New Roman" w:hAnsi="Times New Roman" w:cs="Times New Roman"/>
          <w:sz w:val="24"/>
          <w:szCs w:val="24"/>
        </w:rPr>
        <w:t>Unyathanakorn</w:t>
      </w:r>
      <w:proofErr w:type="spellEnd"/>
      <w:r w:rsidRPr="005C3791">
        <w:rPr>
          <w:rFonts w:ascii="Times New Roman" w:hAnsi="Times New Roman" w:cs="Times New Roman"/>
          <w:sz w:val="24"/>
          <w:szCs w:val="24"/>
        </w:rPr>
        <w:t xml:space="preserve"> &amp; </w:t>
      </w:r>
      <w:proofErr w:type="spellStart"/>
      <w:r w:rsidRPr="005C3791">
        <w:rPr>
          <w:rFonts w:ascii="Times New Roman" w:hAnsi="Times New Roman" w:cs="Times New Roman"/>
          <w:sz w:val="24"/>
          <w:szCs w:val="24"/>
        </w:rPr>
        <w:t>Rompho</w:t>
      </w:r>
      <w:proofErr w:type="spellEnd"/>
      <w:r w:rsidRPr="005C3791">
        <w:rPr>
          <w:rFonts w:ascii="Times New Roman" w:hAnsi="Times New Roman" w:cs="Times New Roman"/>
          <w:sz w:val="24"/>
          <w:szCs w:val="24"/>
        </w:rPr>
        <w:t>, 2014). Similarly, research examining the relationship between customer satisfaction and online banking usage found that customer satisfaction positively influences the likelihood of using online banking services. Factors such as system availability, efficiency, privacy, responsiveness, connectivity, and website design were identified as significant contributors to higher customer satisfaction (Abbasi, 2018).</w:t>
      </w:r>
    </w:p>
    <w:p w14:paraId="296DAD7D"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 xml:space="preserve">Gautam and Sah (2023) investigated the impact of online banking service practices on e-customer satisfaction and e-customer loyalty. In their study, service quality was measured using </w:t>
      </w:r>
      <w:r w:rsidRPr="005C3791">
        <w:rPr>
          <w:rFonts w:ascii="Times New Roman" w:hAnsi="Times New Roman" w:cs="Times New Roman"/>
          <w:sz w:val="24"/>
          <w:szCs w:val="24"/>
        </w:rPr>
        <w:lastRenderedPageBreak/>
        <w:t xml:space="preserve">dimensions such as organizational website features, e-customer service, user-friendliness, website efficiency, privacy, and security. The findings indicated that the effectiveness of e-customer service plays a particularly significant role in online banking service quality, while privacy, security, and user-friendliness are also important determinants. Similarly, Dianne and </w:t>
      </w:r>
      <w:proofErr w:type="spellStart"/>
      <w:r w:rsidRPr="005C3791">
        <w:rPr>
          <w:rFonts w:ascii="Times New Roman" w:hAnsi="Times New Roman" w:cs="Times New Roman"/>
          <w:sz w:val="24"/>
          <w:szCs w:val="24"/>
        </w:rPr>
        <w:t>Quiber</w:t>
      </w:r>
      <w:proofErr w:type="spellEnd"/>
      <w:r w:rsidRPr="005C3791">
        <w:rPr>
          <w:rFonts w:ascii="Times New Roman" w:hAnsi="Times New Roman" w:cs="Times New Roman"/>
          <w:sz w:val="24"/>
          <w:szCs w:val="24"/>
        </w:rPr>
        <w:t xml:space="preserve"> (2023) noted that online banking offers fast and reliable services to customers. However, as many customers remain hesitant to adopt online banking services, their study examined factors affecting customer satisfaction in order to identify existing challenges and improve the customer experience. The study identified convenience, security, speed, and service quality as key determinants influencing customer satisfaction. Furthermore, the development of online banking systems and technological advancements have enabled banks to attract more customers while simultaneously reducing operational costs.</w:t>
      </w:r>
    </w:p>
    <w:p w14:paraId="6FA5639B"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Gijón and Covadonga (2023) examined whether customers’ orientation toward online banking varies according to demographic characteristics such as gender and education level. The results indicated that significant differences exist based on both gender and educational attainment. In addition, the study highlighted that individuals with higher levels of digital skills are more likely to use online banking services.</w:t>
      </w:r>
    </w:p>
    <w:p w14:paraId="36EB3149"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Naeem et al. (2023) conducted a SWOT analysis of online banking services provided by banks in Pakistan. The study identified strengths such as competitive advantage, reduced need for physical branch visits, system integration, user-friendly services for both customers and managers, a large customer base, and cost reduction for banks. Weaknesses included low literacy rates, scalability challenges, connectivity issues, website maintenance problems, cybersecurity threats, and poor customer relationship management. Opportunities included ready access to customers, high demand for financial products, easy access to financial records, simplified loan facilities, reduced queues, and convenience for elderly customers. However, threats such as weak regulatory frameworks, inadequate IT infrastructure, security concerns, operational complexities, interference from foreign banks, and potential money laundering activities were also identified. Similarly, Islam et al. (2023) found that the use of online banking in Bangladesh is increasing rapidly. Their research highlighted that service quality, security, and convenience are major factors influencing customer satisfaction with online banking services.</w:t>
      </w:r>
    </w:p>
    <w:p w14:paraId="77CEA0A6"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 xml:space="preserve">In addition to these factors, several researchers have investigated how financial literacy influences individuals’ adoption of online banking. </w:t>
      </w:r>
      <w:proofErr w:type="spellStart"/>
      <w:r w:rsidRPr="005C3791">
        <w:rPr>
          <w:rFonts w:ascii="Times New Roman" w:hAnsi="Times New Roman" w:cs="Times New Roman"/>
          <w:sz w:val="24"/>
          <w:szCs w:val="24"/>
        </w:rPr>
        <w:t>Andreou</w:t>
      </w:r>
      <w:proofErr w:type="spellEnd"/>
      <w:r w:rsidRPr="005C3791">
        <w:rPr>
          <w:rFonts w:ascii="Times New Roman" w:hAnsi="Times New Roman" w:cs="Times New Roman"/>
          <w:sz w:val="24"/>
          <w:szCs w:val="24"/>
        </w:rPr>
        <w:t xml:space="preserve"> and </w:t>
      </w:r>
      <w:proofErr w:type="spellStart"/>
      <w:r w:rsidRPr="005C3791">
        <w:rPr>
          <w:rFonts w:ascii="Times New Roman" w:hAnsi="Times New Roman" w:cs="Times New Roman"/>
          <w:sz w:val="24"/>
          <w:szCs w:val="24"/>
        </w:rPr>
        <w:t>Anyfantaki</w:t>
      </w:r>
      <w:proofErr w:type="spellEnd"/>
      <w:r w:rsidRPr="005C3791">
        <w:rPr>
          <w:rFonts w:ascii="Times New Roman" w:hAnsi="Times New Roman" w:cs="Times New Roman"/>
          <w:sz w:val="24"/>
          <w:szCs w:val="24"/>
        </w:rPr>
        <w:t xml:space="preserve"> (2020) conducted a study among the elderly population in Cyprus following the country’s financial crisis in 2013. As part of post-crisis financial reforms, Cyprus expanded digital banking facilities including online banking services. However, the study revealed that financial literacy among the population remains relatively low, with only 37.33% of respondents demonstrating a high level of financial literacy. The findings confirmed a positive relationship between financial literacy and the use of online banking services.</w:t>
      </w:r>
    </w:p>
    <w:p w14:paraId="4CF5E60F"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 xml:space="preserve">Similarly, Lisa (2008) examined the relationship between financial literacy and online banking behavior, focusing particularly on low-income populations and individuals living in inner-city areas. The results suggested a potential relationship between financial literacy and online banking usage. The study also found that financial literacy levels among low-income </w:t>
      </w:r>
      <w:r w:rsidRPr="005C3791">
        <w:rPr>
          <w:rFonts w:ascii="Times New Roman" w:hAnsi="Times New Roman" w:cs="Times New Roman"/>
          <w:sz w:val="24"/>
          <w:szCs w:val="24"/>
        </w:rPr>
        <w:lastRenderedPageBreak/>
        <w:t>populations were relatively low, indicating the need for targeted interventions to improve financial knowledge and encourage effective use of online banking services.</w:t>
      </w:r>
    </w:p>
    <w:p w14:paraId="10879AB4"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Yates (2016) conducted research among African American banking customers to examine the factors influencing online banking adoption. The study found that financial literacy, in addition to income and education, has a strong positive effect on the use of online banking services. The findings suggest that improved financial literacy can contribute to more effective and efficient use of online banking systems.</w:t>
      </w:r>
    </w:p>
    <w:p w14:paraId="3D46A948"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Similarly, Bapat (2019) investigated the factors influencing online banking adoption among postgraduate students in India. The study concluded that financial literacy has a significant positive influence on the use of online banking services. In Japan, a financial literacy index was developed using data from approximately 25,000 participants from the Bank of Japan’s 2019 Financial Literacy Survey to examine the relationship between financial literacy and the use of e-payments and online banking. The findings revealed that individuals with higher levels of financial literacy are more likely to adopt online banking services (Long et al., 2023).</w:t>
      </w:r>
    </w:p>
    <w:p w14:paraId="5AD90A58" w14:textId="77777777" w:rsidR="005C3791" w:rsidRPr="005C3791" w:rsidRDefault="005C3791" w:rsidP="00DA3538">
      <w:pPr>
        <w:spacing w:line="276" w:lineRule="auto"/>
        <w:jc w:val="both"/>
        <w:rPr>
          <w:rFonts w:ascii="Times New Roman" w:hAnsi="Times New Roman" w:cs="Times New Roman"/>
          <w:sz w:val="24"/>
          <w:szCs w:val="24"/>
        </w:rPr>
      </w:pPr>
      <w:proofErr w:type="spellStart"/>
      <w:r w:rsidRPr="005C3791">
        <w:rPr>
          <w:rFonts w:ascii="Times New Roman" w:hAnsi="Times New Roman" w:cs="Times New Roman"/>
          <w:sz w:val="24"/>
          <w:szCs w:val="24"/>
        </w:rPr>
        <w:t>Satoto</w:t>
      </w:r>
      <w:proofErr w:type="spellEnd"/>
      <w:r w:rsidRPr="005C3791">
        <w:rPr>
          <w:rFonts w:ascii="Times New Roman" w:hAnsi="Times New Roman" w:cs="Times New Roman"/>
          <w:sz w:val="24"/>
          <w:szCs w:val="24"/>
        </w:rPr>
        <w:t xml:space="preserve"> and Putra (2021) further examined the impact of financial literacy and other determinants on individuals’ intention to use electronic money. Their findings indicated that financial literacy directly influences individuals’ intention to adopt digital financial services. Similarly, </w:t>
      </w:r>
      <w:proofErr w:type="spellStart"/>
      <w:r w:rsidRPr="005C3791">
        <w:rPr>
          <w:rFonts w:ascii="Times New Roman" w:hAnsi="Times New Roman" w:cs="Times New Roman"/>
          <w:sz w:val="24"/>
          <w:szCs w:val="24"/>
        </w:rPr>
        <w:t>Seryon</w:t>
      </w:r>
      <w:proofErr w:type="spellEnd"/>
      <w:r w:rsidRPr="005C3791">
        <w:rPr>
          <w:rFonts w:ascii="Times New Roman" w:hAnsi="Times New Roman" w:cs="Times New Roman"/>
          <w:sz w:val="24"/>
          <w:szCs w:val="24"/>
        </w:rPr>
        <w:t xml:space="preserve"> and </w:t>
      </w:r>
      <w:proofErr w:type="spellStart"/>
      <w:r w:rsidRPr="005C3791">
        <w:rPr>
          <w:rFonts w:ascii="Times New Roman" w:hAnsi="Times New Roman" w:cs="Times New Roman"/>
          <w:sz w:val="24"/>
          <w:szCs w:val="24"/>
        </w:rPr>
        <w:t>Kaestner</w:t>
      </w:r>
      <w:proofErr w:type="spellEnd"/>
      <w:r w:rsidRPr="005C3791">
        <w:rPr>
          <w:rFonts w:ascii="Times New Roman" w:hAnsi="Times New Roman" w:cs="Times New Roman"/>
          <w:sz w:val="24"/>
          <w:szCs w:val="24"/>
        </w:rPr>
        <w:t xml:space="preserve"> (2008) studied the relationship between financial literacy, communication technology, and financial behavior among low-income bank customers. The study revealed a significant association between communication technology and financial literacy, while also noting that low- and moderate-income urban populations show interest in improving their technological and financial knowledge, although achieving this requires substantial effort.</w:t>
      </w:r>
    </w:p>
    <w:p w14:paraId="536EADFB" w14:textId="77777777" w:rsidR="005C3791" w:rsidRPr="005C3791" w:rsidRDefault="005C3791" w:rsidP="00DA3538">
      <w:pPr>
        <w:spacing w:line="276" w:lineRule="auto"/>
        <w:jc w:val="both"/>
        <w:rPr>
          <w:rFonts w:ascii="Times New Roman" w:hAnsi="Times New Roman" w:cs="Times New Roman"/>
          <w:sz w:val="24"/>
          <w:szCs w:val="24"/>
        </w:rPr>
      </w:pPr>
      <w:proofErr w:type="spellStart"/>
      <w:r w:rsidRPr="005C3791">
        <w:rPr>
          <w:rFonts w:ascii="Times New Roman" w:hAnsi="Times New Roman" w:cs="Times New Roman"/>
          <w:sz w:val="24"/>
          <w:szCs w:val="24"/>
        </w:rPr>
        <w:t>Banai</w:t>
      </w:r>
      <w:proofErr w:type="spellEnd"/>
      <w:r w:rsidRPr="005C3791">
        <w:rPr>
          <w:rFonts w:ascii="Times New Roman" w:hAnsi="Times New Roman" w:cs="Times New Roman"/>
          <w:sz w:val="24"/>
          <w:szCs w:val="24"/>
        </w:rPr>
        <w:t xml:space="preserve"> and </w:t>
      </w:r>
      <w:proofErr w:type="spellStart"/>
      <w:r w:rsidRPr="005C3791">
        <w:rPr>
          <w:rFonts w:ascii="Times New Roman" w:hAnsi="Times New Roman" w:cs="Times New Roman"/>
          <w:sz w:val="24"/>
          <w:szCs w:val="24"/>
        </w:rPr>
        <w:t>Alpek</w:t>
      </w:r>
      <w:proofErr w:type="spellEnd"/>
      <w:r w:rsidRPr="005C3791">
        <w:rPr>
          <w:rFonts w:ascii="Times New Roman" w:hAnsi="Times New Roman" w:cs="Times New Roman"/>
          <w:sz w:val="24"/>
          <w:szCs w:val="24"/>
        </w:rPr>
        <w:t xml:space="preserve"> (2023) explored whether online banking could replace traditional personal banking services through a study involving 1,000 adults in Hungary. The findings indicated that customers generally do not consider online banking as a complete substitute for traditional banking services. The primary reason identified was the relatively low level of financial literacy among elderly customers and their limited familiarity with new technologies.</w:t>
      </w:r>
    </w:p>
    <w:p w14:paraId="5815521F"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 xml:space="preserve">Overall, previous research indicates that financial literacy plays an important role in influencing customers’ adoption and use of online banking services. While some studies highlight positive relationships between financial literacy and online banking usage, others suggest that technological knowledge and demographic factors also influence adoption behavior. In the context of Sri Lanka, several studies have separately examined financial literacy and online banking usage. However, limited research has explored the combined relationship between financial literacy and online banking adoption. Therefore, this study aims to examine the impact of customers’ financial literacy on the use of online banking in the city of </w:t>
      </w:r>
      <w:proofErr w:type="spellStart"/>
      <w:r w:rsidRPr="005C3791">
        <w:rPr>
          <w:rFonts w:ascii="Times New Roman" w:hAnsi="Times New Roman" w:cs="Times New Roman"/>
          <w:sz w:val="24"/>
          <w:szCs w:val="24"/>
        </w:rPr>
        <w:t>Balangoda</w:t>
      </w:r>
      <w:proofErr w:type="spellEnd"/>
      <w:r w:rsidRPr="005C3791">
        <w:rPr>
          <w:rFonts w:ascii="Times New Roman" w:hAnsi="Times New Roman" w:cs="Times New Roman"/>
          <w:sz w:val="24"/>
          <w:szCs w:val="24"/>
        </w:rPr>
        <w:t>, Sri Lanka.</w:t>
      </w:r>
    </w:p>
    <w:p w14:paraId="6669CDF4" w14:textId="77777777" w:rsidR="00F440F3" w:rsidRPr="00FA161E" w:rsidRDefault="00F440F3" w:rsidP="00DA3538">
      <w:pPr>
        <w:spacing w:line="276" w:lineRule="auto"/>
        <w:jc w:val="both"/>
        <w:rPr>
          <w:rFonts w:ascii="Times New Roman" w:hAnsi="Times New Roman" w:cs="Times New Roman"/>
          <w:sz w:val="24"/>
          <w:szCs w:val="24"/>
        </w:rPr>
      </w:pPr>
    </w:p>
    <w:p w14:paraId="4D47942E" w14:textId="0234093A" w:rsidR="00F440F3" w:rsidRPr="00FA161E" w:rsidRDefault="00F440F3" w:rsidP="00DA3538">
      <w:pPr>
        <w:pStyle w:val="ListParagraph"/>
        <w:numPr>
          <w:ilvl w:val="0"/>
          <w:numId w:val="2"/>
        </w:num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Methodology</w:t>
      </w:r>
    </w:p>
    <w:p w14:paraId="087F252B" w14:textId="5D0C61C1" w:rsidR="00F440F3" w:rsidRPr="00FA161E" w:rsidRDefault="00C32F38"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lastRenderedPageBreak/>
        <w:t>This research has used quantitative techniques to analyze the</w:t>
      </w:r>
      <w:r w:rsidR="007F317A" w:rsidRPr="00FA161E">
        <w:rPr>
          <w:rFonts w:ascii="Times New Roman" w:hAnsi="Times New Roman" w:cs="Times New Roman"/>
          <w:sz w:val="24"/>
          <w:szCs w:val="24"/>
        </w:rPr>
        <w:t xml:space="preserve"> data from a sample </w:t>
      </w:r>
      <w:r w:rsidR="006C7FE0" w:rsidRPr="00FA161E">
        <w:rPr>
          <w:rFonts w:ascii="Times New Roman" w:hAnsi="Times New Roman" w:cs="Times New Roman"/>
          <w:sz w:val="24"/>
          <w:szCs w:val="24"/>
        </w:rPr>
        <w:t>of 382</w:t>
      </w:r>
      <w:r w:rsidR="00F440F3" w:rsidRPr="00FA161E">
        <w:rPr>
          <w:rFonts w:ascii="Times New Roman" w:hAnsi="Times New Roman" w:cs="Times New Roman"/>
          <w:sz w:val="24"/>
          <w:szCs w:val="24"/>
        </w:rPr>
        <w:t xml:space="preserve"> bank customers of </w:t>
      </w:r>
      <w:proofErr w:type="spellStart"/>
      <w:r w:rsidR="00F440F3" w:rsidRPr="00FA161E">
        <w:rPr>
          <w:rFonts w:ascii="Times New Roman" w:hAnsi="Times New Roman" w:cs="Times New Roman"/>
          <w:sz w:val="24"/>
          <w:szCs w:val="24"/>
        </w:rPr>
        <w:t>Balangoda</w:t>
      </w:r>
      <w:proofErr w:type="spellEnd"/>
      <w:r w:rsidR="00F440F3" w:rsidRPr="00FA161E">
        <w:rPr>
          <w:rFonts w:ascii="Times New Roman" w:hAnsi="Times New Roman" w:cs="Times New Roman"/>
          <w:sz w:val="24"/>
          <w:szCs w:val="24"/>
        </w:rPr>
        <w:t xml:space="preserve"> Divisional Secretariat Division in Ratnapura district of Sabaragamuwa provinc</w:t>
      </w:r>
      <w:r w:rsidR="007F317A" w:rsidRPr="00FA161E">
        <w:rPr>
          <w:rFonts w:ascii="Times New Roman" w:hAnsi="Times New Roman" w:cs="Times New Roman"/>
          <w:sz w:val="24"/>
          <w:szCs w:val="24"/>
        </w:rPr>
        <w:t>e</w:t>
      </w:r>
      <w:r w:rsidR="00F440F3" w:rsidRPr="00FA161E">
        <w:rPr>
          <w:rFonts w:ascii="Times New Roman" w:hAnsi="Times New Roman" w:cs="Times New Roman"/>
          <w:sz w:val="24"/>
          <w:szCs w:val="24"/>
        </w:rPr>
        <w:t xml:space="preserve">. In selecting this sample, simple random sampling method was used to select the divisional secretariat and </w:t>
      </w:r>
      <w:r w:rsidR="00DB79F7" w:rsidRPr="00FA161E">
        <w:rPr>
          <w:rFonts w:ascii="Times New Roman" w:hAnsi="Times New Roman" w:cs="Times New Roman"/>
          <w:sz w:val="24"/>
          <w:szCs w:val="24"/>
        </w:rPr>
        <w:t>382</w:t>
      </w:r>
      <w:r w:rsidR="00F440F3" w:rsidRPr="00FA161E">
        <w:rPr>
          <w:rFonts w:ascii="Times New Roman" w:hAnsi="Times New Roman" w:cs="Times New Roman"/>
          <w:sz w:val="24"/>
          <w:szCs w:val="24"/>
        </w:rPr>
        <w:t xml:space="preserve"> customers. This gives the customers an equal opportunity to choose from the crowd who are focusing on online banking. This has been done to eliminate bias.</w:t>
      </w:r>
    </w:p>
    <w:p w14:paraId="3E6942F0" w14:textId="645989DB" w:rsidR="00F440F3" w:rsidRPr="00FA161E" w:rsidRDefault="00F440F3"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According to the population above 20 years in </w:t>
      </w:r>
      <w:proofErr w:type="spellStart"/>
      <w:r w:rsidRPr="00FA161E">
        <w:rPr>
          <w:rFonts w:ascii="Times New Roman" w:hAnsi="Times New Roman" w:cs="Times New Roman"/>
          <w:sz w:val="24"/>
          <w:szCs w:val="24"/>
        </w:rPr>
        <w:t>Balangoda</w:t>
      </w:r>
      <w:proofErr w:type="spellEnd"/>
      <w:r w:rsidRPr="00FA161E">
        <w:rPr>
          <w:rFonts w:ascii="Times New Roman" w:hAnsi="Times New Roman" w:cs="Times New Roman"/>
          <w:sz w:val="24"/>
          <w:szCs w:val="24"/>
        </w:rPr>
        <w:t xml:space="preserve"> Divisional Secretariat Division total population is 54 623</w:t>
      </w:r>
      <w:r w:rsidR="00DB79F7" w:rsidRPr="00FA161E">
        <w:rPr>
          <w:rFonts w:ascii="Times New Roman" w:hAnsi="Times New Roman" w:cs="Times New Roman"/>
          <w:sz w:val="24"/>
          <w:szCs w:val="24"/>
        </w:rPr>
        <w:t>(Census report, 2012)</w:t>
      </w:r>
      <w:r w:rsidRPr="00FA161E">
        <w:rPr>
          <w:rFonts w:ascii="Times New Roman" w:hAnsi="Times New Roman" w:cs="Times New Roman"/>
          <w:sz w:val="24"/>
          <w:szCs w:val="24"/>
        </w:rPr>
        <w:t xml:space="preserve">. Based on the population the following </w:t>
      </w:r>
      <w:proofErr w:type="spellStart"/>
      <w:r w:rsidRPr="00FA161E">
        <w:rPr>
          <w:rFonts w:ascii="Times New Roman" w:hAnsi="Times New Roman" w:cs="Times New Roman"/>
          <w:sz w:val="24"/>
          <w:szCs w:val="24"/>
        </w:rPr>
        <w:t>Krejcie</w:t>
      </w:r>
      <w:proofErr w:type="spellEnd"/>
      <w:r w:rsidRPr="00FA161E">
        <w:rPr>
          <w:rFonts w:ascii="Times New Roman" w:hAnsi="Times New Roman" w:cs="Times New Roman"/>
          <w:sz w:val="24"/>
          <w:szCs w:val="24"/>
        </w:rPr>
        <w:t xml:space="preserve"> and Morgan sample size calculation formula was used to calculate the sample size.</w:t>
      </w:r>
      <w:r w:rsidR="00B215CC" w:rsidRPr="00FA161E">
        <w:rPr>
          <w:rFonts w:ascii="Times New Roman" w:hAnsi="Times New Roman" w:cs="Times New Roman"/>
          <w:sz w:val="24"/>
          <w:szCs w:val="24"/>
        </w:rPr>
        <w:t xml:space="preserve"> </w:t>
      </w:r>
      <w:r w:rsidRPr="00FA161E">
        <w:rPr>
          <w:rFonts w:ascii="Times New Roman" w:hAnsi="Times New Roman" w:cs="Times New Roman"/>
          <w:sz w:val="24"/>
          <w:szCs w:val="24"/>
        </w:rPr>
        <w:t xml:space="preserve">Accordingly, based on the sample size determination equation for this study is obtained 382 sample. </w:t>
      </w:r>
    </w:p>
    <w:p w14:paraId="6739CFAC" w14:textId="77E69790" w:rsidR="00F440F3" w:rsidRPr="00FA161E" w:rsidRDefault="00F440F3"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Some of the main factors that influenced the selection of Sabaragamuwa province for this study can be identified. Considering Sri Lanka as a whole, Sabaragamuwa province is represented by the 5th largest population. According to the population and housing census report of 2012, the population of Sabaragamuwa province is 1 928 655. According to Computer Literacy Statistics 2022, Sabaragamuwa province is the second highest province in terms of computer usage and ownership. Its value is 20.0%. Also, according to the Census of Population and Housing - 2012, the literacy rate is 94.8% </w:t>
      </w:r>
      <w:r w:rsidR="00583A93" w:rsidRPr="00FA161E">
        <w:rPr>
          <w:rFonts w:ascii="Times New Roman" w:hAnsi="Times New Roman" w:cs="Times New Roman"/>
          <w:sz w:val="24"/>
          <w:szCs w:val="24"/>
        </w:rPr>
        <w:t xml:space="preserve">and in comparison, </w:t>
      </w:r>
      <w:r w:rsidRPr="00FA161E">
        <w:rPr>
          <w:rFonts w:ascii="Times New Roman" w:hAnsi="Times New Roman" w:cs="Times New Roman"/>
          <w:sz w:val="24"/>
          <w:szCs w:val="24"/>
        </w:rPr>
        <w:t xml:space="preserve">with other provinces, this is the third highest value. Also, the computer literacy rate is 19.9. Based on the peculiarities of Sabaragamuwa province, it was chosen as the basis for the sample of the study. Also, in the research conducted on the use of online banking and financial literacy, although research has been done in other areas, this study area was chosen to fill the gap in this study due to the fact that research has not been done in relation to </w:t>
      </w:r>
      <w:proofErr w:type="spellStart"/>
      <w:r w:rsidRPr="00FA161E">
        <w:rPr>
          <w:rFonts w:ascii="Times New Roman" w:hAnsi="Times New Roman" w:cs="Times New Roman"/>
          <w:sz w:val="24"/>
          <w:szCs w:val="24"/>
        </w:rPr>
        <w:t>Balangoda</w:t>
      </w:r>
      <w:proofErr w:type="spellEnd"/>
      <w:r w:rsidRPr="00FA161E">
        <w:rPr>
          <w:rFonts w:ascii="Times New Roman" w:hAnsi="Times New Roman" w:cs="Times New Roman"/>
          <w:sz w:val="24"/>
          <w:szCs w:val="24"/>
        </w:rPr>
        <w:t>.</w:t>
      </w:r>
    </w:p>
    <w:p w14:paraId="5F5FC597" w14:textId="77777777" w:rsidR="00F440F3" w:rsidRPr="00FA161E" w:rsidRDefault="00F440F3"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Both primary data and secondary data sources are used in this research. Here, a structured questionnaire and interview method have been used in the collection of primary data. In the primary data collection, data collection has been done after giving prior notice to all the respondents who are undergoing the study. In the collection of secondary data, the data obtained from previous researches and the data obtained through literature investigations as well as the data contained in the articles related to this study have been used. In that, Central Bank reports and Department of Census and Statistics annual reports have been used.</w:t>
      </w:r>
    </w:p>
    <w:p w14:paraId="4A971442" w14:textId="5C234AAE" w:rsidR="00094891" w:rsidRPr="00FA161E" w:rsidRDefault="001965E6"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Here, a </w:t>
      </w:r>
      <w:r w:rsidR="00BA09E8" w:rsidRPr="00FA161E">
        <w:rPr>
          <w:rFonts w:ascii="Times New Roman" w:hAnsi="Times New Roman" w:cs="Times New Roman"/>
          <w:sz w:val="24"/>
          <w:szCs w:val="24"/>
        </w:rPr>
        <w:t xml:space="preserve">Multiple Linear Regression, and a </w:t>
      </w:r>
      <w:r w:rsidRPr="00FA161E">
        <w:rPr>
          <w:rFonts w:ascii="Times New Roman" w:hAnsi="Times New Roman" w:cs="Times New Roman"/>
          <w:sz w:val="24"/>
          <w:szCs w:val="24"/>
        </w:rPr>
        <w:t xml:space="preserve">binary logistic regression </w:t>
      </w:r>
      <w:r w:rsidR="00BA09E8" w:rsidRPr="00FA161E">
        <w:rPr>
          <w:rFonts w:ascii="Times New Roman" w:hAnsi="Times New Roman" w:cs="Times New Roman"/>
          <w:sz w:val="24"/>
          <w:szCs w:val="24"/>
        </w:rPr>
        <w:t>are</w:t>
      </w:r>
      <w:r w:rsidRPr="00FA161E">
        <w:rPr>
          <w:rFonts w:ascii="Times New Roman" w:hAnsi="Times New Roman" w:cs="Times New Roman"/>
          <w:sz w:val="24"/>
          <w:szCs w:val="24"/>
        </w:rPr>
        <w:t xml:space="preserve"> used to identify the relationship between customers' financial literacy and online banking </w:t>
      </w:r>
      <w:proofErr w:type="spellStart"/>
      <w:r w:rsidRPr="00FA161E">
        <w:rPr>
          <w:rFonts w:ascii="Times New Roman" w:hAnsi="Times New Roman" w:cs="Times New Roman"/>
          <w:sz w:val="24"/>
          <w:szCs w:val="24"/>
        </w:rPr>
        <w:t>behaviour</w:t>
      </w:r>
      <w:proofErr w:type="spellEnd"/>
      <w:r w:rsidRPr="00FA161E">
        <w:rPr>
          <w:rFonts w:ascii="Times New Roman" w:hAnsi="Times New Roman" w:cs="Times New Roman"/>
          <w:sz w:val="24"/>
          <w:szCs w:val="24"/>
        </w:rPr>
        <w:t xml:space="preserve">. </w:t>
      </w:r>
      <w:r w:rsidR="00E62D72" w:rsidRPr="00FA161E">
        <w:rPr>
          <w:rFonts w:ascii="Times New Roman" w:hAnsi="Times New Roman" w:cs="Times New Roman"/>
          <w:sz w:val="24"/>
          <w:szCs w:val="24"/>
        </w:rPr>
        <w:t xml:space="preserve"> First, to run a multiple linear regression, three independent variables were used. For this, the variables Financial Knowledge, Financial Behavior, and Financial Attitude were </w:t>
      </w:r>
      <w:r w:rsidR="008E0DF5" w:rsidRPr="00FA161E">
        <w:rPr>
          <w:rFonts w:ascii="Times New Roman" w:hAnsi="Times New Roman" w:cs="Times New Roman"/>
          <w:sz w:val="24"/>
          <w:szCs w:val="24"/>
        </w:rPr>
        <w:t>used,</w:t>
      </w:r>
      <w:r w:rsidR="00E62D72" w:rsidRPr="00FA161E">
        <w:rPr>
          <w:rFonts w:ascii="Times New Roman" w:hAnsi="Times New Roman" w:cs="Times New Roman"/>
          <w:sz w:val="24"/>
          <w:szCs w:val="24"/>
        </w:rPr>
        <w:t xml:space="preserve"> and scores were created for each independent variable and dependent variable using the data collected from the Likert scale questions. Based on these values, multiple linear regression was performed.</w:t>
      </w:r>
    </w:p>
    <w:p w14:paraId="04A63493" w14:textId="47D402BA" w:rsidR="00F440F3" w:rsidRPr="00FA161E" w:rsidRDefault="00E62D72" w:rsidP="00DA3538">
      <w:pPr>
        <w:autoSpaceDE w:val="0"/>
        <w:autoSpaceDN w:val="0"/>
        <w:adjustRightInd w:val="0"/>
        <w:spacing w:after="0" w:line="276" w:lineRule="auto"/>
        <w:jc w:val="both"/>
        <w:rPr>
          <w:rFonts w:ascii="Times New Roman" w:hAnsi="Times New Roman" w:cs="Times New Roman"/>
          <w:sz w:val="24"/>
          <w:szCs w:val="24"/>
          <w:lang w:bidi="si-LK"/>
        </w:rPr>
      </w:pPr>
      <w:r w:rsidRPr="00FA161E">
        <w:rPr>
          <w:rFonts w:ascii="Times New Roman" w:hAnsi="Times New Roman" w:cs="Times New Roman"/>
          <w:sz w:val="24"/>
          <w:szCs w:val="24"/>
          <w:lang w:bidi="si-LK"/>
        </w:rPr>
        <w:t xml:space="preserve">Also, to do the binary logistic regression, </w:t>
      </w:r>
      <w:r w:rsidR="00383635" w:rsidRPr="00FA161E">
        <w:rPr>
          <w:rFonts w:ascii="Times New Roman" w:hAnsi="Times New Roman" w:cs="Times New Roman"/>
          <w:sz w:val="24"/>
          <w:szCs w:val="24"/>
          <w:lang w:bidi="si-LK"/>
        </w:rPr>
        <w:t>data was collected using Likert scales questions</w:t>
      </w:r>
      <w:r w:rsidRPr="00FA161E">
        <w:rPr>
          <w:rFonts w:ascii="Times New Roman" w:hAnsi="Times New Roman" w:cs="Times New Roman"/>
          <w:sz w:val="24"/>
          <w:szCs w:val="24"/>
          <w:lang w:bidi="si-LK"/>
        </w:rPr>
        <w:t xml:space="preserve">. </w:t>
      </w:r>
      <w:r w:rsidR="00383635" w:rsidRPr="00FA161E">
        <w:rPr>
          <w:rFonts w:ascii="Times New Roman" w:hAnsi="Times New Roman" w:cs="Times New Roman"/>
          <w:sz w:val="24"/>
          <w:szCs w:val="24"/>
          <w:lang w:bidi="si-LK"/>
        </w:rPr>
        <w:t xml:space="preserve">using that collected data, an average value was calculated based on the answers the respondents gave to the financial literacy questions in constructing a financial literacy score. Also, in creating the score related to online banking behavior, the average value of the answers given to the questions directed to it was calculated. Then the dependent variable was split into two parts (0, 1) based on the literature review to perform the logistic regression. After that, a binary </w:t>
      </w:r>
      <w:r w:rsidR="00383635" w:rsidRPr="00FA161E">
        <w:rPr>
          <w:rFonts w:ascii="Times New Roman" w:hAnsi="Times New Roman" w:cs="Times New Roman"/>
          <w:sz w:val="24"/>
          <w:szCs w:val="24"/>
          <w:lang w:bidi="si-LK"/>
        </w:rPr>
        <w:lastRenderedPageBreak/>
        <w:t>logistic was performed and the results obtained from it can be analyzed as follows.</w:t>
      </w:r>
      <w:r w:rsidR="00BD4769" w:rsidRPr="00FA161E">
        <w:rPr>
          <w:rFonts w:ascii="Times New Roman" w:hAnsi="Times New Roman" w:cs="Times New Roman"/>
          <w:sz w:val="24"/>
          <w:szCs w:val="24"/>
          <w:lang w:bidi="si-LK"/>
        </w:rPr>
        <w:t xml:space="preserve"> </w:t>
      </w:r>
      <w:r w:rsidR="001965E6" w:rsidRPr="00FA161E">
        <w:rPr>
          <w:rFonts w:ascii="Times New Roman" w:hAnsi="Times New Roman" w:cs="Times New Roman"/>
          <w:sz w:val="24"/>
          <w:szCs w:val="24"/>
        </w:rPr>
        <w:t xml:space="preserve">To </w:t>
      </w:r>
      <w:r w:rsidR="00BA09E8" w:rsidRPr="00FA161E">
        <w:rPr>
          <w:rFonts w:ascii="Times New Roman" w:hAnsi="Times New Roman" w:cs="Times New Roman"/>
          <w:sz w:val="24"/>
          <w:szCs w:val="24"/>
        </w:rPr>
        <w:t>analyze</w:t>
      </w:r>
      <w:r w:rsidR="001965E6" w:rsidRPr="00FA161E">
        <w:rPr>
          <w:rFonts w:ascii="Times New Roman" w:hAnsi="Times New Roman" w:cs="Times New Roman"/>
          <w:sz w:val="24"/>
          <w:szCs w:val="24"/>
        </w:rPr>
        <w:t xml:space="preserve"> the date IBM SPSS (Version 23), and Microsoft Excel used. </w:t>
      </w:r>
    </w:p>
    <w:p w14:paraId="40336C09" w14:textId="77777777" w:rsidR="006A1EBB" w:rsidRPr="00FA161E" w:rsidRDefault="006A1EBB" w:rsidP="00DA3538">
      <w:pPr>
        <w:spacing w:line="276" w:lineRule="auto"/>
        <w:jc w:val="both"/>
        <w:rPr>
          <w:rFonts w:ascii="Times New Roman" w:hAnsi="Times New Roman" w:cs="Times New Roman"/>
          <w:sz w:val="24"/>
          <w:szCs w:val="24"/>
        </w:rPr>
      </w:pPr>
    </w:p>
    <w:p w14:paraId="7B6373CF" w14:textId="640CCEE6" w:rsidR="006A1EBB" w:rsidRPr="00FA161E" w:rsidRDefault="002A361A" w:rsidP="00DA3538">
      <w:pPr>
        <w:spacing w:line="276" w:lineRule="auto"/>
        <w:ind w:left="450" w:hanging="90"/>
        <w:jc w:val="both"/>
        <w:rPr>
          <w:rFonts w:ascii="Times New Roman" w:hAnsi="Times New Roman" w:cs="Times New Roman"/>
          <w:sz w:val="24"/>
          <w:szCs w:val="24"/>
        </w:rPr>
      </w:pPr>
      <w:r w:rsidRPr="00FA161E">
        <w:rPr>
          <w:rFonts w:ascii="Times New Roman" w:hAnsi="Times New Roman" w:cs="Times New Roman"/>
          <w:sz w:val="24"/>
          <w:szCs w:val="24"/>
        </w:rPr>
        <w:t xml:space="preserve">03.1 </w:t>
      </w:r>
      <w:r w:rsidR="006A1EBB" w:rsidRPr="00FA161E">
        <w:rPr>
          <w:rFonts w:ascii="Times New Roman" w:hAnsi="Times New Roman" w:cs="Times New Roman"/>
          <w:sz w:val="24"/>
          <w:szCs w:val="24"/>
        </w:rPr>
        <w:t>Conceptual Framework and research hypothesis of the Study</w:t>
      </w:r>
    </w:p>
    <w:p w14:paraId="4B502038" w14:textId="6E7E6AE7" w:rsidR="0069281F" w:rsidRPr="00FA161E" w:rsidRDefault="00BC4253"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In developing the conceptual framework for this study, the </w:t>
      </w:r>
      <w:r w:rsidR="00C95F6C" w:rsidRPr="00FA161E">
        <w:rPr>
          <w:rFonts w:ascii="Times New Roman" w:hAnsi="Times New Roman" w:cs="Times New Roman"/>
          <w:sz w:val="24"/>
          <w:szCs w:val="24"/>
        </w:rPr>
        <w:t>variables</w:t>
      </w:r>
      <w:r w:rsidRPr="00FA161E">
        <w:rPr>
          <w:rFonts w:ascii="Times New Roman" w:hAnsi="Times New Roman" w:cs="Times New Roman"/>
          <w:sz w:val="24"/>
          <w:szCs w:val="24"/>
        </w:rPr>
        <w:t xml:space="preserve"> used by previous researchers in their studies have been used. Accordingly, the main focus here is to identify how the independent </w:t>
      </w:r>
      <w:r w:rsidR="00C95F6C" w:rsidRPr="00FA161E">
        <w:rPr>
          <w:rFonts w:ascii="Times New Roman" w:hAnsi="Times New Roman" w:cs="Times New Roman"/>
          <w:sz w:val="24"/>
          <w:szCs w:val="24"/>
        </w:rPr>
        <w:t>variables</w:t>
      </w:r>
      <w:r w:rsidRPr="00FA161E">
        <w:rPr>
          <w:rFonts w:ascii="Times New Roman" w:hAnsi="Times New Roman" w:cs="Times New Roman"/>
          <w:sz w:val="24"/>
          <w:szCs w:val="24"/>
        </w:rPr>
        <w:t xml:space="preserve"> of financial knowledge (OECD/INFE, 2012), </w:t>
      </w:r>
      <w:r w:rsidR="001376AD" w:rsidRPr="00FA161E">
        <w:rPr>
          <w:rFonts w:ascii="Times New Roman" w:hAnsi="Times New Roman" w:cs="Times New Roman"/>
          <w:sz w:val="24"/>
          <w:szCs w:val="24"/>
        </w:rPr>
        <w:t xml:space="preserve">behavior (Dew and Xiao, 2010; and OECD/INFE, 2023), and </w:t>
      </w:r>
      <w:r w:rsidRPr="00FA161E">
        <w:rPr>
          <w:rFonts w:ascii="Times New Roman" w:hAnsi="Times New Roman" w:cs="Times New Roman"/>
          <w:sz w:val="24"/>
          <w:szCs w:val="24"/>
        </w:rPr>
        <w:t>attitudes</w:t>
      </w:r>
      <w:r w:rsidRPr="00FA161E">
        <w:rPr>
          <w:rFonts w:ascii="Times New Roman" w:hAnsi="Times New Roman" w:cs="Times New Roman"/>
          <w:color w:val="000000"/>
          <w:kern w:val="0"/>
          <w:sz w:val="24"/>
          <w:szCs w:val="24"/>
          <w:lang w:bidi="si-LK"/>
        </w:rPr>
        <w:t xml:space="preserve"> (</w:t>
      </w:r>
      <w:r w:rsidR="00405FFE" w:rsidRPr="00FA161E">
        <w:rPr>
          <w:rFonts w:ascii="Times New Roman" w:hAnsi="Times New Roman" w:cs="Times New Roman"/>
          <w:sz w:val="24"/>
          <w:szCs w:val="24"/>
        </w:rPr>
        <w:t xml:space="preserve">OECD/INFE, 2012 </w:t>
      </w:r>
      <w:r w:rsidRPr="00FA161E">
        <w:rPr>
          <w:rFonts w:ascii="Times New Roman" w:hAnsi="Times New Roman" w:cs="Times New Roman"/>
          <w:sz w:val="24"/>
          <w:szCs w:val="24"/>
        </w:rPr>
        <w:t xml:space="preserve">and OECD/INFE, 2023) have affected the dependent </w:t>
      </w:r>
      <w:r w:rsidR="00C95F6C" w:rsidRPr="00FA161E">
        <w:rPr>
          <w:rFonts w:ascii="Times New Roman" w:hAnsi="Times New Roman" w:cs="Times New Roman"/>
          <w:sz w:val="24"/>
          <w:szCs w:val="24"/>
        </w:rPr>
        <w:t xml:space="preserve">variable </w:t>
      </w:r>
      <w:r w:rsidRPr="00FA161E">
        <w:rPr>
          <w:rFonts w:ascii="Times New Roman" w:hAnsi="Times New Roman" w:cs="Times New Roman"/>
          <w:sz w:val="24"/>
          <w:szCs w:val="24"/>
        </w:rPr>
        <w:t xml:space="preserve">of customers' online banking </w:t>
      </w:r>
      <w:proofErr w:type="spellStart"/>
      <w:r w:rsidR="007C498C" w:rsidRPr="00FA161E">
        <w:rPr>
          <w:rFonts w:ascii="Times New Roman" w:hAnsi="Times New Roman" w:cs="Times New Roman"/>
          <w:sz w:val="24"/>
          <w:szCs w:val="24"/>
        </w:rPr>
        <w:t>behaviour</w:t>
      </w:r>
      <w:proofErr w:type="spellEnd"/>
      <w:r w:rsidRPr="00FA161E">
        <w:rPr>
          <w:rFonts w:ascii="Times New Roman" w:hAnsi="Times New Roman" w:cs="Times New Roman"/>
          <w:sz w:val="24"/>
          <w:szCs w:val="24"/>
        </w:rPr>
        <w:t xml:space="preserve"> (Ansari, 2021; </w:t>
      </w:r>
      <w:proofErr w:type="spellStart"/>
      <w:r w:rsidRPr="00FA161E">
        <w:rPr>
          <w:rFonts w:ascii="Times New Roman" w:hAnsi="Times New Roman" w:cs="Times New Roman"/>
          <w:sz w:val="24"/>
          <w:szCs w:val="24"/>
        </w:rPr>
        <w:t>Andreou</w:t>
      </w:r>
      <w:proofErr w:type="spellEnd"/>
      <w:r w:rsidRPr="00FA161E">
        <w:rPr>
          <w:rFonts w:ascii="Times New Roman" w:hAnsi="Times New Roman" w:cs="Times New Roman"/>
          <w:sz w:val="24"/>
          <w:szCs w:val="24"/>
        </w:rPr>
        <w:t xml:space="preserve"> and </w:t>
      </w:r>
      <w:proofErr w:type="spellStart"/>
      <w:r w:rsidRPr="00FA161E">
        <w:rPr>
          <w:rFonts w:ascii="Times New Roman" w:hAnsi="Times New Roman" w:cs="Times New Roman"/>
          <w:sz w:val="24"/>
          <w:szCs w:val="24"/>
        </w:rPr>
        <w:t>Anyfantaki</w:t>
      </w:r>
      <w:proofErr w:type="spellEnd"/>
      <w:r w:rsidRPr="00FA161E">
        <w:rPr>
          <w:rFonts w:ascii="Times New Roman" w:hAnsi="Times New Roman" w:cs="Times New Roman"/>
          <w:sz w:val="24"/>
          <w:szCs w:val="24"/>
        </w:rPr>
        <w:t xml:space="preserve">, 2020). Accordingly, it is assumed that the three independent variables have a positive effect. The hypotheses developed based on that can be shown as follows, which explain the impact of the three main </w:t>
      </w:r>
      <w:r w:rsidR="00C95F6C" w:rsidRPr="00FA161E">
        <w:rPr>
          <w:rFonts w:ascii="Times New Roman" w:hAnsi="Times New Roman" w:cs="Times New Roman"/>
          <w:sz w:val="24"/>
          <w:szCs w:val="24"/>
        </w:rPr>
        <w:t>variables</w:t>
      </w:r>
      <w:r w:rsidRPr="00FA161E">
        <w:rPr>
          <w:rFonts w:ascii="Times New Roman" w:hAnsi="Times New Roman" w:cs="Times New Roman"/>
          <w:sz w:val="24"/>
          <w:szCs w:val="24"/>
        </w:rPr>
        <w:t xml:space="preserve"> used to measure financial literacy on </w:t>
      </w:r>
      <w:r w:rsidR="00C95F6C" w:rsidRPr="00FA161E">
        <w:rPr>
          <w:rFonts w:ascii="Times New Roman" w:hAnsi="Times New Roman" w:cs="Times New Roman"/>
          <w:sz w:val="24"/>
          <w:szCs w:val="24"/>
        </w:rPr>
        <w:t xml:space="preserve">customers' online banking </w:t>
      </w:r>
      <w:proofErr w:type="spellStart"/>
      <w:r w:rsidR="00B266E0" w:rsidRPr="00FA161E">
        <w:rPr>
          <w:rFonts w:ascii="Times New Roman" w:hAnsi="Times New Roman" w:cs="Times New Roman"/>
          <w:sz w:val="24"/>
          <w:szCs w:val="24"/>
        </w:rPr>
        <w:t>behaviour</w:t>
      </w:r>
      <w:proofErr w:type="spellEnd"/>
      <w:r w:rsidRPr="00FA161E">
        <w:rPr>
          <w:rFonts w:ascii="Times New Roman" w:hAnsi="Times New Roman" w:cs="Times New Roman"/>
          <w:sz w:val="24"/>
          <w:szCs w:val="24"/>
        </w:rPr>
        <w:t>. This provides the banking system and policy makers with an understanding of how to effectively socialize the use of online banking and those services through influencing financial literacy.</w:t>
      </w:r>
    </w:p>
    <w:p w14:paraId="60AC712B" w14:textId="02D8024E" w:rsidR="006A1EBB" w:rsidRPr="00FA161E" w:rsidRDefault="00F0272C" w:rsidP="00DA3538">
      <w:pPr>
        <w:spacing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1552" behindDoc="0" locked="0" layoutInCell="1" allowOverlap="1" wp14:anchorId="79C90267" wp14:editId="7AF67160">
                <wp:simplePos x="0" y="0"/>
                <wp:positionH relativeFrom="column">
                  <wp:posOffset>-85725</wp:posOffset>
                </wp:positionH>
                <wp:positionV relativeFrom="paragraph">
                  <wp:posOffset>5715</wp:posOffset>
                </wp:positionV>
                <wp:extent cx="6124575" cy="1657350"/>
                <wp:effectExtent l="0" t="0" r="28575" b="19050"/>
                <wp:wrapNone/>
                <wp:docPr id="923581844" name="Group 24"/>
                <wp:cNvGraphicFramePr/>
                <a:graphic xmlns:a="http://schemas.openxmlformats.org/drawingml/2006/main">
                  <a:graphicData uri="http://schemas.microsoft.com/office/word/2010/wordprocessingGroup">
                    <wpg:wgp>
                      <wpg:cNvGrpSpPr/>
                      <wpg:grpSpPr>
                        <a:xfrm>
                          <a:off x="0" y="0"/>
                          <a:ext cx="6124575" cy="1657350"/>
                          <a:chOff x="0" y="0"/>
                          <a:chExt cx="6124575" cy="1657350"/>
                        </a:xfrm>
                      </wpg:grpSpPr>
                      <wpg:grpSp>
                        <wpg:cNvPr id="510934284" name="Group 5"/>
                        <wpg:cNvGrpSpPr/>
                        <wpg:grpSpPr>
                          <a:xfrm>
                            <a:off x="266700" y="142875"/>
                            <a:ext cx="5372100" cy="1381125"/>
                            <a:chOff x="0" y="0"/>
                            <a:chExt cx="5372100" cy="1381125"/>
                          </a:xfrm>
                        </wpg:grpSpPr>
                        <wps:wsp>
                          <wps:cNvPr id="748387274" name="Text Box 1"/>
                          <wps:cNvSpPr txBox="1"/>
                          <wps:spPr>
                            <a:xfrm>
                              <a:off x="0" y="0"/>
                              <a:ext cx="1933575" cy="285750"/>
                            </a:xfrm>
                            <a:prstGeom prst="rect">
                              <a:avLst/>
                            </a:prstGeom>
                            <a:solidFill>
                              <a:schemeClr val="lt1"/>
                            </a:solidFill>
                            <a:ln w="6350">
                              <a:solidFill>
                                <a:prstClr val="black"/>
                              </a:solidFill>
                            </a:ln>
                          </wps:spPr>
                          <wps:txbx>
                            <w:txbxContent>
                              <w:p w14:paraId="27CC8CBF" w14:textId="181EC10E" w:rsidR="00DB7A02" w:rsidRDefault="00DB7A02">
                                <w:r>
                                  <w:rPr>
                                    <w:rFonts w:ascii="Times New Roman" w:hAnsi="Times New Roman" w:cs="Times New Roman"/>
                                    <w:sz w:val="24"/>
                                    <w:szCs w:val="24"/>
                                  </w:rPr>
                                  <w:t>Fi</w:t>
                                </w:r>
                                <w:r w:rsidRPr="00BC4253">
                                  <w:rPr>
                                    <w:rFonts w:ascii="Times New Roman" w:hAnsi="Times New Roman" w:cs="Times New Roman"/>
                                    <w:sz w:val="24"/>
                                    <w:szCs w:val="24"/>
                                  </w:rPr>
                                  <w:t xml:space="preserve">nancial </w:t>
                                </w:r>
                                <w:r>
                                  <w:rPr>
                                    <w:rFonts w:ascii="Times New Roman" w:hAnsi="Times New Roman" w:cs="Times New Roman"/>
                                    <w:sz w:val="24"/>
                                    <w:szCs w:val="24"/>
                                  </w:rPr>
                                  <w:t>K</w:t>
                                </w:r>
                                <w:r w:rsidRPr="00BC4253">
                                  <w:rPr>
                                    <w:rFonts w:ascii="Times New Roman" w:hAnsi="Times New Roman" w:cs="Times New Roman"/>
                                    <w:sz w:val="24"/>
                                    <w:szCs w:val="24"/>
                                  </w:rPr>
                                  <w:t>nowledge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4335567" name="Text Box 1"/>
                          <wps:cNvSpPr txBox="1"/>
                          <wps:spPr>
                            <a:xfrm>
                              <a:off x="0" y="1085850"/>
                              <a:ext cx="1933575" cy="295275"/>
                            </a:xfrm>
                            <a:prstGeom prst="rect">
                              <a:avLst/>
                            </a:prstGeom>
                            <a:solidFill>
                              <a:schemeClr val="lt1"/>
                            </a:solidFill>
                            <a:ln w="6350">
                              <a:solidFill>
                                <a:prstClr val="black"/>
                              </a:solidFill>
                            </a:ln>
                          </wps:spPr>
                          <wps:txbx>
                            <w:txbxContent>
                              <w:p w14:paraId="0C12F5A3" w14:textId="75815D0A" w:rsidR="00DB7A02" w:rsidRDefault="00DB7A02" w:rsidP="00DB7A02">
                                <w:r>
                                  <w:rPr>
                                    <w:rFonts w:ascii="Times New Roman" w:hAnsi="Times New Roman" w:cs="Times New Roman"/>
                                    <w:sz w:val="24"/>
                                    <w:szCs w:val="24"/>
                                  </w:rPr>
                                  <w:t>Fi</w:t>
                                </w:r>
                                <w:r w:rsidRPr="00BC4253">
                                  <w:rPr>
                                    <w:rFonts w:ascii="Times New Roman" w:hAnsi="Times New Roman" w:cs="Times New Roman"/>
                                    <w:sz w:val="24"/>
                                    <w:szCs w:val="24"/>
                                  </w:rPr>
                                  <w:t>nancial</w:t>
                                </w:r>
                                <w:r>
                                  <w:rPr>
                                    <w:rFonts w:ascii="Times New Roman" w:hAnsi="Times New Roman" w:cs="Times New Roman"/>
                                    <w:sz w:val="24"/>
                                    <w:szCs w:val="24"/>
                                  </w:rPr>
                                  <w:t xml:space="preserve"> A</w:t>
                                </w:r>
                                <w:r w:rsidRPr="00BC4253">
                                  <w:rPr>
                                    <w:rFonts w:ascii="Times New Roman" w:hAnsi="Times New Roman" w:cs="Times New Roman"/>
                                    <w:sz w:val="24"/>
                                    <w:szCs w:val="24"/>
                                  </w:rPr>
                                  <w:t>ttitudes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1366115" name="Text Box 1"/>
                          <wps:cNvSpPr txBox="1"/>
                          <wps:spPr>
                            <a:xfrm>
                              <a:off x="0" y="542925"/>
                              <a:ext cx="1933575" cy="304800"/>
                            </a:xfrm>
                            <a:prstGeom prst="rect">
                              <a:avLst/>
                            </a:prstGeom>
                            <a:solidFill>
                              <a:schemeClr val="lt1"/>
                            </a:solidFill>
                            <a:ln w="6350">
                              <a:solidFill>
                                <a:prstClr val="black"/>
                              </a:solidFill>
                            </a:ln>
                          </wps:spPr>
                          <wps:txbx>
                            <w:txbxContent>
                              <w:p w14:paraId="2A31EB24" w14:textId="6D6EA9BC" w:rsidR="00DB7A02" w:rsidRDefault="00DB7A02" w:rsidP="00DB7A02">
                                <w:r>
                                  <w:rPr>
                                    <w:rFonts w:ascii="Times New Roman" w:hAnsi="Times New Roman" w:cs="Times New Roman"/>
                                    <w:sz w:val="24"/>
                                    <w:szCs w:val="24"/>
                                  </w:rPr>
                                  <w:t>Fi</w:t>
                                </w:r>
                                <w:r w:rsidRPr="00BC4253">
                                  <w:rPr>
                                    <w:rFonts w:ascii="Times New Roman" w:hAnsi="Times New Roman" w:cs="Times New Roman"/>
                                    <w:sz w:val="24"/>
                                    <w:szCs w:val="24"/>
                                  </w:rPr>
                                  <w:t>nancial</w:t>
                                </w:r>
                                <w:r>
                                  <w:rPr>
                                    <w:rFonts w:ascii="Times New Roman" w:hAnsi="Times New Roman" w:cs="Times New Roman"/>
                                    <w:sz w:val="24"/>
                                    <w:szCs w:val="24"/>
                                  </w:rPr>
                                  <w:t xml:space="preserve"> B</w:t>
                                </w:r>
                                <w:r w:rsidRPr="00BC4253">
                                  <w:rPr>
                                    <w:rFonts w:ascii="Times New Roman" w:hAnsi="Times New Roman" w:cs="Times New Roman"/>
                                    <w:sz w:val="24"/>
                                    <w:szCs w:val="24"/>
                                  </w:rPr>
                                  <w:t>ehavior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8825504" name="Text Box 1"/>
                          <wps:cNvSpPr txBox="1"/>
                          <wps:spPr>
                            <a:xfrm>
                              <a:off x="3438525" y="371475"/>
                              <a:ext cx="1933575" cy="533400"/>
                            </a:xfrm>
                            <a:prstGeom prst="rect">
                              <a:avLst/>
                            </a:prstGeom>
                            <a:solidFill>
                              <a:schemeClr val="lt1"/>
                            </a:solidFill>
                            <a:ln w="6350">
                              <a:solidFill>
                                <a:prstClr val="black"/>
                              </a:solidFill>
                            </a:ln>
                          </wps:spPr>
                          <wps:txbx>
                            <w:txbxContent>
                              <w:p w14:paraId="24DF7C98" w14:textId="0C9F6AA2" w:rsidR="00DB7A02" w:rsidRDefault="009C4386" w:rsidP="00DB7A02">
                                <w:r>
                                  <w:rPr>
                                    <w:rFonts w:ascii="Times New Roman" w:hAnsi="Times New Roman" w:cs="Times New Roman"/>
                                    <w:sz w:val="24"/>
                                    <w:szCs w:val="24"/>
                                  </w:rPr>
                                  <w:t>C</w:t>
                                </w:r>
                                <w:r w:rsidR="00DB7A02">
                                  <w:rPr>
                                    <w:rFonts w:ascii="Times New Roman" w:hAnsi="Times New Roman" w:cs="Times New Roman"/>
                                    <w:sz w:val="24"/>
                                    <w:szCs w:val="24"/>
                                  </w:rPr>
                                  <w:t>u</w:t>
                                </w:r>
                                <w:r w:rsidR="00DB7A02" w:rsidRPr="00BC4253">
                                  <w:rPr>
                                    <w:rFonts w:ascii="Times New Roman" w:hAnsi="Times New Roman" w:cs="Times New Roman"/>
                                    <w:sz w:val="24"/>
                                    <w:szCs w:val="24"/>
                                  </w:rPr>
                                  <w:t>s</w:t>
                                </w:r>
                                <w:r w:rsidR="00DB7A02">
                                  <w:rPr>
                                    <w:rFonts w:ascii="Times New Roman" w:hAnsi="Times New Roman" w:cs="Times New Roman"/>
                                    <w:sz w:val="24"/>
                                    <w:szCs w:val="24"/>
                                  </w:rPr>
                                  <w:t>t</w:t>
                                </w:r>
                                <w:r w:rsidR="00DB7A02" w:rsidRPr="00BC4253">
                                  <w:rPr>
                                    <w:rFonts w:ascii="Times New Roman" w:hAnsi="Times New Roman" w:cs="Times New Roman"/>
                                    <w:sz w:val="24"/>
                                    <w:szCs w:val="24"/>
                                  </w:rPr>
                                  <w:t xml:space="preserve">omers' </w:t>
                                </w:r>
                                <w:r>
                                  <w:rPr>
                                    <w:rFonts w:ascii="Times New Roman" w:hAnsi="Times New Roman" w:cs="Times New Roman"/>
                                    <w:sz w:val="24"/>
                                    <w:szCs w:val="24"/>
                                  </w:rPr>
                                  <w:t>O</w:t>
                                </w:r>
                                <w:r w:rsidR="00DB7A02" w:rsidRPr="00BC4253">
                                  <w:rPr>
                                    <w:rFonts w:ascii="Times New Roman" w:hAnsi="Times New Roman" w:cs="Times New Roman"/>
                                    <w:sz w:val="24"/>
                                    <w:szCs w:val="24"/>
                                  </w:rPr>
                                  <w:t xml:space="preserve">nline </w:t>
                                </w:r>
                                <w:r>
                                  <w:rPr>
                                    <w:rFonts w:ascii="Times New Roman" w:hAnsi="Times New Roman" w:cs="Times New Roman"/>
                                    <w:sz w:val="24"/>
                                    <w:szCs w:val="24"/>
                                  </w:rPr>
                                  <w:t>B</w:t>
                                </w:r>
                                <w:r w:rsidR="00DB7A02" w:rsidRPr="00BC4253">
                                  <w:rPr>
                                    <w:rFonts w:ascii="Times New Roman" w:hAnsi="Times New Roman" w:cs="Times New Roman"/>
                                    <w:sz w:val="24"/>
                                    <w:szCs w:val="24"/>
                                  </w:rPr>
                                  <w:t>anking</w:t>
                                </w:r>
                                <w:r w:rsidR="00DB7A02">
                                  <w:rPr>
                                    <w:rFonts w:ascii="Times New Roman" w:hAnsi="Times New Roman" w:cs="Times New Roman"/>
                                    <w:sz w:val="24"/>
                                    <w:szCs w:val="24"/>
                                  </w:rPr>
                                  <w:t xml:space="preserve"> </w:t>
                                </w:r>
                                <w:r>
                                  <w:rPr>
                                    <w:rFonts w:ascii="Times New Roman" w:hAnsi="Times New Roman" w:cs="Times New Roman"/>
                                    <w:sz w:val="24"/>
                                    <w:szCs w:val="24"/>
                                  </w:rPr>
                                  <w:t>B</w:t>
                                </w:r>
                                <w:r w:rsidR="00975507" w:rsidRPr="009B5C5F">
                                  <w:rPr>
                                    <w:rFonts w:ascii="Times New Roman" w:hAnsi="Times New Roman" w:cs="Times New Roman"/>
                                    <w:sz w:val="24"/>
                                    <w:szCs w:val="24"/>
                                  </w:rPr>
                                  <w:t>ehaviour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601423" name="Straight Arrow Connector 2"/>
                          <wps:cNvCnPr/>
                          <wps:spPr>
                            <a:xfrm>
                              <a:off x="1952625" y="133350"/>
                              <a:ext cx="1476375"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8781985" name="Straight Arrow Connector 3"/>
                          <wps:cNvCnPr/>
                          <wps:spPr>
                            <a:xfrm>
                              <a:off x="1952625" y="638175"/>
                              <a:ext cx="1485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84027856" name="Straight Arrow Connector 4"/>
                          <wps:cNvCnPr/>
                          <wps:spPr>
                            <a:xfrm flipV="1">
                              <a:off x="1962150" y="733425"/>
                              <a:ext cx="1457325"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269726761" name="Rectangle 23"/>
                        <wps:cNvSpPr/>
                        <wps:spPr>
                          <a:xfrm>
                            <a:off x="0" y="0"/>
                            <a:ext cx="6124575" cy="1657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9C90267" id="Group 24" o:spid="_x0000_s1045" style="position:absolute;left:0;text-align:left;margin-left:-6.75pt;margin-top:.45pt;width:482.25pt;height:130.5pt;z-index:251671552" coordsize="61245,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">
                <v:group id="Group 5" o:spid="_x0000_s1046" style="position:absolute;left:2667;top:1428;width:53721;height:13812" coordsize="53721,1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">
                  <v:shape id="Text Box 1" o:spid="_x0000_s1047" type="#_x0000_t202" style="position:absolute;width:1933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" fillcolor="white [3201]" strokeweight=".5pt">
                    <v:textbox>
                      <w:txbxContent>
                        <w:p w14:paraId="27CC8CBF" w14:textId="181EC10E" w:rsidR="00DB7A02" w:rsidRDefault="00DB7A02">
                          <w:r>
                            <w:rPr>
                              <w:rFonts w:ascii="Times New Roman" w:hAnsi="Times New Roman" w:cs="Times New Roman"/>
                              <w:sz w:val="24"/>
                              <w:szCs w:val="24"/>
                            </w:rPr>
                            <w:t>Fi</w:t>
                          </w:r>
                          <w:r w:rsidRPr="00BC4253">
                            <w:rPr>
                              <w:rFonts w:ascii="Times New Roman" w:hAnsi="Times New Roman" w:cs="Times New Roman"/>
                              <w:sz w:val="24"/>
                              <w:szCs w:val="24"/>
                            </w:rPr>
                            <w:t xml:space="preserve">nancial </w:t>
                          </w:r>
                          <w:r>
                            <w:rPr>
                              <w:rFonts w:ascii="Times New Roman" w:hAnsi="Times New Roman" w:cs="Times New Roman"/>
                              <w:sz w:val="24"/>
                              <w:szCs w:val="24"/>
                            </w:rPr>
                            <w:t>K</w:t>
                          </w:r>
                          <w:r w:rsidRPr="00BC4253">
                            <w:rPr>
                              <w:rFonts w:ascii="Times New Roman" w:hAnsi="Times New Roman" w:cs="Times New Roman"/>
                              <w:sz w:val="24"/>
                              <w:szCs w:val="24"/>
                            </w:rPr>
                            <w:t>nowledge</w:t>
                          </w:r>
                        </w:p>
                      </w:txbxContent>
                    </v:textbox>
                  </v:shape>
                  <v:shape id="Text Box 1" o:spid="_x0000_s1048" type="#_x0000_t202" style="position:absolute;top:10858;width:19335;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" fillcolor="white [3201]" strokeweight=".5pt">
                    <v:textbox>
                      <w:txbxContent>
                        <w:p w14:paraId="0C12F5A3" w14:textId="75815D0A" w:rsidR="00DB7A02" w:rsidRDefault="00DB7A02" w:rsidP="00DB7A02">
                          <w:r>
                            <w:rPr>
                              <w:rFonts w:ascii="Times New Roman" w:hAnsi="Times New Roman" w:cs="Times New Roman"/>
                              <w:sz w:val="24"/>
                              <w:szCs w:val="24"/>
                            </w:rPr>
                            <w:t>Fi</w:t>
                          </w:r>
                          <w:r w:rsidRPr="00BC4253">
                            <w:rPr>
                              <w:rFonts w:ascii="Times New Roman" w:hAnsi="Times New Roman" w:cs="Times New Roman"/>
                              <w:sz w:val="24"/>
                              <w:szCs w:val="24"/>
                            </w:rPr>
                            <w:t>nancial</w:t>
                          </w:r>
                          <w:r>
                            <w:rPr>
                              <w:rFonts w:ascii="Times New Roman" w:hAnsi="Times New Roman" w:cs="Times New Roman"/>
                              <w:sz w:val="24"/>
                              <w:szCs w:val="24"/>
                            </w:rPr>
                            <w:t xml:space="preserve"> A</w:t>
                          </w:r>
                          <w:r w:rsidRPr="00BC4253">
                            <w:rPr>
                              <w:rFonts w:ascii="Times New Roman" w:hAnsi="Times New Roman" w:cs="Times New Roman"/>
                              <w:sz w:val="24"/>
                              <w:szCs w:val="24"/>
                            </w:rPr>
                            <w:t>ttitudes</w:t>
                          </w:r>
                        </w:p>
                      </w:txbxContent>
                    </v:textbox>
                  </v:shape>
                  <v:shape id="Text Box 1" o:spid="_x0000_s1049" type="#_x0000_t202" style="position:absolute;top:5429;width:1933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" fillcolor="white [3201]" strokeweight=".5pt">
                    <v:textbox>
                      <w:txbxContent>
                        <w:p w14:paraId="2A31EB24" w14:textId="6D6EA9BC" w:rsidR="00DB7A02" w:rsidRDefault="00DB7A02" w:rsidP="00DB7A02">
                          <w:r>
                            <w:rPr>
                              <w:rFonts w:ascii="Times New Roman" w:hAnsi="Times New Roman" w:cs="Times New Roman"/>
                              <w:sz w:val="24"/>
                              <w:szCs w:val="24"/>
                            </w:rPr>
                            <w:t>Fi</w:t>
                          </w:r>
                          <w:r w:rsidRPr="00BC4253">
                            <w:rPr>
                              <w:rFonts w:ascii="Times New Roman" w:hAnsi="Times New Roman" w:cs="Times New Roman"/>
                              <w:sz w:val="24"/>
                              <w:szCs w:val="24"/>
                            </w:rPr>
                            <w:t>nancial</w:t>
                          </w:r>
                          <w:r>
                            <w:rPr>
                              <w:rFonts w:ascii="Times New Roman" w:hAnsi="Times New Roman" w:cs="Times New Roman"/>
                              <w:sz w:val="24"/>
                              <w:szCs w:val="24"/>
                            </w:rPr>
                            <w:t xml:space="preserve"> B</w:t>
                          </w:r>
                          <w:r w:rsidRPr="00BC4253">
                            <w:rPr>
                              <w:rFonts w:ascii="Times New Roman" w:hAnsi="Times New Roman" w:cs="Times New Roman"/>
                              <w:sz w:val="24"/>
                              <w:szCs w:val="24"/>
                            </w:rPr>
                            <w:t>ehavior</w:t>
                          </w:r>
                        </w:p>
                      </w:txbxContent>
                    </v:textbox>
                  </v:shape>
                  <v:shape id="Text Box 1" o:spid="_x0000_s1050" type="#_x0000_t202" style="position:absolute;left:34385;top:3714;width:19336;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" fillcolor="white [3201]" strokeweight=".5pt">
                    <v:textbox>
                      <w:txbxContent>
                        <w:p w14:paraId="24DF7C98" w14:textId="0C9F6AA2" w:rsidR="00DB7A02" w:rsidRDefault="009C4386" w:rsidP="00DB7A02">
                          <w:r>
                            <w:rPr>
                              <w:rFonts w:ascii="Times New Roman" w:hAnsi="Times New Roman" w:cs="Times New Roman"/>
                              <w:sz w:val="24"/>
                              <w:szCs w:val="24"/>
                            </w:rPr>
                            <w:t>C</w:t>
                          </w:r>
                          <w:r w:rsidR="00DB7A02">
                            <w:rPr>
                              <w:rFonts w:ascii="Times New Roman" w:hAnsi="Times New Roman" w:cs="Times New Roman"/>
                              <w:sz w:val="24"/>
                              <w:szCs w:val="24"/>
                            </w:rPr>
                            <w:t>u</w:t>
                          </w:r>
                          <w:r w:rsidR="00DB7A02" w:rsidRPr="00BC4253">
                            <w:rPr>
                              <w:rFonts w:ascii="Times New Roman" w:hAnsi="Times New Roman" w:cs="Times New Roman"/>
                              <w:sz w:val="24"/>
                              <w:szCs w:val="24"/>
                            </w:rPr>
                            <w:t>s</w:t>
                          </w:r>
                          <w:r w:rsidR="00DB7A02">
                            <w:rPr>
                              <w:rFonts w:ascii="Times New Roman" w:hAnsi="Times New Roman" w:cs="Times New Roman"/>
                              <w:sz w:val="24"/>
                              <w:szCs w:val="24"/>
                            </w:rPr>
                            <w:t>t</w:t>
                          </w:r>
                          <w:r w:rsidR="00DB7A02" w:rsidRPr="00BC4253">
                            <w:rPr>
                              <w:rFonts w:ascii="Times New Roman" w:hAnsi="Times New Roman" w:cs="Times New Roman"/>
                              <w:sz w:val="24"/>
                              <w:szCs w:val="24"/>
                            </w:rPr>
                            <w:t xml:space="preserve">omers' </w:t>
                          </w:r>
                          <w:r>
                            <w:rPr>
                              <w:rFonts w:ascii="Times New Roman" w:hAnsi="Times New Roman" w:cs="Times New Roman"/>
                              <w:sz w:val="24"/>
                              <w:szCs w:val="24"/>
                            </w:rPr>
                            <w:t>O</w:t>
                          </w:r>
                          <w:r w:rsidR="00DB7A02" w:rsidRPr="00BC4253">
                            <w:rPr>
                              <w:rFonts w:ascii="Times New Roman" w:hAnsi="Times New Roman" w:cs="Times New Roman"/>
                              <w:sz w:val="24"/>
                              <w:szCs w:val="24"/>
                            </w:rPr>
                            <w:t xml:space="preserve">nline </w:t>
                          </w:r>
                          <w:r>
                            <w:rPr>
                              <w:rFonts w:ascii="Times New Roman" w:hAnsi="Times New Roman" w:cs="Times New Roman"/>
                              <w:sz w:val="24"/>
                              <w:szCs w:val="24"/>
                            </w:rPr>
                            <w:t>B</w:t>
                          </w:r>
                          <w:r w:rsidR="00DB7A02" w:rsidRPr="00BC4253">
                            <w:rPr>
                              <w:rFonts w:ascii="Times New Roman" w:hAnsi="Times New Roman" w:cs="Times New Roman"/>
                              <w:sz w:val="24"/>
                              <w:szCs w:val="24"/>
                            </w:rPr>
                            <w:t>anking</w:t>
                          </w:r>
                          <w:r w:rsidR="00DB7A02">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00975507" w:rsidRPr="009B5C5F">
                            <w:rPr>
                              <w:rFonts w:ascii="Times New Roman" w:hAnsi="Times New Roman" w:cs="Times New Roman"/>
                              <w:sz w:val="24"/>
                              <w:szCs w:val="24"/>
                            </w:rPr>
                            <w:t>ehaviour</w:t>
                          </w:r>
                          <w:proofErr w:type="spellEnd"/>
                        </w:p>
                      </w:txbxContent>
                    </v:textbox>
                  </v:shape>
                  <v:shapetype id="_x0000_t32" coordsize="21600,21600" o:spt="32" o:oned="t" path="m,l21600,21600e" filled="f">
                    <v:path arrowok="t" fillok="f" o:connecttype="none"/>
                    <o:lock v:ext="edit" shapetype="t"/>
                  </v:shapetype>
                  <v:shape id="Straight Arrow Connector 2" o:spid="_x0000_s1051" type="#_x0000_t32" style="position:absolute;left:19526;top:1333;width:14764;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" strokecolor="black [3200]" strokeweight=".5pt">
                    <v:stroke endarrow="block" joinstyle="miter"/>
                  </v:shape>
                  <v:shape id="Straight Arrow Connector 3" o:spid="_x0000_s1052" type="#_x0000_t32" style="position:absolute;left:19526;top:6381;width:148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" strokecolor="black [3200]" strokeweight=".5pt">
                    <v:stroke endarrow="block" joinstyle="miter"/>
                  </v:shape>
                  <v:shape id="Straight Arrow Connector 4" o:spid="_x0000_s1053" type="#_x0000_t32" style="position:absolute;left:19621;top:7334;width:14573;height:47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" strokecolor="black [3200]" strokeweight=".5pt">
                    <v:stroke endarrow="block" joinstyle="miter"/>
                  </v:shape>
                </v:group>
                <v:rect id="Rectangle 23" o:spid="_x0000_s1054" style="position:absolute;width:61245;height:16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" filled="f" strokecolor="black [3213]" strokeweight="1pt"/>
              </v:group>
            </w:pict>
          </mc:Fallback>
        </mc:AlternateContent>
      </w:r>
    </w:p>
    <w:p w14:paraId="7754C3C3" w14:textId="2509530D" w:rsidR="00DB7A02" w:rsidRPr="00FA161E" w:rsidRDefault="00DB7A02" w:rsidP="00DA3538">
      <w:pPr>
        <w:spacing w:line="276" w:lineRule="auto"/>
        <w:jc w:val="both"/>
        <w:rPr>
          <w:rFonts w:ascii="Times New Roman" w:hAnsi="Times New Roman" w:cs="Times New Roman"/>
          <w:sz w:val="24"/>
          <w:szCs w:val="24"/>
        </w:rPr>
      </w:pPr>
    </w:p>
    <w:p w14:paraId="018FFA0A" w14:textId="4032A469" w:rsidR="00DB7A02" w:rsidRPr="00FA161E" w:rsidRDefault="00DB7A02" w:rsidP="00DA3538">
      <w:pPr>
        <w:spacing w:line="276" w:lineRule="auto"/>
        <w:jc w:val="both"/>
        <w:rPr>
          <w:rFonts w:ascii="Times New Roman" w:hAnsi="Times New Roman" w:cs="Times New Roman"/>
          <w:sz w:val="24"/>
          <w:szCs w:val="24"/>
        </w:rPr>
      </w:pPr>
    </w:p>
    <w:p w14:paraId="1529C334" w14:textId="19476F09" w:rsidR="00DB7A02" w:rsidRPr="00FA161E" w:rsidRDefault="00DB7A02" w:rsidP="00DA3538">
      <w:pPr>
        <w:spacing w:line="276" w:lineRule="auto"/>
        <w:jc w:val="both"/>
        <w:rPr>
          <w:rFonts w:ascii="Times New Roman" w:hAnsi="Times New Roman" w:cs="Times New Roman"/>
          <w:sz w:val="24"/>
          <w:szCs w:val="24"/>
        </w:rPr>
      </w:pPr>
    </w:p>
    <w:p w14:paraId="6D39AAC9" w14:textId="24BE4405" w:rsidR="00DB7A02" w:rsidRPr="00FA161E" w:rsidRDefault="00DB7A02" w:rsidP="00DA3538">
      <w:pPr>
        <w:spacing w:line="276" w:lineRule="auto"/>
        <w:jc w:val="both"/>
        <w:rPr>
          <w:rFonts w:ascii="Times New Roman" w:hAnsi="Times New Roman" w:cs="Times New Roman"/>
          <w:sz w:val="24"/>
          <w:szCs w:val="24"/>
        </w:rPr>
      </w:pPr>
    </w:p>
    <w:p w14:paraId="7817EA27" w14:textId="3B66B7CA" w:rsidR="001965E6" w:rsidRPr="00FA161E" w:rsidRDefault="001965E6" w:rsidP="00DA3538">
      <w:pPr>
        <w:spacing w:line="276" w:lineRule="auto"/>
        <w:jc w:val="both"/>
        <w:rPr>
          <w:rFonts w:ascii="Times New Roman" w:hAnsi="Times New Roman" w:cs="Times New Roman"/>
          <w:sz w:val="24"/>
          <w:szCs w:val="24"/>
        </w:rPr>
      </w:pPr>
    </w:p>
    <w:p w14:paraId="0E50D0F8" w14:textId="714B457B" w:rsidR="00B24CE3" w:rsidRPr="00FA161E" w:rsidRDefault="0046508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 xml:space="preserve">Figure 2. Conceptual Framework of the Study. Source: Research data, </w:t>
      </w:r>
      <w:r w:rsidR="000121BE">
        <w:rPr>
          <w:rFonts w:ascii="Times New Roman" w:hAnsi="Times New Roman" w:cs="Times New Roman"/>
          <w:sz w:val="24"/>
          <w:szCs w:val="24"/>
        </w:rPr>
        <w:t>2025</w:t>
      </w:r>
      <w:r w:rsidR="00B24CE3" w:rsidRPr="00FA161E">
        <w:rPr>
          <w:rFonts w:ascii="Times New Roman" w:hAnsi="Times New Roman" w:cs="Times New Roman"/>
          <w:sz w:val="24"/>
          <w:szCs w:val="24"/>
        </w:rPr>
        <w:t>.</w:t>
      </w:r>
    </w:p>
    <w:p w14:paraId="1FE66233" w14:textId="42A63C62" w:rsidR="00B24CE3" w:rsidRPr="00FA161E" w:rsidRDefault="00B24CE3"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Hypothesis </w:t>
      </w:r>
      <w:r w:rsidR="006C7963" w:rsidRPr="00FA161E">
        <w:rPr>
          <w:rFonts w:ascii="Times New Roman" w:hAnsi="Times New Roman" w:cs="Times New Roman"/>
          <w:sz w:val="24"/>
          <w:szCs w:val="24"/>
        </w:rPr>
        <w:t>one (H</w:t>
      </w:r>
      <w:r w:rsidRPr="00FA161E">
        <w:rPr>
          <w:rFonts w:ascii="Times New Roman" w:hAnsi="Times New Roman" w:cs="Times New Roman"/>
          <w:sz w:val="24"/>
          <w:szCs w:val="24"/>
          <w:vertAlign w:val="subscript"/>
        </w:rPr>
        <w:t>1</w:t>
      </w:r>
      <w:r w:rsidR="006C7963" w:rsidRPr="00FA161E">
        <w:rPr>
          <w:rFonts w:ascii="Times New Roman" w:hAnsi="Times New Roman" w:cs="Times New Roman"/>
          <w:sz w:val="24"/>
          <w:szCs w:val="24"/>
        </w:rPr>
        <w:t>)</w:t>
      </w:r>
    </w:p>
    <w:p w14:paraId="56489D62" w14:textId="0D3A3DEC" w:rsidR="0046508F" w:rsidRPr="00FA161E" w:rsidRDefault="006C7963"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One of the important independent variables in this study is financial </w:t>
      </w:r>
      <w:r w:rsidR="005E5410" w:rsidRPr="00FA161E">
        <w:rPr>
          <w:rFonts w:ascii="Times New Roman" w:hAnsi="Times New Roman" w:cs="Times New Roman"/>
          <w:sz w:val="24"/>
          <w:szCs w:val="24"/>
        </w:rPr>
        <w:t>knowledge</w:t>
      </w:r>
      <w:r w:rsidRPr="00FA161E">
        <w:rPr>
          <w:rFonts w:ascii="Times New Roman" w:hAnsi="Times New Roman" w:cs="Times New Roman"/>
          <w:sz w:val="24"/>
          <w:szCs w:val="24"/>
        </w:rPr>
        <w:t>, which refers to the basic knowledge of key financial concepts and the ability to apply numerical skills in financial situations</w:t>
      </w:r>
      <w:r w:rsidR="00FD6E1D" w:rsidRPr="00FA161E">
        <w:rPr>
          <w:rFonts w:ascii="Times New Roman" w:hAnsi="Times New Roman" w:cs="Times New Roman"/>
          <w:sz w:val="24"/>
          <w:szCs w:val="24"/>
        </w:rPr>
        <w:t xml:space="preserve"> (OECD/INFE, 2012)</w:t>
      </w:r>
      <w:r w:rsidRPr="00FA161E">
        <w:rPr>
          <w:rFonts w:ascii="Times New Roman" w:hAnsi="Times New Roman" w:cs="Times New Roman"/>
          <w:sz w:val="24"/>
          <w:szCs w:val="24"/>
        </w:rPr>
        <w:t xml:space="preserve">. As an individual's financial </w:t>
      </w:r>
      <w:r w:rsidR="005E5410" w:rsidRPr="00FA161E">
        <w:rPr>
          <w:rFonts w:ascii="Times New Roman" w:hAnsi="Times New Roman" w:cs="Times New Roman"/>
          <w:sz w:val="24"/>
          <w:szCs w:val="24"/>
        </w:rPr>
        <w:t xml:space="preserve">knowledge </w:t>
      </w:r>
      <w:r w:rsidRPr="00FA161E">
        <w:rPr>
          <w:rFonts w:ascii="Times New Roman" w:hAnsi="Times New Roman" w:cs="Times New Roman"/>
          <w:sz w:val="24"/>
          <w:szCs w:val="24"/>
        </w:rPr>
        <w:t xml:space="preserve">increases, they tend to engage more in banking and, with digitalization, they tend to use it for their banking activities. Accordingly, it is hypothesized that financial </w:t>
      </w:r>
      <w:r w:rsidR="005E5410" w:rsidRPr="00FA161E">
        <w:rPr>
          <w:rFonts w:ascii="Times New Roman" w:hAnsi="Times New Roman" w:cs="Times New Roman"/>
          <w:sz w:val="24"/>
          <w:szCs w:val="24"/>
        </w:rPr>
        <w:t>knowledge</w:t>
      </w:r>
      <w:r w:rsidRPr="00FA161E">
        <w:rPr>
          <w:rFonts w:ascii="Times New Roman" w:hAnsi="Times New Roman" w:cs="Times New Roman"/>
          <w:sz w:val="24"/>
          <w:szCs w:val="24"/>
        </w:rPr>
        <w:t xml:space="preserve"> has a positive effect on customers' online banking </w:t>
      </w:r>
      <w:proofErr w:type="spellStart"/>
      <w:r w:rsidR="00975507" w:rsidRPr="00FA161E">
        <w:rPr>
          <w:rFonts w:ascii="Times New Roman" w:hAnsi="Times New Roman" w:cs="Times New Roman"/>
          <w:sz w:val="24"/>
          <w:szCs w:val="24"/>
        </w:rPr>
        <w:t>behaviour</w:t>
      </w:r>
      <w:proofErr w:type="spellEnd"/>
      <w:r w:rsidRPr="00FA161E">
        <w:rPr>
          <w:rFonts w:ascii="Times New Roman" w:hAnsi="Times New Roman" w:cs="Times New Roman"/>
          <w:sz w:val="24"/>
          <w:szCs w:val="24"/>
        </w:rPr>
        <w:t xml:space="preserve">. Accordingly, by identifying the impact of this factor, it is possible to organize the necessary activities to increase customers' financial </w:t>
      </w:r>
      <w:r w:rsidR="005E5410" w:rsidRPr="00FA161E">
        <w:rPr>
          <w:rFonts w:ascii="Times New Roman" w:hAnsi="Times New Roman" w:cs="Times New Roman"/>
          <w:sz w:val="24"/>
          <w:szCs w:val="24"/>
        </w:rPr>
        <w:t>knowledge</w:t>
      </w:r>
      <w:r w:rsidRPr="00FA161E">
        <w:rPr>
          <w:rFonts w:ascii="Times New Roman" w:hAnsi="Times New Roman" w:cs="Times New Roman"/>
          <w:sz w:val="24"/>
          <w:szCs w:val="24"/>
        </w:rPr>
        <w:t xml:space="preserve"> and banks can formulate the necessary strategies to motivate them to use online banking services</w:t>
      </w:r>
      <w:r w:rsidR="0046508F" w:rsidRPr="00FA161E">
        <w:rPr>
          <w:rFonts w:ascii="Times New Roman" w:hAnsi="Times New Roman" w:cs="Times New Roman"/>
          <w:sz w:val="24"/>
          <w:szCs w:val="24"/>
        </w:rPr>
        <w:t>.</w:t>
      </w:r>
    </w:p>
    <w:p w14:paraId="573E75AA" w14:textId="04E21A9F" w:rsidR="002B5610" w:rsidRPr="00FA161E" w:rsidRDefault="002B5610" w:rsidP="00DA3538">
      <w:pPr>
        <w:spacing w:line="276" w:lineRule="auto"/>
        <w:rPr>
          <w:rFonts w:ascii="Times New Roman" w:hAnsi="Times New Roman" w:cs="Times New Roman"/>
          <w:sz w:val="24"/>
          <w:szCs w:val="24"/>
        </w:rPr>
      </w:pPr>
      <w:r w:rsidRPr="00FA161E">
        <w:rPr>
          <w:rFonts w:ascii="Times New Roman" w:hAnsi="Times New Roman" w:cs="Times New Roman"/>
          <w:sz w:val="24"/>
          <w:szCs w:val="24"/>
        </w:rPr>
        <w:t>H</w:t>
      </w:r>
      <w:r w:rsidRPr="00FA161E">
        <w:rPr>
          <w:rFonts w:ascii="Times New Roman" w:hAnsi="Times New Roman" w:cs="Times New Roman"/>
          <w:sz w:val="24"/>
          <w:szCs w:val="24"/>
          <w:vertAlign w:val="subscript"/>
        </w:rPr>
        <w:t>1</w:t>
      </w:r>
      <w:r w:rsidRPr="00FA161E">
        <w:rPr>
          <w:rFonts w:ascii="Times New Roman" w:hAnsi="Times New Roman" w:cs="Times New Roman"/>
          <w:sz w:val="24"/>
          <w:szCs w:val="24"/>
        </w:rPr>
        <w:t xml:space="preserve">- Financial </w:t>
      </w:r>
      <w:r w:rsidR="00234A17" w:rsidRPr="00FA161E">
        <w:rPr>
          <w:rFonts w:ascii="Times New Roman" w:hAnsi="Times New Roman" w:cs="Times New Roman"/>
          <w:sz w:val="24"/>
          <w:szCs w:val="24"/>
        </w:rPr>
        <w:t>k</w:t>
      </w:r>
      <w:r w:rsidRPr="00FA161E">
        <w:rPr>
          <w:rFonts w:ascii="Times New Roman" w:hAnsi="Times New Roman" w:cs="Times New Roman"/>
          <w:sz w:val="24"/>
          <w:szCs w:val="24"/>
        </w:rPr>
        <w:t xml:space="preserve">nowledge has a positive effect on customers' online banking </w:t>
      </w:r>
      <w:proofErr w:type="spellStart"/>
      <w:r w:rsidR="00975507" w:rsidRPr="00FA161E">
        <w:rPr>
          <w:rFonts w:ascii="Times New Roman" w:hAnsi="Times New Roman" w:cs="Times New Roman"/>
          <w:sz w:val="24"/>
          <w:szCs w:val="24"/>
        </w:rPr>
        <w:t>behaviour</w:t>
      </w:r>
      <w:proofErr w:type="spellEnd"/>
    </w:p>
    <w:p w14:paraId="0A31A2B7" w14:textId="4FD9AC1C" w:rsidR="005E001F" w:rsidRPr="00FA161E" w:rsidRDefault="005E001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Hypothesis </w:t>
      </w:r>
      <w:r w:rsidR="0094259E" w:rsidRPr="00FA161E">
        <w:rPr>
          <w:rFonts w:ascii="Times New Roman" w:hAnsi="Times New Roman" w:cs="Times New Roman"/>
          <w:sz w:val="24"/>
          <w:szCs w:val="24"/>
        </w:rPr>
        <w:t>two</w:t>
      </w:r>
      <w:r w:rsidRPr="00FA161E">
        <w:rPr>
          <w:rFonts w:ascii="Times New Roman" w:hAnsi="Times New Roman" w:cs="Times New Roman"/>
          <w:sz w:val="24"/>
          <w:szCs w:val="24"/>
        </w:rPr>
        <w:t xml:space="preserve"> (H</w:t>
      </w:r>
      <w:r w:rsidRPr="00FA161E">
        <w:rPr>
          <w:rFonts w:ascii="Times New Roman" w:hAnsi="Times New Roman" w:cs="Times New Roman"/>
          <w:sz w:val="24"/>
          <w:szCs w:val="24"/>
          <w:vertAlign w:val="subscript"/>
        </w:rPr>
        <w:t>2</w:t>
      </w:r>
      <w:r w:rsidRPr="00FA161E">
        <w:rPr>
          <w:rFonts w:ascii="Times New Roman" w:hAnsi="Times New Roman" w:cs="Times New Roman"/>
          <w:sz w:val="24"/>
          <w:szCs w:val="24"/>
        </w:rPr>
        <w:t>)</w:t>
      </w:r>
    </w:p>
    <w:p w14:paraId="4214D881" w14:textId="0A5E6EF2" w:rsidR="001376AD" w:rsidRPr="00FA161E" w:rsidRDefault="001376AD"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Another important aspect of financial literacy is financial behavior. In this study, it is another independent variable that focuses on individuals’ ability to plan their spending and build a financial safety net (Xiao, Chen and Sun, 2015). By identifying the impact of financial behavior </w:t>
      </w:r>
      <w:r w:rsidRPr="00FA161E">
        <w:rPr>
          <w:rFonts w:ascii="Times New Roman" w:hAnsi="Times New Roman" w:cs="Times New Roman"/>
          <w:sz w:val="24"/>
          <w:szCs w:val="24"/>
        </w:rPr>
        <w:lastRenderedPageBreak/>
        <w:t xml:space="preserve">on customers’ adoption of online banking, the banking system will be able to better understand their behavior and make necessary changes. In this study, it is hypothesized that financial behavior has a positive impact on customers’ online banking </w:t>
      </w:r>
      <w:proofErr w:type="spellStart"/>
      <w:r w:rsidR="00975507" w:rsidRPr="00FA161E">
        <w:rPr>
          <w:rFonts w:ascii="Times New Roman" w:hAnsi="Times New Roman" w:cs="Times New Roman"/>
          <w:sz w:val="24"/>
          <w:szCs w:val="24"/>
        </w:rPr>
        <w:t>behaviour</w:t>
      </w:r>
      <w:proofErr w:type="spellEnd"/>
      <w:r w:rsidRPr="00FA161E">
        <w:rPr>
          <w:rFonts w:ascii="Times New Roman" w:hAnsi="Times New Roman" w:cs="Times New Roman"/>
          <w:sz w:val="24"/>
          <w:szCs w:val="24"/>
        </w:rPr>
        <w:t>.</w:t>
      </w:r>
    </w:p>
    <w:p w14:paraId="34C2B457" w14:textId="2F095A12" w:rsidR="001376AD" w:rsidRPr="00FA161E" w:rsidRDefault="001376AD" w:rsidP="00DA3538">
      <w:pPr>
        <w:spacing w:line="276" w:lineRule="auto"/>
        <w:rPr>
          <w:rFonts w:ascii="Times New Roman" w:hAnsi="Times New Roman" w:cs="Times New Roman"/>
          <w:sz w:val="24"/>
          <w:szCs w:val="24"/>
        </w:rPr>
      </w:pPr>
      <w:r w:rsidRPr="00FA161E">
        <w:rPr>
          <w:rFonts w:ascii="Times New Roman" w:hAnsi="Times New Roman" w:cs="Times New Roman"/>
          <w:sz w:val="24"/>
          <w:szCs w:val="24"/>
        </w:rPr>
        <w:t>H</w:t>
      </w:r>
      <w:r w:rsidRPr="00FA161E">
        <w:rPr>
          <w:rFonts w:ascii="Times New Roman" w:hAnsi="Times New Roman" w:cs="Times New Roman"/>
          <w:sz w:val="24"/>
          <w:szCs w:val="24"/>
          <w:vertAlign w:val="subscript"/>
        </w:rPr>
        <w:t>2</w:t>
      </w:r>
      <w:r w:rsidRPr="00FA161E">
        <w:rPr>
          <w:rFonts w:ascii="Times New Roman" w:hAnsi="Times New Roman" w:cs="Times New Roman"/>
          <w:sz w:val="24"/>
          <w:szCs w:val="24"/>
        </w:rPr>
        <w:t xml:space="preserve">- Financial </w:t>
      </w:r>
      <w:proofErr w:type="spellStart"/>
      <w:r w:rsidR="00234A17" w:rsidRPr="00FA161E">
        <w:rPr>
          <w:rFonts w:ascii="Times New Roman" w:hAnsi="Times New Roman" w:cs="Times New Roman"/>
          <w:sz w:val="24"/>
          <w:szCs w:val="24"/>
        </w:rPr>
        <w:t>b</w:t>
      </w:r>
      <w:r w:rsidRPr="00FA161E">
        <w:rPr>
          <w:rFonts w:ascii="Times New Roman" w:hAnsi="Times New Roman" w:cs="Times New Roman"/>
          <w:sz w:val="24"/>
          <w:szCs w:val="24"/>
        </w:rPr>
        <w:t>ehavoiur</w:t>
      </w:r>
      <w:proofErr w:type="spellEnd"/>
      <w:r w:rsidRPr="00FA161E">
        <w:rPr>
          <w:rFonts w:ascii="Times New Roman" w:hAnsi="Times New Roman" w:cs="Times New Roman"/>
          <w:sz w:val="24"/>
          <w:szCs w:val="24"/>
        </w:rPr>
        <w:t xml:space="preserve"> has a positive effect on customers' online banking </w:t>
      </w:r>
      <w:proofErr w:type="spellStart"/>
      <w:r w:rsidR="00975507" w:rsidRPr="00FA161E">
        <w:rPr>
          <w:rFonts w:ascii="Times New Roman" w:hAnsi="Times New Roman" w:cs="Times New Roman"/>
          <w:sz w:val="24"/>
          <w:szCs w:val="24"/>
        </w:rPr>
        <w:t>behaviour</w:t>
      </w:r>
      <w:proofErr w:type="spellEnd"/>
    </w:p>
    <w:p w14:paraId="4B29F0CF" w14:textId="77777777" w:rsidR="001376AD" w:rsidRPr="00FA161E" w:rsidRDefault="001376AD" w:rsidP="00DA3538">
      <w:pPr>
        <w:spacing w:line="276" w:lineRule="auto"/>
        <w:jc w:val="both"/>
        <w:rPr>
          <w:rFonts w:ascii="Times New Roman" w:hAnsi="Times New Roman" w:cs="Times New Roman"/>
          <w:sz w:val="24"/>
          <w:szCs w:val="24"/>
        </w:rPr>
      </w:pPr>
    </w:p>
    <w:p w14:paraId="41FD50B0" w14:textId="42153F3B" w:rsidR="000F657E" w:rsidRPr="00FA161E" w:rsidRDefault="000F657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Hypothesis </w:t>
      </w:r>
      <w:r w:rsidR="0094259E" w:rsidRPr="00FA161E">
        <w:rPr>
          <w:rFonts w:ascii="Times New Roman" w:hAnsi="Times New Roman" w:cs="Times New Roman"/>
          <w:sz w:val="24"/>
          <w:szCs w:val="24"/>
        </w:rPr>
        <w:t>three</w:t>
      </w:r>
      <w:r w:rsidRPr="00FA161E">
        <w:rPr>
          <w:rFonts w:ascii="Times New Roman" w:hAnsi="Times New Roman" w:cs="Times New Roman"/>
          <w:sz w:val="24"/>
          <w:szCs w:val="24"/>
        </w:rPr>
        <w:t xml:space="preserve"> (H</w:t>
      </w:r>
      <w:r w:rsidRPr="00FA161E">
        <w:rPr>
          <w:rFonts w:ascii="Times New Roman" w:hAnsi="Times New Roman" w:cs="Times New Roman"/>
          <w:sz w:val="24"/>
          <w:szCs w:val="24"/>
          <w:vertAlign w:val="subscript"/>
        </w:rPr>
        <w:t>3</w:t>
      </w:r>
      <w:r w:rsidRPr="00FA161E">
        <w:rPr>
          <w:rFonts w:ascii="Times New Roman" w:hAnsi="Times New Roman" w:cs="Times New Roman"/>
          <w:sz w:val="24"/>
          <w:szCs w:val="24"/>
        </w:rPr>
        <w:t>)</w:t>
      </w:r>
    </w:p>
    <w:p w14:paraId="09D0BA2C" w14:textId="27C71D3D" w:rsidR="0046508F" w:rsidRPr="00FA161E" w:rsidRDefault="00234A17"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Financial attitudes have also become a strong factor influencing whether or not people use online banking</w:t>
      </w:r>
      <w:r w:rsidR="00A431FE" w:rsidRPr="00FA161E">
        <w:rPr>
          <w:rFonts w:ascii="Times New Roman" w:hAnsi="Times New Roman" w:cs="Times New Roman"/>
          <w:sz w:val="24"/>
          <w:szCs w:val="24"/>
        </w:rPr>
        <w:t xml:space="preserve">. </w:t>
      </w:r>
      <w:r w:rsidRPr="00FA161E">
        <w:rPr>
          <w:rFonts w:ascii="Times New Roman" w:hAnsi="Times New Roman" w:cs="Times New Roman"/>
          <w:sz w:val="24"/>
          <w:szCs w:val="24"/>
        </w:rPr>
        <w:t xml:space="preserve">If people have a somewhat negative attitude towards saving for their future, they are less inclined to do so, and their preference for traditional banking and modern banking facilities </w:t>
      </w:r>
      <w:r w:rsidR="00122232" w:rsidRPr="00FA161E">
        <w:rPr>
          <w:rFonts w:ascii="Times New Roman" w:hAnsi="Times New Roman" w:cs="Times New Roman"/>
          <w:sz w:val="24"/>
          <w:szCs w:val="24"/>
        </w:rPr>
        <w:t>determines</w:t>
      </w:r>
      <w:r w:rsidRPr="00FA161E">
        <w:rPr>
          <w:rFonts w:ascii="Times New Roman" w:hAnsi="Times New Roman" w:cs="Times New Roman"/>
          <w:sz w:val="24"/>
          <w:szCs w:val="24"/>
        </w:rPr>
        <w:t xml:space="preserve"> their use</w:t>
      </w:r>
      <w:r w:rsidR="00A431FE" w:rsidRPr="00FA161E">
        <w:rPr>
          <w:rFonts w:ascii="Times New Roman" w:hAnsi="Times New Roman" w:cs="Times New Roman"/>
          <w:sz w:val="24"/>
          <w:szCs w:val="24"/>
        </w:rPr>
        <w:t xml:space="preserve"> (OECD/INFE, 2023)</w:t>
      </w:r>
      <w:r w:rsidRPr="00FA161E">
        <w:rPr>
          <w:rFonts w:ascii="Times New Roman" w:hAnsi="Times New Roman" w:cs="Times New Roman"/>
          <w:sz w:val="24"/>
          <w:szCs w:val="24"/>
        </w:rPr>
        <w:t xml:space="preserve">. Accordingly, it is important to identify the impact of customers' financial attitudes on their online banking </w:t>
      </w:r>
      <w:proofErr w:type="spellStart"/>
      <w:r w:rsidR="00975507" w:rsidRPr="00FA161E">
        <w:rPr>
          <w:rFonts w:ascii="Times New Roman" w:hAnsi="Times New Roman" w:cs="Times New Roman"/>
          <w:sz w:val="24"/>
          <w:szCs w:val="24"/>
        </w:rPr>
        <w:t>behaviour</w:t>
      </w:r>
      <w:proofErr w:type="spellEnd"/>
      <w:r w:rsidRPr="00FA161E">
        <w:rPr>
          <w:rFonts w:ascii="Times New Roman" w:hAnsi="Times New Roman" w:cs="Times New Roman"/>
          <w:sz w:val="24"/>
          <w:szCs w:val="24"/>
        </w:rPr>
        <w:t>. Here, it is assumed that it has a positive effect.</w:t>
      </w:r>
    </w:p>
    <w:p w14:paraId="154D4705" w14:textId="2B731C58" w:rsidR="00234A17" w:rsidRPr="00FA161E" w:rsidRDefault="00234A17" w:rsidP="00DA3538">
      <w:pPr>
        <w:spacing w:line="276" w:lineRule="auto"/>
        <w:rPr>
          <w:rFonts w:ascii="Times New Roman" w:hAnsi="Times New Roman" w:cs="Times New Roman"/>
          <w:sz w:val="24"/>
          <w:szCs w:val="24"/>
        </w:rPr>
      </w:pPr>
      <w:r w:rsidRPr="00FA161E">
        <w:rPr>
          <w:rFonts w:ascii="Times New Roman" w:hAnsi="Times New Roman" w:cs="Times New Roman"/>
          <w:sz w:val="24"/>
          <w:szCs w:val="24"/>
        </w:rPr>
        <w:t>H</w:t>
      </w:r>
      <w:r w:rsidRPr="00FA161E">
        <w:rPr>
          <w:rFonts w:ascii="Times New Roman" w:hAnsi="Times New Roman" w:cs="Times New Roman"/>
          <w:sz w:val="24"/>
          <w:szCs w:val="24"/>
          <w:vertAlign w:val="subscript"/>
        </w:rPr>
        <w:t>3</w:t>
      </w:r>
      <w:r w:rsidRPr="00FA161E">
        <w:rPr>
          <w:rFonts w:ascii="Times New Roman" w:hAnsi="Times New Roman" w:cs="Times New Roman"/>
          <w:sz w:val="24"/>
          <w:szCs w:val="24"/>
        </w:rPr>
        <w:t xml:space="preserve">- Financial attitudes </w:t>
      </w:r>
      <w:r w:rsidR="00122232" w:rsidRPr="00FA161E">
        <w:rPr>
          <w:rFonts w:ascii="Times New Roman" w:hAnsi="Times New Roman" w:cs="Times New Roman"/>
          <w:sz w:val="24"/>
          <w:szCs w:val="24"/>
        </w:rPr>
        <w:t>have</w:t>
      </w:r>
      <w:r w:rsidRPr="00FA161E">
        <w:rPr>
          <w:rFonts w:ascii="Times New Roman" w:hAnsi="Times New Roman" w:cs="Times New Roman"/>
          <w:sz w:val="24"/>
          <w:szCs w:val="24"/>
        </w:rPr>
        <w:t xml:space="preserve"> a positive effect on customers' online banking </w:t>
      </w:r>
      <w:proofErr w:type="spellStart"/>
      <w:r w:rsidR="00975507" w:rsidRPr="00FA161E">
        <w:rPr>
          <w:rFonts w:ascii="Times New Roman" w:hAnsi="Times New Roman" w:cs="Times New Roman"/>
          <w:sz w:val="24"/>
          <w:szCs w:val="24"/>
        </w:rPr>
        <w:t>behaviour</w:t>
      </w:r>
      <w:proofErr w:type="spellEnd"/>
    </w:p>
    <w:p w14:paraId="14120653" w14:textId="77777777" w:rsidR="00234A17" w:rsidRPr="00FA161E" w:rsidRDefault="00234A17" w:rsidP="00DA3538">
      <w:pPr>
        <w:spacing w:line="276" w:lineRule="auto"/>
        <w:jc w:val="both"/>
        <w:rPr>
          <w:rFonts w:ascii="Times New Roman" w:hAnsi="Times New Roman" w:cs="Times New Roman"/>
          <w:b/>
          <w:bCs/>
          <w:sz w:val="24"/>
          <w:szCs w:val="24"/>
        </w:rPr>
      </w:pPr>
    </w:p>
    <w:p w14:paraId="2CF45B31" w14:textId="1A57C766" w:rsidR="002B716B" w:rsidRPr="00FA161E" w:rsidRDefault="00467436" w:rsidP="00DA3538">
      <w:pPr>
        <w:pStyle w:val="ListParagraph"/>
        <w:numPr>
          <w:ilvl w:val="0"/>
          <w:numId w:val="2"/>
        </w:num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Results and Discussion</w:t>
      </w:r>
    </w:p>
    <w:p w14:paraId="3E6D3D0E" w14:textId="1726C47D" w:rsidR="000769AA" w:rsidRPr="00FA161E" w:rsidRDefault="000769AA" w:rsidP="00DA3538">
      <w:pPr>
        <w:spacing w:line="276" w:lineRule="auto"/>
        <w:ind w:left="450" w:hanging="90"/>
        <w:jc w:val="both"/>
        <w:rPr>
          <w:rFonts w:ascii="Times New Roman" w:hAnsi="Times New Roman" w:cs="Times New Roman"/>
          <w:sz w:val="24"/>
          <w:szCs w:val="24"/>
        </w:rPr>
      </w:pPr>
      <w:r w:rsidRPr="00FA161E">
        <w:rPr>
          <w:rFonts w:ascii="Times New Roman" w:hAnsi="Times New Roman" w:cs="Times New Roman"/>
          <w:sz w:val="24"/>
          <w:szCs w:val="24"/>
        </w:rPr>
        <w:t xml:space="preserve">04.1 Descriptive analysis </w:t>
      </w:r>
    </w:p>
    <w:p w14:paraId="7849E89C" w14:textId="476D128B" w:rsidR="00EE1EFB" w:rsidRPr="00FA161E" w:rsidRDefault="00EE1EFB"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Through descriptive analysis, it is possible to get an understanding of the demographic factors of the people used as a sample for the research and the data related to customers'</w:t>
      </w:r>
      <w:r w:rsidR="00364123" w:rsidRPr="00FA161E">
        <w:rPr>
          <w:rFonts w:ascii="Times New Roman" w:hAnsi="Times New Roman" w:cs="Times New Roman"/>
          <w:sz w:val="24"/>
          <w:szCs w:val="24"/>
        </w:rPr>
        <w:t xml:space="preserve"> </w:t>
      </w:r>
      <w:r w:rsidRPr="00FA161E">
        <w:rPr>
          <w:rFonts w:ascii="Times New Roman" w:hAnsi="Times New Roman" w:cs="Times New Roman"/>
          <w:sz w:val="24"/>
          <w:szCs w:val="24"/>
        </w:rPr>
        <w:t xml:space="preserve">online banking </w:t>
      </w:r>
      <w:proofErr w:type="spellStart"/>
      <w:r w:rsidRPr="00FA161E">
        <w:rPr>
          <w:rFonts w:ascii="Times New Roman" w:hAnsi="Times New Roman" w:cs="Times New Roman"/>
          <w:sz w:val="24"/>
          <w:szCs w:val="24"/>
        </w:rPr>
        <w:t>behaviour</w:t>
      </w:r>
      <w:proofErr w:type="spellEnd"/>
      <w:r w:rsidRPr="00FA161E">
        <w:rPr>
          <w:rFonts w:ascii="Times New Roman" w:hAnsi="Times New Roman" w:cs="Times New Roman"/>
          <w:sz w:val="24"/>
          <w:szCs w:val="24"/>
        </w:rPr>
        <w:t>.</w:t>
      </w:r>
    </w:p>
    <w:p w14:paraId="574C7DC7" w14:textId="007A8B98" w:rsidR="00D23003" w:rsidRPr="00FA161E" w:rsidRDefault="00A9501B"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Table 01: Demographic and online banking </w:t>
      </w:r>
      <w:proofErr w:type="spellStart"/>
      <w:r w:rsidR="00975507" w:rsidRPr="00FA161E">
        <w:rPr>
          <w:rFonts w:ascii="Times New Roman" w:hAnsi="Times New Roman" w:cs="Times New Roman"/>
          <w:sz w:val="24"/>
          <w:szCs w:val="24"/>
        </w:rPr>
        <w:t>behaviour</w:t>
      </w:r>
      <w:proofErr w:type="spellEnd"/>
      <w:r w:rsidRPr="00FA161E">
        <w:rPr>
          <w:rFonts w:ascii="Times New Roman" w:hAnsi="Times New Roman" w:cs="Times New Roman"/>
          <w:sz w:val="24"/>
          <w:szCs w:val="24"/>
        </w:rPr>
        <w:t xml:space="preserve"> related data</w:t>
      </w:r>
    </w:p>
    <w:tbl>
      <w:tblPr>
        <w:tblStyle w:val="TableGrid"/>
        <w:tblW w:w="8508"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55"/>
        <w:gridCol w:w="1908"/>
        <w:gridCol w:w="1345"/>
      </w:tblGrid>
      <w:tr w:rsidR="00997A5E" w:rsidRPr="00FA161E" w14:paraId="3E673D44" w14:textId="728AAF00" w:rsidTr="00D61D74">
        <w:trPr>
          <w:trHeight w:val="269"/>
          <w:jc w:val="center"/>
        </w:trPr>
        <w:tc>
          <w:tcPr>
            <w:tcW w:w="5271" w:type="dxa"/>
            <w:tcBorders>
              <w:top w:val="single" w:sz="4" w:space="0" w:color="auto"/>
              <w:bottom w:val="single" w:sz="4" w:space="0" w:color="auto"/>
            </w:tcBorders>
          </w:tcPr>
          <w:p w14:paraId="480B5293" w14:textId="4C25084F" w:rsidR="00997A5E" w:rsidRPr="00FA161E" w:rsidRDefault="00997A5E" w:rsidP="00DA3538">
            <w:p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Description</w:t>
            </w:r>
          </w:p>
        </w:tc>
        <w:tc>
          <w:tcPr>
            <w:tcW w:w="1910" w:type="dxa"/>
            <w:tcBorders>
              <w:top w:val="single" w:sz="4" w:space="0" w:color="auto"/>
              <w:bottom w:val="single" w:sz="4" w:space="0" w:color="auto"/>
            </w:tcBorders>
          </w:tcPr>
          <w:p w14:paraId="756BAA0A" w14:textId="3CD9B2F3" w:rsidR="00997A5E" w:rsidRPr="00FA161E" w:rsidRDefault="00997A5E" w:rsidP="00DA3538">
            <w:p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Frequency</w:t>
            </w:r>
          </w:p>
        </w:tc>
        <w:tc>
          <w:tcPr>
            <w:tcW w:w="1327" w:type="dxa"/>
            <w:tcBorders>
              <w:top w:val="single" w:sz="4" w:space="0" w:color="auto"/>
              <w:bottom w:val="single" w:sz="4" w:space="0" w:color="auto"/>
            </w:tcBorders>
          </w:tcPr>
          <w:p w14:paraId="4D688557" w14:textId="38A7BEBA" w:rsidR="00997A5E" w:rsidRPr="00FA161E" w:rsidRDefault="00997A5E" w:rsidP="00DA3538">
            <w:p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Percentage</w:t>
            </w:r>
          </w:p>
        </w:tc>
      </w:tr>
      <w:tr w:rsidR="00997A5E" w:rsidRPr="00FA161E" w14:paraId="6BB681EF" w14:textId="3DD03BA3" w:rsidTr="00D61D74">
        <w:trPr>
          <w:trHeight w:val="269"/>
          <w:jc w:val="center"/>
        </w:trPr>
        <w:tc>
          <w:tcPr>
            <w:tcW w:w="8508" w:type="dxa"/>
            <w:gridSpan w:val="3"/>
            <w:tcBorders>
              <w:top w:val="single" w:sz="4" w:space="0" w:color="auto"/>
            </w:tcBorders>
          </w:tcPr>
          <w:p w14:paraId="788CBEAB" w14:textId="244AB01D"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b/>
                <w:bCs/>
                <w:sz w:val="24"/>
                <w:szCs w:val="24"/>
              </w:rPr>
              <w:t>Gender</w:t>
            </w:r>
          </w:p>
        </w:tc>
      </w:tr>
      <w:tr w:rsidR="00997A5E" w:rsidRPr="00FA161E" w14:paraId="4623774E" w14:textId="4A7B99E3" w:rsidTr="00D61D74">
        <w:trPr>
          <w:trHeight w:val="269"/>
          <w:jc w:val="center"/>
        </w:trPr>
        <w:tc>
          <w:tcPr>
            <w:tcW w:w="5271" w:type="dxa"/>
          </w:tcPr>
          <w:p w14:paraId="166AC050" w14:textId="48A7EF13"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Male</w:t>
            </w:r>
          </w:p>
        </w:tc>
        <w:tc>
          <w:tcPr>
            <w:tcW w:w="1910" w:type="dxa"/>
            <w:vAlign w:val="center"/>
          </w:tcPr>
          <w:p w14:paraId="18606C32" w14:textId="7805A584"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170</w:t>
            </w:r>
          </w:p>
        </w:tc>
        <w:tc>
          <w:tcPr>
            <w:tcW w:w="1327" w:type="dxa"/>
            <w:vAlign w:val="center"/>
          </w:tcPr>
          <w:p w14:paraId="02CB655F" w14:textId="7D8AB242"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44.5%</w:t>
            </w:r>
          </w:p>
        </w:tc>
      </w:tr>
      <w:tr w:rsidR="00997A5E" w:rsidRPr="00FA161E" w14:paraId="61EA5430" w14:textId="4FFCA110" w:rsidTr="00D61D74">
        <w:trPr>
          <w:trHeight w:val="122"/>
          <w:jc w:val="center"/>
        </w:trPr>
        <w:tc>
          <w:tcPr>
            <w:tcW w:w="5271" w:type="dxa"/>
          </w:tcPr>
          <w:p w14:paraId="226F128A" w14:textId="6D8B8F41"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Female</w:t>
            </w:r>
          </w:p>
        </w:tc>
        <w:tc>
          <w:tcPr>
            <w:tcW w:w="1910" w:type="dxa"/>
            <w:vAlign w:val="center"/>
          </w:tcPr>
          <w:p w14:paraId="1A26E9F6" w14:textId="2482C037"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212</w:t>
            </w:r>
          </w:p>
        </w:tc>
        <w:tc>
          <w:tcPr>
            <w:tcW w:w="1327" w:type="dxa"/>
            <w:vAlign w:val="center"/>
          </w:tcPr>
          <w:p w14:paraId="29BBBB75" w14:textId="47378989"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55.5%</w:t>
            </w:r>
          </w:p>
        </w:tc>
      </w:tr>
      <w:tr w:rsidR="00997A5E" w:rsidRPr="00FA161E" w14:paraId="7B9F3D5A" w14:textId="22133D6A" w:rsidTr="00D61D74">
        <w:trPr>
          <w:trHeight w:val="122"/>
          <w:jc w:val="center"/>
        </w:trPr>
        <w:tc>
          <w:tcPr>
            <w:tcW w:w="8508" w:type="dxa"/>
            <w:gridSpan w:val="3"/>
          </w:tcPr>
          <w:p w14:paraId="5727D10A" w14:textId="276970C6" w:rsidR="00997A5E" w:rsidRPr="00FA161E" w:rsidRDefault="00997A5E" w:rsidP="00DA3538">
            <w:pPr>
              <w:spacing w:line="276" w:lineRule="auto"/>
              <w:rPr>
                <w:rFonts w:ascii="Times New Roman" w:hAnsi="Times New Roman" w:cs="Times New Roman"/>
                <w:sz w:val="24"/>
                <w:szCs w:val="24"/>
              </w:rPr>
            </w:pPr>
            <w:r w:rsidRPr="00FA161E">
              <w:rPr>
                <w:rFonts w:ascii="Times New Roman" w:hAnsi="Times New Roman" w:cs="Times New Roman"/>
                <w:b/>
                <w:bCs/>
                <w:sz w:val="24"/>
                <w:szCs w:val="24"/>
              </w:rPr>
              <w:t>No of Banks</w:t>
            </w:r>
          </w:p>
        </w:tc>
      </w:tr>
      <w:tr w:rsidR="00997A5E" w:rsidRPr="00FA161E" w14:paraId="2FAEA44D" w14:textId="2D8B5C0D" w:rsidTr="00D61D74">
        <w:trPr>
          <w:trHeight w:val="269"/>
          <w:jc w:val="center"/>
        </w:trPr>
        <w:tc>
          <w:tcPr>
            <w:tcW w:w="5271" w:type="dxa"/>
          </w:tcPr>
          <w:p w14:paraId="7A06D12F" w14:textId="1E03AB46"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One Bank</w:t>
            </w:r>
          </w:p>
        </w:tc>
        <w:tc>
          <w:tcPr>
            <w:tcW w:w="1910" w:type="dxa"/>
            <w:vAlign w:val="center"/>
          </w:tcPr>
          <w:p w14:paraId="7293EB16" w14:textId="77584CCE"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207</w:t>
            </w:r>
          </w:p>
        </w:tc>
        <w:tc>
          <w:tcPr>
            <w:tcW w:w="1327" w:type="dxa"/>
            <w:vAlign w:val="center"/>
          </w:tcPr>
          <w:p w14:paraId="56573C62" w14:textId="295622BA" w:rsidR="00997A5E" w:rsidRPr="00FA161E" w:rsidRDefault="00482A8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54.19%</w:t>
            </w:r>
          </w:p>
        </w:tc>
      </w:tr>
      <w:tr w:rsidR="00997A5E" w:rsidRPr="00FA161E" w14:paraId="258E1AC6" w14:textId="6BB45763" w:rsidTr="00D61D74">
        <w:trPr>
          <w:trHeight w:val="269"/>
          <w:jc w:val="center"/>
        </w:trPr>
        <w:tc>
          <w:tcPr>
            <w:tcW w:w="5271" w:type="dxa"/>
          </w:tcPr>
          <w:p w14:paraId="4D5FB310" w14:textId="0DCE5D3F"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Two Banks</w:t>
            </w:r>
          </w:p>
        </w:tc>
        <w:tc>
          <w:tcPr>
            <w:tcW w:w="1910" w:type="dxa"/>
            <w:vAlign w:val="center"/>
          </w:tcPr>
          <w:p w14:paraId="6B653ACF" w14:textId="044D6058"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159</w:t>
            </w:r>
          </w:p>
        </w:tc>
        <w:tc>
          <w:tcPr>
            <w:tcW w:w="1327" w:type="dxa"/>
            <w:vAlign w:val="center"/>
          </w:tcPr>
          <w:p w14:paraId="00895E5D" w14:textId="27D77EB6" w:rsidR="00997A5E" w:rsidRPr="00FA161E" w:rsidRDefault="00482A8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41.62%</w:t>
            </w:r>
          </w:p>
        </w:tc>
      </w:tr>
      <w:tr w:rsidR="00997A5E" w:rsidRPr="00FA161E" w14:paraId="6765B664" w14:textId="30F5D0C1" w:rsidTr="00D61D74">
        <w:trPr>
          <w:trHeight w:val="269"/>
          <w:jc w:val="center"/>
        </w:trPr>
        <w:tc>
          <w:tcPr>
            <w:tcW w:w="5271" w:type="dxa"/>
          </w:tcPr>
          <w:p w14:paraId="14E594D4" w14:textId="40DBF1EF"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Three Banks</w:t>
            </w:r>
          </w:p>
        </w:tc>
        <w:tc>
          <w:tcPr>
            <w:tcW w:w="1910" w:type="dxa"/>
            <w:vAlign w:val="center"/>
          </w:tcPr>
          <w:p w14:paraId="468B41BC" w14:textId="694E1B50"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13</w:t>
            </w:r>
          </w:p>
        </w:tc>
        <w:tc>
          <w:tcPr>
            <w:tcW w:w="1327" w:type="dxa"/>
            <w:vAlign w:val="center"/>
          </w:tcPr>
          <w:p w14:paraId="61565414" w14:textId="04862FD7" w:rsidR="00997A5E" w:rsidRPr="00FA161E" w:rsidRDefault="00482A8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3.40%</w:t>
            </w:r>
          </w:p>
        </w:tc>
      </w:tr>
      <w:tr w:rsidR="00997A5E" w:rsidRPr="00FA161E" w14:paraId="7AC42CF2" w14:textId="47E4720C" w:rsidTr="00D61D74">
        <w:trPr>
          <w:trHeight w:val="269"/>
          <w:jc w:val="center"/>
        </w:trPr>
        <w:tc>
          <w:tcPr>
            <w:tcW w:w="5271" w:type="dxa"/>
          </w:tcPr>
          <w:p w14:paraId="0A417437" w14:textId="50DD3291"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More Than Three Banks</w:t>
            </w:r>
          </w:p>
        </w:tc>
        <w:tc>
          <w:tcPr>
            <w:tcW w:w="1910" w:type="dxa"/>
            <w:vAlign w:val="center"/>
          </w:tcPr>
          <w:p w14:paraId="0C141DB4" w14:textId="21C24F01"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03</w:t>
            </w:r>
          </w:p>
        </w:tc>
        <w:tc>
          <w:tcPr>
            <w:tcW w:w="1327" w:type="dxa"/>
            <w:vAlign w:val="center"/>
          </w:tcPr>
          <w:p w14:paraId="21F81260" w14:textId="5379D8FC" w:rsidR="00997A5E" w:rsidRPr="00FA161E" w:rsidRDefault="00482A8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0.78%</w:t>
            </w:r>
          </w:p>
        </w:tc>
      </w:tr>
      <w:tr w:rsidR="00997A5E" w:rsidRPr="00FA161E" w14:paraId="6ED688AA" w14:textId="44E5A273" w:rsidTr="00D61D74">
        <w:trPr>
          <w:trHeight w:val="269"/>
          <w:jc w:val="center"/>
        </w:trPr>
        <w:tc>
          <w:tcPr>
            <w:tcW w:w="8508" w:type="dxa"/>
            <w:gridSpan w:val="3"/>
          </w:tcPr>
          <w:p w14:paraId="3895EABF" w14:textId="5E685D10" w:rsidR="00997A5E" w:rsidRPr="00FA161E" w:rsidRDefault="00997A5E" w:rsidP="00DA3538">
            <w:pPr>
              <w:spacing w:line="276" w:lineRule="auto"/>
              <w:rPr>
                <w:rFonts w:ascii="Times New Roman" w:hAnsi="Times New Roman" w:cs="Times New Roman"/>
                <w:sz w:val="24"/>
                <w:szCs w:val="24"/>
              </w:rPr>
            </w:pPr>
            <w:r w:rsidRPr="00FA161E">
              <w:rPr>
                <w:rFonts w:ascii="Times New Roman" w:hAnsi="Times New Roman" w:cs="Times New Roman"/>
                <w:b/>
                <w:bCs/>
                <w:sz w:val="24"/>
                <w:szCs w:val="24"/>
              </w:rPr>
              <w:t>Reasons for Choosing Online Banking Facilities</w:t>
            </w:r>
          </w:p>
        </w:tc>
      </w:tr>
      <w:tr w:rsidR="00997A5E" w:rsidRPr="00FA161E" w14:paraId="59C4FBBF" w14:textId="6A5B7A79" w:rsidTr="00D61D74">
        <w:trPr>
          <w:trHeight w:val="245"/>
          <w:jc w:val="center"/>
        </w:trPr>
        <w:tc>
          <w:tcPr>
            <w:tcW w:w="5271" w:type="dxa"/>
          </w:tcPr>
          <w:p w14:paraId="733811DD" w14:textId="50E9CF39"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Brand Name   </w:t>
            </w:r>
          </w:p>
        </w:tc>
        <w:tc>
          <w:tcPr>
            <w:tcW w:w="1910" w:type="dxa"/>
            <w:vAlign w:val="center"/>
          </w:tcPr>
          <w:p w14:paraId="49122FEA" w14:textId="5FD1E08F"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221</w:t>
            </w:r>
          </w:p>
        </w:tc>
        <w:tc>
          <w:tcPr>
            <w:tcW w:w="1327" w:type="dxa"/>
            <w:vAlign w:val="center"/>
          </w:tcPr>
          <w:p w14:paraId="52767309" w14:textId="280599F1" w:rsidR="00997A5E" w:rsidRPr="00FA161E" w:rsidRDefault="007E4656"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57.85%</w:t>
            </w:r>
          </w:p>
        </w:tc>
      </w:tr>
      <w:tr w:rsidR="00997A5E" w:rsidRPr="00FA161E" w14:paraId="7FDBC499" w14:textId="2527FC82" w:rsidTr="00D61D74">
        <w:trPr>
          <w:trHeight w:val="269"/>
          <w:jc w:val="center"/>
        </w:trPr>
        <w:tc>
          <w:tcPr>
            <w:tcW w:w="5271" w:type="dxa"/>
          </w:tcPr>
          <w:p w14:paraId="48BB6B69" w14:textId="34BFA2C9"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Better Service   </w:t>
            </w:r>
          </w:p>
        </w:tc>
        <w:tc>
          <w:tcPr>
            <w:tcW w:w="1910" w:type="dxa"/>
            <w:vAlign w:val="center"/>
          </w:tcPr>
          <w:p w14:paraId="59146E63" w14:textId="2AFF0BDC"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329</w:t>
            </w:r>
          </w:p>
        </w:tc>
        <w:tc>
          <w:tcPr>
            <w:tcW w:w="1327" w:type="dxa"/>
            <w:vAlign w:val="center"/>
          </w:tcPr>
          <w:p w14:paraId="0A0ED1B5" w14:textId="0B72A318" w:rsidR="00997A5E" w:rsidRPr="00FA161E" w:rsidRDefault="007E4656"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86.12%</w:t>
            </w:r>
          </w:p>
        </w:tc>
      </w:tr>
      <w:tr w:rsidR="00997A5E" w:rsidRPr="00FA161E" w14:paraId="4EB03B9B" w14:textId="758FD55B" w:rsidTr="00D61D74">
        <w:trPr>
          <w:trHeight w:val="255"/>
          <w:jc w:val="center"/>
        </w:trPr>
        <w:tc>
          <w:tcPr>
            <w:tcW w:w="5271" w:type="dxa"/>
          </w:tcPr>
          <w:p w14:paraId="48F57777" w14:textId="36D4D422"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Convenience    </w:t>
            </w:r>
          </w:p>
        </w:tc>
        <w:tc>
          <w:tcPr>
            <w:tcW w:w="1910" w:type="dxa"/>
            <w:vAlign w:val="center"/>
          </w:tcPr>
          <w:p w14:paraId="0BF4F038" w14:textId="20F97791"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380</w:t>
            </w:r>
          </w:p>
        </w:tc>
        <w:tc>
          <w:tcPr>
            <w:tcW w:w="1327" w:type="dxa"/>
            <w:vAlign w:val="center"/>
          </w:tcPr>
          <w:p w14:paraId="29F904A3" w14:textId="15F8BF8B" w:rsidR="00997A5E" w:rsidRPr="00FA161E" w:rsidRDefault="00AC2638"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99.47%</w:t>
            </w:r>
          </w:p>
        </w:tc>
      </w:tr>
      <w:tr w:rsidR="00997A5E" w:rsidRPr="00FA161E" w14:paraId="7494C52A" w14:textId="5133AF5D" w:rsidTr="00D61D74">
        <w:trPr>
          <w:trHeight w:val="269"/>
          <w:jc w:val="center"/>
        </w:trPr>
        <w:tc>
          <w:tcPr>
            <w:tcW w:w="5271" w:type="dxa"/>
            <w:tcBorders>
              <w:bottom w:val="single" w:sz="4" w:space="0" w:color="auto"/>
            </w:tcBorders>
          </w:tcPr>
          <w:p w14:paraId="34EC10AB" w14:textId="1DDAF166"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Reliability         </w:t>
            </w:r>
          </w:p>
        </w:tc>
        <w:tc>
          <w:tcPr>
            <w:tcW w:w="1910" w:type="dxa"/>
            <w:tcBorders>
              <w:bottom w:val="single" w:sz="4" w:space="0" w:color="auto"/>
            </w:tcBorders>
            <w:vAlign w:val="center"/>
          </w:tcPr>
          <w:p w14:paraId="5F485293" w14:textId="15B944AB"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241</w:t>
            </w:r>
          </w:p>
        </w:tc>
        <w:tc>
          <w:tcPr>
            <w:tcW w:w="1327" w:type="dxa"/>
            <w:tcBorders>
              <w:bottom w:val="single" w:sz="4" w:space="0" w:color="auto"/>
            </w:tcBorders>
            <w:vAlign w:val="center"/>
          </w:tcPr>
          <w:p w14:paraId="46DB6DEF" w14:textId="428D7B73" w:rsidR="00997A5E" w:rsidRPr="00FA161E" w:rsidRDefault="00AC2638"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63.08%</w:t>
            </w:r>
          </w:p>
        </w:tc>
      </w:tr>
      <w:tr w:rsidR="00997A5E" w:rsidRPr="00FA161E" w14:paraId="03E33412" w14:textId="6B1539EC" w:rsidTr="00D61D74">
        <w:trPr>
          <w:trHeight w:val="269"/>
          <w:jc w:val="center"/>
        </w:trPr>
        <w:tc>
          <w:tcPr>
            <w:tcW w:w="5271" w:type="dxa"/>
            <w:tcBorders>
              <w:top w:val="single" w:sz="4" w:space="0" w:color="auto"/>
              <w:bottom w:val="single" w:sz="4" w:space="0" w:color="auto"/>
            </w:tcBorders>
          </w:tcPr>
          <w:p w14:paraId="6F87DEB9" w14:textId="736B8FBF"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Time Savings</w:t>
            </w:r>
          </w:p>
        </w:tc>
        <w:tc>
          <w:tcPr>
            <w:tcW w:w="1910" w:type="dxa"/>
            <w:tcBorders>
              <w:top w:val="single" w:sz="4" w:space="0" w:color="auto"/>
              <w:bottom w:val="single" w:sz="4" w:space="0" w:color="auto"/>
            </w:tcBorders>
            <w:vAlign w:val="center"/>
          </w:tcPr>
          <w:p w14:paraId="4A784B07" w14:textId="6D5E722D"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379</w:t>
            </w:r>
          </w:p>
        </w:tc>
        <w:tc>
          <w:tcPr>
            <w:tcW w:w="1327" w:type="dxa"/>
            <w:tcBorders>
              <w:top w:val="single" w:sz="4" w:space="0" w:color="auto"/>
              <w:bottom w:val="single" w:sz="4" w:space="0" w:color="auto"/>
            </w:tcBorders>
            <w:vAlign w:val="center"/>
          </w:tcPr>
          <w:p w14:paraId="285BF33E" w14:textId="60941A5F" w:rsidR="00997A5E" w:rsidRPr="00FA161E" w:rsidRDefault="00AC2638"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99.21%</w:t>
            </w:r>
          </w:p>
        </w:tc>
      </w:tr>
      <w:tr w:rsidR="00997A5E" w:rsidRPr="00FA161E" w14:paraId="6A139C48" w14:textId="6A8F6990" w:rsidTr="00D61D74">
        <w:trPr>
          <w:trHeight w:val="269"/>
          <w:jc w:val="center"/>
        </w:trPr>
        <w:tc>
          <w:tcPr>
            <w:tcW w:w="5271" w:type="dxa"/>
            <w:tcBorders>
              <w:top w:val="single" w:sz="4" w:space="0" w:color="auto"/>
              <w:bottom w:val="single" w:sz="4" w:space="0" w:color="auto"/>
            </w:tcBorders>
          </w:tcPr>
          <w:p w14:paraId="56BB95C0" w14:textId="00768D59"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Other</w:t>
            </w:r>
          </w:p>
        </w:tc>
        <w:tc>
          <w:tcPr>
            <w:tcW w:w="1910" w:type="dxa"/>
            <w:tcBorders>
              <w:top w:val="single" w:sz="4" w:space="0" w:color="auto"/>
              <w:bottom w:val="single" w:sz="4" w:space="0" w:color="auto"/>
            </w:tcBorders>
            <w:vAlign w:val="center"/>
          </w:tcPr>
          <w:p w14:paraId="756CCD79" w14:textId="5B4F2913"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78</w:t>
            </w:r>
          </w:p>
        </w:tc>
        <w:tc>
          <w:tcPr>
            <w:tcW w:w="1327" w:type="dxa"/>
            <w:tcBorders>
              <w:top w:val="single" w:sz="4" w:space="0" w:color="auto"/>
              <w:bottom w:val="single" w:sz="4" w:space="0" w:color="auto"/>
            </w:tcBorders>
            <w:vAlign w:val="center"/>
          </w:tcPr>
          <w:p w14:paraId="1AD1A390" w14:textId="4D6556CC" w:rsidR="00997A5E" w:rsidRPr="00FA161E" w:rsidRDefault="00AC2638"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20.41%</w:t>
            </w:r>
          </w:p>
        </w:tc>
      </w:tr>
    </w:tbl>
    <w:p w14:paraId="0784524C" w14:textId="1F1ACEAF" w:rsidR="0047787E" w:rsidRPr="00FA161E" w:rsidRDefault="000A3FC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Source: Survey data (202</w:t>
      </w:r>
      <w:r w:rsidR="000121BE">
        <w:rPr>
          <w:rFonts w:ascii="Times New Roman" w:hAnsi="Times New Roman" w:cs="Times New Roman"/>
          <w:sz w:val="24"/>
          <w:szCs w:val="24"/>
        </w:rPr>
        <w:t>5</w:t>
      </w:r>
      <w:r w:rsidRPr="00FA161E">
        <w:rPr>
          <w:rFonts w:ascii="Times New Roman" w:hAnsi="Times New Roman" w:cs="Times New Roman"/>
          <w:sz w:val="24"/>
          <w:szCs w:val="24"/>
        </w:rPr>
        <w:t>)</w:t>
      </w:r>
    </w:p>
    <w:p w14:paraId="63614C29"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lastRenderedPageBreak/>
        <w:t>Based on the sample distribution, the majority of respondents were female, representing 55.5% of the total sample, while male respondents accounted for 45.5%. With regard to bank account ownership, most respondents indicated a preference for maintaining their financial activities with a single banking institution. Approximately 54.19% of respondents reported holding all their accounts within one bank, whereas 41.62% maintained accounts in two different banks. Consequently, nearly 95% of the respondents preferred not to maintain accounts in more than two banks simultaneously. Only a small proportion, approximately 3% of respondents, indicated an interest in holding accounts across multiple banking institutions.</w:t>
      </w:r>
    </w:p>
    <w:p w14:paraId="26B3BA5B"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When examining the reasons for adopting online banking services, convenience and time savings emerged as the primary motivating factors among respondents. The findings indicate that these two aspects play a significant role in encouraging customers to use online banking facilities. In addition, approximately 86% of respondents believed that online banking services provide better service quality, making it the second most influential factor. Furthermore, reliability and brand reputation were also identified as important determinants influencing the adoption of online banking services, with 63% and 57% of respondents respectively indicating these factors as key reasons for their usage of online banking.</w:t>
      </w:r>
    </w:p>
    <w:p w14:paraId="41BAD192" w14:textId="188BD600" w:rsidR="003B425A" w:rsidRPr="00FA161E" w:rsidRDefault="000769AA" w:rsidP="00DA3538">
      <w:pPr>
        <w:spacing w:line="276" w:lineRule="auto"/>
        <w:ind w:left="360"/>
        <w:jc w:val="both"/>
        <w:rPr>
          <w:rFonts w:ascii="Times New Roman" w:hAnsi="Times New Roman" w:cs="Times New Roman"/>
          <w:sz w:val="24"/>
          <w:szCs w:val="24"/>
        </w:rPr>
      </w:pPr>
      <w:r w:rsidRPr="00FA161E">
        <w:rPr>
          <w:rFonts w:ascii="Times New Roman" w:hAnsi="Times New Roman" w:cs="Times New Roman"/>
          <w:sz w:val="24"/>
          <w:szCs w:val="24"/>
        </w:rPr>
        <w:t xml:space="preserve">04.2 </w:t>
      </w:r>
      <w:r w:rsidR="003B425A" w:rsidRPr="00FA161E">
        <w:rPr>
          <w:rFonts w:ascii="Times New Roman" w:hAnsi="Times New Roman" w:cs="Times New Roman"/>
          <w:sz w:val="24"/>
          <w:szCs w:val="24"/>
        </w:rPr>
        <w:t xml:space="preserve">Reliability Analysis </w:t>
      </w:r>
    </w:p>
    <w:p w14:paraId="5FC3754E" w14:textId="2901202B" w:rsidR="00D31F77" w:rsidRPr="00FA161E"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 xml:space="preserve">Reliability analysis is an important step in data analysis as it evaluates the consistency and dependability of the data, thereby ensuring the accuracy and credibility of the research findings. In this study, Cronbach’s alpha coefficient was used to assess the internal consistency of the scale items employed in the analysis. In general, </w:t>
      </w:r>
      <w:r w:rsidR="00122232" w:rsidRPr="004D3660">
        <w:rPr>
          <w:rFonts w:ascii="Times New Roman" w:hAnsi="Times New Roman" w:cs="Times New Roman"/>
          <w:sz w:val="24"/>
          <w:szCs w:val="24"/>
        </w:rPr>
        <w:t>Cronbach’s</w:t>
      </w:r>
      <w:r w:rsidRPr="004D3660">
        <w:rPr>
          <w:rFonts w:ascii="Times New Roman" w:hAnsi="Times New Roman" w:cs="Times New Roman"/>
          <w:sz w:val="24"/>
          <w:szCs w:val="24"/>
        </w:rPr>
        <w:t xml:space="preserve"> alpha value greater than 0.70 is considered acceptable and indicates that the measurement scale is reliable. The results of this study show that </w:t>
      </w:r>
      <w:r w:rsidR="00122232" w:rsidRPr="004D3660">
        <w:rPr>
          <w:rFonts w:ascii="Times New Roman" w:hAnsi="Times New Roman" w:cs="Times New Roman"/>
          <w:sz w:val="24"/>
          <w:szCs w:val="24"/>
        </w:rPr>
        <w:t>Cronbach’s</w:t>
      </w:r>
      <w:r w:rsidRPr="004D3660">
        <w:rPr>
          <w:rFonts w:ascii="Times New Roman" w:hAnsi="Times New Roman" w:cs="Times New Roman"/>
          <w:sz w:val="24"/>
          <w:szCs w:val="24"/>
        </w:rPr>
        <w:t xml:space="preserve"> alpha values for the dimensions used exceed 0.80, indicating a high level of internal consistency among the scale items. Therefore, it can be concluded that the data collected for this study demonstrate strong reliability and are appropriate for use in further statistical analysis.</w:t>
      </w:r>
    </w:p>
    <w:p w14:paraId="60E7084B" w14:textId="3C4432FA" w:rsidR="00D31F77" w:rsidRPr="00FA161E" w:rsidRDefault="003B425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Table </w:t>
      </w:r>
      <w:r w:rsidR="005062BF" w:rsidRPr="00FA161E">
        <w:rPr>
          <w:rFonts w:ascii="Times New Roman" w:hAnsi="Times New Roman" w:cs="Times New Roman"/>
          <w:sz w:val="24"/>
          <w:szCs w:val="24"/>
        </w:rPr>
        <w:t>2</w:t>
      </w:r>
      <w:r w:rsidRPr="00FA161E">
        <w:rPr>
          <w:rFonts w:ascii="Times New Roman" w:hAnsi="Times New Roman" w:cs="Times New Roman"/>
          <w:sz w:val="24"/>
          <w:szCs w:val="24"/>
        </w:rPr>
        <w:t>. Reliability analysis.</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55"/>
        <w:gridCol w:w="2055"/>
        <w:gridCol w:w="1635"/>
      </w:tblGrid>
      <w:tr w:rsidR="003B425A" w:rsidRPr="00FA161E" w14:paraId="4C3E3B5A" w14:textId="77777777" w:rsidTr="00D61D74">
        <w:trPr>
          <w:jc w:val="center"/>
        </w:trPr>
        <w:tc>
          <w:tcPr>
            <w:tcW w:w="3955" w:type="dxa"/>
            <w:tcBorders>
              <w:top w:val="single" w:sz="4" w:space="0" w:color="auto"/>
              <w:bottom w:val="single" w:sz="4" w:space="0" w:color="auto"/>
            </w:tcBorders>
          </w:tcPr>
          <w:p w14:paraId="212A57CD" w14:textId="2722C749" w:rsidR="003B425A" w:rsidRPr="00FA161E" w:rsidRDefault="003B425A" w:rsidP="00DA3538">
            <w:pPr>
              <w:spacing w:line="276" w:lineRule="auto"/>
              <w:jc w:val="center"/>
              <w:rPr>
                <w:rFonts w:ascii="Times New Roman" w:hAnsi="Times New Roman" w:cs="Times New Roman"/>
                <w:b/>
                <w:bCs/>
                <w:sz w:val="24"/>
                <w:szCs w:val="24"/>
              </w:rPr>
            </w:pPr>
            <w:r w:rsidRPr="00FA161E">
              <w:rPr>
                <w:rFonts w:ascii="Times New Roman" w:hAnsi="Times New Roman" w:cs="Times New Roman"/>
                <w:b/>
                <w:bCs/>
                <w:sz w:val="24"/>
                <w:szCs w:val="24"/>
              </w:rPr>
              <w:t>Variable</w:t>
            </w:r>
          </w:p>
        </w:tc>
        <w:tc>
          <w:tcPr>
            <w:tcW w:w="2055" w:type="dxa"/>
            <w:tcBorders>
              <w:top w:val="single" w:sz="4" w:space="0" w:color="auto"/>
              <w:bottom w:val="single" w:sz="4" w:space="0" w:color="auto"/>
            </w:tcBorders>
          </w:tcPr>
          <w:p w14:paraId="70770945" w14:textId="7C43F224" w:rsidR="003B425A" w:rsidRPr="00FA161E" w:rsidRDefault="003B425A" w:rsidP="00DA3538">
            <w:pPr>
              <w:spacing w:line="276" w:lineRule="auto"/>
              <w:jc w:val="center"/>
              <w:rPr>
                <w:rFonts w:ascii="Times New Roman" w:hAnsi="Times New Roman" w:cs="Times New Roman"/>
                <w:b/>
                <w:bCs/>
                <w:sz w:val="24"/>
                <w:szCs w:val="24"/>
              </w:rPr>
            </w:pPr>
            <w:r w:rsidRPr="00FA161E">
              <w:rPr>
                <w:rFonts w:ascii="Times New Roman" w:hAnsi="Times New Roman" w:cs="Times New Roman"/>
                <w:b/>
                <w:bCs/>
                <w:sz w:val="24"/>
                <w:szCs w:val="24"/>
              </w:rPr>
              <w:t>Cronbach’s Alpha</w:t>
            </w:r>
          </w:p>
        </w:tc>
        <w:tc>
          <w:tcPr>
            <w:tcW w:w="1635" w:type="dxa"/>
            <w:tcBorders>
              <w:top w:val="single" w:sz="4" w:space="0" w:color="auto"/>
              <w:bottom w:val="single" w:sz="4" w:space="0" w:color="auto"/>
            </w:tcBorders>
          </w:tcPr>
          <w:p w14:paraId="21AB85F1" w14:textId="565E3204" w:rsidR="003B425A" w:rsidRPr="00FA161E" w:rsidRDefault="003B425A" w:rsidP="00DA3538">
            <w:pPr>
              <w:spacing w:line="276" w:lineRule="auto"/>
              <w:jc w:val="center"/>
              <w:rPr>
                <w:rFonts w:ascii="Times New Roman" w:hAnsi="Times New Roman" w:cs="Times New Roman"/>
                <w:b/>
                <w:bCs/>
                <w:sz w:val="24"/>
                <w:szCs w:val="24"/>
              </w:rPr>
            </w:pPr>
            <w:r w:rsidRPr="00FA161E">
              <w:rPr>
                <w:rFonts w:ascii="Times New Roman" w:hAnsi="Times New Roman" w:cs="Times New Roman"/>
                <w:b/>
                <w:bCs/>
                <w:sz w:val="24"/>
                <w:szCs w:val="24"/>
              </w:rPr>
              <w:t>No. of Item</w:t>
            </w:r>
          </w:p>
        </w:tc>
      </w:tr>
      <w:tr w:rsidR="003B425A" w:rsidRPr="00FA161E" w14:paraId="0B7B4223" w14:textId="77777777" w:rsidTr="00D61D74">
        <w:trPr>
          <w:jc w:val="center"/>
        </w:trPr>
        <w:tc>
          <w:tcPr>
            <w:tcW w:w="3955" w:type="dxa"/>
            <w:tcBorders>
              <w:top w:val="single" w:sz="4" w:space="0" w:color="auto"/>
            </w:tcBorders>
          </w:tcPr>
          <w:p w14:paraId="0A77CC82" w14:textId="2C9433AC" w:rsidR="003B425A" w:rsidRPr="00FA161E" w:rsidRDefault="003B425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Financial Knowledge</w:t>
            </w:r>
          </w:p>
        </w:tc>
        <w:tc>
          <w:tcPr>
            <w:tcW w:w="2055" w:type="dxa"/>
            <w:tcBorders>
              <w:top w:val="single" w:sz="4" w:space="0" w:color="auto"/>
            </w:tcBorders>
          </w:tcPr>
          <w:p w14:paraId="30ED3E6A" w14:textId="0A902ED8" w:rsidR="003B425A" w:rsidRPr="00FA161E" w:rsidRDefault="003B425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0.817</w:t>
            </w:r>
          </w:p>
        </w:tc>
        <w:tc>
          <w:tcPr>
            <w:tcW w:w="1635" w:type="dxa"/>
            <w:tcBorders>
              <w:top w:val="single" w:sz="4" w:space="0" w:color="auto"/>
            </w:tcBorders>
          </w:tcPr>
          <w:p w14:paraId="18804246" w14:textId="5861D176" w:rsidR="003B425A" w:rsidRPr="00FA161E" w:rsidRDefault="003B425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8</w:t>
            </w:r>
          </w:p>
        </w:tc>
      </w:tr>
      <w:tr w:rsidR="003B425A" w:rsidRPr="00FA161E" w14:paraId="25EA7A7F" w14:textId="77777777" w:rsidTr="00D61D74">
        <w:trPr>
          <w:jc w:val="center"/>
        </w:trPr>
        <w:tc>
          <w:tcPr>
            <w:tcW w:w="3955" w:type="dxa"/>
          </w:tcPr>
          <w:p w14:paraId="12A4EFDD" w14:textId="4233C583" w:rsidR="003B425A" w:rsidRPr="00FA161E" w:rsidRDefault="003B425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Financial </w:t>
            </w:r>
            <w:proofErr w:type="spellStart"/>
            <w:r w:rsidRPr="00FA161E">
              <w:rPr>
                <w:rFonts w:ascii="Times New Roman" w:hAnsi="Times New Roman" w:cs="Times New Roman"/>
                <w:sz w:val="24"/>
                <w:szCs w:val="24"/>
              </w:rPr>
              <w:t>Behaviour</w:t>
            </w:r>
            <w:proofErr w:type="spellEnd"/>
          </w:p>
        </w:tc>
        <w:tc>
          <w:tcPr>
            <w:tcW w:w="2055" w:type="dxa"/>
          </w:tcPr>
          <w:p w14:paraId="5C92BF22" w14:textId="1BB609D6" w:rsidR="003B425A" w:rsidRPr="00FA161E" w:rsidRDefault="003B425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0.877</w:t>
            </w:r>
          </w:p>
        </w:tc>
        <w:tc>
          <w:tcPr>
            <w:tcW w:w="1635" w:type="dxa"/>
          </w:tcPr>
          <w:p w14:paraId="04BB70FE" w14:textId="78311363" w:rsidR="003B425A" w:rsidRPr="00FA161E" w:rsidRDefault="003B425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12</w:t>
            </w:r>
          </w:p>
        </w:tc>
      </w:tr>
      <w:tr w:rsidR="003B425A" w:rsidRPr="00FA161E" w14:paraId="15DAC5A9" w14:textId="77777777" w:rsidTr="00D61D74">
        <w:trPr>
          <w:jc w:val="center"/>
        </w:trPr>
        <w:tc>
          <w:tcPr>
            <w:tcW w:w="3955" w:type="dxa"/>
            <w:tcBorders>
              <w:bottom w:val="single" w:sz="4" w:space="0" w:color="auto"/>
            </w:tcBorders>
          </w:tcPr>
          <w:p w14:paraId="2F6A12C9" w14:textId="17AA3A5B" w:rsidR="003B425A" w:rsidRPr="00FA161E" w:rsidRDefault="003B425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Financial Attitudes</w:t>
            </w:r>
          </w:p>
        </w:tc>
        <w:tc>
          <w:tcPr>
            <w:tcW w:w="2055" w:type="dxa"/>
            <w:tcBorders>
              <w:bottom w:val="single" w:sz="4" w:space="0" w:color="auto"/>
            </w:tcBorders>
          </w:tcPr>
          <w:p w14:paraId="135F68C9" w14:textId="5B87EAFE" w:rsidR="003B425A" w:rsidRPr="00FA161E" w:rsidRDefault="00B64D8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0.940</w:t>
            </w:r>
          </w:p>
        </w:tc>
        <w:tc>
          <w:tcPr>
            <w:tcW w:w="1635" w:type="dxa"/>
            <w:tcBorders>
              <w:bottom w:val="single" w:sz="4" w:space="0" w:color="auto"/>
            </w:tcBorders>
          </w:tcPr>
          <w:p w14:paraId="4E43B099" w14:textId="64E75651" w:rsidR="003B425A" w:rsidRPr="00FA161E" w:rsidRDefault="003B425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10</w:t>
            </w:r>
          </w:p>
        </w:tc>
      </w:tr>
      <w:tr w:rsidR="003B425A" w:rsidRPr="00FA161E" w14:paraId="269059FB" w14:textId="77777777" w:rsidTr="00D61D74">
        <w:trPr>
          <w:jc w:val="center"/>
        </w:trPr>
        <w:tc>
          <w:tcPr>
            <w:tcW w:w="3955" w:type="dxa"/>
            <w:tcBorders>
              <w:top w:val="single" w:sz="4" w:space="0" w:color="auto"/>
              <w:bottom w:val="single" w:sz="4" w:space="0" w:color="auto"/>
            </w:tcBorders>
          </w:tcPr>
          <w:p w14:paraId="04DDA357" w14:textId="2D1AB973" w:rsidR="003B425A" w:rsidRPr="00FA161E" w:rsidRDefault="00B64D8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Customers’ Online Banking </w:t>
            </w:r>
            <w:proofErr w:type="spellStart"/>
            <w:r w:rsidRPr="00FA161E">
              <w:rPr>
                <w:rFonts w:ascii="Times New Roman" w:hAnsi="Times New Roman" w:cs="Times New Roman"/>
                <w:sz w:val="24"/>
                <w:szCs w:val="24"/>
              </w:rPr>
              <w:t>Bahaviour</w:t>
            </w:r>
            <w:proofErr w:type="spellEnd"/>
          </w:p>
        </w:tc>
        <w:tc>
          <w:tcPr>
            <w:tcW w:w="2055" w:type="dxa"/>
            <w:tcBorders>
              <w:top w:val="single" w:sz="4" w:space="0" w:color="auto"/>
              <w:bottom w:val="single" w:sz="4" w:space="0" w:color="auto"/>
            </w:tcBorders>
          </w:tcPr>
          <w:p w14:paraId="45CFE3E6" w14:textId="6CE59C67" w:rsidR="003B425A" w:rsidRPr="00FA161E" w:rsidRDefault="00B64D8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0.950</w:t>
            </w:r>
          </w:p>
        </w:tc>
        <w:tc>
          <w:tcPr>
            <w:tcW w:w="1635" w:type="dxa"/>
            <w:tcBorders>
              <w:top w:val="single" w:sz="4" w:space="0" w:color="auto"/>
              <w:bottom w:val="single" w:sz="4" w:space="0" w:color="auto"/>
            </w:tcBorders>
          </w:tcPr>
          <w:p w14:paraId="5366B73C" w14:textId="1481A673" w:rsidR="003B425A" w:rsidRPr="00FA161E" w:rsidRDefault="00B64D8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29</w:t>
            </w:r>
          </w:p>
        </w:tc>
      </w:tr>
    </w:tbl>
    <w:p w14:paraId="1F646442" w14:textId="27885B23"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Source: Survey data (202</w:t>
      </w:r>
      <w:r w:rsidR="000121BE">
        <w:rPr>
          <w:rFonts w:ascii="Times New Roman" w:hAnsi="Times New Roman" w:cs="Times New Roman"/>
          <w:sz w:val="24"/>
          <w:szCs w:val="24"/>
        </w:rPr>
        <w:t>5</w:t>
      </w:r>
      <w:r w:rsidRPr="00FA161E">
        <w:rPr>
          <w:rFonts w:ascii="Times New Roman" w:hAnsi="Times New Roman" w:cs="Times New Roman"/>
          <w:sz w:val="24"/>
          <w:szCs w:val="24"/>
        </w:rPr>
        <w:t>)</w:t>
      </w:r>
    </w:p>
    <w:p w14:paraId="26D7E606" w14:textId="77777777" w:rsidR="00D31F77" w:rsidRPr="00FA161E" w:rsidRDefault="00D31F77" w:rsidP="00DA3538">
      <w:pPr>
        <w:spacing w:line="276" w:lineRule="auto"/>
        <w:jc w:val="both"/>
        <w:rPr>
          <w:rFonts w:ascii="Times New Roman" w:hAnsi="Times New Roman" w:cs="Times New Roman"/>
          <w:sz w:val="24"/>
          <w:szCs w:val="24"/>
        </w:rPr>
      </w:pPr>
    </w:p>
    <w:p w14:paraId="7466E87A"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Factor analysis is a statistical technique used to identify the underlying factors that explain the relationships among observed variables. In this study, factor analysis was employed to determine the most significant factors influencing customers’ online banking behavior, specifically financial knowledge, financial behavior, and financial attitude.</w:t>
      </w:r>
    </w:p>
    <w:p w14:paraId="2AF18BBB" w14:textId="32CAF64D"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lastRenderedPageBreak/>
        <w:t xml:space="preserve">To evaluate the suitability of the data for factor analysis, the Kaiser–Meyer–Olkin (KMO) measure and Bartlett’s test of sphericity were applied. The KMO </w:t>
      </w:r>
      <w:r w:rsidR="00122232" w:rsidRPr="004D3660">
        <w:rPr>
          <w:rFonts w:ascii="Times New Roman" w:hAnsi="Times New Roman" w:cs="Times New Roman"/>
          <w:sz w:val="24"/>
          <w:szCs w:val="24"/>
        </w:rPr>
        <w:t>statistics assess</w:t>
      </w:r>
      <w:r w:rsidRPr="004D3660">
        <w:rPr>
          <w:rFonts w:ascii="Times New Roman" w:hAnsi="Times New Roman" w:cs="Times New Roman"/>
          <w:sz w:val="24"/>
          <w:szCs w:val="24"/>
        </w:rPr>
        <w:t xml:space="preserve"> the adequacy of the sample for conducting factor analysis by measuring the proportion of variance among variables that may be common variance. The KMO value ranges from 0 to 1, where values between 0.5 and 0.7 indicate a moderate level of adequacy, values above 0.7 are considered good, and values exceeding 0.9 represent an excellent level of sampling adequacy (Islam et al., 2019; </w:t>
      </w:r>
      <w:proofErr w:type="spellStart"/>
      <w:r w:rsidRPr="004D3660">
        <w:rPr>
          <w:rFonts w:ascii="Times New Roman" w:hAnsi="Times New Roman" w:cs="Times New Roman"/>
          <w:sz w:val="24"/>
          <w:szCs w:val="24"/>
        </w:rPr>
        <w:t>Kweyu</w:t>
      </w:r>
      <w:proofErr w:type="spellEnd"/>
      <w:r w:rsidRPr="004D3660">
        <w:rPr>
          <w:rFonts w:ascii="Times New Roman" w:hAnsi="Times New Roman" w:cs="Times New Roman"/>
          <w:sz w:val="24"/>
          <w:szCs w:val="24"/>
        </w:rPr>
        <w:t xml:space="preserve"> &amp; </w:t>
      </w:r>
      <w:proofErr w:type="spellStart"/>
      <w:r w:rsidRPr="004D3660">
        <w:rPr>
          <w:rFonts w:ascii="Times New Roman" w:hAnsi="Times New Roman" w:cs="Times New Roman"/>
          <w:sz w:val="24"/>
          <w:szCs w:val="24"/>
        </w:rPr>
        <w:t>Ngare</w:t>
      </w:r>
      <w:proofErr w:type="spellEnd"/>
      <w:r w:rsidRPr="004D3660">
        <w:rPr>
          <w:rFonts w:ascii="Times New Roman" w:hAnsi="Times New Roman" w:cs="Times New Roman"/>
          <w:sz w:val="24"/>
          <w:szCs w:val="24"/>
        </w:rPr>
        <w:t>, 2013).</w:t>
      </w:r>
    </w:p>
    <w:p w14:paraId="619E9812" w14:textId="77777777" w:rsidR="00D61D74" w:rsidRPr="00FA161E" w:rsidRDefault="00D61D74" w:rsidP="00DA3538">
      <w:pPr>
        <w:spacing w:line="276" w:lineRule="auto"/>
        <w:jc w:val="both"/>
        <w:rPr>
          <w:rFonts w:ascii="Times New Roman" w:hAnsi="Times New Roman" w:cs="Times New Roman"/>
          <w:sz w:val="24"/>
          <w:szCs w:val="24"/>
        </w:rPr>
      </w:pPr>
    </w:p>
    <w:p w14:paraId="1E8FD380" w14:textId="534F54AF" w:rsidR="00D050C7" w:rsidRPr="00FA161E" w:rsidRDefault="000769AA" w:rsidP="00DA3538">
      <w:pPr>
        <w:spacing w:line="276" w:lineRule="auto"/>
        <w:ind w:left="450" w:hanging="90"/>
        <w:jc w:val="both"/>
        <w:rPr>
          <w:rFonts w:ascii="Times New Roman" w:hAnsi="Times New Roman" w:cs="Times New Roman"/>
          <w:sz w:val="24"/>
          <w:szCs w:val="24"/>
        </w:rPr>
      </w:pPr>
      <w:r w:rsidRPr="00FA161E">
        <w:rPr>
          <w:rFonts w:ascii="Times New Roman" w:hAnsi="Times New Roman" w:cs="Times New Roman"/>
          <w:sz w:val="24"/>
          <w:szCs w:val="24"/>
        </w:rPr>
        <w:t>04.3 Factor Analysis</w:t>
      </w:r>
    </w:p>
    <w:p w14:paraId="4D593F8D" w14:textId="2F20F342" w:rsidR="00D050C7" w:rsidRPr="00FA161E" w:rsidRDefault="00D050C7"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Table </w:t>
      </w:r>
      <w:r w:rsidR="005062BF" w:rsidRPr="00FA161E">
        <w:rPr>
          <w:rFonts w:ascii="Times New Roman" w:hAnsi="Times New Roman" w:cs="Times New Roman"/>
          <w:sz w:val="24"/>
          <w:szCs w:val="24"/>
        </w:rPr>
        <w:t>3</w:t>
      </w:r>
      <w:r w:rsidRPr="00FA161E">
        <w:rPr>
          <w:rFonts w:ascii="Times New Roman" w:hAnsi="Times New Roman" w:cs="Times New Roman"/>
          <w:sz w:val="24"/>
          <w:szCs w:val="24"/>
        </w:rPr>
        <w:t>. Factor analysis</w:t>
      </w:r>
    </w:p>
    <w:tbl>
      <w:tblPr>
        <w:tblStyle w:val="TableGrid"/>
        <w:tblW w:w="947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775"/>
        <w:gridCol w:w="2970"/>
        <w:gridCol w:w="2730"/>
      </w:tblGrid>
      <w:tr w:rsidR="00E85CBC" w:rsidRPr="00FA161E" w14:paraId="3043B939" w14:textId="77777777" w:rsidTr="00D050C7">
        <w:trPr>
          <w:trHeight w:val="938"/>
        </w:trPr>
        <w:tc>
          <w:tcPr>
            <w:tcW w:w="3775" w:type="dxa"/>
            <w:tcBorders>
              <w:top w:val="single" w:sz="4" w:space="0" w:color="auto"/>
              <w:bottom w:val="single" w:sz="4" w:space="0" w:color="auto"/>
            </w:tcBorders>
          </w:tcPr>
          <w:p w14:paraId="47990533" w14:textId="77777777" w:rsidR="00D050C7" w:rsidRPr="00FA161E" w:rsidRDefault="00D050C7" w:rsidP="00DA3538">
            <w:pPr>
              <w:spacing w:line="276" w:lineRule="auto"/>
              <w:jc w:val="center"/>
              <w:rPr>
                <w:rFonts w:ascii="Times New Roman" w:hAnsi="Times New Roman" w:cs="Times New Roman"/>
                <w:b/>
                <w:bCs/>
                <w:sz w:val="24"/>
                <w:szCs w:val="24"/>
              </w:rPr>
            </w:pPr>
            <w:r w:rsidRPr="00FA161E">
              <w:rPr>
                <w:rFonts w:ascii="Times New Roman" w:hAnsi="Times New Roman" w:cs="Times New Roman"/>
                <w:b/>
                <w:bCs/>
                <w:sz w:val="24"/>
                <w:szCs w:val="24"/>
              </w:rPr>
              <w:t>Variable</w:t>
            </w:r>
          </w:p>
        </w:tc>
        <w:tc>
          <w:tcPr>
            <w:tcW w:w="2970" w:type="dxa"/>
            <w:tcBorders>
              <w:top w:val="single" w:sz="4" w:space="0" w:color="auto"/>
              <w:bottom w:val="single" w:sz="4" w:space="0" w:color="auto"/>
            </w:tcBorders>
          </w:tcPr>
          <w:p w14:paraId="54694A32" w14:textId="0B567AA9" w:rsidR="00D050C7" w:rsidRPr="00FA161E" w:rsidRDefault="00D050C7" w:rsidP="00DA3538">
            <w:pPr>
              <w:spacing w:line="276" w:lineRule="auto"/>
              <w:jc w:val="center"/>
              <w:rPr>
                <w:rFonts w:ascii="Times New Roman" w:hAnsi="Times New Roman" w:cs="Times New Roman"/>
                <w:b/>
                <w:bCs/>
                <w:sz w:val="24"/>
                <w:szCs w:val="24"/>
              </w:rPr>
            </w:pPr>
            <w:r w:rsidRPr="00FA161E">
              <w:rPr>
                <w:rFonts w:ascii="Times New Roman" w:hAnsi="Times New Roman" w:cs="Times New Roman"/>
                <w:b/>
                <w:bCs/>
                <w:sz w:val="24"/>
                <w:szCs w:val="24"/>
              </w:rPr>
              <w:t>Kaiser-Meyer-Olkin Test (KMO Test)</w:t>
            </w:r>
          </w:p>
        </w:tc>
        <w:tc>
          <w:tcPr>
            <w:tcW w:w="2730" w:type="dxa"/>
            <w:tcBorders>
              <w:top w:val="single" w:sz="4" w:space="0" w:color="auto"/>
              <w:bottom w:val="single" w:sz="4" w:space="0" w:color="auto"/>
            </w:tcBorders>
          </w:tcPr>
          <w:p w14:paraId="665043BE" w14:textId="2A72CEE2" w:rsidR="00D050C7" w:rsidRPr="00FA161E" w:rsidRDefault="00D050C7" w:rsidP="00DA3538">
            <w:pPr>
              <w:spacing w:line="276" w:lineRule="auto"/>
              <w:jc w:val="center"/>
              <w:rPr>
                <w:rFonts w:ascii="Times New Roman" w:hAnsi="Times New Roman" w:cs="Times New Roman"/>
                <w:b/>
                <w:bCs/>
                <w:sz w:val="24"/>
                <w:szCs w:val="24"/>
              </w:rPr>
            </w:pPr>
            <w:r w:rsidRPr="00FA161E">
              <w:rPr>
                <w:rFonts w:ascii="Times New Roman" w:hAnsi="Times New Roman" w:cs="Times New Roman"/>
                <w:b/>
                <w:bCs/>
                <w:sz w:val="24"/>
                <w:szCs w:val="24"/>
              </w:rPr>
              <w:t>Bartlett’s test (Sig.)</w:t>
            </w:r>
          </w:p>
        </w:tc>
      </w:tr>
      <w:tr w:rsidR="00E85CBC" w:rsidRPr="00FA161E" w14:paraId="71D65DC4" w14:textId="77777777" w:rsidTr="00D050C7">
        <w:trPr>
          <w:trHeight w:val="307"/>
        </w:trPr>
        <w:tc>
          <w:tcPr>
            <w:tcW w:w="3775" w:type="dxa"/>
            <w:tcBorders>
              <w:top w:val="single" w:sz="4" w:space="0" w:color="auto"/>
            </w:tcBorders>
          </w:tcPr>
          <w:p w14:paraId="31259A72" w14:textId="77777777" w:rsidR="00D050C7" w:rsidRPr="00FA161E" w:rsidRDefault="00D050C7"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Financial Knowledge</w:t>
            </w:r>
          </w:p>
        </w:tc>
        <w:tc>
          <w:tcPr>
            <w:tcW w:w="2970" w:type="dxa"/>
            <w:tcBorders>
              <w:top w:val="single" w:sz="4" w:space="0" w:color="auto"/>
            </w:tcBorders>
          </w:tcPr>
          <w:p w14:paraId="0AA2DFFC" w14:textId="5369848E" w:rsidR="00D050C7" w:rsidRPr="00FA161E" w:rsidRDefault="00D050C7"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w:t>
            </w:r>
            <w:r w:rsidR="000A153F" w:rsidRPr="00FA161E">
              <w:rPr>
                <w:rFonts w:ascii="Times New Roman" w:hAnsi="Times New Roman" w:cs="Times New Roman"/>
                <w:sz w:val="24"/>
                <w:szCs w:val="24"/>
              </w:rPr>
              <w:t>717</w:t>
            </w:r>
          </w:p>
        </w:tc>
        <w:tc>
          <w:tcPr>
            <w:tcW w:w="2730" w:type="dxa"/>
            <w:tcBorders>
              <w:top w:val="single" w:sz="4" w:space="0" w:color="auto"/>
            </w:tcBorders>
          </w:tcPr>
          <w:p w14:paraId="25776E7C" w14:textId="39AF53B8" w:rsidR="00D050C7" w:rsidRPr="00FA161E" w:rsidRDefault="000A153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0.000</w:t>
            </w:r>
          </w:p>
        </w:tc>
      </w:tr>
      <w:tr w:rsidR="000A153F" w:rsidRPr="00FA161E" w14:paraId="216A7EDC" w14:textId="77777777" w:rsidTr="00D050C7">
        <w:trPr>
          <w:trHeight w:val="307"/>
        </w:trPr>
        <w:tc>
          <w:tcPr>
            <w:tcW w:w="3775" w:type="dxa"/>
          </w:tcPr>
          <w:p w14:paraId="47D8166C" w14:textId="77777777" w:rsidR="000A153F" w:rsidRPr="00FA161E" w:rsidRDefault="000A153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Financial </w:t>
            </w:r>
            <w:proofErr w:type="spellStart"/>
            <w:r w:rsidRPr="00FA161E">
              <w:rPr>
                <w:rFonts w:ascii="Times New Roman" w:hAnsi="Times New Roman" w:cs="Times New Roman"/>
                <w:sz w:val="24"/>
                <w:szCs w:val="24"/>
              </w:rPr>
              <w:t>Behaviour</w:t>
            </w:r>
            <w:proofErr w:type="spellEnd"/>
          </w:p>
        </w:tc>
        <w:tc>
          <w:tcPr>
            <w:tcW w:w="2970" w:type="dxa"/>
          </w:tcPr>
          <w:p w14:paraId="47E10E91" w14:textId="4877CD64" w:rsidR="000A153F" w:rsidRPr="00FA161E" w:rsidRDefault="000A153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0.844</w:t>
            </w:r>
          </w:p>
        </w:tc>
        <w:tc>
          <w:tcPr>
            <w:tcW w:w="2730" w:type="dxa"/>
          </w:tcPr>
          <w:p w14:paraId="1FF8A8A5" w14:textId="71BD2553" w:rsidR="000A153F" w:rsidRPr="00FA161E" w:rsidRDefault="000A153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0.000</w:t>
            </w:r>
          </w:p>
        </w:tc>
      </w:tr>
      <w:tr w:rsidR="00E85CBC" w:rsidRPr="00FA161E" w14:paraId="6B86388B" w14:textId="77777777" w:rsidTr="00D050C7">
        <w:trPr>
          <w:trHeight w:val="307"/>
        </w:trPr>
        <w:tc>
          <w:tcPr>
            <w:tcW w:w="3775" w:type="dxa"/>
            <w:tcBorders>
              <w:bottom w:val="single" w:sz="4" w:space="0" w:color="auto"/>
            </w:tcBorders>
          </w:tcPr>
          <w:p w14:paraId="0D918B40" w14:textId="77777777" w:rsidR="000A153F" w:rsidRPr="00FA161E" w:rsidRDefault="000A153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Financial Attitudes</w:t>
            </w:r>
          </w:p>
        </w:tc>
        <w:tc>
          <w:tcPr>
            <w:tcW w:w="2970" w:type="dxa"/>
            <w:tcBorders>
              <w:bottom w:val="single" w:sz="4" w:space="0" w:color="auto"/>
            </w:tcBorders>
          </w:tcPr>
          <w:p w14:paraId="2397DB1C" w14:textId="13E70656" w:rsidR="000A153F" w:rsidRPr="00FA161E" w:rsidRDefault="000A153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0.900</w:t>
            </w:r>
          </w:p>
        </w:tc>
        <w:tc>
          <w:tcPr>
            <w:tcW w:w="2730" w:type="dxa"/>
            <w:tcBorders>
              <w:bottom w:val="single" w:sz="4" w:space="0" w:color="auto"/>
            </w:tcBorders>
          </w:tcPr>
          <w:p w14:paraId="13BD983E" w14:textId="44F0E738" w:rsidR="000A153F" w:rsidRPr="00FA161E" w:rsidRDefault="000A153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0.000</w:t>
            </w:r>
          </w:p>
        </w:tc>
      </w:tr>
      <w:tr w:rsidR="00E85CBC" w:rsidRPr="00FA161E" w14:paraId="09FCFF3F" w14:textId="77777777" w:rsidTr="00D050C7">
        <w:trPr>
          <w:trHeight w:val="307"/>
        </w:trPr>
        <w:tc>
          <w:tcPr>
            <w:tcW w:w="3775" w:type="dxa"/>
            <w:tcBorders>
              <w:top w:val="single" w:sz="4" w:space="0" w:color="auto"/>
              <w:bottom w:val="single" w:sz="4" w:space="0" w:color="auto"/>
            </w:tcBorders>
          </w:tcPr>
          <w:p w14:paraId="17342B47" w14:textId="77777777" w:rsidR="000A153F" w:rsidRPr="00FA161E" w:rsidRDefault="000A153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Customers’ Online Banking </w:t>
            </w:r>
            <w:proofErr w:type="spellStart"/>
            <w:r w:rsidRPr="00FA161E">
              <w:rPr>
                <w:rFonts w:ascii="Times New Roman" w:hAnsi="Times New Roman" w:cs="Times New Roman"/>
                <w:sz w:val="24"/>
                <w:szCs w:val="24"/>
              </w:rPr>
              <w:t>Bahaviour</w:t>
            </w:r>
            <w:proofErr w:type="spellEnd"/>
          </w:p>
        </w:tc>
        <w:tc>
          <w:tcPr>
            <w:tcW w:w="2970" w:type="dxa"/>
            <w:tcBorders>
              <w:top w:val="single" w:sz="4" w:space="0" w:color="auto"/>
              <w:bottom w:val="single" w:sz="4" w:space="0" w:color="auto"/>
            </w:tcBorders>
          </w:tcPr>
          <w:p w14:paraId="476D0328" w14:textId="0ECD88CD" w:rsidR="000A153F" w:rsidRPr="00FA161E" w:rsidRDefault="000A153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0.921</w:t>
            </w:r>
          </w:p>
        </w:tc>
        <w:tc>
          <w:tcPr>
            <w:tcW w:w="2730" w:type="dxa"/>
            <w:tcBorders>
              <w:top w:val="single" w:sz="4" w:space="0" w:color="auto"/>
              <w:bottom w:val="single" w:sz="4" w:space="0" w:color="auto"/>
            </w:tcBorders>
          </w:tcPr>
          <w:p w14:paraId="3C1EF07F" w14:textId="6E1FEB16" w:rsidR="000A153F" w:rsidRPr="00FA161E" w:rsidRDefault="000A153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0.000</w:t>
            </w:r>
          </w:p>
        </w:tc>
      </w:tr>
    </w:tbl>
    <w:p w14:paraId="6BC0EB6D" w14:textId="3935D343"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Source: Survey data (202</w:t>
      </w:r>
      <w:r w:rsidR="000121BE">
        <w:rPr>
          <w:rFonts w:ascii="Times New Roman" w:hAnsi="Times New Roman" w:cs="Times New Roman"/>
          <w:sz w:val="24"/>
          <w:szCs w:val="24"/>
        </w:rPr>
        <w:t>5</w:t>
      </w:r>
      <w:r w:rsidRPr="00FA161E">
        <w:rPr>
          <w:rFonts w:ascii="Times New Roman" w:hAnsi="Times New Roman" w:cs="Times New Roman"/>
          <w:sz w:val="24"/>
          <w:szCs w:val="24"/>
        </w:rPr>
        <w:t>)</w:t>
      </w:r>
    </w:p>
    <w:p w14:paraId="7875B77F"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Based on the results obtained, both the independent variables and the dependent variable used in this study are suitable for factor analysis. This conclusion is supported by the Kaiser–Meyer–Olkin (KMO) values, which are greater than 0.70 for all variables, indicating adequate sampling suitability for conducting factor analysis.</w:t>
      </w:r>
    </w:p>
    <w:p w14:paraId="570D6943"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Furthermore, the results of Bartlett’s test of sphericity show that the p-value for all four variables is 0.000, which is lower than the significance level (α = 0.05). This indicates that a statistically significant correlation exists among the variables. Therefore, the results confirm that the dataset is appropriate for factor analysis, and the relationships between customers’ online banking behavior and the factors influencing it can be effectively examined based on the collected data.</w:t>
      </w:r>
    </w:p>
    <w:p w14:paraId="7B137932" w14:textId="760418D8" w:rsidR="000769AA" w:rsidRPr="00FA161E" w:rsidRDefault="000769AA" w:rsidP="00DA3538">
      <w:pPr>
        <w:spacing w:line="276" w:lineRule="auto"/>
        <w:ind w:left="450"/>
        <w:jc w:val="both"/>
        <w:rPr>
          <w:rFonts w:ascii="Times New Roman" w:hAnsi="Times New Roman" w:cs="Times New Roman"/>
          <w:sz w:val="24"/>
          <w:szCs w:val="24"/>
        </w:rPr>
      </w:pPr>
      <w:r w:rsidRPr="00FA161E">
        <w:rPr>
          <w:rFonts w:ascii="Times New Roman" w:hAnsi="Times New Roman" w:cs="Times New Roman"/>
          <w:sz w:val="24"/>
          <w:szCs w:val="24"/>
        </w:rPr>
        <w:t xml:space="preserve">04.4 Multiple linear regression </w:t>
      </w:r>
    </w:p>
    <w:p w14:paraId="3A969503" w14:textId="0810C938" w:rsidR="004E2527" w:rsidRPr="00FA161E"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Multiple linear regression analysis was performed to identify the independent variables that influence customers’ online banking behavior. In this analysis, the dependent variable was constructed using the average score of respondents’ answers to the questions related to online banking behavior. The independent variables included financial knowledge, financial behavior, and financial attitude. Based on these variables, the regression analysis was conducted and the results are presented as follows.</w:t>
      </w:r>
    </w:p>
    <w:tbl>
      <w:tblPr>
        <w:tblpPr w:leftFromText="180" w:rightFromText="180" w:vertAnchor="text" w:horzAnchor="margin" w:tblpXSpec="center" w:tblpY="882"/>
        <w:tblW w:w="7296"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95"/>
        <w:gridCol w:w="1009"/>
        <w:gridCol w:w="1085"/>
        <w:gridCol w:w="1469"/>
        <w:gridCol w:w="1469"/>
        <w:gridCol w:w="1469"/>
      </w:tblGrid>
      <w:tr w:rsidR="00BD389A" w:rsidRPr="00FA161E" w14:paraId="0693898F" w14:textId="77777777" w:rsidTr="005062BF">
        <w:trPr>
          <w:cantSplit/>
        </w:trPr>
        <w:tc>
          <w:tcPr>
            <w:tcW w:w="795" w:type="dxa"/>
            <w:shd w:val="clear" w:color="auto" w:fill="FFFFFF"/>
            <w:vAlign w:val="bottom"/>
          </w:tcPr>
          <w:p w14:paraId="045AEDF8"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lastRenderedPageBreak/>
              <w:t>Model</w:t>
            </w:r>
          </w:p>
        </w:tc>
        <w:tc>
          <w:tcPr>
            <w:tcW w:w="1009" w:type="dxa"/>
            <w:shd w:val="clear" w:color="auto" w:fill="FFFFFF"/>
            <w:vAlign w:val="bottom"/>
          </w:tcPr>
          <w:p w14:paraId="2F67EFC1"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R</w:t>
            </w:r>
          </w:p>
        </w:tc>
        <w:tc>
          <w:tcPr>
            <w:tcW w:w="1085" w:type="dxa"/>
            <w:shd w:val="clear" w:color="auto" w:fill="FFFFFF"/>
            <w:vAlign w:val="bottom"/>
          </w:tcPr>
          <w:p w14:paraId="41657C7B"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R Square</w:t>
            </w:r>
          </w:p>
        </w:tc>
        <w:tc>
          <w:tcPr>
            <w:tcW w:w="1469" w:type="dxa"/>
            <w:shd w:val="clear" w:color="auto" w:fill="FFFFFF"/>
            <w:vAlign w:val="bottom"/>
          </w:tcPr>
          <w:p w14:paraId="6D654B74" w14:textId="77777777" w:rsidR="00BD389A" w:rsidRPr="00FA161E" w:rsidRDefault="00BD389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Adjusted R Square</w:t>
            </w:r>
          </w:p>
        </w:tc>
        <w:tc>
          <w:tcPr>
            <w:tcW w:w="1469" w:type="dxa"/>
            <w:shd w:val="clear" w:color="auto" w:fill="FFFFFF"/>
            <w:vAlign w:val="bottom"/>
          </w:tcPr>
          <w:p w14:paraId="620C9A00" w14:textId="77777777" w:rsidR="00BD389A" w:rsidRPr="00FA161E" w:rsidRDefault="00BD389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Std. Error of the Estimate</w:t>
            </w:r>
          </w:p>
        </w:tc>
        <w:tc>
          <w:tcPr>
            <w:tcW w:w="1469" w:type="dxa"/>
            <w:shd w:val="clear" w:color="auto" w:fill="FFFFFF"/>
            <w:vAlign w:val="bottom"/>
          </w:tcPr>
          <w:p w14:paraId="187CCB64" w14:textId="7428024D" w:rsidR="00BD389A" w:rsidRPr="00FA161E" w:rsidRDefault="00BD389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Durbin</w:t>
            </w:r>
            <w:proofErr w:type="gramStart"/>
            <w:r w:rsidRPr="00FA161E">
              <w:rPr>
                <w:rFonts w:ascii="Times New Roman" w:hAnsi="Times New Roman" w:cs="Times New Roman"/>
                <w:sz w:val="24"/>
                <w:szCs w:val="24"/>
              </w:rPr>
              <w:t>-</w:t>
            </w:r>
            <w:r w:rsidR="00E85CAF" w:rsidRPr="00FA161E">
              <w:rPr>
                <w:rFonts w:ascii="Times New Roman" w:hAnsi="Times New Roman" w:cs="Times New Roman"/>
                <w:sz w:val="24"/>
                <w:szCs w:val="24"/>
              </w:rPr>
              <w:t xml:space="preserve">  </w:t>
            </w:r>
            <w:r w:rsidRPr="00FA161E">
              <w:rPr>
                <w:rFonts w:ascii="Times New Roman" w:hAnsi="Times New Roman" w:cs="Times New Roman"/>
                <w:sz w:val="24"/>
                <w:szCs w:val="24"/>
              </w:rPr>
              <w:t>Watson</w:t>
            </w:r>
            <w:proofErr w:type="gramEnd"/>
          </w:p>
        </w:tc>
      </w:tr>
      <w:tr w:rsidR="00BD389A" w:rsidRPr="00FA161E" w14:paraId="7515FBD9" w14:textId="77777777" w:rsidTr="005062BF">
        <w:trPr>
          <w:cantSplit/>
        </w:trPr>
        <w:tc>
          <w:tcPr>
            <w:tcW w:w="795" w:type="dxa"/>
            <w:shd w:val="clear" w:color="auto" w:fill="FFFFFF"/>
          </w:tcPr>
          <w:p w14:paraId="6510D856"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1</w:t>
            </w:r>
          </w:p>
        </w:tc>
        <w:tc>
          <w:tcPr>
            <w:tcW w:w="1009" w:type="dxa"/>
            <w:shd w:val="clear" w:color="auto" w:fill="FFFFFF"/>
            <w:vAlign w:val="center"/>
          </w:tcPr>
          <w:p w14:paraId="52484D95"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.801</w:t>
            </w:r>
            <w:r w:rsidRPr="00FA161E">
              <w:rPr>
                <w:rFonts w:ascii="Times New Roman" w:hAnsi="Times New Roman" w:cs="Times New Roman"/>
                <w:sz w:val="24"/>
                <w:szCs w:val="24"/>
                <w:vertAlign w:val="superscript"/>
              </w:rPr>
              <w:t>a</w:t>
            </w:r>
          </w:p>
        </w:tc>
        <w:tc>
          <w:tcPr>
            <w:tcW w:w="1085" w:type="dxa"/>
            <w:shd w:val="clear" w:color="auto" w:fill="FFFFFF"/>
            <w:vAlign w:val="center"/>
          </w:tcPr>
          <w:p w14:paraId="3AD52E03"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.641</w:t>
            </w:r>
          </w:p>
        </w:tc>
        <w:tc>
          <w:tcPr>
            <w:tcW w:w="1469" w:type="dxa"/>
            <w:shd w:val="clear" w:color="auto" w:fill="FFFFFF"/>
            <w:vAlign w:val="center"/>
          </w:tcPr>
          <w:p w14:paraId="1F52FD9C"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.638</w:t>
            </w:r>
          </w:p>
        </w:tc>
        <w:tc>
          <w:tcPr>
            <w:tcW w:w="1469" w:type="dxa"/>
            <w:shd w:val="clear" w:color="auto" w:fill="FFFFFF"/>
            <w:vAlign w:val="center"/>
          </w:tcPr>
          <w:p w14:paraId="4DD81F50"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.4681</w:t>
            </w:r>
          </w:p>
        </w:tc>
        <w:tc>
          <w:tcPr>
            <w:tcW w:w="1469" w:type="dxa"/>
            <w:shd w:val="clear" w:color="auto" w:fill="FFFFFF"/>
            <w:vAlign w:val="center"/>
          </w:tcPr>
          <w:p w14:paraId="77363180"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1.138</w:t>
            </w:r>
          </w:p>
        </w:tc>
      </w:tr>
    </w:tbl>
    <w:p w14:paraId="68DC567B" w14:textId="324EB3B8" w:rsidR="005062BF" w:rsidRPr="00FA161E" w:rsidRDefault="005062BF" w:rsidP="00DA3538">
      <w:pPr>
        <w:spacing w:line="276" w:lineRule="auto"/>
        <w:jc w:val="both"/>
        <w:rPr>
          <w:rFonts w:ascii="Times New Roman" w:hAnsi="Times New Roman" w:cs="Times New Roman"/>
          <w:sz w:val="24"/>
          <w:szCs w:val="24"/>
        </w:rPr>
      </w:pPr>
      <w:bookmarkStart w:id="2" w:name="_Hlk186478501"/>
      <w:r w:rsidRPr="00FA161E">
        <w:rPr>
          <w:rFonts w:ascii="Times New Roman" w:hAnsi="Times New Roman" w:cs="Times New Roman"/>
          <w:sz w:val="24"/>
          <w:szCs w:val="24"/>
        </w:rPr>
        <w:t>Table 4. Model Summary</w:t>
      </w:r>
    </w:p>
    <w:bookmarkEnd w:id="2"/>
    <w:p w14:paraId="735B98C8" w14:textId="77777777" w:rsidR="005062BF" w:rsidRPr="00FA161E" w:rsidRDefault="005062BF" w:rsidP="00DA3538">
      <w:pPr>
        <w:spacing w:line="276" w:lineRule="auto"/>
        <w:jc w:val="both"/>
        <w:rPr>
          <w:rFonts w:ascii="Times New Roman" w:hAnsi="Times New Roman" w:cs="Times New Roman"/>
          <w:sz w:val="24"/>
          <w:szCs w:val="24"/>
        </w:rPr>
      </w:pPr>
    </w:p>
    <w:p w14:paraId="710D6416" w14:textId="77777777" w:rsidR="005062BF" w:rsidRPr="00FA161E" w:rsidRDefault="005062BF" w:rsidP="00DA3538">
      <w:pPr>
        <w:spacing w:line="276" w:lineRule="auto"/>
        <w:jc w:val="both"/>
        <w:rPr>
          <w:rFonts w:ascii="Times New Roman" w:hAnsi="Times New Roman" w:cs="Times New Roman"/>
          <w:sz w:val="24"/>
          <w:szCs w:val="24"/>
        </w:rPr>
      </w:pPr>
    </w:p>
    <w:p w14:paraId="1C6BB94E" w14:textId="77777777" w:rsidR="005062BF" w:rsidRPr="00FA161E" w:rsidRDefault="005062BF" w:rsidP="00DA3538">
      <w:pPr>
        <w:spacing w:line="276" w:lineRule="auto"/>
        <w:jc w:val="both"/>
        <w:rPr>
          <w:rFonts w:ascii="Times New Roman" w:hAnsi="Times New Roman" w:cs="Times New Roman"/>
          <w:sz w:val="24"/>
          <w:szCs w:val="24"/>
        </w:rPr>
      </w:pPr>
    </w:p>
    <w:p w14:paraId="717E4B22" w14:textId="77777777" w:rsidR="00BD389A" w:rsidRPr="00FA161E" w:rsidRDefault="00BD389A" w:rsidP="00DA3538">
      <w:pPr>
        <w:spacing w:line="276" w:lineRule="auto"/>
        <w:jc w:val="both"/>
        <w:rPr>
          <w:rFonts w:ascii="Times New Roman" w:hAnsi="Times New Roman" w:cs="Times New Roman"/>
          <w:sz w:val="24"/>
          <w:szCs w:val="24"/>
        </w:rPr>
      </w:pPr>
    </w:p>
    <w:p w14:paraId="50A9B7AE" w14:textId="6A1B99DA"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Source: Survey data (202</w:t>
      </w:r>
      <w:r w:rsidR="000121BE">
        <w:rPr>
          <w:rFonts w:ascii="Times New Roman" w:hAnsi="Times New Roman" w:cs="Times New Roman"/>
          <w:sz w:val="24"/>
          <w:szCs w:val="24"/>
        </w:rPr>
        <w:t>5</w:t>
      </w:r>
      <w:r w:rsidRPr="00FA161E">
        <w:rPr>
          <w:rFonts w:ascii="Times New Roman" w:hAnsi="Times New Roman" w:cs="Times New Roman"/>
          <w:sz w:val="24"/>
          <w:szCs w:val="24"/>
        </w:rPr>
        <w:t>)</w:t>
      </w:r>
    </w:p>
    <w:p w14:paraId="5C0C24F0"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This table illustrates the goodness of fit of the estimated regression model. The multivariate correlation coefficient (R) is reported as 0.801, indicating a strong positive relationship between the dependent variable and the set of independent variables, as values greater than 0.70 generally suggest a strong correlation.</w:t>
      </w:r>
    </w:p>
    <w:p w14:paraId="58F1F270"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The coefficient of determination (R²) is 0.641, which represents the proportion of variance in the dependent variable explained by the independent variables included in the model. Accordingly, the independent variables account for approximately 64% of the variation in customers’ online banking behavior.</w:t>
      </w:r>
    </w:p>
    <w:p w14:paraId="54EE9811"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The Adjusted R² value, which provides a more accurate estimate by adjusting for the number of predictors in the model, is reported as 0.638. This indicates that about 63.8% of the variation in the dependent variable is explained by the model after accounting for the number of independent variables. Since the difference between the R² value and the Adjusted R² value is minimal, it suggests that the model does not suffer from overfitting and can therefore be considered appropriate for explaining the relationship between the variables.</w:t>
      </w:r>
    </w:p>
    <w:p w14:paraId="3CCCAC80" w14:textId="3852B7EB" w:rsidR="006D09B0"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Table 5. Anova</w:t>
      </w:r>
    </w:p>
    <w:tbl>
      <w:tblPr>
        <w:tblW w:w="8014"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823"/>
        <w:gridCol w:w="1284"/>
        <w:gridCol w:w="1469"/>
        <w:gridCol w:w="1010"/>
        <w:gridCol w:w="1408"/>
        <w:gridCol w:w="1010"/>
        <w:gridCol w:w="1010"/>
      </w:tblGrid>
      <w:tr w:rsidR="006D09B0" w:rsidRPr="00FA161E" w14:paraId="61185F53" w14:textId="77777777" w:rsidTr="005062BF">
        <w:trPr>
          <w:cantSplit/>
          <w:jc w:val="center"/>
        </w:trPr>
        <w:tc>
          <w:tcPr>
            <w:tcW w:w="2107" w:type="dxa"/>
            <w:gridSpan w:val="2"/>
            <w:shd w:val="clear" w:color="auto" w:fill="FFFFFF"/>
            <w:vAlign w:val="bottom"/>
          </w:tcPr>
          <w:p w14:paraId="45603978"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Model</w:t>
            </w:r>
          </w:p>
        </w:tc>
        <w:tc>
          <w:tcPr>
            <w:tcW w:w="1469" w:type="dxa"/>
            <w:shd w:val="clear" w:color="auto" w:fill="FFFFFF"/>
            <w:vAlign w:val="bottom"/>
          </w:tcPr>
          <w:p w14:paraId="17897D2C"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Sum of Squares</w:t>
            </w:r>
          </w:p>
        </w:tc>
        <w:tc>
          <w:tcPr>
            <w:tcW w:w="1010" w:type="dxa"/>
            <w:shd w:val="clear" w:color="auto" w:fill="FFFFFF"/>
            <w:vAlign w:val="bottom"/>
          </w:tcPr>
          <w:p w14:paraId="1093CCE4"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df</w:t>
            </w:r>
          </w:p>
        </w:tc>
        <w:tc>
          <w:tcPr>
            <w:tcW w:w="1408" w:type="dxa"/>
            <w:shd w:val="clear" w:color="auto" w:fill="FFFFFF"/>
            <w:vAlign w:val="bottom"/>
          </w:tcPr>
          <w:p w14:paraId="1127FA62"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Mean Square</w:t>
            </w:r>
          </w:p>
        </w:tc>
        <w:tc>
          <w:tcPr>
            <w:tcW w:w="1010" w:type="dxa"/>
            <w:shd w:val="clear" w:color="auto" w:fill="FFFFFF"/>
            <w:vAlign w:val="bottom"/>
          </w:tcPr>
          <w:p w14:paraId="45BD33E1"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w:t>
            </w:r>
          </w:p>
        </w:tc>
        <w:tc>
          <w:tcPr>
            <w:tcW w:w="1010" w:type="dxa"/>
            <w:shd w:val="clear" w:color="auto" w:fill="FFFFFF"/>
            <w:vAlign w:val="bottom"/>
          </w:tcPr>
          <w:p w14:paraId="067C1403"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Sig.</w:t>
            </w:r>
          </w:p>
        </w:tc>
      </w:tr>
      <w:tr w:rsidR="006D09B0" w:rsidRPr="00FA161E" w14:paraId="665AB9F6" w14:textId="77777777" w:rsidTr="005062BF">
        <w:trPr>
          <w:cantSplit/>
          <w:jc w:val="center"/>
        </w:trPr>
        <w:tc>
          <w:tcPr>
            <w:tcW w:w="823" w:type="dxa"/>
            <w:vMerge w:val="restart"/>
            <w:shd w:val="clear" w:color="auto" w:fill="FFFFFF"/>
          </w:tcPr>
          <w:p w14:paraId="7F0DE1BE"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1</w:t>
            </w:r>
          </w:p>
        </w:tc>
        <w:tc>
          <w:tcPr>
            <w:tcW w:w="1284" w:type="dxa"/>
            <w:shd w:val="clear" w:color="auto" w:fill="FFFFFF"/>
          </w:tcPr>
          <w:p w14:paraId="529A3A1F"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Regression</w:t>
            </w:r>
          </w:p>
        </w:tc>
        <w:tc>
          <w:tcPr>
            <w:tcW w:w="1469" w:type="dxa"/>
            <w:shd w:val="clear" w:color="auto" w:fill="FFFFFF"/>
            <w:vAlign w:val="center"/>
          </w:tcPr>
          <w:p w14:paraId="01B49A19"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148.038</w:t>
            </w:r>
          </w:p>
        </w:tc>
        <w:tc>
          <w:tcPr>
            <w:tcW w:w="1010" w:type="dxa"/>
            <w:shd w:val="clear" w:color="auto" w:fill="FFFFFF"/>
            <w:vAlign w:val="center"/>
          </w:tcPr>
          <w:p w14:paraId="0888549A"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3</w:t>
            </w:r>
          </w:p>
        </w:tc>
        <w:tc>
          <w:tcPr>
            <w:tcW w:w="1408" w:type="dxa"/>
            <w:shd w:val="clear" w:color="auto" w:fill="FFFFFF"/>
            <w:vAlign w:val="center"/>
          </w:tcPr>
          <w:p w14:paraId="71224F2B"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49.346</w:t>
            </w:r>
          </w:p>
        </w:tc>
        <w:tc>
          <w:tcPr>
            <w:tcW w:w="1010" w:type="dxa"/>
            <w:shd w:val="clear" w:color="auto" w:fill="FFFFFF"/>
            <w:vAlign w:val="center"/>
          </w:tcPr>
          <w:p w14:paraId="4C44106F"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225.179</w:t>
            </w:r>
          </w:p>
        </w:tc>
        <w:tc>
          <w:tcPr>
            <w:tcW w:w="1010" w:type="dxa"/>
            <w:shd w:val="clear" w:color="auto" w:fill="FFFFFF"/>
            <w:vAlign w:val="center"/>
          </w:tcPr>
          <w:p w14:paraId="6A374B90"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.000</w:t>
            </w:r>
            <w:r w:rsidRPr="00FA161E">
              <w:rPr>
                <w:rFonts w:ascii="Times New Roman" w:hAnsi="Times New Roman" w:cs="Times New Roman"/>
                <w:sz w:val="24"/>
                <w:szCs w:val="24"/>
                <w:vertAlign w:val="superscript"/>
              </w:rPr>
              <w:t>b</w:t>
            </w:r>
          </w:p>
        </w:tc>
      </w:tr>
      <w:tr w:rsidR="006D09B0" w:rsidRPr="00FA161E" w14:paraId="75A61BAC" w14:textId="77777777" w:rsidTr="005062BF">
        <w:trPr>
          <w:cantSplit/>
          <w:jc w:val="center"/>
        </w:trPr>
        <w:tc>
          <w:tcPr>
            <w:tcW w:w="823" w:type="dxa"/>
            <w:vMerge/>
            <w:shd w:val="clear" w:color="auto" w:fill="FFFFFF"/>
          </w:tcPr>
          <w:p w14:paraId="419D0CBA" w14:textId="77777777" w:rsidR="006D09B0" w:rsidRPr="00FA161E" w:rsidRDefault="006D09B0" w:rsidP="00DA3538">
            <w:pPr>
              <w:spacing w:line="276" w:lineRule="auto"/>
              <w:jc w:val="both"/>
              <w:rPr>
                <w:rFonts w:ascii="Times New Roman" w:hAnsi="Times New Roman" w:cs="Times New Roman"/>
                <w:sz w:val="24"/>
                <w:szCs w:val="24"/>
              </w:rPr>
            </w:pPr>
          </w:p>
        </w:tc>
        <w:tc>
          <w:tcPr>
            <w:tcW w:w="1284" w:type="dxa"/>
            <w:shd w:val="clear" w:color="auto" w:fill="FFFFFF"/>
          </w:tcPr>
          <w:p w14:paraId="40FE06CC"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Residual</w:t>
            </w:r>
          </w:p>
        </w:tc>
        <w:tc>
          <w:tcPr>
            <w:tcW w:w="1469" w:type="dxa"/>
            <w:shd w:val="clear" w:color="auto" w:fill="FFFFFF"/>
            <w:vAlign w:val="center"/>
          </w:tcPr>
          <w:p w14:paraId="6C57A808"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82.836</w:t>
            </w:r>
          </w:p>
        </w:tc>
        <w:tc>
          <w:tcPr>
            <w:tcW w:w="1010" w:type="dxa"/>
            <w:shd w:val="clear" w:color="auto" w:fill="FFFFFF"/>
            <w:vAlign w:val="center"/>
          </w:tcPr>
          <w:p w14:paraId="79D638A2"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378</w:t>
            </w:r>
          </w:p>
        </w:tc>
        <w:tc>
          <w:tcPr>
            <w:tcW w:w="1408" w:type="dxa"/>
            <w:shd w:val="clear" w:color="auto" w:fill="FFFFFF"/>
            <w:vAlign w:val="center"/>
          </w:tcPr>
          <w:p w14:paraId="2A479743"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.219</w:t>
            </w:r>
          </w:p>
        </w:tc>
        <w:tc>
          <w:tcPr>
            <w:tcW w:w="1010" w:type="dxa"/>
            <w:shd w:val="clear" w:color="auto" w:fill="FFFFFF"/>
            <w:vAlign w:val="center"/>
          </w:tcPr>
          <w:p w14:paraId="1782BB49" w14:textId="77777777" w:rsidR="006D09B0" w:rsidRPr="00FA161E" w:rsidRDefault="006D09B0" w:rsidP="00DA3538">
            <w:pPr>
              <w:spacing w:line="276" w:lineRule="auto"/>
              <w:jc w:val="both"/>
              <w:rPr>
                <w:rFonts w:ascii="Times New Roman" w:hAnsi="Times New Roman" w:cs="Times New Roman"/>
                <w:sz w:val="24"/>
                <w:szCs w:val="24"/>
              </w:rPr>
            </w:pPr>
          </w:p>
        </w:tc>
        <w:tc>
          <w:tcPr>
            <w:tcW w:w="1010" w:type="dxa"/>
            <w:shd w:val="clear" w:color="auto" w:fill="FFFFFF"/>
            <w:vAlign w:val="center"/>
          </w:tcPr>
          <w:p w14:paraId="0D57A01C" w14:textId="77777777" w:rsidR="006D09B0" w:rsidRPr="00FA161E" w:rsidRDefault="006D09B0" w:rsidP="00DA3538">
            <w:pPr>
              <w:spacing w:line="276" w:lineRule="auto"/>
              <w:jc w:val="both"/>
              <w:rPr>
                <w:rFonts w:ascii="Times New Roman" w:hAnsi="Times New Roman" w:cs="Times New Roman"/>
                <w:sz w:val="24"/>
                <w:szCs w:val="24"/>
              </w:rPr>
            </w:pPr>
          </w:p>
        </w:tc>
      </w:tr>
      <w:tr w:rsidR="006D09B0" w:rsidRPr="00FA161E" w14:paraId="01BF01D8" w14:textId="77777777" w:rsidTr="005062BF">
        <w:trPr>
          <w:cantSplit/>
          <w:jc w:val="center"/>
        </w:trPr>
        <w:tc>
          <w:tcPr>
            <w:tcW w:w="823" w:type="dxa"/>
            <w:vMerge/>
            <w:shd w:val="clear" w:color="auto" w:fill="FFFFFF"/>
          </w:tcPr>
          <w:p w14:paraId="00809CF5" w14:textId="77777777" w:rsidR="006D09B0" w:rsidRPr="00FA161E" w:rsidRDefault="006D09B0" w:rsidP="00DA3538">
            <w:pPr>
              <w:spacing w:line="276" w:lineRule="auto"/>
              <w:jc w:val="both"/>
              <w:rPr>
                <w:rFonts w:ascii="Times New Roman" w:hAnsi="Times New Roman" w:cs="Times New Roman"/>
                <w:sz w:val="24"/>
                <w:szCs w:val="24"/>
              </w:rPr>
            </w:pPr>
          </w:p>
        </w:tc>
        <w:tc>
          <w:tcPr>
            <w:tcW w:w="1284" w:type="dxa"/>
            <w:shd w:val="clear" w:color="auto" w:fill="FFFFFF"/>
          </w:tcPr>
          <w:p w14:paraId="61122610"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Total</w:t>
            </w:r>
          </w:p>
        </w:tc>
        <w:tc>
          <w:tcPr>
            <w:tcW w:w="1469" w:type="dxa"/>
            <w:shd w:val="clear" w:color="auto" w:fill="FFFFFF"/>
            <w:vAlign w:val="center"/>
          </w:tcPr>
          <w:p w14:paraId="104B2376"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230.874</w:t>
            </w:r>
          </w:p>
        </w:tc>
        <w:tc>
          <w:tcPr>
            <w:tcW w:w="1010" w:type="dxa"/>
            <w:shd w:val="clear" w:color="auto" w:fill="FFFFFF"/>
            <w:vAlign w:val="center"/>
          </w:tcPr>
          <w:p w14:paraId="2D9C172C"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381</w:t>
            </w:r>
          </w:p>
        </w:tc>
        <w:tc>
          <w:tcPr>
            <w:tcW w:w="1408" w:type="dxa"/>
            <w:shd w:val="clear" w:color="auto" w:fill="FFFFFF"/>
            <w:vAlign w:val="center"/>
          </w:tcPr>
          <w:p w14:paraId="5831BA64" w14:textId="77777777" w:rsidR="006D09B0" w:rsidRPr="00FA161E" w:rsidRDefault="006D09B0" w:rsidP="00DA3538">
            <w:pPr>
              <w:spacing w:line="276" w:lineRule="auto"/>
              <w:jc w:val="both"/>
              <w:rPr>
                <w:rFonts w:ascii="Times New Roman" w:hAnsi="Times New Roman" w:cs="Times New Roman"/>
                <w:sz w:val="24"/>
                <w:szCs w:val="24"/>
              </w:rPr>
            </w:pPr>
          </w:p>
        </w:tc>
        <w:tc>
          <w:tcPr>
            <w:tcW w:w="1010" w:type="dxa"/>
            <w:shd w:val="clear" w:color="auto" w:fill="FFFFFF"/>
            <w:vAlign w:val="center"/>
          </w:tcPr>
          <w:p w14:paraId="06C86C24" w14:textId="77777777" w:rsidR="006D09B0" w:rsidRPr="00FA161E" w:rsidRDefault="006D09B0" w:rsidP="00DA3538">
            <w:pPr>
              <w:spacing w:line="276" w:lineRule="auto"/>
              <w:jc w:val="both"/>
              <w:rPr>
                <w:rFonts w:ascii="Times New Roman" w:hAnsi="Times New Roman" w:cs="Times New Roman"/>
                <w:sz w:val="24"/>
                <w:szCs w:val="24"/>
              </w:rPr>
            </w:pPr>
          </w:p>
        </w:tc>
        <w:tc>
          <w:tcPr>
            <w:tcW w:w="1010" w:type="dxa"/>
            <w:shd w:val="clear" w:color="auto" w:fill="FFFFFF"/>
            <w:vAlign w:val="center"/>
          </w:tcPr>
          <w:p w14:paraId="51E96470" w14:textId="77777777" w:rsidR="006D09B0" w:rsidRPr="00FA161E" w:rsidRDefault="006D09B0" w:rsidP="00DA3538">
            <w:pPr>
              <w:spacing w:line="276" w:lineRule="auto"/>
              <w:jc w:val="both"/>
              <w:rPr>
                <w:rFonts w:ascii="Times New Roman" w:hAnsi="Times New Roman" w:cs="Times New Roman"/>
                <w:sz w:val="24"/>
                <w:szCs w:val="24"/>
              </w:rPr>
            </w:pPr>
          </w:p>
        </w:tc>
      </w:tr>
    </w:tbl>
    <w:p w14:paraId="12D38C88" w14:textId="14938A52"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Source: Survey data (202</w:t>
      </w:r>
      <w:r w:rsidR="000121BE">
        <w:rPr>
          <w:rFonts w:ascii="Times New Roman" w:hAnsi="Times New Roman" w:cs="Times New Roman"/>
          <w:sz w:val="24"/>
          <w:szCs w:val="24"/>
        </w:rPr>
        <w:t>5</w:t>
      </w:r>
      <w:r w:rsidRPr="00FA161E">
        <w:rPr>
          <w:rFonts w:ascii="Times New Roman" w:hAnsi="Times New Roman" w:cs="Times New Roman"/>
          <w:sz w:val="24"/>
          <w:szCs w:val="24"/>
        </w:rPr>
        <w:t>)</w:t>
      </w:r>
    </w:p>
    <w:p w14:paraId="01B5C74C" w14:textId="77777777" w:rsidR="006D09B0" w:rsidRPr="00FA161E" w:rsidRDefault="006D09B0" w:rsidP="00DA3538">
      <w:pPr>
        <w:spacing w:line="276" w:lineRule="auto"/>
        <w:jc w:val="both"/>
        <w:rPr>
          <w:rFonts w:ascii="Times New Roman" w:hAnsi="Times New Roman" w:cs="Times New Roman"/>
          <w:sz w:val="24"/>
          <w:szCs w:val="24"/>
        </w:rPr>
      </w:pPr>
    </w:p>
    <w:p w14:paraId="3B1C4310"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The ANOVA table presents the overall statistical significance of the regression model. It is used to determine whether the independent variables, as a group, significantly explain the variation in the dependent variable. In other words, the test examines whether at least one of the independent variables has a statistically significant effect on the dependent variable.</w:t>
      </w:r>
    </w:p>
    <w:p w14:paraId="46458BCA" w14:textId="5417E138"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 xml:space="preserve">The significance level (Sig.) is used to evaluate this relationship. In this study, a </w:t>
      </w:r>
      <w:r w:rsidR="00122232" w:rsidRPr="004D3660">
        <w:rPr>
          <w:rFonts w:ascii="Times New Roman" w:hAnsi="Times New Roman" w:cs="Times New Roman"/>
          <w:sz w:val="24"/>
          <w:szCs w:val="24"/>
        </w:rPr>
        <w:t>significant</w:t>
      </w:r>
      <w:r w:rsidRPr="004D3660">
        <w:rPr>
          <w:rFonts w:ascii="Times New Roman" w:hAnsi="Times New Roman" w:cs="Times New Roman"/>
          <w:sz w:val="24"/>
          <w:szCs w:val="24"/>
        </w:rPr>
        <w:t xml:space="preserve"> threshold of 5% (α = 0.05) is applied. Therefore, for the model to be considered statistically significant, the p-value should be lower than 0.05. The results show that the significance value </w:t>
      </w:r>
      <w:r w:rsidRPr="004D3660">
        <w:rPr>
          <w:rFonts w:ascii="Times New Roman" w:hAnsi="Times New Roman" w:cs="Times New Roman"/>
          <w:sz w:val="24"/>
          <w:szCs w:val="24"/>
        </w:rPr>
        <w:lastRenderedPageBreak/>
        <w:t>of the model is 0.000, which is less than the threshold level (0.000 &lt; 0.05). This indicates that the regression model is statistically significant and confirms that the independent variables included in the model collectively have a significant influence on the dependent variable.</w:t>
      </w:r>
    </w:p>
    <w:p w14:paraId="5D060C26" w14:textId="23FC84E5"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Table 6. </w:t>
      </w:r>
      <w:r w:rsidR="003D2D8C" w:rsidRPr="00FA161E">
        <w:rPr>
          <w:rFonts w:ascii="Times New Roman" w:hAnsi="Times New Roman" w:cs="Times New Roman"/>
          <w:sz w:val="24"/>
          <w:szCs w:val="24"/>
        </w:rPr>
        <w:t>Coefficients</w:t>
      </w:r>
    </w:p>
    <w:tbl>
      <w:tblPr>
        <w:tblpPr w:leftFromText="180" w:rightFromText="180" w:vertAnchor="text" w:horzAnchor="margin" w:tblpY="291"/>
        <w:tblW w:w="8789"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97"/>
        <w:gridCol w:w="1286"/>
        <w:gridCol w:w="1451"/>
        <w:gridCol w:w="1453"/>
        <w:gridCol w:w="1602"/>
        <w:gridCol w:w="1100"/>
        <w:gridCol w:w="1100"/>
      </w:tblGrid>
      <w:tr w:rsidR="005062BF" w:rsidRPr="00FA161E" w14:paraId="04A6C370" w14:textId="77777777" w:rsidTr="005062BF">
        <w:trPr>
          <w:cantSplit/>
          <w:trHeight w:val="633"/>
        </w:trPr>
        <w:tc>
          <w:tcPr>
            <w:tcW w:w="2083" w:type="dxa"/>
            <w:gridSpan w:val="2"/>
            <w:vMerge w:val="restart"/>
            <w:shd w:val="clear" w:color="auto" w:fill="FFFFFF"/>
            <w:vAlign w:val="bottom"/>
          </w:tcPr>
          <w:p w14:paraId="18203F9B"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Model</w:t>
            </w:r>
          </w:p>
        </w:tc>
        <w:tc>
          <w:tcPr>
            <w:tcW w:w="2904" w:type="dxa"/>
            <w:gridSpan w:val="2"/>
            <w:shd w:val="clear" w:color="auto" w:fill="FFFFFF"/>
            <w:vAlign w:val="bottom"/>
          </w:tcPr>
          <w:p w14:paraId="2834E671"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Unstandardized Coefficients</w:t>
            </w:r>
          </w:p>
        </w:tc>
        <w:tc>
          <w:tcPr>
            <w:tcW w:w="1602" w:type="dxa"/>
            <w:shd w:val="clear" w:color="auto" w:fill="FFFFFF"/>
            <w:vAlign w:val="bottom"/>
          </w:tcPr>
          <w:p w14:paraId="10793B52"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Standardized Coefficients</w:t>
            </w:r>
          </w:p>
        </w:tc>
        <w:tc>
          <w:tcPr>
            <w:tcW w:w="1100" w:type="dxa"/>
            <w:vMerge w:val="restart"/>
            <w:shd w:val="clear" w:color="auto" w:fill="FFFFFF"/>
            <w:vAlign w:val="bottom"/>
          </w:tcPr>
          <w:p w14:paraId="15E56A18"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T</w:t>
            </w:r>
          </w:p>
        </w:tc>
        <w:tc>
          <w:tcPr>
            <w:tcW w:w="1100" w:type="dxa"/>
            <w:vMerge w:val="restart"/>
            <w:shd w:val="clear" w:color="auto" w:fill="FFFFFF"/>
            <w:vAlign w:val="bottom"/>
          </w:tcPr>
          <w:p w14:paraId="1D23E221"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Sig.</w:t>
            </w:r>
          </w:p>
        </w:tc>
      </w:tr>
      <w:tr w:rsidR="005062BF" w:rsidRPr="00FA161E" w14:paraId="0572683F" w14:textId="77777777" w:rsidTr="005062BF">
        <w:trPr>
          <w:cantSplit/>
          <w:trHeight w:val="116"/>
        </w:trPr>
        <w:tc>
          <w:tcPr>
            <w:tcW w:w="2083" w:type="dxa"/>
            <w:gridSpan w:val="2"/>
            <w:vMerge/>
            <w:shd w:val="clear" w:color="auto" w:fill="FFFFFF"/>
            <w:vAlign w:val="bottom"/>
          </w:tcPr>
          <w:p w14:paraId="0CA4630D" w14:textId="77777777" w:rsidR="005062BF" w:rsidRPr="00FA161E" w:rsidRDefault="005062BF" w:rsidP="00DA3538">
            <w:pPr>
              <w:spacing w:line="276" w:lineRule="auto"/>
              <w:jc w:val="both"/>
              <w:rPr>
                <w:rFonts w:ascii="Times New Roman" w:hAnsi="Times New Roman" w:cs="Times New Roman"/>
                <w:sz w:val="24"/>
                <w:szCs w:val="24"/>
              </w:rPr>
            </w:pPr>
          </w:p>
        </w:tc>
        <w:tc>
          <w:tcPr>
            <w:tcW w:w="1451" w:type="dxa"/>
            <w:shd w:val="clear" w:color="auto" w:fill="FFFFFF"/>
            <w:vAlign w:val="bottom"/>
          </w:tcPr>
          <w:p w14:paraId="1978A884"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B</w:t>
            </w:r>
          </w:p>
        </w:tc>
        <w:tc>
          <w:tcPr>
            <w:tcW w:w="1453" w:type="dxa"/>
            <w:shd w:val="clear" w:color="auto" w:fill="FFFFFF"/>
            <w:vAlign w:val="bottom"/>
          </w:tcPr>
          <w:p w14:paraId="44E58BAC"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Std. Error</w:t>
            </w:r>
          </w:p>
        </w:tc>
        <w:tc>
          <w:tcPr>
            <w:tcW w:w="1602" w:type="dxa"/>
            <w:shd w:val="clear" w:color="auto" w:fill="FFFFFF"/>
            <w:vAlign w:val="bottom"/>
          </w:tcPr>
          <w:p w14:paraId="352C1668"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Beta</w:t>
            </w:r>
          </w:p>
        </w:tc>
        <w:tc>
          <w:tcPr>
            <w:tcW w:w="1100" w:type="dxa"/>
            <w:vMerge/>
            <w:shd w:val="clear" w:color="auto" w:fill="FFFFFF"/>
            <w:vAlign w:val="bottom"/>
          </w:tcPr>
          <w:p w14:paraId="77647436" w14:textId="77777777" w:rsidR="005062BF" w:rsidRPr="00FA161E" w:rsidRDefault="005062BF" w:rsidP="00DA3538">
            <w:pPr>
              <w:spacing w:line="276" w:lineRule="auto"/>
              <w:jc w:val="both"/>
              <w:rPr>
                <w:rFonts w:ascii="Times New Roman" w:hAnsi="Times New Roman" w:cs="Times New Roman"/>
                <w:sz w:val="24"/>
                <w:szCs w:val="24"/>
              </w:rPr>
            </w:pPr>
          </w:p>
        </w:tc>
        <w:tc>
          <w:tcPr>
            <w:tcW w:w="1100" w:type="dxa"/>
            <w:vMerge/>
            <w:shd w:val="clear" w:color="auto" w:fill="FFFFFF"/>
            <w:vAlign w:val="bottom"/>
          </w:tcPr>
          <w:p w14:paraId="63CB330D" w14:textId="77777777" w:rsidR="005062BF" w:rsidRPr="00FA161E" w:rsidRDefault="005062BF" w:rsidP="00DA3538">
            <w:pPr>
              <w:spacing w:line="276" w:lineRule="auto"/>
              <w:jc w:val="both"/>
              <w:rPr>
                <w:rFonts w:ascii="Times New Roman" w:hAnsi="Times New Roman" w:cs="Times New Roman"/>
                <w:sz w:val="24"/>
                <w:szCs w:val="24"/>
              </w:rPr>
            </w:pPr>
          </w:p>
        </w:tc>
      </w:tr>
      <w:tr w:rsidR="005062BF" w:rsidRPr="00FA161E" w14:paraId="043D4C6F" w14:textId="77777777" w:rsidTr="005062BF">
        <w:trPr>
          <w:cantSplit/>
          <w:trHeight w:val="377"/>
        </w:trPr>
        <w:tc>
          <w:tcPr>
            <w:tcW w:w="797" w:type="dxa"/>
            <w:vMerge w:val="restart"/>
            <w:shd w:val="clear" w:color="auto" w:fill="FFFFFF"/>
          </w:tcPr>
          <w:p w14:paraId="1115E94B"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1</w:t>
            </w:r>
          </w:p>
        </w:tc>
        <w:tc>
          <w:tcPr>
            <w:tcW w:w="1286" w:type="dxa"/>
            <w:shd w:val="clear" w:color="auto" w:fill="FFFFFF"/>
          </w:tcPr>
          <w:p w14:paraId="10A3A2C3"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(Constant)</w:t>
            </w:r>
          </w:p>
        </w:tc>
        <w:tc>
          <w:tcPr>
            <w:tcW w:w="1451" w:type="dxa"/>
            <w:shd w:val="clear" w:color="auto" w:fill="FFFFFF"/>
            <w:vAlign w:val="center"/>
          </w:tcPr>
          <w:p w14:paraId="70A7D560"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.911</w:t>
            </w:r>
          </w:p>
        </w:tc>
        <w:tc>
          <w:tcPr>
            <w:tcW w:w="1453" w:type="dxa"/>
            <w:shd w:val="clear" w:color="auto" w:fill="FFFFFF"/>
            <w:vAlign w:val="center"/>
          </w:tcPr>
          <w:p w14:paraId="71B1A91A"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.106</w:t>
            </w:r>
          </w:p>
        </w:tc>
        <w:tc>
          <w:tcPr>
            <w:tcW w:w="1602" w:type="dxa"/>
            <w:shd w:val="clear" w:color="auto" w:fill="FFFFFF"/>
            <w:vAlign w:val="center"/>
          </w:tcPr>
          <w:p w14:paraId="47B13392" w14:textId="77777777" w:rsidR="005062BF" w:rsidRPr="00FA161E" w:rsidRDefault="005062BF" w:rsidP="00DA3538">
            <w:pPr>
              <w:spacing w:line="276" w:lineRule="auto"/>
              <w:jc w:val="both"/>
              <w:rPr>
                <w:rFonts w:ascii="Times New Roman" w:hAnsi="Times New Roman" w:cs="Times New Roman"/>
                <w:sz w:val="24"/>
                <w:szCs w:val="24"/>
              </w:rPr>
            </w:pPr>
          </w:p>
        </w:tc>
        <w:tc>
          <w:tcPr>
            <w:tcW w:w="1100" w:type="dxa"/>
            <w:shd w:val="clear" w:color="auto" w:fill="FFFFFF"/>
            <w:vAlign w:val="center"/>
          </w:tcPr>
          <w:p w14:paraId="74143BE2"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8.612</w:t>
            </w:r>
          </w:p>
        </w:tc>
        <w:tc>
          <w:tcPr>
            <w:tcW w:w="1100" w:type="dxa"/>
            <w:shd w:val="clear" w:color="auto" w:fill="FFFFFF"/>
            <w:vAlign w:val="center"/>
          </w:tcPr>
          <w:p w14:paraId="474A30C2"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.000</w:t>
            </w:r>
          </w:p>
        </w:tc>
      </w:tr>
      <w:tr w:rsidR="005062BF" w:rsidRPr="00FA161E" w14:paraId="5731DAA9" w14:textId="77777777" w:rsidTr="005062BF">
        <w:trPr>
          <w:cantSplit/>
          <w:trHeight w:val="116"/>
        </w:trPr>
        <w:tc>
          <w:tcPr>
            <w:tcW w:w="797" w:type="dxa"/>
            <w:vMerge/>
            <w:shd w:val="clear" w:color="auto" w:fill="FFFFFF"/>
          </w:tcPr>
          <w:p w14:paraId="3EA9FC84" w14:textId="77777777" w:rsidR="005062BF" w:rsidRPr="00FA161E" w:rsidRDefault="005062BF" w:rsidP="00DA3538">
            <w:pPr>
              <w:spacing w:line="276" w:lineRule="auto"/>
              <w:jc w:val="both"/>
              <w:rPr>
                <w:rFonts w:ascii="Times New Roman" w:hAnsi="Times New Roman" w:cs="Times New Roman"/>
                <w:sz w:val="24"/>
                <w:szCs w:val="24"/>
              </w:rPr>
            </w:pPr>
          </w:p>
        </w:tc>
        <w:tc>
          <w:tcPr>
            <w:tcW w:w="1286" w:type="dxa"/>
            <w:shd w:val="clear" w:color="auto" w:fill="FFFFFF"/>
          </w:tcPr>
          <w:p w14:paraId="1A4924A7"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Financial Knowledge</w:t>
            </w:r>
          </w:p>
        </w:tc>
        <w:tc>
          <w:tcPr>
            <w:tcW w:w="1451" w:type="dxa"/>
            <w:shd w:val="clear" w:color="auto" w:fill="FFFFFF"/>
            <w:vAlign w:val="center"/>
          </w:tcPr>
          <w:p w14:paraId="030FE633"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.189</w:t>
            </w:r>
          </w:p>
        </w:tc>
        <w:tc>
          <w:tcPr>
            <w:tcW w:w="1453" w:type="dxa"/>
            <w:shd w:val="clear" w:color="auto" w:fill="FFFFFF"/>
            <w:vAlign w:val="center"/>
          </w:tcPr>
          <w:p w14:paraId="13FEE99A"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.040</w:t>
            </w:r>
          </w:p>
        </w:tc>
        <w:tc>
          <w:tcPr>
            <w:tcW w:w="1602" w:type="dxa"/>
            <w:shd w:val="clear" w:color="auto" w:fill="FFFFFF"/>
            <w:vAlign w:val="center"/>
          </w:tcPr>
          <w:p w14:paraId="35547FD5"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.204</w:t>
            </w:r>
          </w:p>
        </w:tc>
        <w:tc>
          <w:tcPr>
            <w:tcW w:w="1100" w:type="dxa"/>
            <w:shd w:val="clear" w:color="auto" w:fill="FFFFFF"/>
            <w:vAlign w:val="center"/>
          </w:tcPr>
          <w:p w14:paraId="05B8D26B"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4.768</w:t>
            </w:r>
          </w:p>
        </w:tc>
        <w:tc>
          <w:tcPr>
            <w:tcW w:w="1100" w:type="dxa"/>
            <w:shd w:val="clear" w:color="auto" w:fill="FFFFFF"/>
            <w:vAlign w:val="center"/>
          </w:tcPr>
          <w:p w14:paraId="1E6D03A7"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.000</w:t>
            </w:r>
          </w:p>
        </w:tc>
      </w:tr>
      <w:tr w:rsidR="005062BF" w:rsidRPr="00FA161E" w14:paraId="13C98505" w14:textId="77777777" w:rsidTr="005062BF">
        <w:trPr>
          <w:cantSplit/>
          <w:trHeight w:val="116"/>
        </w:trPr>
        <w:tc>
          <w:tcPr>
            <w:tcW w:w="797" w:type="dxa"/>
            <w:vMerge/>
            <w:shd w:val="clear" w:color="auto" w:fill="FFFFFF"/>
          </w:tcPr>
          <w:p w14:paraId="2E9E59B1" w14:textId="77777777" w:rsidR="005062BF" w:rsidRPr="00FA161E" w:rsidRDefault="005062BF" w:rsidP="00DA3538">
            <w:pPr>
              <w:spacing w:line="276" w:lineRule="auto"/>
              <w:jc w:val="both"/>
              <w:rPr>
                <w:rFonts w:ascii="Times New Roman" w:hAnsi="Times New Roman" w:cs="Times New Roman"/>
                <w:sz w:val="24"/>
                <w:szCs w:val="24"/>
              </w:rPr>
            </w:pPr>
          </w:p>
        </w:tc>
        <w:tc>
          <w:tcPr>
            <w:tcW w:w="1286" w:type="dxa"/>
            <w:shd w:val="clear" w:color="auto" w:fill="FFFFFF"/>
          </w:tcPr>
          <w:p w14:paraId="0BE39C0B"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Financial </w:t>
            </w:r>
            <w:proofErr w:type="spellStart"/>
            <w:r w:rsidRPr="00FA161E">
              <w:rPr>
                <w:rFonts w:ascii="Times New Roman" w:hAnsi="Times New Roman" w:cs="Times New Roman"/>
                <w:sz w:val="24"/>
                <w:szCs w:val="24"/>
              </w:rPr>
              <w:t>Behaviour</w:t>
            </w:r>
            <w:proofErr w:type="spellEnd"/>
          </w:p>
        </w:tc>
        <w:tc>
          <w:tcPr>
            <w:tcW w:w="1451" w:type="dxa"/>
            <w:shd w:val="clear" w:color="auto" w:fill="FFFFFF"/>
            <w:vAlign w:val="center"/>
          </w:tcPr>
          <w:p w14:paraId="35E60313"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.204</w:t>
            </w:r>
          </w:p>
        </w:tc>
        <w:tc>
          <w:tcPr>
            <w:tcW w:w="1453" w:type="dxa"/>
            <w:shd w:val="clear" w:color="auto" w:fill="FFFFFF"/>
            <w:vAlign w:val="center"/>
          </w:tcPr>
          <w:p w14:paraId="5410C8C4"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.052</w:t>
            </w:r>
          </w:p>
        </w:tc>
        <w:tc>
          <w:tcPr>
            <w:tcW w:w="1602" w:type="dxa"/>
            <w:shd w:val="clear" w:color="auto" w:fill="FFFFFF"/>
            <w:vAlign w:val="center"/>
          </w:tcPr>
          <w:p w14:paraId="22F2F161"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.216</w:t>
            </w:r>
          </w:p>
        </w:tc>
        <w:tc>
          <w:tcPr>
            <w:tcW w:w="1100" w:type="dxa"/>
            <w:shd w:val="clear" w:color="auto" w:fill="FFFFFF"/>
            <w:vAlign w:val="center"/>
          </w:tcPr>
          <w:p w14:paraId="5D22D879"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3.912</w:t>
            </w:r>
          </w:p>
        </w:tc>
        <w:tc>
          <w:tcPr>
            <w:tcW w:w="1100" w:type="dxa"/>
            <w:shd w:val="clear" w:color="auto" w:fill="FFFFFF"/>
            <w:vAlign w:val="center"/>
          </w:tcPr>
          <w:p w14:paraId="1CD789AD"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.000</w:t>
            </w:r>
          </w:p>
        </w:tc>
      </w:tr>
      <w:tr w:rsidR="005062BF" w:rsidRPr="00FA161E" w14:paraId="5F7961AD" w14:textId="77777777" w:rsidTr="005062BF">
        <w:trPr>
          <w:cantSplit/>
          <w:trHeight w:val="116"/>
        </w:trPr>
        <w:tc>
          <w:tcPr>
            <w:tcW w:w="797" w:type="dxa"/>
            <w:vMerge/>
            <w:shd w:val="clear" w:color="auto" w:fill="FFFFFF"/>
          </w:tcPr>
          <w:p w14:paraId="3500DC1F" w14:textId="77777777" w:rsidR="005062BF" w:rsidRPr="00FA161E" w:rsidRDefault="005062BF" w:rsidP="00DA3538">
            <w:pPr>
              <w:spacing w:line="276" w:lineRule="auto"/>
              <w:jc w:val="both"/>
              <w:rPr>
                <w:rFonts w:ascii="Times New Roman" w:hAnsi="Times New Roman" w:cs="Times New Roman"/>
                <w:sz w:val="24"/>
                <w:szCs w:val="24"/>
              </w:rPr>
            </w:pPr>
          </w:p>
        </w:tc>
        <w:tc>
          <w:tcPr>
            <w:tcW w:w="1286" w:type="dxa"/>
            <w:shd w:val="clear" w:color="auto" w:fill="FFFFFF"/>
          </w:tcPr>
          <w:p w14:paraId="7D0959CA"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Financial Attitudes</w:t>
            </w:r>
          </w:p>
        </w:tc>
        <w:tc>
          <w:tcPr>
            <w:tcW w:w="1451" w:type="dxa"/>
            <w:shd w:val="clear" w:color="auto" w:fill="FFFFFF"/>
            <w:vAlign w:val="center"/>
          </w:tcPr>
          <w:p w14:paraId="6AC693FD"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.340</w:t>
            </w:r>
          </w:p>
        </w:tc>
        <w:tc>
          <w:tcPr>
            <w:tcW w:w="1453" w:type="dxa"/>
            <w:shd w:val="clear" w:color="auto" w:fill="FFFFFF"/>
            <w:vAlign w:val="center"/>
          </w:tcPr>
          <w:p w14:paraId="5F28499E"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.042</w:t>
            </w:r>
          </w:p>
        </w:tc>
        <w:tc>
          <w:tcPr>
            <w:tcW w:w="1602" w:type="dxa"/>
            <w:shd w:val="clear" w:color="auto" w:fill="FFFFFF"/>
            <w:vAlign w:val="center"/>
          </w:tcPr>
          <w:p w14:paraId="279D2437"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.458</w:t>
            </w:r>
          </w:p>
        </w:tc>
        <w:tc>
          <w:tcPr>
            <w:tcW w:w="1100" w:type="dxa"/>
            <w:shd w:val="clear" w:color="auto" w:fill="FFFFFF"/>
            <w:vAlign w:val="center"/>
          </w:tcPr>
          <w:p w14:paraId="52832872"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8.121</w:t>
            </w:r>
          </w:p>
        </w:tc>
        <w:tc>
          <w:tcPr>
            <w:tcW w:w="1100" w:type="dxa"/>
            <w:shd w:val="clear" w:color="auto" w:fill="FFFFFF"/>
            <w:vAlign w:val="center"/>
          </w:tcPr>
          <w:p w14:paraId="0CB38EC9"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.000</w:t>
            </w:r>
          </w:p>
        </w:tc>
      </w:tr>
    </w:tbl>
    <w:p w14:paraId="24A4B024" w14:textId="77777777" w:rsidR="005062BF" w:rsidRPr="00FA161E" w:rsidRDefault="005062BF" w:rsidP="00DA3538">
      <w:pPr>
        <w:spacing w:line="276" w:lineRule="auto"/>
        <w:jc w:val="both"/>
        <w:rPr>
          <w:rFonts w:ascii="Times New Roman" w:hAnsi="Times New Roman" w:cs="Times New Roman"/>
          <w:sz w:val="24"/>
          <w:szCs w:val="24"/>
        </w:rPr>
      </w:pPr>
    </w:p>
    <w:p w14:paraId="6800D5F1" w14:textId="366EE2FA" w:rsidR="006D09B0"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Source: Survey data (202</w:t>
      </w:r>
      <w:r w:rsidR="000121BE">
        <w:rPr>
          <w:rFonts w:ascii="Times New Roman" w:hAnsi="Times New Roman" w:cs="Times New Roman"/>
          <w:sz w:val="24"/>
          <w:szCs w:val="24"/>
        </w:rPr>
        <w:t>5</w:t>
      </w:r>
      <w:r w:rsidRPr="00FA161E">
        <w:rPr>
          <w:rFonts w:ascii="Times New Roman" w:hAnsi="Times New Roman" w:cs="Times New Roman"/>
          <w:sz w:val="24"/>
          <w:szCs w:val="24"/>
        </w:rPr>
        <w:t>)</w:t>
      </w:r>
    </w:p>
    <w:p w14:paraId="029FE8B6" w14:textId="77777777" w:rsidR="00516231" w:rsidRPr="00FA161E" w:rsidRDefault="00516231" w:rsidP="00DA3538">
      <w:pPr>
        <w:spacing w:line="276" w:lineRule="auto"/>
        <w:jc w:val="both"/>
        <w:rPr>
          <w:rFonts w:ascii="Times New Roman" w:hAnsi="Times New Roman" w:cs="Times New Roman"/>
          <w:sz w:val="24"/>
          <w:szCs w:val="24"/>
        </w:rPr>
      </w:pPr>
    </w:p>
    <w:p w14:paraId="11E4E4E9" w14:textId="77777777" w:rsidR="00516231" w:rsidRPr="00FA161E" w:rsidRDefault="00516231" w:rsidP="00DA3538">
      <w:pPr>
        <w:spacing w:line="276" w:lineRule="auto"/>
        <w:jc w:val="both"/>
        <w:rPr>
          <w:rFonts w:ascii="Times New Roman" w:hAnsi="Times New Roman" w:cs="Times New Roman"/>
          <w:sz w:val="24"/>
          <w:szCs w:val="24"/>
        </w:rPr>
      </w:pPr>
    </w:p>
    <w:p w14:paraId="2DFF3A94" w14:textId="77777777" w:rsid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Based on the results presented in the table, the individual significance of each independent variable can be determined using the significance (Sig.) values. In this analysis, the independent variables considered are financial knowledge, financial behavior, and financial attitude. The significance values associated with each variable were examined to evaluate their individual impact on customers’ online banking behavior. Accordingly, these results were used to test the hypotheses formulated in the study.</w:t>
      </w:r>
    </w:p>
    <w:p w14:paraId="636ACA61" w14:textId="4D0AAF98" w:rsidR="00997DB3" w:rsidRPr="00FA161E" w:rsidRDefault="00997DB3" w:rsidP="00DA3538">
      <w:pPr>
        <w:spacing w:line="276" w:lineRule="auto"/>
        <w:rPr>
          <w:rFonts w:ascii="Times New Roman" w:hAnsi="Times New Roman" w:cs="Times New Roman"/>
          <w:sz w:val="24"/>
          <w:szCs w:val="24"/>
        </w:rPr>
      </w:pPr>
      <w:r w:rsidRPr="00FA161E">
        <w:rPr>
          <w:rFonts w:ascii="Times New Roman" w:hAnsi="Times New Roman" w:cs="Times New Roman"/>
          <w:sz w:val="24"/>
          <w:szCs w:val="24"/>
        </w:rPr>
        <w:t>H</w:t>
      </w:r>
      <w:r w:rsidRPr="00FA161E">
        <w:rPr>
          <w:rFonts w:ascii="Times New Roman" w:hAnsi="Times New Roman" w:cs="Times New Roman"/>
          <w:sz w:val="24"/>
          <w:szCs w:val="24"/>
          <w:vertAlign w:val="subscript"/>
        </w:rPr>
        <w:t>1</w:t>
      </w:r>
      <w:r w:rsidRPr="00FA161E">
        <w:rPr>
          <w:rFonts w:ascii="Times New Roman" w:hAnsi="Times New Roman" w:cs="Times New Roman"/>
          <w:sz w:val="24"/>
          <w:szCs w:val="24"/>
        </w:rPr>
        <w:t xml:space="preserve">- Financial knowledge has a positive effect on customers' online banking </w:t>
      </w:r>
      <w:proofErr w:type="spellStart"/>
      <w:r w:rsidR="00975507" w:rsidRPr="00FA161E">
        <w:rPr>
          <w:rFonts w:ascii="Times New Roman" w:hAnsi="Times New Roman" w:cs="Times New Roman"/>
          <w:sz w:val="24"/>
          <w:szCs w:val="24"/>
        </w:rPr>
        <w:t>behaviour</w:t>
      </w:r>
      <w:proofErr w:type="spellEnd"/>
    </w:p>
    <w:p w14:paraId="69B6396C"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The significance values presented in the coefficients table indicate the statistical significance of each independent variable. The significance value associated with the variable financial knowledge is 0.000, which is lower than the selected significance level of 0.05 (0.000 &lt; 0.05). Therefore, the null hypothesis stating that financial knowledge has no positive effect on customers’ online banking behavior is rejected. This result indicates that financial knowledge has a statistically significant positive relationship with customers’ online banking behavior.</w:t>
      </w:r>
    </w:p>
    <w:p w14:paraId="0EC5C9C4"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H2: Financial behavior has a positive effect on customers’ online banking behavior.</w:t>
      </w:r>
    </w:p>
    <w:p w14:paraId="54DA1C66" w14:textId="5206CB95"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 xml:space="preserve">According to the regression results, the significance value for financial behavior is also 0.000. Since this value is less than 0.05 (0.000 &lt; 0.05), the null hypothesis is </w:t>
      </w:r>
      <w:r w:rsidR="00122232" w:rsidRPr="004D3660">
        <w:rPr>
          <w:rFonts w:ascii="Times New Roman" w:hAnsi="Times New Roman" w:cs="Times New Roman"/>
          <w:sz w:val="24"/>
          <w:szCs w:val="24"/>
        </w:rPr>
        <w:t>rejected,</w:t>
      </w:r>
      <w:r w:rsidRPr="004D3660">
        <w:rPr>
          <w:rFonts w:ascii="Times New Roman" w:hAnsi="Times New Roman" w:cs="Times New Roman"/>
          <w:sz w:val="24"/>
          <w:szCs w:val="24"/>
        </w:rPr>
        <w:t xml:space="preserve"> and the alternative hypothesis is accepted. This finding confirms that customers’ financial behavior has a significant positive effect on their online banking behavior.</w:t>
      </w:r>
    </w:p>
    <w:p w14:paraId="4E8057BC"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lastRenderedPageBreak/>
        <w:t>H3: Financial attitudes have a positive effect on customers’ online banking behavior.</w:t>
      </w:r>
    </w:p>
    <w:p w14:paraId="2CB2A99B"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The significance value related to financial attitudes is 0.000, which is also below the significance threshold of 0.05 (0.000 &lt; 0.05). Therefore, the null hypothesis is rejected. This indicates that customers’ financial attitudes significantly influence their online banking behavior.</w:t>
      </w:r>
    </w:p>
    <w:p w14:paraId="5D215EC5"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The Unstandardized Coefficients (B) column in the regression output indicates the extent to which the dependent variable changes when an independent variable increases by one unit, while other variables remain constant. The values can be either positive or negative, depending on the direction of the relationship.</w:t>
      </w:r>
    </w:p>
    <w:p w14:paraId="643DA5FF"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The regression results show that all independent variables have a positive effect on customers’ online banking behavior. Specifically, a one-unit increase in financial knowledge leads to an increase of 0.189 units in online banking behavior. Similarly, a one-unit increase in financial behavior results in an increase of 0.204 units in online banking behavior. In addition, a one-unit increase in financial attitudes leads to an increase of 0.340 units in customers’ online banking behavior.</w:t>
      </w:r>
    </w:p>
    <w:p w14:paraId="2C162033"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Based on these coefficients, the regression equation representing the relationship between financial literacy dimensions and customers’ online banking behavior can be formulated.</w:t>
      </w:r>
    </w:p>
    <w:p w14:paraId="2C8B19CD" w14:textId="42CF3884" w:rsidR="00134287" w:rsidRPr="00FA161E" w:rsidRDefault="00134287"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 xml:space="preserve">Y –customers’ online banking </w:t>
      </w:r>
      <w:proofErr w:type="spellStart"/>
      <w:r w:rsidRPr="00FA161E">
        <w:rPr>
          <w:rFonts w:ascii="Times New Roman" w:hAnsi="Times New Roman" w:cs="Times New Roman"/>
          <w:sz w:val="24"/>
          <w:szCs w:val="24"/>
        </w:rPr>
        <w:t>behaviour</w:t>
      </w:r>
      <w:proofErr w:type="spellEnd"/>
    </w:p>
    <w:p w14:paraId="6F69A1EA" w14:textId="4C5F48BF" w:rsidR="00134287" w:rsidRPr="00FA161E" w:rsidRDefault="00134287"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X</w:t>
      </w:r>
      <w:r w:rsidRPr="00FA161E">
        <w:rPr>
          <w:rFonts w:ascii="Times New Roman" w:hAnsi="Times New Roman" w:cs="Times New Roman"/>
          <w:sz w:val="24"/>
          <w:szCs w:val="24"/>
          <w:vertAlign w:val="subscript"/>
        </w:rPr>
        <w:t>1</w:t>
      </w:r>
      <w:r w:rsidRPr="00FA161E">
        <w:rPr>
          <w:rFonts w:ascii="Times New Roman" w:hAnsi="Times New Roman" w:cs="Times New Roman"/>
          <w:sz w:val="24"/>
          <w:szCs w:val="24"/>
        </w:rPr>
        <w:t xml:space="preserve"> – Financial knowledge (K)</w:t>
      </w:r>
    </w:p>
    <w:p w14:paraId="4275830C" w14:textId="76F09F77" w:rsidR="00134287" w:rsidRPr="00FA161E" w:rsidRDefault="00134287"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X</w:t>
      </w:r>
      <w:r w:rsidRPr="00FA161E">
        <w:rPr>
          <w:rFonts w:ascii="Times New Roman" w:hAnsi="Times New Roman" w:cs="Times New Roman"/>
          <w:sz w:val="24"/>
          <w:szCs w:val="24"/>
          <w:vertAlign w:val="subscript"/>
        </w:rPr>
        <w:t xml:space="preserve">2 </w:t>
      </w:r>
      <w:r w:rsidRPr="00FA161E">
        <w:rPr>
          <w:rFonts w:ascii="Times New Roman" w:hAnsi="Times New Roman" w:cs="Times New Roman"/>
          <w:sz w:val="24"/>
          <w:szCs w:val="24"/>
        </w:rPr>
        <w:t xml:space="preserve">– Financial </w:t>
      </w:r>
      <w:proofErr w:type="spellStart"/>
      <w:r w:rsidRPr="00FA161E">
        <w:rPr>
          <w:rFonts w:ascii="Times New Roman" w:hAnsi="Times New Roman" w:cs="Times New Roman"/>
          <w:sz w:val="24"/>
          <w:szCs w:val="24"/>
        </w:rPr>
        <w:t>bahaviour</w:t>
      </w:r>
      <w:proofErr w:type="spellEnd"/>
      <w:r w:rsidRPr="00FA161E">
        <w:rPr>
          <w:rFonts w:ascii="Times New Roman" w:hAnsi="Times New Roman" w:cs="Times New Roman"/>
          <w:sz w:val="24"/>
          <w:szCs w:val="24"/>
        </w:rPr>
        <w:t xml:space="preserve"> (B)</w:t>
      </w:r>
    </w:p>
    <w:p w14:paraId="313132B6" w14:textId="3E8350CE" w:rsidR="00134287" w:rsidRPr="00FA161E" w:rsidRDefault="00134287"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X</w:t>
      </w:r>
      <w:r w:rsidRPr="00FA161E">
        <w:rPr>
          <w:rFonts w:ascii="Times New Roman" w:hAnsi="Times New Roman" w:cs="Times New Roman"/>
          <w:sz w:val="24"/>
          <w:szCs w:val="24"/>
          <w:vertAlign w:val="subscript"/>
        </w:rPr>
        <w:t>3</w:t>
      </w:r>
      <w:r w:rsidRPr="00FA161E">
        <w:rPr>
          <w:rFonts w:ascii="Times New Roman" w:hAnsi="Times New Roman" w:cs="Times New Roman"/>
          <w:sz w:val="24"/>
          <w:szCs w:val="24"/>
        </w:rPr>
        <w:t xml:space="preserve"> – Financial attitudes (A)</w:t>
      </w:r>
    </w:p>
    <w:p w14:paraId="4B406935" w14:textId="13D51018" w:rsidR="00134287" w:rsidRPr="00FA161E" w:rsidRDefault="00134287"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Y = b</w:t>
      </w:r>
      <w:r w:rsidRPr="00FA161E">
        <w:rPr>
          <w:rFonts w:ascii="Times New Roman" w:hAnsi="Times New Roman" w:cs="Times New Roman"/>
          <w:sz w:val="24"/>
          <w:szCs w:val="24"/>
          <w:vertAlign w:val="subscript"/>
        </w:rPr>
        <w:t>0</w:t>
      </w:r>
      <w:r w:rsidRPr="00FA161E">
        <w:rPr>
          <w:rFonts w:ascii="Times New Roman" w:hAnsi="Times New Roman" w:cs="Times New Roman"/>
          <w:sz w:val="24"/>
          <w:szCs w:val="24"/>
        </w:rPr>
        <w:t xml:space="preserve"> + b</w:t>
      </w:r>
      <w:r w:rsidRPr="00FA161E">
        <w:rPr>
          <w:rFonts w:ascii="Times New Roman" w:hAnsi="Times New Roman" w:cs="Times New Roman"/>
          <w:sz w:val="24"/>
          <w:szCs w:val="24"/>
          <w:vertAlign w:val="subscript"/>
        </w:rPr>
        <w:t>1</w:t>
      </w:r>
      <w:r w:rsidRPr="00FA161E">
        <w:rPr>
          <w:rFonts w:ascii="Times New Roman" w:hAnsi="Times New Roman" w:cs="Times New Roman"/>
          <w:sz w:val="24"/>
          <w:szCs w:val="24"/>
        </w:rPr>
        <w:t>X</w:t>
      </w:r>
      <w:r w:rsidRPr="00FA161E">
        <w:rPr>
          <w:rFonts w:ascii="Times New Roman" w:hAnsi="Times New Roman" w:cs="Times New Roman"/>
          <w:sz w:val="24"/>
          <w:szCs w:val="24"/>
          <w:vertAlign w:val="subscript"/>
        </w:rPr>
        <w:t>1</w:t>
      </w:r>
      <w:r w:rsidRPr="00FA161E">
        <w:rPr>
          <w:rFonts w:ascii="Times New Roman" w:hAnsi="Times New Roman" w:cs="Times New Roman"/>
          <w:sz w:val="24"/>
          <w:szCs w:val="24"/>
        </w:rPr>
        <w:t xml:space="preserve"> + b</w:t>
      </w:r>
      <w:r w:rsidRPr="00FA161E">
        <w:rPr>
          <w:rFonts w:ascii="Times New Roman" w:hAnsi="Times New Roman" w:cs="Times New Roman"/>
          <w:sz w:val="24"/>
          <w:szCs w:val="24"/>
          <w:vertAlign w:val="subscript"/>
        </w:rPr>
        <w:t>2</w:t>
      </w:r>
      <w:r w:rsidRPr="00FA161E">
        <w:rPr>
          <w:rFonts w:ascii="Times New Roman" w:hAnsi="Times New Roman" w:cs="Times New Roman"/>
          <w:sz w:val="24"/>
          <w:szCs w:val="24"/>
        </w:rPr>
        <w:t>X</w:t>
      </w:r>
      <w:r w:rsidRPr="00FA161E">
        <w:rPr>
          <w:rFonts w:ascii="Times New Roman" w:hAnsi="Times New Roman" w:cs="Times New Roman"/>
          <w:sz w:val="24"/>
          <w:szCs w:val="24"/>
          <w:vertAlign w:val="subscript"/>
        </w:rPr>
        <w:t>2</w:t>
      </w:r>
      <w:r w:rsidRPr="00FA161E">
        <w:rPr>
          <w:rFonts w:ascii="Times New Roman" w:hAnsi="Times New Roman" w:cs="Times New Roman"/>
          <w:sz w:val="24"/>
          <w:szCs w:val="24"/>
        </w:rPr>
        <w:t xml:space="preserve"> + b</w:t>
      </w:r>
      <w:r w:rsidRPr="00FA161E">
        <w:rPr>
          <w:rFonts w:ascii="Times New Roman" w:hAnsi="Times New Roman" w:cs="Times New Roman"/>
          <w:sz w:val="24"/>
          <w:szCs w:val="24"/>
          <w:vertAlign w:val="subscript"/>
        </w:rPr>
        <w:t>3</w:t>
      </w:r>
      <w:r w:rsidRPr="00FA161E">
        <w:rPr>
          <w:rFonts w:ascii="Times New Roman" w:hAnsi="Times New Roman" w:cs="Times New Roman"/>
          <w:sz w:val="24"/>
          <w:szCs w:val="24"/>
        </w:rPr>
        <w:t>X</w:t>
      </w:r>
      <w:r w:rsidRPr="00FA161E">
        <w:rPr>
          <w:rFonts w:ascii="Times New Roman" w:hAnsi="Times New Roman" w:cs="Times New Roman"/>
          <w:sz w:val="24"/>
          <w:szCs w:val="24"/>
          <w:vertAlign w:val="subscript"/>
        </w:rPr>
        <w:t>3</w:t>
      </w:r>
      <w:r w:rsidRPr="00FA161E">
        <w:rPr>
          <w:rFonts w:ascii="Times New Roman" w:hAnsi="Times New Roman" w:cs="Times New Roman"/>
          <w:sz w:val="24"/>
          <w:szCs w:val="24"/>
        </w:rPr>
        <w:t xml:space="preserve"> </w:t>
      </w:r>
    </w:p>
    <w:p w14:paraId="2D04FE1B" w14:textId="7635175F" w:rsidR="00516231" w:rsidRPr="00FA161E" w:rsidRDefault="00134287" w:rsidP="00DA3538">
      <w:pPr>
        <w:spacing w:before="120" w:after="120" w:line="276" w:lineRule="auto"/>
        <w:jc w:val="both"/>
        <w:rPr>
          <w:rFonts w:ascii="Times New Roman" w:hAnsi="Times New Roman" w:cs="Times New Roman"/>
          <w:sz w:val="24"/>
          <w:szCs w:val="24"/>
        </w:rPr>
      </w:pPr>
      <w:r w:rsidRPr="00FA161E">
        <w:rPr>
          <w:rFonts w:ascii="Times New Roman" w:hAnsi="Times New Roman" w:cs="Times New Roman"/>
          <w:sz w:val="24"/>
          <w:szCs w:val="24"/>
        </w:rPr>
        <w:t>Y = 0</w:t>
      </w:r>
      <w:r w:rsidRPr="00FA161E">
        <w:rPr>
          <w:rFonts w:ascii="Times New Roman" w:hAnsi="Times New Roman" w:cs="Times New Roman"/>
          <w:color w:val="000000"/>
          <w:sz w:val="24"/>
          <w:szCs w:val="24"/>
          <w:lang w:bidi="si-LK"/>
        </w:rPr>
        <w:t>.</w:t>
      </w:r>
      <w:r w:rsidR="00077E20" w:rsidRPr="00FA161E">
        <w:rPr>
          <w:rFonts w:ascii="Times New Roman" w:hAnsi="Times New Roman" w:cs="Times New Roman"/>
          <w:color w:val="000000"/>
          <w:sz w:val="24"/>
          <w:szCs w:val="24"/>
          <w:lang w:bidi="si-LK"/>
        </w:rPr>
        <w:t>911</w:t>
      </w:r>
      <w:r w:rsidRPr="00FA161E">
        <w:rPr>
          <w:rFonts w:ascii="Times New Roman" w:hAnsi="Times New Roman" w:cs="Times New Roman"/>
          <w:sz w:val="24"/>
          <w:szCs w:val="24"/>
        </w:rPr>
        <w:t xml:space="preserve"> + 0</w:t>
      </w:r>
      <w:r w:rsidRPr="00FA161E">
        <w:rPr>
          <w:rFonts w:ascii="Times New Roman" w:hAnsi="Times New Roman" w:cs="Times New Roman"/>
          <w:color w:val="000000"/>
          <w:sz w:val="24"/>
          <w:szCs w:val="24"/>
          <w:lang w:bidi="si-LK"/>
        </w:rPr>
        <w:t>.</w:t>
      </w:r>
      <w:r w:rsidR="00077E20" w:rsidRPr="00FA161E">
        <w:rPr>
          <w:rFonts w:ascii="Times New Roman" w:hAnsi="Times New Roman" w:cs="Times New Roman"/>
          <w:color w:val="000000"/>
          <w:sz w:val="24"/>
          <w:szCs w:val="24"/>
          <w:lang w:bidi="si-LK"/>
        </w:rPr>
        <w:t xml:space="preserve"> 189</w:t>
      </w:r>
      <w:r w:rsidR="00077E20" w:rsidRPr="00FA161E">
        <w:rPr>
          <w:rFonts w:ascii="Times New Roman" w:hAnsi="Times New Roman" w:cs="Times New Roman"/>
          <w:sz w:val="24"/>
          <w:szCs w:val="24"/>
        </w:rPr>
        <w:t>K</w:t>
      </w:r>
      <w:r w:rsidRPr="00FA161E">
        <w:rPr>
          <w:rFonts w:ascii="Times New Roman" w:hAnsi="Times New Roman" w:cs="Times New Roman"/>
          <w:sz w:val="24"/>
          <w:szCs w:val="24"/>
        </w:rPr>
        <w:t xml:space="preserve"> + 0</w:t>
      </w:r>
      <w:r w:rsidRPr="00FA161E">
        <w:rPr>
          <w:rFonts w:ascii="Times New Roman" w:hAnsi="Times New Roman" w:cs="Times New Roman"/>
          <w:color w:val="000000"/>
          <w:sz w:val="24"/>
          <w:szCs w:val="24"/>
          <w:lang w:bidi="si-LK"/>
        </w:rPr>
        <w:t>.</w:t>
      </w:r>
      <w:r w:rsidR="00077E20" w:rsidRPr="00FA161E">
        <w:rPr>
          <w:rFonts w:ascii="Times New Roman" w:hAnsi="Times New Roman" w:cs="Times New Roman"/>
          <w:color w:val="000000"/>
          <w:sz w:val="24"/>
          <w:szCs w:val="24"/>
          <w:lang w:bidi="si-LK"/>
        </w:rPr>
        <w:t xml:space="preserve"> 204</w:t>
      </w:r>
      <w:r w:rsidR="00077E20" w:rsidRPr="00FA161E">
        <w:rPr>
          <w:rFonts w:ascii="Times New Roman" w:hAnsi="Times New Roman" w:cs="Times New Roman"/>
          <w:sz w:val="24"/>
          <w:szCs w:val="24"/>
        </w:rPr>
        <w:t>B</w:t>
      </w:r>
      <w:r w:rsidRPr="00FA161E">
        <w:rPr>
          <w:rFonts w:ascii="Times New Roman" w:hAnsi="Times New Roman" w:cs="Times New Roman"/>
          <w:sz w:val="24"/>
          <w:szCs w:val="24"/>
        </w:rPr>
        <w:t>+ 0</w:t>
      </w:r>
      <w:r w:rsidRPr="00FA161E">
        <w:rPr>
          <w:rFonts w:ascii="Times New Roman" w:hAnsi="Times New Roman" w:cs="Times New Roman"/>
          <w:color w:val="000000"/>
          <w:sz w:val="24"/>
          <w:szCs w:val="24"/>
          <w:lang w:bidi="si-LK"/>
        </w:rPr>
        <w:t>.</w:t>
      </w:r>
      <w:r w:rsidR="00077E20" w:rsidRPr="00FA161E">
        <w:rPr>
          <w:rFonts w:ascii="Times New Roman" w:hAnsi="Times New Roman" w:cs="Times New Roman"/>
          <w:color w:val="000000"/>
          <w:sz w:val="24"/>
          <w:szCs w:val="24"/>
          <w:lang w:bidi="si-LK"/>
        </w:rPr>
        <w:t xml:space="preserve"> 340</w:t>
      </w:r>
      <w:r w:rsidR="00077E20" w:rsidRPr="00FA161E">
        <w:rPr>
          <w:rFonts w:ascii="Times New Roman" w:hAnsi="Times New Roman" w:cs="Times New Roman"/>
          <w:sz w:val="24"/>
          <w:szCs w:val="24"/>
        </w:rPr>
        <w:t>A.</w:t>
      </w:r>
    </w:p>
    <w:p w14:paraId="04696AB6" w14:textId="77777777" w:rsidR="00505061" w:rsidRPr="00FA161E" w:rsidRDefault="00505061" w:rsidP="00DA3538">
      <w:pPr>
        <w:autoSpaceDE w:val="0"/>
        <w:autoSpaceDN w:val="0"/>
        <w:adjustRightInd w:val="0"/>
        <w:spacing w:after="0" w:line="276" w:lineRule="auto"/>
        <w:jc w:val="both"/>
        <w:rPr>
          <w:rFonts w:ascii="Times New Roman" w:hAnsi="Times New Roman" w:cs="Times New Roman"/>
          <w:sz w:val="24"/>
          <w:szCs w:val="24"/>
          <w:lang w:bidi="si-LK"/>
        </w:rPr>
      </w:pPr>
    </w:p>
    <w:p w14:paraId="476EAA59" w14:textId="7D84EAFC" w:rsidR="00505061" w:rsidRPr="00FA161E" w:rsidRDefault="00505061" w:rsidP="00DA3538">
      <w:pPr>
        <w:autoSpaceDE w:val="0"/>
        <w:autoSpaceDN w:val="0"/>
        <w:adjustRightInd w:val="0"/>
        <w:spacing w:after="0" w:line="276" w:lineRule="auto"/>
        <w:jc w:val="both"/>
        <w:rPr>
          <w:rFonts w:ascii="Times New Roman" w:hAnsi="Times New Roman" w:cs="Times New Roman"/>
          <w:sz w:val="24"/>
          <w:szCs w:val="24"/>
          <w:lang w:bidi="si-LK"/>
        </w:rPr>
      </w:pPr>
      <w:r w:rsidRPr="00FA161E">
        <w:rPr>
          <w:rFonts w:ascii="Times New Roman" w:hAnsi="Times New Roman" w:cs="Times New Roman"/>
          <w:sz w:val="24"/>
          <w:szCs w:val="24"/>
          <w:lang w:bidi="si-LK"/>
        </w:rPr>
        <w:t>04.5 Binary logistic regression</w:t>
      </w:r>
    </w:p>
    <w:p w14:paraId="5F5474E4" w14:textId="3CA301E2" w:rsidR="00E76577" w:rsidRPr="00FA161E" w:rsidRDefault="00C81A4E" w:rsidP="00DA3538">
      <w:pPr>
        <w:autoSpaceDE w:val="0"/>
        <w:autoSpaceDN w:val="0"/>
        <w:adjustRightInd w:val="0"/>
        <w:spacing w:after="0" w:line="276" w:lineRule="auto"/>
        <w:jc w:val="both"/>
        <w:rPr>
          <w:rFonts w:ascii="Times New Roman" w:hAnsi="Times New Roman" w:cs="Times New Roman"/>
          <w:sz w:val="24"/>
          <w:szCs w:val="24"/>
          <w:lang w:bidi="si-LK"/>
        </w:rPr>
      </w:pPr>
      <w:r w:rsidRPr="00FA161E">
        <w:rPr>
          <w:rFonts w:ascii="Times New Roman" w:hAnsi="Times New Roman" w:cs="Times New Roman"/>
          <w:sz w:val="24"/>
          <w:szCs w:val="24"/>
          <w:lang w:bidi="si-LK"/>
        </w:rPr>
        <w:t>Based on the collected data a binary logistic regression was conducted to study how financial literacy affects online banking behavior of customers</w:t>
      </w:r>
    </w:p>
    <w:p w14:paraId="1BFDFF62" w14:textId="77777777" w:rsidR="00E51DB7" w:rsidRPr="00FA161E" w:rsidRDefault="00E51DB7" w:rsidP="00DA3538">
      <w:pPr>
        <w:autoSpaceDE w:val="0"/>
        <w:autoSpaceDN w:val="0"/>
        <w:adjustRightInd w:val="0"/>
        <w:spacing w:after="0" w:line="276" w:lineRule="auto"/>
        <w:jc w:val="both"/>
        <w:rPr>
          <w:rFonts w:ascii="Times New Roman" w:hAnsi="Times New Roman" w:cs="Times New Roman"/>
          <w:sz w:val="24"/>
          <w:szCs w:val="24"/>
          <w:lang w:bidi="si-LK"/>
        </w:rPr>
      </w:pPr>
    </w:p>
    <w:p w14:paraId="0860ECFF" w14:textId="58668F95" w:rsidR="00E51DB7" w:rsidRPr="00FA161E" w:rsidRDefault="00E51DB7"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Table 7. </w:t>
      </w:r>
      <w:r w:rsidR="00360A3E" w:rsidRPr="00FA161E">
        <w:rPr>
          <w:rFonts w:ascii="Times New Roman" w:hAnsi="Times New Roman" w:cs="Times New Roman"/>
          <w:color w:val="000000"/>
          <w:sz w:val="24"/>
          <w:szCs w:val="24"/>
          <w:lang w:bidi="si-LK"/>
        </w:rPr>
        <w:t>Dependent Variable Encoding</w:t>
      </w:r>
    </w:p>
    <w:p w14:paraId="368C255C" w14:textId="77777777" w:rsidR="00E76577" w:rsidRPr="00FA161E" w:rsidRDefault="00E76577" w:rsidP="00DA3538">
      <w:pPr>
        <w:spacing w:line="276" w:lineRule="auto"/>
        <w:jc w:val="both"/>
        <w:rPr>
          <w:rFonts w:ascii="Times New Roman" w:hAnsi="Times New Roman" w:cs="Times New Roman"/>
          <w:sz w:val="24"/>
          <w:szCs w:val="24"/>
        </w:rPr>
      </w:pPr>
    </w:p>
    <w:tbl>
      <w:tblPr>
        <w:tblW w:w="3959"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001"/>
        <w:gridCol w:w="1958"/>
      </w:tblGrid>
      <w:tr w:rsidR="002E773E" w:rsidRPr="00FA161E" w14:paraId="34EF5836" w14:textId="77777777" w:rsidTr="005062BF">
        <w:trPr>
          <w:cantSplit/>
          <w:trHeight w:val="532"/>
          <w:jc w:val="center"/>
        </w:trPr>
        <w:tc>
          <w:tcPr>
            <w:tcW w:w="2001" w:type="dxa"/>
            <w:shd w:val="clear" w:color="auto" w:fill="FFFFFF"/>
            <w:vAlign w:val="center"/>
          </w:tcPr>
          <w:p w14:paraId="0DCBCB33" w14:textId="77777777" w:rsidR="002E773E" w:rsidRPr="00FA161E" w:rsidRDefault="002E773E"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Original Value</w:t>
            </w:r>
          </w:p>
        </w:tc>
        <w:tc>
          <w:tcPr>
            <w:tcW w:w="1958" w:type="dxa"/>
            <w:shd w:val="clear" w:color="auto" w:fill="FFFFFF"/>
            <w:vAlign w:val="center"/>
          </w:tcPr>
          <w:p w14:paraId="5E3F1401" w14:textId="77777777" w:rsidR="002E773E" w:rsidRPr="00FA161E" w:rsidRDefault="002E773E"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Internal Value</w:t>
            </w:r>
          </w:p>
        </w:tc>
      </w:tr>
      <w:tr w:rsidR="002E773E" w:rsidRPr="00FA161E" w14:paraId="6395D6C1" w14:textId="77777777" w:rsidTr="005062BF">
        <w:trPr>
          <w:cantSplit/>
          <w:trHeight w:val="266"/>
          <w:jc w:val="center"/>
        </w:trPr>
        <w:tc>
          <w:tcPr>
            <w:tcW w:w="2001" w:type="dxa"/>
            <w:shd w:val="clear" w:color="auto" w:fill="FFFFFF"/>
            <w:vAlign w:val="center"/>
          </w:tcPr>
          <w:p w14:paraId="5D17CE08" w14:textId="77777777" w:rsidR="002E773E" w:rsidRPr="00FA161E" w:rsidRDefault="002E773E"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Law</w:t>
            </w:r>
          </w:p>
        </w:tc>
        <w:tc>
          <w:tcPr>
            <w:tcW w:w="1958" w:type="dxa"/>
            <w:shd w:val="clear" w:color="auto" w:fill="FFFFFF"/>
            <w:vAlign w:val="center"/>
          </w:tcPr>
          <w:p w14:paraId="7547EE82" w14:textId="77777777" w:rsidR="002E773E" w:rsidRPr="00FA161E" w:rsidRDefault="002E773E"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0</w:t>
            </w:r>
          </w:p>
        </w:tc>
      </w:tr>
      <w:tr w:rsidR="002E773E" w:rsidRPr="00FA161E" w14:paraId="6A89C474" w14:textId="77777777" w:rsidTr="005062BF">
        <w:trPr>
          <w:cantSplit/>
          <w:trHeight w:val="253"/>
          <w:jc w:val="center"/>
        </w:trPr>
        <w:tc>
          <w:tcPr>
            <w:tcW w:w="2001" w:type="dxa"/>
            <w:shd w:val="clear" w:color="auto" w:fill="FFFFFF"/>
            <w:vAlign w:val="center"/>
          </w:tcPr>
          <w:p w14:paraId="065C88C0" w14:textId="77777777" w:rsidR="002E773E" w:rsidRPr="00FA161E" w:rsidRDefault="002E773E"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High</w:t>
            </w:r>
          </w:p>
        </w:tc>
        <w:tc>
          <w:tcPr>
            <w:tcW w:w="1958" w:type="dxa"/>
            <w:shd w:val="clear" w:color="auto" w:fill="FFFFFF"/>
            <w:vAlign w:val="center"/>
          </w:tcPr>
          <w:p w14:paraId="26F6F10A" w14:textId="77777777" w:rsidR="002E773E" w:rsidRPr="00FA161E" w:rsidRDefault="002E773E"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1</w:t>
            </w:r>
          </w:p>
        </w:tc>
      </w:tr>
    </w:tbl>
    <w:p w14:paraId="42427C58" w14:textId="28D84DDE" w:rsidR="002E773E" w:rsidRPr="00FA161E" w:rsidRDefault="005062BF" w:rsidP="00DA3538">
      <w:pPr>
        <w:autoSpaceDE w:val="0"/>
        <w:autoSpaceDN w:val="0"/>
        <w:adjustRightInd w:val="0"/>
        <w:spacing w:after="0" w:line="276" w:lineRule="auto"/>
        <w:ind w:left="2160"/>
        <w:jc w:val="both"/>
        <w:rPr>
          <w:rFonts w:ascii="Times New Roman" w:hAnsi="Times New Roman" w:cs="Times New Roman"/>
          <w:sz w:val="24"/>
          <w:szCs w:val="24"/>
        </w:rPr>
      </w:pPr>
      <w:r w:rsidRPr="00FA161E">
        <w:rPr>
          <w:rFonts w:ascii="Times New Roman" w:hAnsi="Times New Roman" w:cs="Times New Roman"/>
          <w:sz w:val="24"/>
          <w:szCs w:val="24"/>
        </w:rPr>
        <w:t>Source: Survey data (202</w:t>
      </w:r>
      <w:r w:rsidR="000121BE">
        <w:rPr>
          <w:rFonts w:ascii="Times New Roman" w:hAnsi="Times New Roman" w:cs="Times New Roman"/>
          <w:sz w:val="24"/>
          <w:szCs w:val="24"/>
        </w:rPr>
        <w:t>5</w:t>
      </w:r>
      <w:r w:rsidRPr="00FA161E">
        <w:rPr>
          <w:rFonts w:ascii="Times New Roman" w:hAnsi="Times New Roman" w:cs="Times New Roman"/>
          <w:sz w:val="24"/>
          <w:szCs w:val="24"/>
        </w:rPr>
        <w:t>)</w:t>
      </w:r>
    </w:p>
    <w:p w14:paraId="3A13DB0E" w14:textId="77777777" w:rsidR="00E51DB7" w:rsidRPr="00FA161E" w:rsidRDefault="00E51DB7" w:rsidP="00DA3538">
      <w:pPr>
        <w:autoSpaceDE w:val="0"/>
        <w:autoSpaceDN w:val="0"/>
        <w:adjustRightInd w:val="0"/>
        <w:spacing w:after="0" w:line="276" w:lineRule="auto"/>
        <w:ind w:left="2160"/>
        <w:jc w:val="both"/>
        <w:rPr>
          <w:rFonts w:ascii="Times New Roman" w:hAnsi="Times New Roman" w:cs="Times New Roman"/>
          <w:sz w:val="24"/>
          <w:szCs w:val="24"/>
          <w:lang w:bidi="si-LK"/>
        </w:rPr>
      </w:pPr>
    </w:p>
    <w:p w14:paraId="7A518122" w14:textId="2D7AAF28" w:rsidR="00784E83" w:rsidRPr="00784E83" w:rsidRDefault="00784E83" w:rsidP="00DA3538">
      <w:pPr>
        <w:spacing w:line="276" w:lineRule="auto"/>
        <w:jc w:val="both"/>
        <w:rPr>
          <w:rFonts w:ascii="Times New Roman" w:hAnsi="Times New Roman" w:cs="Times New Roman"/>
          <w:sz w:val="24"/>
          <w:szCs w:val="24"/>
        </w:rPr>
      </w:pPr>
      <w:r w:rsidRPr="00784E83">
        <w:rPr>
          <w:rFonts w:ascii="Times New Roman" w:hAnsi="Times New Roman" w:cs="Times New Roman"/>
          <w:sz w:val="24"/>
          <w:szCs w:val="24"/>
        </w:rPr>
        <w:lastRenderedPageBreak/>
        <w:t xml:space="preserve">This table presents the categorization of the dependent variable used in the study. In this research, customers’ online banking behavior is considered the dependent variable. According to the classification used in the analysis, </w:t>
      </w:r>
      <w:r w:rsidR="00122232" w:rsidRPr="00784E83">
        <w:rPr>
          <w:rFonts w:ascii="Times New Roman" w:hAnsi="Times New Roman" w:cs="Times New Roman"/>
          <w:sz w:val="24"/>
          <w:szCs w:val="24"/>
        </w:rPr>
        <w:t>value</w:t>
      </w:r>
      <w:r w:rsidRPr="00784E83">
        <w:rPr>
          <w:rFonts w:ascii="Times New Roman" w:hAnsi="Times New Roman" w:cs="Times New Roman"/>
          <w:sz w:val="24"/>
          <w:szCs w:val="24"/>
        </w:rPr>
        <w:t xml:space="preserve"> 0 represents a lower level of online banking behavior, while </w:t>
      </w:r>
      <w:r w:rsidR="00122232" w:rsidRPr="00122232">
        <w:rPr>
          <w:rFonts w:ascii="Times New Roman" w:hAnsi="Times New Roman" w:cs="Times New Roman"/>
          <w:sz w:val="24"/>
          <w:szCs w:val="24"/>
        </w:rPr>
        <w:t>value</w:t>
      </w:r>
      <w:r w:rsidRPr="00784E83">
        <w:rPr>
          <w:rFonts w:ascii="Times New Roman" w:hAnsi="Times New Roman" w:cs="Times New Roman"/>
          <w:sz w:val="24"/>
          <w:szCs w:val="24"/>
        </w:rPr>
        <w:t xml:space="preserve"> 1 indicates a higher level of online banking behavior among customers.</w:t>
      </w:r>
    </w:p>
    <w:p w14:paraId="23D3FED9" w14:textId="77777777" w:rsidR="00784E83" w:rsidRPr="00784E83" w:rsidRDefault="00784E83" w:rsidP="00DA3538">
      <w:pPr>
        <w:spacing w:line="276" w:lineRule="auto"/>
        <w:jc w:val="both"/>
        <w:rPr>
          <w:rFonts w:ascii="Times New Roman" w:hAnsi="Times New Roman" w:cs="Times New Roman"/>
          <w:sz w:val="24"/>
          <w:szCs w:val="24"/>
        </w:rPr>
      </w:pPr>
      <w:r w:rsidRPr="00784E83">
        <w:rPr>
          <w:rFonts w:ascii="Times New Roman" w:hAnsi="Times New Roman" w:cs="Times New Roman"/>
          <w:sz w:val="24"/>
          <w:szCs w:val="24"/>
        </w:rPr>
        <w:t xml:space="preserve">The categorization was performed based on the average scores obtained from respondents’ answers to the online banking behavior-related questions. A total of 29 Likert scale questions were used to measure this variable, and the average value of the responses was calculated for each respondent. Based on these average scores, the respondents were categorized into two groups representing lower and higher levels of online banking behavior. According to </w:t>
      </w:r>
      <w:proofErr w:type="spellStart"/>
      <w:r w:rsidRPr="00784E83">
        <w:rPr>
          <w:rFonts w:ascii="Times New Roman" w:hAnsi="Times New Roman" w:cs="Times New Roman"/>
          <w:sz w:val="24"/>
          <w:szCs w:val="24"/>
        </w:rPr>
        <w:t>Jegatheesparan</w:t>
      </w:r>
      <w:proofErr w:type="spellEnd"/>
      <w:r w:rsidRPr="00784E83">
        <w:rPr>
          <w:rFonts w:ascii="Times New Roman" w:hAnsi="Times New Roman" w:cs="Times New Roman"/>
          <w:sz w:val="24"/>
          <w:szCs w:val="24"/>
        </w:rPr>
        <w:t xml:space="preserve"> (2020), the score ranges used to classify online banking behavior are as follows:</w:t>
      </w:r>
    </w:p>
    <w:p w14:paraId="6F5207E8" w14:textId="77777777" w:rsidR="002E773E" w:rsidRPr="00FA161E" w:rsidRDefault="002E773E"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 xml:space="preserve">1.0 ≤ X ≤ 2.5: Lower level online banking usage </w:t>
      </w:r>
    </w:p>
    <w:p w14:paraId="390634F6" w14:textId="77777777" w:rsidR="002E773E" w:rsidRPr="00FA161E" w:rsidRDefault="002E773E"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 xml:space="preserve">2.5 &lt; X ≤ 3.5: Moderate level online banking usage </w:t>
      </w:r>
    </w:p>
    <w:p w14:paraId="3E2A8793" w14:textId="77777777" w:rsidR="002E773E" w:rsidRPr="00FA161E" w:rsidRDefault="002E773E"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 xml:space="preserve">3.5 &lt; X ≤ 5.0: Higher level online banking usage </w:t>
      </w:r>
    </w:p>
    <w:p w14:paraId="009FF3D0" w14:textId="436F1500" w:rsidR="002E773E" w:rsidRPr="00FA161E" w:rsidRDefault="00E5505B"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Based on the above classification, since it is necessary to conduct a binary logistic regression, the </w:t>
      </w:r>
      <w:proofErr w:type="spellStart"/>
      <w:r w:rsidRPr="00FA161E">
        <w:rPr>
          <w:rFonts w:ascii="Times New Roman" w:hAnsi="Times New Roman" w:cs="Times New Roman"/>
          <w:sz w:val="24"/>
          <w:szCs w:val="24"/>
        </w:rPr>
        <w:t>avarege</w:t>
      </w:r>
      <w:proofErr w:type="spellEnd"/>
      <w:r w:rsidRPr="00FA161E">
        <w:rPr>
          <w:rFonts w:ascii="Times New Roman" w:hAnsi="Times New Roman" w:cs="Times New Roman"/>
          <w:sz w:val="24"/>
          <w:szCs w:val="24"/>
        </w:rPr>
        <w:t xml:space="preserve"> value was classified as follows in this research.</w:t>
      </w:r>
    </w:p>
    <w:p w14:paraId="13592B23" w14:textId="77777777" w:rsidR="002E773E" w:rsidRPr="00FA161E" w:rsidRDefault="002E773E"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 xml:space="preserve"> X ≤ 2.5: Lower level online banking behavior</w:t>
      </w:r>
    </w:p>
    <w:p w14:paraId="1613A45B" w14:textId="4AFABC8A" w:rsidR="00E51DB7" w:rsidRDefault="002E773E"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2.6 &lt; X ≤ 5.0: Higher level online banking behavior</w:t>
      </w:r>
    </w:p>
    <w:p w14:paraId="6720B213" w14:textId="1D99C52F" w:rsidR="00E51DB7" w:rsidRPr="00FA161E" w:rsidRDefault="00E51DB7"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Table 8. </w:t>
      </w:r>
      <w:r w:rsidR="00FA161E" w:rsidRPr="00FA161E">
        <w:rPr>
          <w:rFonts w:ascii="Times New Roman" w:hAnsi="Times New Roman" w:cs="Times New Roman"/>
          <w:color w:val="000000"/>
          <w:sz w:val="24"/>
          <w:szCs w:val="24"/>
          <w:lang w:bidi="si-LK"/>
        </w:rPr>
        <w:t>Variables in the Equation</w:t>
      </w:r>
    </w:p>
    <w:p w14:paraId="59B382A7" w14:textId="77777777" w:rsidR="00E51DB7" w:rsidRPr="00FA161E" w:rsidRDefault="00E51DB7" w:rsidP="00DA3538">
      <w:pPr>
        <w:autoSpaceDE w:val="0"/>
        <w:autoSpaceDN w:val="0"/>
        <w:adjustRightInd w:val="0"/>
        <w:spacing w:after="0" w:line="276" w:lineRule="auto"/>
        <w:jc w:val="both"/>
        <w:rPr>
          <w:rFonts w:ascii="Times New Roman" w:hAnsi="Times New Roman" w:cs="Times New Roman"/>
          <w:sz w:val="24"/>
          <w:szCs w:val="24"/>
          <w:lang w:bidi="si-LK"/>
        </w:rPr>
      </w:pPr>
    </w:p>
    <w:tbl>
      <w:tblPr>
        <w:tblW w:w="10412"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828"/>
        <w:gridCol w:w="1534"/>
        <w:gridCol w:w="912"/>
        <w:gridCol w:w="913"/>
        <w:gridCol w:w="913"/>
        <w:gridCol w:w="913"/>
        <w:gridCol w:w="913"/>
        <w:gridCol w:w="1175"/>
        <w:gridCol w:w="982"/>
        <w:gridCol w:w="1329"/>
      </w:tblGrid>
      <w:tr w:rsidR="002D263B" w:rsidRPr="00FA161E" w14:paraId="516D14DF" w14:textId="77777777" w:rsidTr="00FA161E">
        <w:trPr>
          <w:cantSplit/>
          <w:trHeight w:val="314"/>
          <w:jc w:val="center"/>
        </w:trPr>
        <w:tc>
          <w:tcPr>
            <w:tcW w:w="2362" w:type="dxa"/>
            <w:gridSpan w:val="2"/>
            <w:vMerge w:val="restart"/>
            <w:shd w:val="clear" w:color="auto" w:fill="FFFFFF"/>
            <w:vAlign w:val="center"/>
          </w:tcPr>
          <w:p w14:paraId="7C102C3B"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sz w:val="24"/>
                <w:szCs w:val="24"/>
                <w:lang w:bidi="si-LK"/>
              </w:rPr>
            </w:pPr>
          </w:p>
        </w:tc>
        <w:tc>
          <w:tcPr>
            <w:tcW w:w="912" w:type="dxa"/>
            <w:vMerge w:val="restart"/>
            <w:shd w:val="clear" w:color="auto" w:fill="FFFFFF"/>
            <w:vAlign w:val="center"/>
          </w:tcPr>
          <w:p w14:paraId="137DC2EE"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B</w:t>
            </w:r>
          </w:p>
        </w:tc>
        <w:tc>
          <w:tcPr>
            <w:tcW w:w="913" w:type="dxa"/>
            <w:vMerge w:val="restart"/>
            <w:shd w:val="clear" w:color="auto" w:fill="FFFFFF"/>
            <w:vAlign w:val="center"/>
          </w:tcPr>
          <w:p w14:paraId="5AABE2BA"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S.E.</w:t>
            </w:r>
          </w:p>
        </w:tc>
        <w:tc>
          <w:tcPr>
            <w:tcW w:w="913" w:type="dxa"/>
            <w:vMerge w:val="restart"/>
            <w:shd w:val="clear" w:color="auto" w:fill="FFFFFF"/>
            <w:vAlign w:val="center"/>
          </w:tcPr>
          <w:p w14:paraId="0F25D13D"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Wald</w:t>
            </w:r>
          </w:p>
        </w:tc>
        <w:tc>
          <w:tcPr>
            <w:tcW w:w="913" w:type="dxa"/>
            <w:vMerge w:val="restart"/>
            <w:shd w:val="clear" w:color="auto" w:fill="FFFFFF"/>
            <w:vAlign w:val="center"/>
          </w:tcPr>
          <w:p w14:paraId="38D8D891"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df</w:t>
            </w:r>
          </w:p>
        </w:tc>
        <w:tc>
          <w:tcPr>
            <w:tcW w:w="913" w:type="dxa"/>
            <w:vMerge w:val="restart"/>
            <w:shd w:val="clear" w:color="auto" w:fill="FFFFFF"/>
            <w:vAlign w:val="center"/>
          </w:tcPr>
          <w:p w14:paraId="71F9107C"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Sig.</w:t>
            </w:r>
          </w:p>
        </w:tc>
        <w:tc>
          <w:tcPr>
            <w:tcW w:w="1175" w:type="dxa"/>
            <w:vMerge w:val="restart"/>
            <w:shd w:val="clear" w:color="auto" w:fill="FFFFFF"/>
            <w:vAlign w:val="center"/>
          </w:tcPr>
          <w:p w14:paraId="7AFA4EC4"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Exp(B)</w:t>
            </w:r>
          </w:p>
        </w:tc>
        <w:tc>
          <w:tcPr>
            <w:tcW w:w="2311" w:type="dxa"/>
            <w:gridSpan w:val="2"/>
            <w:shd w:val="clear" w:color="auto" w:fill="FFFFFF"/>
            <w:vAlign w:val="center"/>
          </w:tcPr>
          <w:p w14:paraId="6FACC0CB"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 xml:space="preserve">95% </w:t>
            </w:r>
            <w:proofErr w:type="spellStart"/>
            <w:r w:rsidRPr="00FA161E">
              <w:rPr>
                <w:rFonts w:ascii="Times New Roman" w:hAnsi="Times New Roman" w:cs="Times New Roman"/>
                <w:color w:val="000000"/>
                <w:sz w:val="24"/>
                <w:szCs w:val="24"/>
                <w:lang w:bidi="si-LK"/>
              </w:rPr>
              <w:t>C.I.for</w:t>
            </w:r>
            <w:proofErr w:type="spellEnd"/>
            <w:r w:rsidRPr="00FA161E">
              <w:rPr>
                <w:rFonts w:ascii="Times New Roman" w:hAnsi="Times New Roman" w:cs="Times New Roman"/>
                <w:color w:val="000000"/>
                <w:sz w:val="24"/>
                <w:szCs w:val="24"/>
                <w:lang w:bidi="si-LK"/>
              </w:rPr>
              <w:t xml:space="preserve"> EXP(B)</w:t>
            </w:r>
          </w:p>
        </w:tc>
      </w:tr>
      <w:tr w:rsidR="002D263B" w:rsidRPr="00FA161E" w14:paraId="18C51AFB" w14:textId="77777777" w:rsidTr="00FA161E">
        <w:trPr>
          <w:cantSplit/>
          <w:trHeight w:val="359"/>
          <w:jc w:val="center"/>
        </w:trPr>
        <w:tc>
          <w:tcPr>
            <w:tcW w:w="2362" w:type="dxa"/>
            <w:gridSpan w:val="2"/>
            <w:vMerge/>
            <w:shd w:val="clear" w:color="auto" w:fill="FFFFFF"/>
            <w:vAlign w:val="center"/>
          </w:tcPr>
          <w:p w14:paraId="60C682DB"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color w:val="000000"/>
                <w:sz w:val="24"/>
                <w:szCs w:val="24"/>
                <w:lang w:bidi="si-LK"/>
              </w:rPr>
            </w:pPr>
          </w:p>
        </w:tc>
        <w:tc>
          <w:tcPr>
            <w:tcW w:w="912" w:type="dxa"/>
            <w:vMerge/>
            <w:shd w:val="clear" w:color="auto" w:fill="FFFFFF"/>
            <w:vAlign w:val="center"/>
          </w:tcPr>
          <w:p w14:paraId="3A96EF37"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color w:val="000000"/>
                <w:sz w:val="24"/>
                <w:szCs w:val="24"/>
                <w:lang w:bidi="si-LK"/>
              </w:rPr>
            </w:pPr>
          </w:p>
        </w:tc>
        <w:tc>
          <w:tcPr>
            <w:tcW w:w="913" w:type="dxa"/>
            <w:vMerge/>
            <w:shd w:val="clear" w:color="auto" w:fill="FFFFFF"/>
            <w:vAlign w:val="center"/>
          </w:tcPr>
          <w:p w14:paraId="4B63DAC9"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color w:val="000000"/>
                <w:sz w:val="24"/>
                <w:szCs w:val="24"/>
                <w:lang w:bidi="si-LK"/>
              </w:rPr>
            </w:pPr>
          </w:p>
        </w:tc>
        <w:tc>
          <w:tcPr>
            <w:tcW w:w="913" w:type="dxa"/>
            <w:vMerge/>
            <w:shd w:val="clear" w:color="auto" w:fill="FFFFFF"/>
            <w:vAlign w:val="center"/>
          </w:tcPr>
          <w:p w14:paraId="50CD27A3"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color w:val="000000"/>
                <w:sz w:val="24"/>
                <w:szCs w:val="24"/>
                <w:lang w:bidi="si-LK"/>
              </w:rPr>
            </w:pPr>
          </w:p>
        </w:tc>
        <w:tc>
          <w:tcPr>
            <w:tcW w:w="913" w:type="dxa"/>
            <w:vMerge/>
            <w:shd w:val="clear" w:color="auto" w:fill="FFFFFF"/>
            <w:vAlign w:val="center"/>
          </w:tcPr>
          <w:p w14:paraId="69767127"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color w:val="000000"/>
                <w:sz w:val="24"/>
                <w:szCs w:val="24"/>
                <w:lang w:bidi="si-LK"/>
              </w:rPr>
            </w:pPr>
          </w:p>
        </w:tc>
        <w:tc>
          <w:tcPr>
            <w:tcW w:w="913" w:type="dxa"/>
            <w:vMerge/>
            <w:shd w:val="clear" w:color="auto" w:fill="FFFFFF"/>
            <w:vAlign w:val="center"/>
          </w:tcPr>
          <w:p w14:paraId="7FDFD64E"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color w:val="000000"/>
                <w:sz w:val="24"/>
                <w:szCs w:val="24"/>
                <w:lang w:bidi="si-LK"/>
              </w:rPr>
            </w:pPr>
          </w:p>
        </w:tc>
        <w:tc>
          <w:tcPr>
            <w:tcW w:w="1175" w:type="dxa"/>
            <w:vMerge/>
            <w:shd w:val="clear" w:color="auto" w:fill="FFFFFF"/>
            <w:vAlign w:val="center"/>
          </w:tcPr>
          <w:p w14:paraId="492D792E"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color w:val="000000"/>
                <w:sz w:val="24"/>
                <w:szCs w:val="24"/>
                <w:lang w:bidi="si-LK"/>
              </w:rPr>
            </w:pPr>
          </w:p>
        </w:tc>
        <w:tc>
          <w:tcPr>
            <w:tcW w:w="982" w:type="dxa"/>
            <w:shd w:val="clear" w:color="auto" w:fill="FFFFFF"/>
            <w:vAlign w:val="center"/>
          </w:tcPr>
          <w:p w14:paraId="708EA383"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Lower</w:t>
            </w:r>
          </w:p>
        </w:tc>
        <w:tc>
          <w:tcPr>
            <w:tcW w:w="1329" w:type="dxa"/>
            <w:shd w:val="clear" w:color="auto" w:fill="FFFFFF"/>
            <w:vAlign w:val="center"/>
          </w:tcPr>
          <w:p w14:paraId="2B23D592"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Upper</w:t>
            </w:r>
          </w:p>
        </w:tc>
      </w:tr>
      <w:tr w:rsidR="002D263B" w:rsidRPr="00FA161E" w14:paraId="115AAE11" w14:textId="77777777" w:rsidTr="00FA161E">
        <w:trPr>
          <w:cantSplit/>
          <w:trHeight w:val="314"/>
          <w:jc w:val="center"/>
        </w:trPr>
        <w:tc>
          <w:tcPr>
            <w:tcW w:w="828" w:type="dxa"/>
            <w:vMerge w:val="restart"/>
            <w:shd w:val="clear" w:color="auto" w:fill="FFFFFF"/>
            <w:vAlign w:val="center"/>
          </w:tcPr>
          <w:p w14:paraId="5CA8D9F6"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Step 1</w:t>
            </w:r>
            <w:r w:rsidRPr="00FA161E">
              <w:rPr>
                <w:rFonts w:ascii="Times New Roman" w:hAnsi="Times New Roman" w:cs="Times New Roman"/>
                <w:color w:val="000000"/>
                <w:sz w:val="24"/>
                <w:szCs w:val="24"/>
                <w:vertAlign w:val="superscript"/>
                <w:lang w:bidi="si-LK"/>
              </w:rPr>
              <w:t>a</w:t>
            </w:r>
          </w:p>
        </w:tc>
        <w:tc>
          <w:tcPr>
            <w:tcW w:w="1534" w:type="dxa"/>
            <w:shd w:val="clear" w:color="auto" w:fill="FFFFFF"/>
            <w:vAlign w:val="center"/>
          </w:tcPr>
          <w:p w14:paraId="54BE96D8"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Financial Literacy</w:t>
            </w:r>
          </w:p>
        </w:tc>
        <w:tc>
          <w:tcPr>
            <w:tcW w:w="912" w:type="dxa"/>
            <w:shd w:val="clear" w:color="auto" w:fill="FFFFFF"/>
            <w:vAlign w:val="center"/>
          </w:tcPr>
          <w:p w14:paraId="2EADCC90"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13.118</w:t>
            </w:r>
          </w:p>
        </w:tc>
        <w:tc>
          <w:tcPr>
            <w:tcW w:w="913" w:type="dxa"/>
            <w:shd w:val="clear" w:color="auto" w:fill="FFFFFF"/>
            <w:vAlign w:val="center"/>
          </w:tcPr>
          <w:p w14:paraId="5C8D7FF6"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2.820</w:t>
            </w:r>
          </w:p>
        </w:tc>
        <w:tc>
          <w:tcPr>
            <w:tcW w:w="913" w:type="dxa"/>
            <w:shd w:val="clear" w:color="auto" w:fill="FFFFFF"/>
            <w:vAlign w:val="center"/>
          </w:tcPr>
          <w:p w14:paraId="3B72DD6E"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21.638</w:t>
            </w:r>
          </w:p>
        </w:tc>
        <w:tc>
          <w:tcPr>
            <w:tcW w:w="913" w:type="dxa"/>
            <w:shd w:val="clear" w:color="auto" w:fill="FFFFFF"/>
            <w:vAlign w:val="center"/>
          </w:tcPr>
          <w:p w14:paraId="40A58F5D"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1</w:t>
            </w:r>
          </w:p>
        </w:tc>
        <w:tc>
          <w:tcPr>
            <w:tcW w:w="913" w:type="dxa"/>
            <w:shd w:val="clear" w:color="auto" w:fill="FFFFFF"/>
            <w:vAlign w:val="center"/>
          </w:tcPr>
          <w:p w14:paraId="2A79CACA"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.000</w:t>
            </w:r>
          </w:p>
        </w:tc>
        <w:tc>
          <w:tcPr>
            <w:tcW w:w="1175" w:type="dxa"/>
            <w:shd w:val="clear" w:color="auto" w:fill="FFFFFF"/>
            <w:vAlign w:val="center"/>
          </w:tcPr>
          <w:p w14:paraId="1D655F5B"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497705.194</w:t>
            </w:r>
          </w:p>
        </w:tc>
        <w:tc>
          <w:tcPr>
            <w:tcW w:w="982" w:type="dxa"/>
            <w:shd w:val="clear" w:color="auto" w:fill="FFFFFF"/>
            <w:vAlign w:val="center"/>
          </w:tcPr>
          <w:p w14:paraId="5507F3D5"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1979.575</w:t>
            </w:r>
          </w:p>
        </w:tc>
        <w:tc>
          <w:tcPr>
            <w:tcW w:w="1329" w:type="dxa"/>
            <w:shd w:val="clear" w:color="auto" w:fill="FFFFFF"/>
            <w:vAlign w:val="center"/>
          </w:tcPr>
          <w:p w14:paraId="2D22210D"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125133180.011</w:t>
            </w:r>
          </w:p>
        </w:tc>
      </w:tr>
      <w:tr w:rsidR="002D263B" w:rsidRPr="00FA161E" w14:paraId="767351B9" w14:textId="77777777" w:rsidTr="00FA161E">
        <w:trPr>
          <w:cantSplit/>
          <w:trHeight w:val="359"/>
          <w:jc w:val="center"/>
        </w:trPr>
        <w:tc>
          <w:tcPr>
            <w:tcW w:w="828" w:type="dxa"/>
            <w:vMerge/>
            <w:shd w:val="clear" w:color="auto" w:fill="FFFFFF"/>
            <w:vAlign w:val="center"/>
          </w:tcPr>
          <w:p w14:paraId="5ED47A72"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color w:val="000000"/>
                <w:sz w:val="24"/>
                <w:szCs w:val="24"/>
                <w:lang w:bidi="si-LK"/>
              </w:rPr>
            </w:pPr>
          </w:p>
        </w:tc>
        <w:tc>
          <w:tcPr>
            <w:tcW w:w="1534" w:type="dxa"/>
            <w:shd w:val="clear" w:color="auto" w:fill="FFFFFF"/>
            <w:vAlign w:val="center"/>
          </w:tcPr>
          <w:p w14:paraId="186A5111"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Constant</w:t>
            </w:r>
          </w:p>
        </w:tc>
        <w:tc>
          <w:tcPr>
            <w:tcW w:w="912" w:type="dxa"/>
            <w:shd w:val="clear" w:color="auto" w:fill="FFFFFF"/>
            <w:vAlign w:val="center"/>
          </w:tcPr>
          <w:p w14:paraId="41B4B0FF"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-32.903</w:t>
            </w:r>
          </w:p>
        </w:tc>
        <w:tc>
          <w:tcPr>
            <w:tcW w:w="913" w:type="dxa"/>
            <w:shd w:val="clear" w:color="auto" w:fill="FFFFFF"/>
            <w:vAlign w:val="center"/>
          </w:tcPr>
          <w:p w14:paraId="4BF70CD7"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6.772</w:t>
            </w:r>
          </w:p>
        </w:tc>
        <w:tc>
          <w:tcPr>
            <w:tcW w:w="913" w:type="dxa"/>
            <w:shd w:val="clear" w:color="auto" w:fill="FFFFFF"/>
            <w:vAlign w:val="center"/>
          </w:tcPr>
          <w:p w14:paraId="5FB464A7"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23.605</w:t>
            </w:r>
          </w:p>
        </w:tc>
        <w:tc>
          <w:tcPr>
            <w:tcW w:w="913" w:type="dxa"/>
            <w:shd w:val="clear" w:color="auto" w:fill="FFFFFF"/>
            <w:vAlign w:val="center"/>
          </w:tcPr>
          <w:p w14:paraId="26863EA0"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1</w:t>
            </w:r>
          </w:p>
        </w:tc>
        <w:tc>
          <w:tcPr>
            <w:tcW w:w="913" w:type="dxa"/>
            <w:shd w:val="clear" w:color="auto" w:fill="FFFFFF"/>
            <w:vAlign w:val="center"/>
          </w:tcPr>
          <w:p w14:paraId="071D3F71"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.000</w:t>
            </w:r>
          </w:p>
        </w:tc>
        <w:tc>
          <w:tcPr>
            <w:tcW w:w="1175" w:type="dxa"/>
            <w:shd w:val="clear" w:color="auto" w:fill="FFFFFF"/>
            <w:vAlign w:val="center"/>
          </w:tcPr>
          <w:p w14:paraId="08179830"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.000</w:t>
            </w:r>
          </w:p>
        </w:tc>
        <w:tc>
          <w:tcPr>
            <w:tcW w:w="982" w:type="dxa"/>
            <w:shd w:val="clear" w:color="auto" w:fill="FFFFFF"/>
            <w:vAlign w:val="center"/>
          </w:tcPr>
          <w:p w14:paraId="0C361D84"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sz w:val="24"/>
                <w:szCs w:val="24"/>
                <w:lang w:bidi="si-LK"/>
              </w:rPr>
            </w:pPr>
          </w:p>
        </w:tc>
        <w:tc>
          <w:tcPr>
            <w:tcW w:w="1329" w:type="dxa"/>
            <w:shd w:val="clear" w:color="auto" w:fill="FFFFFF"/>
            <w:vAlign w:val="center"/>
          </w:tcPr>
          <w:p w14:paraId="13170DA6"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sz w:val="24"/>
                <w:szCs w:val="24"/>
                <w:lang w:bidi="si-LK"/>
              </w:rPr>
            </w:pPr>
          </w:p>
        </w:tc>
      </w:tr>
    </w:tbl>
    <w:p w14:paraId="3CEEA8E4" w14:textId="77777777" w:rsidR="002D263B" w:rsidRPr="00FA161E" w:rsidRDefault="002D263B" w:rsidP="00DA3538">
      <w:pPr>
        <w:autoSpaceDE w:val="0"/>
        <w:autoSpaceDN w:val="0"/>
        <w:adjustRightInd w:val="0"/>
        <w:spacing w:after="0" w:line="276" w:lineRule="auto"/>
        <w:jc w:val="both"/>
        <w:rPr>
          <w:rFonts w:ascii="Times New Roman" w:hAnsi="Times New Roman" w:cs="Times New Roman"/>
          <w:sz w:val="24"/>
          <w:szCs w:val="24"/>
          <w:lang w:bidi="si-LK"/>
        </w:rPr>
      </w:pPr>
    </w:p>
    <w:p w14:paraId="116BB39D" w14:textId="047E5C13" w:rsidR="00E51DB7" w:rsidRPr="00FA161E" w:rsidRDefault="00E51DB7"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Source: Survey data (202</w:t>
      </w:r>
      <w:r w:rsidR="000121BE">
        <w:rPr>
          <w:rFonts w:ascii="Times New Roman" w:hAnsi="Times New Roman" w:cs="Times New Roman"/>
          <w:sz w:val="24"/>
          <w:szCs w:val="24"/>
        </w:rPr>
        <w:t>5</w:t>
      </w:r>
      <w:r w:rsidRPr="00FA161E">
        <w:rPr>
          <w:rFonts w:ascii="Times New Roman" w:hAnsi="Times New Roman" w:cs="Times New Roman"/>
          <w:sz w:val="24"/>
          <w:szCs w:val="24"/>
        </w:rPr>
        <w:t>)</w:t>
      </w:r>
    </w:p>
    <w:p w14:paraId="7D79E78B" w14:textId="77777777" w:rsidR="000C4715" w:rsidRPr="000C4715" w:rsidRDefault="000C4715" w:rsidP="00DA3538">
      <w:pPr>
        <w:spacing w:line="276" w:lineRule="auto"/>
        <w:jc w:val="both"/>
        <w:rPr>
          <w:rFonts w:ascii="Times New Roman" w:hAnsi="Times New Roman" w:cs="Times New Roman"/>
          <w:sz w:val="24"/>
          <w:szCs w:val="24"/>
        </w:rPr>
      </w:pPr>
      <w:r w:rsidRPr="000C4715">
        <w:rPr>
          <w:rFonts w:ascii="Times New Roman" w:hAnsi="Times New Roman" w:cs="Times New Roman"/>
          <w:sz w:val="24"/>
          <w:szCs w:val="24"/>
        </w:rPr>
        <w:t>This table presents the contribution of the independent variable to the model as well as its statistical significance. The Wald test shown in the table is used to determine the statistical significance of each independent variable. The Sig. column represents the probability value associated with this test. According to the results, the independent variable financial literacy is statistically significant (p = 0.000).</w:t>
      </w:r>
    </w:p>
    <w:p w14:paraId="48B4BC8D" w14:textId="77777777" w:rsidR="000C4715" w:rsidRPr="000C4715" w:rsidRDefault="000C4715" w:rsidP="00DA3538">
      <w:pPr>
        <w:spacing w:line="276" w:lineRule="auto"/>
        <w:jc w:val="both"/>
        <w:rPr>
          <w:rFonts w:ascii="Times New Roman" w:hAnsi="Times New Roman" w:cs="Times New Roman"/>
          <w:sz w:val="24"/>
          <w:szCs w:val="24"/>
        </w:rPr>
      </w:pPr>
      <w:r w:rsidRPr="000C4715">
        <w:rPr>
          <w:rFonts w:ascii="Times New Roman" w:hAnsi="Times New Roman" w:cs="Times New Roman"/>
          <w:sz w:val="24"/>
          <w:szCs w:val="24"/>
        </w:rPr>
        <w:t>Based on these results, the hypothesis regarding the relationship between financial literacy and online banking behavior can be tested.</w:t>
      </w:r>
    </w:p>
    <w:p w14:paraId="58B24D34" w14:textId="77777777" w:rsidR="000C4715" w:rsidRPr="000C4715" w:rsidRDefault="000C4715" w:rsidP="00DA3538">
      <w:pPr>
        <w:spacing w:line="276" w:lineRule="auto"/>
        <w:ind w:left="630"/>
        <w:rPr>
          <w:rFonts w:ascii="Times New Roman" w:hAnsi="Times New Roman" w:cs="Times New Roman"/>
          <w:sz w:val="24"/>
          <w:szCs w:val="24"/>
        </w:rPr>
      </w:pPr>
      <w:r w:rsidRPr="000C4715">
        <w:rPr>
          <w:rFonts w:ascii="Times New Roman" w:hAnsi="Times New Roman" w:cs="Times New Roman"/>
          <w:sz w:val="24"/>
          <w:szCs w:val="24"/>
        </w:rPr>
        <w:t>H0a: Customers’ financial literacy does not affect online banking behavior.</w:t>
      </w:r>
      <w:r w:rsidRPr="000C4715">
        <w:rPr>
          <w:rFonts w:ascii="Times New Roman" w:hAnsi="Times New Roman" w:cs="Times New Roman"/>
          <w:sz w:val="24"/>
          <w:szCs w:val="24"/>
        </w:rPr>
        <w:br/>
        <w:t>H1a: Customers’ financial literacy affects online banking behavior.</w:t>
      </w:r>
    </w:p>
    <w:p w14:paraId="4B48B7E1" w14:textId="6A529F47" w:rsidR="000C4715" w:rsidRPr="000C4715" w:rsidRDefault="000C4715" w:rsidP="00DA3538">
      <w:pPr>
        <w:spacing w:line="276" w:lineRule="auto"/>
        <w:jc w:val="both"/>
        <w:rPr>
          <w:rFonts w:ascii="Times New Roman" w:hAnsi="Times New Roman" w:cs="Times New Roman"/>
          <w:sz w:val="24"/>
          <w:szCs w:val="24"/>
        </w:rPr>
      </w:pPr>
      <w:r w:rsidRPr="000C4715">
        <w:rPr>
          <w:rFonts w:ascii="Times New Roman" w:hAnsi="Times New Roman" w:cs="Times New Roman"/>
          <w:sz w:val="24"/>
          <w:szCs w:val="24"/>
        </w:rPr>
        <w:lastRenderedPageBreak/>
        <w:t xml:space="preserve">Since the p-value is less than 0.05, the null hypothesis is </w:t>
      </w:r>
      <w:r w:rsidR="00122232" w:rsidRPr="000C4715">
        <w:rPr>
          <w:rFonts w:ascii="Times New Roman" w:hAnsi="Times New Roman" w:cs="Times New Roman"/>
          <w:sz w:val="24"/>
          <w:szCs w:val="24"/>
        </w:rPr>
        <w:t>rejected,</w:t>
      </w:r>
      <w:r w:rsidRPr="000C4715">
        <w:rPr>
          <w:rFonts w:ascii="Times New Roman" w:hAnsi="Times New Roman" w:cs="Times New Roman"/>
          <w:sz w:val="24"/>
          <w:szCs w:val="24"/>
        </w:rPr>
        <w:t xml:space="preserve"> and the alternative hypothesis is accepted. Therefore, it can be concluded that customers’ financial literacy has a significant effect on their online banking behavior.</w:t>
      </w:r>
    </w:p>
    <w:p w14:paraId="3FC31379" w14:textId="77777777" w:rsidR="000C4715" w:rsidRPr="000C4715" w:rsidRDefault="000C4715" w:rsidP="00DA3538">
      <w:pPr>
        <w:spacing w:line="276" w:lineRule="auto"/>
        <w:jc w:val="both"/>
        <w:rPr>
          <w:rFonts w:ascii="Times New Roman" w:hAnsi="Times New Roman" w:cs="Times New Roman"/>
          <w:sz w:val="24"/>
          <w:szCs w:val="24"/>
        </w:rPr>
      </w:pPr>
      <w:r w:rsidRPr="000C4715">
        <w:rPr>
          <w:rFonts w:ascii="Times New Roman" w:hAnsi="Times New Roman" w:cs="Times New Roman"/>
          <w:sz w:val="24"/>
          <w:szCs w:val="24"/>
        </w:rPr>
        <w:t>The coefficients in the logistic regression model are expressed in log-odds units. The results indicate that a one-unit increase in customers’ financial literacy increases the log-odds of engaging in online banking behavior by 13.118 units.</w:t>
      </w:r>
    </w:p>
    <w:p w14:paraId="39CECF8A" w14:textId="77777777" w:rsidR="000C4715" w:rsidRPr="000C4715" w:rsidRDefault="000C4715" w:rsidP="00DA3538">
      <w:pPr>
        <w:spacing w:line="276" w:lineRule="auto"/>
        <w:jc w:val="both"/>
        <w:rPr>
          <w:rFonts w:ascii="Times New Roman" w:hAnsi="Times New Roman" w:cs="Times New Roman"/>
          <w:sz w:val="24"/>
          <w:szCs w:val="24"/>
        </w:rPr>
      </w:pPr>
      <w:r w:rsidRPr="000C4715">
        <w:rPr>
          <w:rFonts w:ascii="Times New Roman" w:hAnsi="Times New Roman" w:cs="Times New Roman"/>
          <w:sz w:val="24"/>
          <w:szCs w:val="24"/>
        </w:rPr>
        <w:t>In this study, binary logistic regression analysis was conducted to determine whether differences exist in online banking behavior based on customers’ financial literacy levels. The results show that the overall model is statistically significant compared with the null model (p &lt; 0.001). The model explains 95% of the variance in online banking behavior based on the Nagelkerke R² value and correctly classifies 99% of the cases. Furthermore, the independent variable financial literacy is statistically significant (β = 13.118; p = 0.000).</w:t>
      </w:r>
    </w:p>
    <w:p w14:paraId="4DFCBF04" w14:textId="77777777" w:rsidR="000C4715" w:rsidRPr="000C4715" w:rsidRDefault="000C4715" w:rsidP="00DA3538">
      <w:pPr>
        <w:spacing w:line="276" w:lineRule="auto"/>
        <w:jc w:val="both"/>
        <w:rPr>
          <w:rFonts w:ascii="Times New Roman" w:hAnsi="Times New Roman" w:cs="Times New Roman"/>
          <w:sz w:val="24"/>
          <w:szCs w:val="24"/>
        </w:rPr>
      </w:pPr>
      <w:r w:rsidRPr="000C4715">
        <w:rPr>
          <w:rFonts w:ascii="Times New Roman" w:hAnsi="Times New Roman" w:cs="Times New Roman"/>
          <w:sz w:val="24"/>
          <w:szCs w:val="24"/>
        </w:rPr>
        <w:t>Accordingly, the findings indicate that an increase in customers’ financial literacy leads to a higher likelihood of engaging in online banking behavior. Based on these results, the logistic regression equation for the model can be expressed as follows.</w:t>
      </w:r>
    </w:p>
    <w:p w14:paraId="7414142A" w14:textId="77777777" w:rsidR="00671350" w:rsidRPr="00FA161E" w:rsidRDefault="00671350" w:rsidP="00DA3538">
      <w:pPr>
        <w:spacing w:line="276" w:lineRule="auto"/>
        <w:ind w:left="720"/>
        <w:jc w:val="both"/>
        <w:rPr>
          <w:rFonts w:ascii="Times New Roman" w:eastAsiaTheme="minorEastAsia" w:hAnsi="Times New Roman" w:cs="Times New Roman"/>
          <w:sz w:val="24"/>
          <w:szCs w:val="24"/>
        </w:rPr>
      </w:pPr>
      <w:r w:rsidRPr="00FA161E">
        <w:rPr>
          <w:rFonts w:ascii="Times New Roman" w:hAnsi="Times New Roman" w:cs="Times New Roman"/>
          <w:sz w:val="24"/>
          <w:szCs w:val="24"/>
        </w:rPr>
        <w:t xml:space="preserve">Customer online banking </w:t>
      </w:r>
      <w:proofErr w:type="spellStart"/>
      <w:r w:rsidRPr="00FA161E">
        <w:rPr>
          <w:rFonts w:ascii="Times New Roman" w:hAnsi="Times New Roman" w:cs="Times New Roman"/>
          <w:sz w:val="24"/>
          <w:szCs w:val="24"/>
        </w:rPr>
        <w:t>Behaviour</w:t>
      </w:r>
      <w:proofErr w:type="spellEnd"/>
      <w:r w:rsidRPr="00FA161E">
        <w:rPr>
          <w:rFonts w:ascii="Times New Roman" w:hAnsi="Times New Roman" w:cs="Times New Roman"/>
          <w:sz w:val="24"/>
          <w:szCs w:val="24"/>
        </w:rPr>
        <w:t xml:space="preserve"> = Constant </w:t>
      </w:r>
      <m:oMath>
        <m:r>
          <w:rPr>
            <w:rFonts w:ascii="Cambria Math" w:hAnsi="Cambria Math" w:cs="Times New Roman"/>
            <w:sz w:val="24"/>
            <w:szCs w:val="24"/>
          </w:rPr>
          <m:t>±</m:t>
        </m:r>
      </m:oMath>
      <w:r w:rsidRPr="00FA161E">
        <w:rPr>
          <w:rFonts w:ascii="Times New Roman" w:eastAsiaTheme="minorEastAsia" w:hAnsi="Times New Roman" w:cs="Times New Roman"/>
          <w:sz w:val="24"/>
          <w:szCs w:val="24"/>
        </w:rPr>
        <w:t xml:space="preserve"> Financial Literacy</w:t>
      </w:r>
    </w:p>
    <w:p w14:paraId="41568F29" w14:textId="77777777" w:rsidR="00671350" w:rsidRDefault="00671350" w:rsidP="00DA3538">
      <w:pPr>
        <w:spacing w:line="276" w:lineRule="auto"/>
        <w:ind w:left="720"/>
        <w:jc w:val="both"/>
        <w:rPr>
          <w:rFonts w:ascii="Times New Roman" w:hAnsi="Times New Roman" w:cs="Times New Roman"/>
          <w:color w:val="000000"/>
          <w:sz w:val="24"/>
          <w:szCs w:val="24"/>
          <w:lang w:bidi="si-LK"/>
        </w:rPr>
      </w:pPr>
      <w:r w:rsidRPr="00FA161E">
        <w:rPr>
          <w:rFonts w:ascii="Times New Roman" w:hAnsi="Times New Roman" w:cs="Times New Roman"/>
          <w:sz w:val="24"/>
          <w:szCs w:val="24"/>
        </w:rPr>
        <w:t xml:space="preserve">Customer online banking </w:t>
      </w:r>
      <w:proofErr w:type="spellStart"/>
      <w:r w:rsidRPr="00FA161E">
        <w:rPr>
          <w:rFonts w:ascii="Times New Roman" w:hAnsi="Times New Roman" w:cs="Times New Roman"/>
          <w:sz w:val="24"/>
          <w:szCs w:val="24"/>
        </w:rPr>
        <w:t>Behaviour</w:t>
      </w:r>
      <w:proofErr w:type="spellEnd"/>
      <w:r w:rsidRPr="00FA161E">
        <w:rPr>
          <w:rFonts w:ascii="Times New Roman" w:hAnsi="Times New Roman" w:cs="Times New Roman"/>
          <w:sz w:val="24"/>
          <w:szCs w:val="24"/>
        </w:rPr>
        <w:t xml:space="preserve"> = </w:t>
      </w:r>
      <w:r w:rsidRPr="00FA161E">
        <w:rPr>
          <w:rFonts w:ascii="Times New Roman" w:hAnsi="Times New Roman" w:cs="Times New Roman"/>
          <w:color w:val="000000"/>
          <w:sz w:val="24"/>
          <w:szCs w:val="24"/>
          <w:lang w:bidi="si-LK"/>
        </w:rPr>
        <w:t>-32.903 + 13.118</w:t>
      </w:r>
    </w:p>
    <w:p w14:paraId="382224A5" w14:textId="77777777" w:rsidR="00B97AEE" w:rsidRPr="00FA161E" w:rsidRDefault="00B97AEE" w:rsidP="00DA3538">
      <w:pPr>
        <w:spacing w:line="276" w:lineRule="auto"/>
        <w:ind w:left="720"/>
        <w:jc w:val="both"/>
        <w:rPr>
          <w:rFonts w:ascii="Times New Roman" w:hAnsi="Times New Roman" w:cs="Times New Roman"/>
          <w:sz w:val="24"/>
          <w:szCs w:val="24"/>
        </w:rPr>
      </w:pPr>
    </w:p>
    <w:p w14:paraId="4FB94B46" w14:textId="77777777" w:rsidR="008B65EB" w:rsidRPr="00FA161E" w:rsidRDefault="008B65EB" w:rsidP="00DA3538">
      <w:pPr>
        <w:spacing w:line="276" w:lineRule="auto"/>
        <w:jc w:val="both"/>
        <w:rPr>
          <w:rFonts w:ascii="Times New Roman" w:hAnsi="Times New Roman" w:cs="Times New Roman"/>
          <w:sz w:val="24"/>
          <w:szCs w:val="24"/>
        </w:rPr>
      </w:pPr>
    </w:p>
    <w:p w14:paraId="3E24A579" w14:textId="45D2C20F" w:rsidR="008B65EB" w:rsidRPr="00FA161E" w:rsidRDefault="008B65EB" w:rsidP="00DA3538">
      <w:pPr>
        <w:pStyle w:val="ListParagraph"/>
        <w:numPr>
          <w:ilvl w:val="0"/>
          <w:numId w:val="2"/>
        </w:num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Conclusion</w:t>
      </w:r>
    </w:p>
    <w:p w14:paraId="638C70ED" w14:textId="446ACD86" w:rsidR="00E07CD8" w:rsidRPr="00FA161E" w:rsidRDefault="008B65EB"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This study confirms that financial literacy significantly influences </w:t>
      </w:r>
      <w:r w:rsidR="002F0F1D" w:rsidRPr="00FA161E">
        <w:rPr>
          <w:rFonts w:ascii="Times New Roman" w:hAnsi="Times New Roman" w:cs="Times New Roman"/>
          <w:sz w:val="24"/>
          <w:szCs w:val="24"/>
        </w:rPr>
        <w:t>c</w:t>
      </w:r>
      <w:r w:rsidR="002F0F1D">
        <w:rPr>
          <w:rFonts w:ascii="Times New Roman" w:hAnsi="Times New Roman" w:cs="Times New Roman"/>
          <w:sz w:val="24"/>
          <w:szCs w:val="24"/>
        </w:rPr>
        <w:t>ustome</w:t>
      </w:r>
      <w:r w:rsidR="002F0F1D" w:rsidRPr="00FA161E">
        <w:rPr>
          <w:rFonts w:ascii="Times New Roman" w:hAnsi="Times New Roman" w:cs="Times New Roman"/>
          <w:sz w:val="24"/>
          <w:szCs w:val="24"/>
        </w:rPr>
        <w:t>rs</w:t>
      </w:r>
      <w:r w:rsidRPr="00FA161E">
        <w:rPr>
          <w:rFonts w:ascii="Times New Roman" w:hAnsi="Times New Roman" w:cs="Times New Roman"/>
          <w:sz w:val="24"/>
          <w:szCs w:val="24"/>
        </w:rPr>
        <w:t xml:space="preserve">' online banking behavior in the </w:t>
      </w:r>
      <w:proofErr w:type="spellStart"/>
      <w:r w:rsidRPr="00FA161E">
        <w:rPr>
          <w:rFonts w:ascii="Times New Roman" w:hAnsi="Times New Roman" w:cs="Times New Roman"/>
          <w:sz w:val="24"/>
          <w:szCs w:val="24"/>
        </w:rPr>
        <w:t>Balangoda</w:t>
      </w:r>
      <w:proofErr w:type="spellEnd"/>
      <w:r w:rsidRPr="00FA161E">
        <w:rPr>
          <w:rFonts w:ascii="Times New Roman" w:hAnsi="Times New Roman" w:cs="Times New Roman"/>
          <w:sz w:val="24"/>
          <w:szCs w:val="24"/>
        </w:rPr>
        <w:t xml:space="preserve"> Divisional Secretariat Division, Sri Lanka. The findings indicate that higher levels of financial literacy empower individuals to engage more effectively with online banking services. As observed in previous studies (</w:t>
      </w:r>
      <w:proofErr w:type="spellStart"/>
      <w:r w:rsidRPr="00FA161E">
        <w:rPr>
          <w:rFonts w:ascii="Times New Roman" w:hAnsi="Times New Roman" w:cs="Times New Roman"/>
          <w:sz w:val="24"/>
          <w:szCs w:val="24"/>
        </w:rPr>
        <w:t>Andreou</w:t>
      </w:r>
      <w:proofErr w:type="spellEnd"/>
      <w:r w:rsidRPr="00FA161E">
        <w:rPr>
          <w:rFonts w:ascii="Times New Roman" w:hAnsi="Times New Roman" w:cs="Times New Roman"/>
          <w:sz w:val="24"/>
          <w:szCs w:val="24"/>
        </w:rPr>
        <w:t xml:space="preserve"> &amp; </w:t>
      </w:r>
      <w:proofErr w:type="spellStart"/>
      <w:r w:rsidRPr="00FA161E">
        <w:rPr>
          <w:rFonts w:ascii="Times New Roman" w:hAnsi="Times New Roman" w:cs="Times New Roman"/>
          <w:sz w:val="24"/>
          <w:szCs w:val="24"/>
        </w:rPr>
        <w:t>Anyfantaki</w:t>
      </w:r>
      <w:proofErr w:type="spellEnd"/>
      <w:r w:rsidRPr="00FA161E">
        <w:rPr>
          <w:rFonts w:ascii="Times New Roman" w:hAnsi="Times New Roman" w:cs="Times New Roman"/>
          <w:sz w:val="24"/>
          <w:szCs w:val="24"/>
        </w:rPr>
        <w:t>, 20</w:t>
      </w:r>
      <w:r w:rsidR="00EF305C" w:rsidRPr="00FA161E">
        <w:rPr>
          <w:rFonts w:ascii="Times New Roman" w:hAnsi="Times New Roman" w:cs="Times New Roman"/>
          <w:sz w:val="24"/>
          <w:szCs w:val="24"/>
        </w:rPr>
        <w:t>20</w:t>
      </w:r>
      <w:r w:rsidRPr="00FA161E">
        <w:rPr>
          <w:rFonts w:ascii="Times New Roman" w:hAnsi="Times New Roman" w:cs="Times New Roman"/>
          <w:sz w:val="24"/>
          <w:szCs w:val="24"/>
        </w:rPr>
        <w:t xml:space="preserve">), financially literate individuals are better equipped to navigate </w:t>
      </w:r>
      <w:r w:rsidR="00665B13" w:rsidRPr="00FA161E">
        <w:rPr>
          <w:rFonts w:ascii="Times New Roman" w:hAnsi="Times New Roman" w:cs="Times New Roman"/>
          <w:sz w:val="24"/>
          <w:szCs w:val="24"/>
        </w:rPr>
        <w:t>online banking facilities</w:t>
      </w:r>
      <w:r w:rsidRPr="00FA161E">
        <w:rPr>
          <w:rFonts w:ascii="Times New Roman" w:hAnsi="Times New Roman" w:cs="Times New Roman"/>
          <w:sz w:val="24"/>
          <w:szCs w:val="24"/>
        </w:rPr>
        <w:t>, enhancing their ability to manage transactions conveniently and efficiently</w:t>
      </w:r>
      <w:r w:rsidR="002B716B" w:rsidRPr="00FA161E">
        <w:rPr>
          <w:rFonts w:ascii="Times New Roman" w:hAnsi="Times New Roman" w:cs="Times New Roman"/>
          <w:sz w:val="24"/>
          <w:szCs w:val="24"/>
        </w:rPr>
        <w:t xml:space="preserve">. </w:t>
      </w:r>
    </w:p>
    <w:p w14:paraId="12E92D63" w14:textId="195F35C0" w:rsidR="00CE6D09" w:rsidRPr="00FA161E" w:rsidRDefault="00CE6D09"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According to the research results, it is clear that there is a positive relationship with the dependent variable, financial knowledge, financial behavior, and financial attitudes, which were used as independent variables in the multiple linear regression analysis. Accordingly, it is important to take measures to directly increase the financial knowledge, behavior, and attitudes of customers in situations where it is expected to increase the </w:t>
      </w:r>
      <w:proofErr w:type="spellStart"/>
      <w:r w:rsidRPr="00FA161E">
        <w:rPr>
          <w:rFonts w:ascii="Times New Roman" w:hAnsi="Times New Roman" w:cs="Times New Roman"/>
          <w:sz w:val="24"/>
          <w:szCs w:val="24"/>
        </w:rPr>
        <w:t>bahaviour</w:t>
      </w:r>
      <w:proofErr w:type="spellEnd"/>
      <w:r w:rsidRPr="00FA161E">
        <w:rPr>
          <w:rFonts w:ascii="Times New Roman" w:hAnsi="Times New Roman" w:cs="Times New Roman"/>
          <w:sz w:val="24"/>
          <w:szCs w:val="24"/>
        </w:rPr>
        <w:t xml:space="preserve"> of online banking by customers. Also, the results of the binary logistic regression analysis show that an increase in financial literacy leads to a significant improvement in the use of online banking and reflects a strong positive relationship between the two variables. Hence, it is clear that the impact of the components of financial literacy, financial knowledge, behavior, and attitudes on the online banking behavior of customers individually or when it is considered as a whole as financial literacy, has a high positive impact. </w:t>
      </w:r>
    </w:p>
    <w:p w14:paraId="1D0260A9" w14:textId="31422C50" w:rsidR="008B65EB" w:rsidRPr="00FA161E" w:rsidRDefault="008B65EB"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lastRenderedPageBreak/>
        <w:t>This study contributes to the literature by addressing a key research gap</w:t>
      </w:r>
      <w:r w:rsidR="00D70946" w:rsidRPr="00FA161E">
        <w:rPr>
          <w:rFonts w:ascii="Times New Roman" w:hAnsi="Times New Roman" w:cs="Times New Roman"/>
          <w:sz w:val="24"/>
          <w:szCs w:val="24"/>
        </w:rPr>
        <w:t xml:space="preserve"> </w:t>
      </w:r>
      <w:r w:rsidRPr="00FA161E">
        <w:rPr>
          <w:rFonts w:ascii="Times New Roman" w:hAnsi="Times New Roman" w:cs="Times New Roman"/>
          <w:sz w:val="24"/>
          <w:szCs w:val="24"/>
        </w:rPr>
        <w:t>how financial literacy affects online banking behavior</w:t>
      </w:r>
      <w:r w:rsidR="0047479A" w:rsidRPr="00FA161E">
        <w:rPr>
          <w:rFonts w:ascii="Times New Roman" w:hAnsi="Times New Roman" w:cs="Times New Roman"/>
          <w:sz w:val="24"/>
          <w:szCs w:val="24"/>
        </w:rPr>
        <w:t xml:space="preserve">. </w:t>
      </w:r>
      <w:proofErr w:type="spellStart"/>
      <w:r w:rsidRPr="00FA161E">
        <w:rPr>
          <w:rFonts w:ascii="Times New Roman" w:hAnsi="Times New Roman" w:cs="Times New Roman"/>
          <w:sz w:val="24"/>
          <w:szCs w:val="24"/>
        </w:rPr>
        <w:t>Balangoda</w:t>
      </w:r>
      <w:proofErr w:type="spellEnd"/>
      <w:r w:rsidRPr="00FA161E">
        <w:rPr>
          <w:rFonts w:ascii="Times New Roman" w:hAnsi="Times New Roman" w:cs="Times New Roman"/>
          <w:sz w:val="24"/>
          <w:szCs w:val="24"/>
        </w:rPr>
        <w:t>, with its steady but slower technological development, represents a region where financial literacy can play a transformative role in increasing the use of digital financial services. For banks, the research emphasizes the importance of developing educational programs to increase awareness and comfort with online banking platforms (Gautam &amp; Devkota, 2020</w:t>
      </w:r>
      <w:r w:rsidR="002B716B" w:rsidRPr="00FA161E">
        <w:rPr>
          <w:rFonts w:ascii="Times New Roman" w:hAnsi="Times New Roman" w:cs="Times New Roman"/>
          <w:sz w:val="24"/>
          <w:szCs w:val="24"/>
        </w:rPr>
        <w:t>)</w:t>
      </w:r>
      <w:r w:rsidRPr="00FA161E">
        <w:rPr>
          <w:rFonts w:ascii="Times New Roman" w:hAnsi="Times New Roman" w:cs="Times New Roman"/>
          <w:sz w:val="24"/>
          <w:szCs w:val="24"/>
        </w:rPr>
        <w:t>. For policymakers, the results provide valuable evidence to guide efforts toward enhancing financial inclusion through literacy programs aligned with national goals (OECD, 2018)​</w:t>
      </w:r>
      <w:r w:rsidR="002B716B" w:rsidRPr="00FA161E">
        <w:rPr>
          <w:rFonts w:ascii="Times New Roman" w:hAnsi="Times New Roman" w:cs="Times New Roman"/>
          <w:sz w:val="24"/>
          <w:szCs w:val="24"/>
        </w:rPr>
        <w:t>.</w:t>
      </w:r>
    </w:p>
    <w:p w14:paraId="7F42FED8" w14:textId="224A4C3B" w:rsidR="008B65EB" w:rsidRDefault="00D70946"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Also, </w:t>
      </w:r>
      <w:r w:rsidR="00A84DDF" w:rsidRPr="00FA161E">
        <w:rPr>
          <w:rFonts w:ascii="Times New Roman" w:hAnsi="Times New Roman" w:cs="Times New Roman"/>
          <w:sz w:val="24"/>
          <w:szCs w:val="24"/>
        </w:rPr>
        <w:t>these findings</w:t>
      </w:r>
      <w:r w:rsidR="008B65EB" w:rsidRPr="00FA161E">
        <w:rPr>
          <w:rFonts w:ascii="Times New Roman" w:hAnsi="Times New Roman" w:cs="Times New Roman"/>
          <w:sz w:val="24"/>
          <w:szCs w:val="24"/>
        </w:rPr>
        <w:t xml:space="preserve"> demonstrate that promoting financial literacy is essential to drive the adoption of online banking and achieve broader financial inclusion in Sri Lanka. By empowering </w:t>
      </w:r>
      <w:r w:rsidR="002F0F1D" w:rsidRPr="00FA161E">
        <w:rPr>
          <w:rFonts w:ascii="Times New Roman" w:hAnsi="Times New Roman" w:cs="Times New Roman"/>
          <w:sz w:val="24"/>
          <w:szCs w:val="24"/>
        </w:rPr>
        <w:t>c</w:t>
      </w:r>
      <w:r w:rsidR="002F0F1D">
        <w:rPr>
          <w:rFonts w:ascii="Times New Roman" w:hAnsi="Times New Roman" w:cs="Times New Roman"/>
          <w:sz w:val="24"/>
          <w:szCs w:val="24"/>
        </w:rPr>
        <w:t>ustome</w:t>
      </w:r>
      <w:r w:rsidR="002F0F1D" w:rsidRPr="00FA161E">
        <w:rPr>
          <w:rFonts w:ascii="Times New Roman" w:hAnsi="Times New Roman" w:cs="Times New Roman"/>
          <w:sz w:val="24"/>
          <w:szCs w:val="24"/>
        </w:rPr>
        <w:t xml:space="preserve">rs </w:t>
      </w:r>
      <w:r w:rsidR="008B65EB" w:rsidRPr="00FA161E">
        <w:rPr>
          <w:rFonts w:ascii="Times New Roman" w:hAnsi="Times New Roman" w:cs="Times New Roman"/>
          <w:sz w:val="24"/>
          <w:szCs w:val="24"/>
        </w:rPr>
        <w:t xml:space="preserve">to make informed financial decisions, banks can improve service accessibility, reduce operational costs, and enhance customer satisfaction. Ultimately, increasing financial literacy will not only expand the usage of </w:t>
      </w:r>
      <w:r w:rsidR="00B5656A" w:rsidRPr="00FA161E">
        <w:rPr>
          <w:rFonts w:ascii="Times New Roman" w:hAnsi="Times New Roman" w:cs="Times New Roman"/>
          <w:sz w:val="24"/>
          <w:szCs w:val="24"/>
        </w:rPr>
        <w:t>online banking facilities</w:t>
      </w:r>
      <w:r w:rsidR="008B65EB" w:rsidRPr="00FA161E">
        <w:rPr>
          <w:rFonts w:ascii="Times New Roman" w:hAnsi="Times New Roman" w:cs="Times New Roman"/>
          <w:sz w:val="24"/>
          <w:szCs w:val="24"/>
        </w:rPr>
        <w:t xml:space="preserve"> but also contribute to creating a financially inclusive society in Sri Lanka, where individuals from all regions and demographics can benefit from online banking.</w:t>
      </w:r>
    </w:p>
    <w:p w14:paraId="4974F975" w14:textId="77777777" w:rsidR="00D96C9F" w:rsidRPr="00D96C9F" w:rsidRDefault="00D96C9F" w:rsidP="00D96C9F">
      <w:pPr>
        <w:spacing w:line="276" w:lineRule="auto"/>
        <w:jc w:val="both"/>
        <w:rPr>
          <w:rFonts w:ascii="Times New Roman" w:hAnsi="Times New Roman" w:cs="Times New Roman"/>
          <w:sz w:val="24"/>
          <w:szCs w:val="24"/>
        </w:rPr>
      </w:pPr>
      <w:r w:rsidRPr="00D96C9F">
        <w:rPr>
          <w:rFonts w:ascii="Times New Roman" w:hAnsi="Times New Roman" w:cs="Times New Roman"/>
          <w:sz w:val="24"/>
          <w:szCs w:val="24"/>
        </w:rPr>
        <w:t>COMPETING INTERESTS DISCLAIMER:</w:t>
      </w:r>
    </w:p>
    <w:p w14:paraId="2792CBA8" w14:textId="77777777" w:rsidR="00D96C9F" w:rsidRPr="00D96C9F" w:rsidRDefault="00D96C9F" w:rsidP="00D96C9F">
      <w:pPr>
        <w:spacing w:line="276" w:lineRule="auto"/>
        <w:jc w:val="both"/>
        <w:rPr>
          <w:rFonts w:ascii="Times New Roman" w:hAnsi="Times New Roman" w:cs="Times New Roman"/>
          <w:sz w:val="24"/>
          <w:szCs w:val="24"/>
        </w:rPr>
      </w:pPr>
      <w:r w:rsidRPr="00D96C9F">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59BB0D1" w14:textId="77777777" w:rsidR="00D96C9F" w:rsidRPr="00D96C9F" w:rsidRDefault="00D96C9F" w:rsidP="00D96C9F">
      <w:pPr>
        <w:spacing w:line="276" w:lineRule="auto"/>
        <w:jc w:val="both"/>
        <w:rPr>
          <w:rFonts w:ascii="Times New Roman" w:hAnsi="Times New Roman" w:cs="Times New Roman"/>
          <w:sz w:val="24"/>
          <w:szCs w:val="24"/>
        </w:rPr>
      </w:pPr>
    </w:p>
    <w:p w14:paraId="2670317C" w14:textId="77777777" w:rsidR="00D96C9F" w:rsidRPr="00FA161E" w:rsidRDefault="00D96C9F" w:rsidP="00DA3538">
      <w:pPr>
        <w:spacing w:line="276" w:lineRule="auto"/>
        <w:jc w:val="both"/>
        <w:rPr>
          <w:rFonts w:ascii="Times New Roman" w:hAnsi="Times New Roman" w:cs="Times New Roman"/>
          <w:sz w:val="24"/>
          <w:szCs w:val="24"/>
        </w:rPr>
      </w:pPr>
    </w:p>
    <w:p w14:paraId="42D82C6E" w14:textId="77777777" w:rsidR="008B65EB" w:rsidRPr="00FA161E" w:rsidRDefault="008B65EB" w:rsidP="00DA3538">
      <w:pPr>
        <w:spacing w:line="276" w:lineRule="auto"/>
        <w:jc w:val="both"/>
        <w:rPr>
          <w:rFonts w:ascii="Times New Roman" w:hAnsi="Times New Roman" w:cs="Times New Roman"/>
          <w:sz w:val="24"/>
          <w:szCs w:val="24"/>
        </w:rPr>
      </w:pPr>
    </w:p>
    <w:p w14:paraId="57501DD6" w14:textId="187076BC" w:rsidR="002E773E" w:rsidRPr="00FA161E" w:rsidRDefault="0035724C" w:rsidP="00DA3538">
      <w:p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References</w:t>
      </w:r>
    </w:p>
    <w:p w14:paraId="0B75677A"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Abubakar, M., Zailani, B. M., Muhammad, A., &amp; Auwal, A. M. (2021). Potential of adopting a resilient safety culture toward improving the safety performance of construction organizations in Nigeria. </w:t>
      </w:r>
      <w:r w:rsidRPr="00FA161E">
        <w:rPr>
          <w:rFonts w:ascii="Times New Roman" w:hAnsi="Times New Roman" w:cs="Times New Roman"/>
          <w:i/>
          <w:iCs/>
          <w:sz w:val="24"/>
          <w:szCs w:val="24"/>
        </w:rPr>
        <w:t>Journal of Engineering, Design and Technology</w:t>
      </w:r>
      <w:r w:rsidRPr="00FA161E">
        <w:rPr>
          <w:rFonts w:ascii="Times New Roman" w:hAnsi="Times New Roman" w:cs="Times New Roman"/>
          <w:sz w:val="24"/>
          <w:szCs w:val="24"/>
        </w:rPr>
        <w:t xml:space="preserve">. </w:t>
      </w:r>
      <w:hyperlink r:id="rId7" w:tgtFrame="_new" w:history="1">
        <w:r w:rsidRPr="00FA161E">
          <w:rPr>
            <w:rStyle w:val="Hyperlink"/>
            <w:rFonts w:ascii="Times New Roman" w:hAnsi="Times New Roman" w:cs="Times New Roman"/>
            <w:sz w:val="24"/>
            <w:szCs w:val="24"/>
          </w:rPr>
          <w:t>https://doi.org/10.1108/JEDT-09-2020-0354</w:t>
        </w:r>
      </w:hyperlink>
    </w:p>
    <w:p w14:paraId="320F62FA" w14:textId="77777777" w:rsidR="0035724C" w:rsidRPr="00FA161E" w:rsidRDefault="0035724C" w:rsidP="00DA3538">
      <w:pPr>
        <w:spacing w:line="276" w:lineRule="auto"/>
        <w:ind w:left="720" w:hanging="360"/>
        <w:jc w:val="both"/>
        <w:rPr>
          <w:rFonts w:ascii="Times New Roman" w:hAnsi="Times New Roman" w:cs="Times New Roman"/>
          <w:sz w:val="24"/>
          <w:szCs w:val="24"/>
        </w:rPr>
      </w:pPr>
      <w:proofErr w:type="spellStart"/>
      <w:r w:rsidRPr="00FA161E">
        <w:rPr>
          <w:rFonts w:ascii="Times New Roman" w:hAnsi="Times New Roman" w:cs="Times New Roman"/>
          <w:sz w:val="24"/>
          <w:szCs w:val="24"/>
        </w:rPr>
        <w:t>Agabalinda</w:t>
      </w:r>
      <w:proofErr w:type="spellEnd"/>
      <w:r w:rsidRPr="00FA161E">
        <w:rPr>
          <w:rFonts w:ascii="Times New Roman" w:hAnsi="Times New Roman" w:cs="Times New Roman"/>
          <w:sz w:val="24"/>
          <w:szCs w:val="24"/>
        </w:rPr>
        <w:t xml:space="preserve">, C., &amp; </w:t>
      </w:r>
      <w:proofErr w:type="spellStart"/>
      <w:r w:rsidRPr="00FA161E">
        <w:rPr>
          <w:rFonts w:ascii="Times New Roman" w:hAnsi="Times New Roman" w:cs="Times New Roman"/>
          <w:sz w:val="24"/>
          <w:szCs w:val="24"/>
        </w:rPr>
        <w:t>Ndi</w:t>
      </w:r>
      <w:proofErr w:type="spellEnd"/>
      <w:r w:rsidRPr="00FA161E">
        <w:rPr>
          <w:rFonts w:ascii="Times New Roman" w:hAnsi="Times New Roman" w:cs="Times New Roman"/>
          <w:sz w:val="24"/>
          <w:szCs w:val="24"/>
        </w:rPr>
        <w:t xml:space="preserve"> </w:t>
      </w:r>
      <w:proofErr w:type="spellStart"/>
      <w:r w:rsidRPr="00FA161E">
        <w:rPr>
          <w:rFonts w:ascii="Times New Roman" w:hAnsi="Times New Roman" w:cs="Times New Roman"/>
          <w:sz w:val="24"/>
          <w:szCs w:val="24"/>
        </w:rPr>
        <w:t>Isoh</w:t>
      </w:r>
      <w:proofErr w:type="spellEnd"/>
      <w:r w:rsidRPr="00FA161E">
        <w:rPr>
          <w:rFonts w:ascii="Times New Roman" w:hAnsi="Times New Roman" w:cs="Times New Roman"/>
          <w:sz w:val="24"/>
          <w:szCs w:val="24"/>
        </w:rPr>
        <w:t xml:space="preserve">, A. V. (2020). The impact of financial literacy on financial preparedness for retirement in the small and medium enterprises sector in Uganda. </w:t>
      </w:r>
      <w:r w:rsidRPr="00FA161E">
        <w:rPr>
          <w:rFonts w:ascii="Times New Roman" w:hAnsi="Times New Roman" w:cs="Times New Roman"/>
          <w:i/>
          <w:iCs/>
          <w:sz w:val="24"/>
          <w:szCs w:val="24"/>
        </w:rPr>
        <w:t>International Journal of Applied Behavioral Economics, 9</w:t>
      </w:r>
      <w:r w:rsidRPr="00FA161E">
        <w:rPr>
          <w:rFonts w:ascii="Times New Roman" w:hAnsi="Times New Roman" w:cs="Times New Roman"/>
          <w:sz w:val="24"/>
          <w:szCs w:val="24"/>
        </w:rPr>
        <w:t>(3), 26–41.</w:t>
      </w:r>
    </w:p>
    <w:p w14:paraId="1354D861"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Amatucci, F. M., &amp; Crawley, D. C. (2011). Financial self-efficacy among women entrepreneurs. </w:t>
      </w:r>
      <w:r w:rsidRPr="00FA161E">
        <w:rPr>
          <w:rFonts w:ascii="Times New Roman" w:hAnsi="Times New Roman" w:cs="Times New Roman"/>
          <w:i/>
          <w:iCs/>
          <w:sz w:val="24"/>
          <w:szCs w:val="24"/>
        </w:rPr>
        <w:t>International Journal of Gender and Entrepreneurship, 3</w:t>
      </w:r>
      <w:r w:rsidRPr="00FA161E">
        <w:rPr>
          <w:rFonts w:ascii="Times New Roman" w:hAnsi="Times New Roman" w:cs="Times New Roman"/>
          <w:sz w:val="24"/>
          <w:szCs w:val="24"/>
        </w:rPr>
        <w:t>(1), 23–37.</w:t>
      </w:r>
    </w:p>
    <w:p w14:paraId="38FDC69F"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Andreou, P. C., &amp; </w:t>
      </w:r>
      <w:proofErr w:type="spellStart"/>
      <w:r w:rsidRPr="00FA161E">
        <w:rPr>
          <w:rFonts w:ascii="Times New Roman" w:hAnsi="Times New Roman" w:cs="Times New Roman"/>
          <w:sz w:val="24"/>
          <w:szCs w:val="24"/>
        </w:rPr>
        <w:t>Anyfantaki</w:t>
      </w:r>
      <w:proofErr w:type="spellEnd"/>
      <w:r w:rsidRPr="00FA161E">
        <w:rPr>
          <w:rFonts w:ascii="Times New Roman" w:hAnsi="Times New Roman" w:cs="Times New Roman"/>
          <w:sz w:val="24"/>
          <w:szCs w:val="24"/>
        </w:rPr>
        <w:t xml:space="preserve">, S. (2020). Financial literacy and its influence on internet banking </w:t>
      </w:r>
      <w:proofErr w:type="spellStart"/>
      <w:r w:rsidRPr="00FA161E">
        <w:rPr>
          <w:rFonts w:ascii="Times New Roman" w:hAnsi="Times New Roman" w:cs="Times New Roman"/>
          <w:sz w:val="24"/>
          <w:szCs w:val="24"/>
        </w:rPr>
        <w:t>behaviour</w:t>
      </w:r>
      <w:proofErr w:type="spellEnd"/>
      <w:r w:rsidRPr="00FA161E">
        <w:rPr>
          <w:rFonts w:ascii="Times New Roman" w:hAnsi="Times New Roman" w:cs="Times New Roman"/>
          <w:sz w:val="24"/>
          <w:szCs w:val="24"/>
        </w:rPr>
        <w:t xml:space="preserve">. </w:t>
      </w:r>
      <w:r w:rsidRPr="00FA161E">
        <w:rPr>
          <w:rFonts w:ascii="Times New Roman" w:hAnsi="Times New Roman" w:cs="Times New Roman"/>
          <w:i/>
          <w:iCs/>
          <w:sz w:val="24"/>
          <w:szCs w:val="24"/>
        </w:rPr>
        <w:t>International Journal of Consumer Studies, 39</w:t>
      </w:r>
      <w:r w:rsidRPr="00FA161E">
        <w:rPr>
          <w:rFonts w:ascii="Times New Roman" w:hAnsi="Times New Roman" w:cs="Times New Roman"/>
          <w:sz w:val="24"/>
          <w:szCs w:val="24"/>
        </w:rPr>
        <w:t>(4), 1–41.</w:t>
      </w:r>
    </w:p>
    <w:p w14:paraId="7AB9A33D"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Atkinson, A., &amp; Messy, F.A. (2012). Measuring financial literacy: Results of the OECD/International Network on Financial Education (INFE) pilot study. </w:t>
      </w:r>
      <w:r w:rsidRPr="00FA161E">
        <w:rPr>
          <w:rFonts w:ascii="Times New Roman" w:hAnsi="Times New Roman" w:cs="Times New Roman"/>
          <w:i/>
          <w:iCs/>
          <w:sz w:val="24"/>
          <w:szCs w:val="24"/>
        </w:rPr>
        <w:t>OECD Publishing</w:t>
      </w:r>
      <w:r w:rsidRPr="00FA161E">
        <w:rPr>
          <w:rFonts w:ascii="Times New Roman" w:hAnsi="Times New Roman" w:cs="Times New Roman"/>
          <w:sz w:val="24"/>
          <w:szCs w:val="24"/>
        </w:rPr>
        <w:t>.</w:t>
      </w:r>
    </w:p>
    <w:p w14:paraId="3EB8676D"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lastRenderedPageBreak/>
        <w:t xml:space="preserve">Bandura, A. (1977). </w:t>
      </w:r>
      <w:r w:rsidRPr="00FA161E">
        <w:rPr>
          <w:rFonts w:ascii="Times New Roman" w:hAnsi="Times New Roman" w:cs="Times New Roman"/>
          <w:i/>
          <w:iCs/>
          <w:sz w:val="24"/>
          <w:szCs w:val="24"/>
        </w:rPr>
        <w:t>Social learning theory</w:t>
      </w:r>
      <w:r w:rsidRPr="00FA161E">
        <w:rPr>
          <w:rFonts w:ascii="Times New Roman" w:hAnsi="Times New Roman" w:cs="Times New Roman"/>
          <w:sz w:val="24"/>
          <w:szCs w:val="24"/>
        </w:rPr>
        <w:t>. Prentice-Hall.</w:t>
      </w:r>
    </w:p>
    <w:p w14:paraId="43649BA3"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Bandura, A. (1986). </w:t>
      </w:r>
      <w:r w:rsidRPr="00FA161E">
        <w:rPr>
          <w:rFonts w:ascii="Times New Roman" w:hAnsi="Times New Roman" w:cs="Times New Roman"/>
          <w:i/>
          <w:iCs/>
          <w:sz w:val="24"/>
          <w:szCs w:val="24"/>
        </w:rPr>
        <w:t>Social foundations of thought and action</w:t>
      </w:r>
      <w:r w:rsidRPr="00FA161E">
        <w:rPr>
          <w:rFonts w:ascii="Times New Roman" w:hAnsi="Times New Roman" w:cs="Times New Roman"/>
          <w:sz w:val="24"/>
          <w:szCs w:val="24"/>
        </w:rPr>
        <w:t>. Upper Saddle River, NJ: Prentice-Hall.</w:t>
      </w:r>
    </w:p>
    <w:p w14:paraId="05B38A4B"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Bandura, A., &amp; Walters, R. H. (1963). </w:t>
      </w:r>
      <w:r w:rsidRPr="00FA161E">
        <w:rPr>
          <w:rFonts w:ascii="Times New Roman" w:hAnsi="Times New Roman" w:cs="Times New Roman"/>
          <w:i/>
          <w:iCs/>
          <w:sz w:val="24"/>
          <w:szCs w:val="24"/>
        </w:rPr>
        <w:t>Social learning and personality development</w:t>
      </w:r>
      <w:r w:rsidRPr="00FA161E">
        <w:rPr>
          <w:rFonts w:ascii="Times New Roman" w:hAnsi="Times New Roman" w:cs="Times New Roman"/>
          <w:sz w:val="24"/>
          <w:szCs w:val="24"/>
        </w:rPr>
        <w:t>. Holt, Rinehart, and Winston.</w:t>
      </w:r>
    </w:p>
    <w:p w14:paraId="53CD1D10"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Campbell, J. Y. (2006). Household finance. </w:t>
      </w:r>
      <w:r w:rsidRPr="00FA161E">
        <w:rPr>
          <w:rFonts w:ascii="Times New Roman" w:hAnsi="Times New Roman" w:cs="Times New Roman"/>
          <w:i/>
          <w:iCs/>
          <w:sz w:val="24"/>
          <w:szCs w:val="24"/>
        </w:rPr>
        <w:t>Journal of Finance, 61</w:t>
      </w:r>
      <w:r w:rsidRPr="00FA161E">
        <w:rPr>
          <w:rFonts w:ascii="Times New Roman" w:hAnsi="Times New Roman" w:cs="Times New Roman"/>
          <w:sz w:val="24"/>
          <w:szCs w:val="24"/>
        </w:rPr>
        <w:t xml:space="preserve">, 1553–1604. </w:t>
      </w:r>
      <w:hyperlink r:id="rId8" w:tgtFrame="_new" w:history="1">
        <w:r w:rsidRPr="00FA161E">
          <w:rPr>
            <w:rStyle w:val="Hyperlink"/>
            <w:rFonts w:ascii="Times New Roman" w:hAnsi="Times New Roman" w:cs="Times New Roman"/>
            <w:sz w:val="24"/>
            <w:szCs w:val="24"/>
          </w:rPr>
          <w:t>https://doi.org/10.1111/j.1540-6261.2006.00883.x</w:t>
        </w:r>
      </w:hyperlink>
    </w:p>
    <w:p w14:paraId="7EE0C307"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Central Bank Annual Report, 2018.</w:t>
      </w:r>
    </w:p>
    <w:p w14:paraId="0FA6EA0B"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Central Bank of Sri Lanka. (2021). </w:t>
      </w:r>
      <w:r w:rsidRPr="00FA161E">
        <w:rPr>
          <w:rFonts w:ascii="Times New Roman" w:hAnsi="Times New Roman" w:cs="Times New Roman"/>
          <w:i/>
          <w:iCs/>
          <w:sz w:val="24"/>
          <w:szCs w:val="24"/>
        </w:rPr>
        <w:t>Financial literacy survey Sri Lanka, 2021</w:t>
      </w:r>
      <w:r w:rsidRPr="00FA161E">
        <w:rPr>
          <w:rFonts w:ascii="Times New Roman" w:hAnsi="Times New Roman" w:cs="Times New Roman"/>
          <w:sz w:val="24"/>
          <w:szCs w:val="24"/>
        </w:rPr>
        <w:t xml:space="preserve">. Retrieved from </w:t>
      </w:r>
      <w:hyperlink r:id="rId9" w:tgtFrame="_new" w:history="1">
        <w:r w:rsidRPr="00FA161E">
          <w:rPr>
            <w:rStyle w:val="Hyperlink"/>
            <w:rFonts w:ascii="Times New Roman" w:hAnsi="Times New Roman" w:cs="Times New Roman"/>
            <w:sz w:val="24"/>
            <w:szCs w:val="24"/>
          </w:rPr>
          <w:t>https://www.cbsl.gov.lk/sites/default/files/cbslweb_documents/financial_literacy_servey_sri_lanka_2021_e.pdf</w:t>
        </w:r>
      </w:hyperlink>
    </w:p>
    <w:p w14:paraId="116D5D46"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Coff, R., &amp; </w:t>
      </w:r>
      <w:proofErr w:type="spellStart"/>
      <w:r w:rsidRPr="00FA161E">
        <w:rPr>
          <w:rFonts w:ascii="Times New Roman" w:hAnsi="Times New Roman" w:cs="Times New Roman"/>
          <w:sz w:val="24"/>
          <w:szCs w:val="24"/>
        </w:rPr>
        <w:t>Kryscynski</w:t>
      </w:r>
      <w:proofErr w:type="spellEnd"/>
      <w:r w:rsidRPr="00FA161E">
        <w:rPr>
          <w:rFonts w:ascii="Times New Roman" w:hAnsi="Times New Roman" w:cs="Times New Roman"/>
          <w:sz w:val="24"/>
          <w:szCs w:val="24"/>
        </w:rPr>
        <w:t xml:space="preserve">, D. (2011). Invited editorial: Drilling for micro-foundations of human capital–based competitive advantages [Editorial]. </w:t>
      </w:r>
      <w:r w:rsidRPr="00FA161E">
        <w:rPr>
          <w:rFonts w:ascii="Times New Roman" w:hAnsi="Times New Roman" w:cs="Times New Roman"/>
          <w:i/>
          <w:iCs/>
          <w:sz w:val="24"/>
          <w:szCs w:val="24"/>
        </w:rPr>
        <w:t>Journal of Management, 37</w:t>
      </w:r>
      <w:r w:rsidRPr="00FA161E">
        <w:rPr>
          <w:rFonts w:ascii="Times New Roman" w:hAnsi="Times New Roman" w:cs="Times New Roman"/>
          <w:sz w:val="24"/>
          <w:szCs w:val="24"/>
        </w:rPr>
        <w:t xml:space="preserve">(5), 1429–1443. </w:t>
      </w:r>
      <w:hyperlink r:id="rId10" w:tgtFrame="_new" w:history="1">
        <w:r w:rsidRPr="00FA161E">
          <w:rPr>
            <w:rStyle w:val="Hyperlink"/>
            <w:rFonts w:ascii="Times New Roman" w:hAnsi="Times New Roman" w:cs="Times New Roman"/>
            <w:sz w:val="24"/>
            <w:szCs w:val="24"/>
          </w:rPr>
          <w:t>https://doi.org/10.1177/0149206310397772</w:t>
        </w:r>
      </w:hyperlink>
    </w:p>
    <w:p w14:paraId="2B9FFF87"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Davenport, T. O. (1999). </w:t>
      </w:r>
      <w:r w:rsidRPr="00FA161E">
        <w:rPr>
          <w:rFonts w:ascii="Times New Roman" w:hAnsi="Times New Roman" w:cs="Times New Roman"/>
          <w:i/>
          <w:iCs/>
          <w:sz w:val="24"/>
          <w:szCs w:val="24"/>
        </w:rPr>
        <w:t>Human capital: What it is and why people invest it</w:t>
      </w:r>
      <w:r w:rsidRPr="00FA161E">
        <w:rPr>
          <w:rFonts w:ascii="Times New Roman" w:hAnsi="Times New Roman" w:cs="Times New Roman"/>
          <w:sz w:val="24"/>
          <w:szCs w:val="24"/>
        </w:rPr>
        <w:t xml:space="preserve"> (Illustrated ed.). Wiley.</w:t>
      </w:r>
    </w:p>
    <w:p w14:paraId="341AA141"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Department of Census and Statistics. (2012). </w:t>
      </w:r>
      <w:r w:rsidRPr="00FA161E">
        <w:rPr>
          <w:rFonts w:ascii="Times New Roman" w:hAnsi="Times New Roman" w:cs="Times New Roman"/>
          <w:i/>
          <w:iCs/>
          <w:sz w:val="24"/>
          <w:szCs w:val="24"/>
        </w:rPr>
        <w:t>Census of population and housing: Sri Lanka 2012</w:t>
      </w:r>
      <w:r w:rsidRPr="00FA161E">
        <w:rPr>
          <w:rFonts w:ascii="Times New Roman" w:hAnsi="Times New Roman" w:cs="Times New Roman"/>
          <w:sz w:val="24"/>
          <w:szCs w:val="24"/>
        </w:rPr>
        <w:t>. Department of Census and Statistics, Sri Lanka.</w:t>
      </w:r>
    </w:p>
    <w:p w14:paraId="7CA911D4"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Dew, J., &amp; Xiao, J. J. (2013). The Financial Management Behavior Scale: Development and validation. </w:t>
      </w:r>
      <w:r w:rsidRPr="00FA161E">
        <w:rPr>
          <w:rFonts w:ascii="Times New Roman" w:hAnsi="Times New Roman" w:cs="Times New Roman"/>
          <w:i/>
          <w:iCs/>
          <w:sz w:val="24"/>
          <w:szCs w:val="24"/>
        </w:rPr>
        <w:t>Journal of Financial Counseling and Planning, 24</w:t>
      </w:r>
      <w:r w:rsidRPr="00FA161E">
        <w:rPr>
          <w:rFonts w:ascii="Times New Roman" w:hAnsi="Times New Roman" w:cs="Times New Roman"/>
          <w:sz w:val="24"/>
          <w:szCs w:val="24"/>
        </w:rPr>
        <w:t>(2), 43–59.</w:t>
      </w:r>
    </w:p>
    <w:p w14:paraId="7D1DDC56"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Gautam, D. K., &amp; Sah, G. K. (2023). Online banking service practices and its impact on e-customer satisfaction and e-customer loyalty in developing country of South Asia—Nepal. </w:t>
      </w:r>
      <w:r w:rsidRPr="00FA161E">
        <w:rPr>
          <w:rFonts w:ascii="Times New Roman" w:hAnsi="Times New Roman" w:cs="Times New Roman"/>
          <w:i/>
          <w:iCs/>
          <w:sz w:val="24"/>
          <w:szCs w:val="24"/>
        </w:rPr>
        <w:t>SAGE Open, 13</w:t>
      </w:r>
      <w:r w:rsidRPr="00FA161E">
        <w:rPr>
          <w:rFonts w:ascii="Times New Roman" w:hAnsi="Times New Roman" w:cs="Times New Roman"/>
          <w:sz w:val="24"/>
          <w:szCs w:val="24"/>
        </w:rPr>
        <w:t xml:space="preserve">(3). </w:t>
      </w:r>
      <w:hyperlink r:id="rId11" w:tgtFrame="_new" w:history="1">
        <w:r w:rsidRPr="00FA161E">
          <w:rPr>
            <w:rStyle w:val="Hyperlink"/>
            <w:rFonts w:ascii="Times New Roman" w:hAnsi="Times New Roman" w:cs="Times New Roman"/>
            <w:sz w:val="24"/>
            <w:szCs w:val="24"/>
          </w:rPr>
          <w:t>https://doi.org/10.1177/21582440231197495</w:t>
        </w:r>
      </w:hyperlink>
    </w:p>
    <w:p w14:paraId="7D9AC5DA"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Gutter, M. S., Garrison, S. T., &amp; Copur, Z. (2010). Social learning opportunities and the financial behaviors of college students. </w:t>
      </w:r>
      <w:r w:rsidRPr="00FA161E">
        <w:rPr>
          <w:rFonts w:ascii="Times New Roman" w:hAnsi="Times New Roman" w:cs="Times New Roman"/>
          <w:i/>
          <w:iCs/>
          <w:sz w:val="24"/>
          <w:szCs w:val="24"/>
        </w:rPr>
        <w:t>Family and Consumer Sciences Research Journal, 38</w:t>
      </w:r>
      <w:r w:rsidRPr="00FA161E">
        <w:rPr>
          <w:rFonts w:ascii="Times New Roman" w:hAnsi="Times New Roman" w:cs="Times New Roman"/>
          <w:sz w:val="24"/>
          <w:szCs w:val="24"/>
        </w:rPr>
        <w:t xml:space="preserve">(4), 387–404. </w:t>
      </w:r>
      <w:hyperlink r:id="rId12" w:tgtFrame="_new" w:history="1">
        <w:r w:rsidRPr="00FA161E">
          <w:rPr>
            <w:rStyle w:val="Hyperlink"/>
            <w:rFonts w:ascii="Times New Roman" w:hAnsi="Times New Roman" w:cs="Times New Roman"/>
            <w:sz w:val="24"/>
            <w:szCs w:val="24"/>
          </w:rPr>
          <w:t>https://doi.org/10.1111/j.1552-3934.2010.00034.x</w:t>
        </w:r>
      </w:hyperlink>
    </w:p>
    <w:p w14:paraId="1C648553" w14:textId="71C0B723"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Islam, S., Islam, M. F., &amp; Zannat, N. E. (2023). Behavioral intention to use online for shopping in Bangladesh: A technology acceptance model analysis. </w:t>
      </w:r>
      <w:r w:rsidRPr="00FA161E">
        <w:rPr>
          <w:rFonts w:ascii="Times New Roman" w:hAnsi="Times New Roman" w:cs="Times New Roman"/>
          <w:i/>
          <w:iCs/>
          <w:sz w:val="24"/>
          <w:szCs w:val="24"/>
        </w:rPr>
        <w:t>SAGE Open, 13</w:t>
      </w:r>
      <w:r w:rsidRPr="00FA161E">
        <w:rPr>
          <w:rFonts w:ascii="Times New Roman" w:hAnsi="Times New Roman" w:cs="Times New Roman"/>
          <w:sz w:val="24"/>
          <w:szCs w:val="24"/>
        </w:rPr>
        <w:t xml:space="preserve">(3), 1–19. </w:t>
      </w:r>
      <w:hyperlink r:id="rId13" w:history="1">
        <w:r w:rsidRPr="00FA161E">
          <w:rPr>
            <w:rStyle w:val="Hyperlink"/>
            <w:rFonts w:ascii="Times New Roman" w:hAnsi="Times New Roman" w:cs="Times New Roman"/>
            <w:sz w:val="24"/>
            <w:szCs w:val="24"/>
          </w:rPr>
          <w:t>https://doi.org/10.1177/21582440231197495</w:t>
        </w:r>
      </w:hyperlink>
    </w:p>
    <w:p w14:paraId="575B88A2"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Mahdavi, G., Monfared Maharlouie, M., Sarikhani, M., &amp; Ebrahimi, F. (2012). The impact of institutional ownership on risk-taking behaviors. </w:t>
      </w:r>
      <w:r w:rsidRPr="00FA161E">
        <w:rPr>
          <w:rFonts w:ascii="Times New Roman" w:hAnsi="Times New Roman" w:cs="Times New Roman"/>
          <w:i/>
          <w:iCs/>
          <w:sz w:val="24"/>
          <w:szCs w:val="24"/>
        </w:rPr>
        <w:t>African Journal of Business Management, 6</w:t>
      </w:r>
      <w:r w:rsidRPr="00FA161E">
        <w:rPr>
          <w:rFonts w:ascii="Times New Roman" w:hAnsi="Times New Roman" w:cs="Times New Roman"/>
          <w:sz w:val="24"/>
          <w:szCs w:val="24"/>
        </w:rPr>
        <w:t>(12), 4488–4495.</w:t>
      </w:r>
    </w:p>
    <w:p w14:paraId="6D9593A1"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McConnell, A. R., Rydell, R. J., &amp; Brown, C. M. (2009). On the experience of self-relevant feedback: How self-concept organization influences affective responses and self-evaluations. </w:t>
      </w:r>
      <w:r w:rsidRPr="00FA161E">
        <w:rPr>
          <w:rFonts w:ascii="Times New Roman" w:hAnsi="Times New Roman" w:cs="Times New Roman"/>
          <w:i/>
          <w:iCs/>
          <w:sz w:val="24"/>
          <w:szCs w:val="24"/>
        </w:rPr>
        <w:t>Journal of Experimental Social Psychology, 45</w:t>
      </w:r>
      <w:r w:rsidRPr="00FA161E">
        <w:rPr>
          <w:rFonts w:ascii="Times New Roman" w:hAnsi="Times New Roman" w:cs="Times New Roman"/>
          <w:sz w:val="24"/>
          <w:szCs w:val="24"/>
        </w:rPr>
        <w:t>, 695–707.</w:t>
      </w:r>
    </w:p>
    <w:p w14:paraId="1E4D6D18"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lastRenderedPageBreak/>
        <w:t xml:space="preserve">McLeod, S. A. (2016). Bandura—Social learning theory. Retrieved from </w:t>
      </w:r>
      <w:hyperlink r:id="rId14" w:tgtFrame="_new" w:history="1">
        <w:r w:rsidRPr="00FA161E">
          <w:rPr>
            <w:rStyle w:val="Hyperlink"/>
            <w:rFonts w:ascii="Times New Roman" w:hAnsi="Times New Roman" w:cs="Times New Roman"/>
            <w:sz w:val="24"/>
            <w:szCs w:val="24"/>
          </w:rPr>
          <w:t>http://www.simplypsychology.org/bandura.html</w:t>
        </w:r>
      </w:hyperlink>
    </w:p>
    <w:p w14:paraId="1B5EF0E3"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Muizzuddin, M., </w:t>
      </w:r>
      <w:proofErr w:type="spellStart"/>
      <w:r w:rsidRPr="00FA161E">
        <w:rPr>
          <w:rFonts w:ascii="Times New Roman" w:hAnsi="Times New Roman" w:cs="Times New Roman"/>
          <w:sz w:val="24"/>
          <w:szCs w:val="24"/>
        </w:rPr>
        <w:t>Ghasarma</w:t>
      </w:r>
      <w:proofErr w:type="spellEnd"/>
      <w:r w:rsidRPr="00FA161E">
        <w:rPr>
          <w:rFonts w:ascii="Times New Roman" w:hAnsi="Times New Roman" w:cs="Times New Roman"/>
          <w:sz w:val="24"/>
          <w:szCs w:val="24"/>
        </w:rPr>
        <w:t xml:space="preserve">, R., Adam, M., &amp; others. (2017). Financial literacy: Strategies and concepts in understanding financial planning with self-efficacy theory and goal-setting theory of motivation approach. </w:t>
      </w:r>
      <w:r w:rsidRPr="00FA161E">
        <w:rPr>
          <w:rFonts w:ascii="Times New Roman" w:hAnsi="Times New Roman" w:cs="Times New Roman"/>
          <w:i/>
          <w:iCs/>
          <w:sz w:val="24"/>
          <w:szCs w:val="24"/>
        </w:rPr>
        <w:t>International Journal of Economics and Financial Issues, 7</w:t>
      </w:r>
      <w:r w:rsidRPr="00FA161E">
        <w:rPr>
          <w:rFonts w:ascii="Times New Roman" w:hAnsi="Times New Roman" w:cs="Times New Roman"/>
          <w:sz w:val="24"/>
          <w:szCs w:val="24"/>
        </w:rPr>
        <w:t>(4), 182–188.</w:t>
      </w:r>
    </w:p>
    <w:p w14:paraId="244BECAA"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Naeem, M., Jawaid, S. T., &amp; Mustafa, S. (2023). Evolution of modified TAM associated with e-banking services adoption: A systematic PRISMA review from 1975 to 2021. </w:t>
      </w:r>
      <w:r w:rsidRPr="00FA161E">
        <w:rPr>
          <w:rFonts w:ascii="Times New Roman" w:hAnsi="Times New Roman" w:cs="Times New Roman"/>
          <w:i/>
          <w:iCs/>
          <w:sz w:val="24"/>
          <w:szCs w:val="24"/>
        </w:rPr>
        <w:t>Journal of Modelling in Management, 18</w:t>
      </w:r>
      <w:r w:rsidRPr="00FA161E">
        <w:rPr>
          <w:rFonts w:ascii="Times New Roman" w:hAnsi="Times New Roman" w:cs="Times New Roman"/>
          <w:sz w:val="24"/>
          <w:szCs w:val="24"/>
        </w:rPr>
        <w:t>(3), 942–972.</w:t>
      </w:r>
    </w:p>
    <w:p w14:paraId="0FC2F214"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Nedumaran, G., &amp; </w:t>
      </w:r>
      <w:proofErr w:type="spellStart"/>
      <w:r w:rsidRPr="00FA161E">
        <w:rPr>
          <w:rFonts w:ascii="Times New Roman" w:hAnsi="Times New Roman" w:cs="Times New Roman"/>
          <w:sz w:val="24"/>
          <w:szCs w:val="24"/>
        </w:rPr>
        <w:t>Baladevi</w:t>
      </w:r>
      <w:proofErr w:type="spellEnd"/>
      <w:r w:rsidRPr="00FA161E">
        <w:rPr>
          <w:rFonts w:ascii="Times New Roman" w:hAnsi="Times New Roman" w:cs="Times New Roman"/>
          <w:sz w:val="24"/>
          <w:szCs w:val="24"/>
        </w:rPr>
        <w:t xml:space="preserve">, M. (2018). Pros and cons of online banking services. </w:t>
      </w:r>
      <w:r w:rsidRPr="00FA161E">
        <w:rPr>
          <w:rFonts w:ascii="Times New Roman" w:hAnsi="Times New Roman" w:cs="Times New Roman"/>
          <w:i/>
          <w:iCs/>
          <w:sz w:val="24"/>
          <w:szCs w:val="24"/>
        </w:rPr>
        <w:t>Bodhi International Journal of Research in Humanities, Arts and Science, 2</w:t>
      </w:r>
      <w:r w:rsidRPr="00FA161E">
        <w:rPr>
          <w:rFonts w:ascii="Times New Roman" w:hAnsi="Times New Roman" w:cs="Times New Roman"/>
          <w:sz w:val="24"/>
          <w:szCs w:val="24"/>
        </w:rPr>
        <w:t>(Special Issue 13), 106–109.</w:t>
      </w:r>
    </w:p>
    <w:p w14:paraId="44CDA535" w14:textId="77777777" w:rsidR="0035724C" w:rsidRPr="00FA161E" w:rsidRDefault="0035724C" w:rsidP="00DA3538">
      <w:pPr>
        <w:spacing w:line="276" w:lineRule="auto"/>
        <w:ind w:left="720" w:hanging="360"/>
        <w:jc w:val="both"/>
        <w:rPr>
          <w:rFonts w:ascii="Times New Roman" w:hAnsi="Times New Roman" w:cs="Times New Roman"/>
          <w:sz w:val="24"/>
          <w:szCs w:val="24"/>
        </w:rPr>
      </w:pPr>
      <w:proofErr w:type="spellStart"/>
      <w:r w:rsidRPr="00FA161E">
        <w:rPr>
          <w:rFonts w:ascii="Times New Roman" w:hAnsi="Times New Roman" w:cs="Times New Roman"/>
          <w:sz w:val="24"/>
          <w:szCs w:val="24"/>
        </w:rPr>
        <w:t>Nethananthan</w:t>
      </w:r>
      <w:proofErr w:type="spellEnd"/>
      <w:r w:rsidRPr="00FA161E">
        <w:rPr>
          <w:rFonts w:ascii="Times New Roman" w:hAnsi="Times New Roman" w:cs="Times New Roman"/>
          <w:sz w:val="24"/>
          <w:szCs w:val="24"/>
        </w:rPr>
        <w:t xml:space="preserve">, S., &amp; </w:t>
      </w:r>
      <w:proofErr w:type="spellStart"/>
      <w:r w:rsidRPr="00FA161E">
        <w:rPr>
          <w:rFonts w:ascii="Times New Roman" w:hAnsi="Times New Roman" w:cs="Times New Roman"/>
          <w:sz w:val="24"/>
          <w:szCs w:val="24"/>
        </w:rPr>
        <w:t>Shanmugathas</w:t>
      </w:r>
      <w:proofErr w:type="spellEnd"/>
      <w:r w:rsidRPr="00FA161E">
        <w:rPr>
          <w:rFonts w:ascii="Times New Roman" w:hAnsi="Times New Roman" w:cs="Times New Roman"/>
          <w:sz w:val="24"/>
          <w:szCs w:val="24"/>
        </w:rPr>
        <w:t xml:space="preserve">, S. (2018). Exploring the factors influencing adoption of internet banking in Jaffna District. </w:t>
      </w:r>
      <w:r w:rsidRPr="00FA161E">
        <w:rPr>
          <w:rFonts w:ascii="Times New Roman" w:hAnsi="Times New Roman" w:cs="Times New Roman"/>
          <w:i/>
          <w:iCs/>
          <w:sz w:val="24"/>
          <w:szCs w:val="24"/>
        </w:rPr>
        <w:t>International Journal of Recent Scientific Research, 9</w:t>
      </w:r>
      <w:r w:rsidRPr="00FA161E">
        <w:rPr>
          <w:rFonts w:ascii="Times New Roman" w:hAnsi="Times New Roman" w:cs="Times New Roman"/>
          <w:sz w:val="24"/>
          <w:szCs w:val="24"/>
        </w:rPr>
        <w:t>(4L), 26404–26415.</w:t>
      </w:r>
    </w:p>
    <w:p w14:paraId="2047C815"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OECD/INFE. (2023). </w:t>
      </w:r>
      <w:r w:rsidRPr="00FA161E">
        <w:rPr>
          <w:rFonts w:ascii="Times New Roman" w:hAnsi="Times New Roman" w:cs="Times New Roman"/>
          <w:i/>
          <w:iCs/>
          <w:sz w:val="24"/>
          <w:szCs w:val="24"/>
        </w:rPr>
        <w:t>OECD/INFE 2023 international survey of adult financial literacy</w:t>
      </w:r>
      <w:r w:rsidRPr="00FA161E">
        <w:rPr>
          <w:rFonts w:ascii="Times New Roman" w:hAnsi="Times New Roman" w:cs="Times New Roman"/>
          <w:sz w:val="24"/>
          <w:szCs w:val="24"/>
        </w:rPr>
        <w:t>. OECD Publishing.</w:t>
      </w:r>
    </w:p>
    <w:p w14:paraId="7CD3A1B2"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OECD. (2018). </w:t>
      </w:r>
      <w:r w:rsidRPr="00FA161E">
        <w:rPr>
          <w:rFonts w:ascii="Times New Roman" w:hAnsi="Times New Roman" w:cs="Times New Roman"/>
          <w:i/>
          <w:iCs/>
          <w:sz w:val="24"/>
          <w:szCs w:val="24"/>
        </w:rPr>
        <w:t>PISA 2018 assessment and analytical framework.</w:t>
      </w:r>
      <w:r w:rsidRPr="00FA161E">
        <w:rPr>
          <w:rFonts w:ascii="Times New Roman" w:hAnsi="Times New Roman" w:cs="Times New Roman"/>
          <w:sz w:val="24"/>
          <w:szCs w:val="24"/>
        </w:rPr>
        <w:t xml:space="preserve"> </w:t>
      </w:r>
      <w:proofErr w:type="spellStart"/>
      <w:r w:rsidRPr="00FA161E">
        <w:rPr>
          <w:rFonts w:ascii="Times New Roman" w:hAnsi="Times New Roman" w:cs="Times New Roman"/>
          <w:sz w:val="24"/>
          <w:szCs w:val="24"/>
        </w:rPr>
        <w:t>Organisation</w:t>
      </w:r>
      <w:proofErr w:type="spellEnd"/>
      <w:r w:rsidRPr="00FA161E">
        <w:rPr>
          <w:rFonts w:ascii="Times New Roman" w:hAnsi="Times New Roman" w:cs="Times New Roman"/>
          <w:sz w:val="24"/>
          <w:szCs w:val="24"/>
        </w:rPr>
        <w:t xml:space="preserve"> for Economic Co-operation and Development.</w:t>
      </w:r>
    </w:p>
    <w:p w14:paraId="5DEF2239"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Pinto, A. C. Q., Cordeiro, M. C. R., &amp; De Andrade, S. R. M. (2005). </w:t>
      </w:r>
      <w:r w:rsidRPr="00FA161E">
        <w:rPr>
          <w:rFonts w:ascii="Times New Roman" w:hAnsi="Times New Roman" w:cs="Times New Roman"/>
          <w:i/>
          <w:iCs/>
          <w:sz w:val="24"/>
          <w:szCs w:val="24"/>
        </w:rPr>
        <w:t>Annona species</w:t>
      </w:r>
      <w:r w:rsidRPr="00FA161E">
        <w:rPr>
          <w:rFonts w:ascii="Times New Roman" w:hAnsi="Times New Roman" w:cs="Times New Roman"/>
          <w:sz w:val="24"/>
          <w:szCs w:val="24"/>
        </w:rPr>
        <w:t xml:space="preserve">. International Centre for </w:t>
      </w:r>
      <w:proofErr w:type="spellStart"/>
      <w:r w:rsidRPr="00FA161E">
        <w:rPr>
          <w:rFonts w:ascii="Times New Roman" w:hAnsi="Times New Roman" w:cs="Times New Roman"/>
          <w:sz w:val="24"/>
          <w:szCs w:val="24"/>
        </w:rPr>
        <w:t>Underutilised</w:t>
      </w:r>
      <w:proofErr w:type="spellEnd"/>
      <w:r w:rsidRPr="00FA161E">
        <w:rPr>
          <w:rFonts w:ascii="Times New Roman" w:hAnsi="Times New Roman" w:cs="Times New Roman"/>
          <w:sz w:val="24"/>
          <w:szCs w:val="24"/>
        </w:rPr>
        <w:t xml:space="preserve"> Crops, University of Southampton.</w:t>
      </w:r>
    </w:p>
    <w:p w14:paraId="3A00C896"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Rahim, S., Murshed, M., Umarbeyli, S., </w:t>
      </w:r>
      <w:proofErr w:type="spellStart"/>
      <w:r w:rsidRPr="00FA161E">
        <w:rPr>
          <w:rFonts w:ascii="Times New Roman" w:hAnsi="Times New Roman" w:cs="Times New Roman"/>
          <w:sz w:val="24"/>
          <w:szCs w:val="24"/>
        </w:rPr>
        <w:t>Kirikkale</w:t>
      </w:r>
      <w:proofErr w:type="spellEnd"/>
      <w:r w:rsidRPr="00FA161E">
        <w:rPr>
          <w:rFonts w:ascii="Times New Roman" w:hAnsi="Times New Roman" w:cs="Times New Roman"/>
          <w:sz w:val="24"/>
          <w:szCs w:val="24"/>
        </w:rPr>
        <w:t xml:space="preserve">, D., Ahmad, M., Tufail, M., &amp; Wahab, S. (2021). Do natural resources abundance and human capital development promote economic growth? A study on the resource curse hypothesis in Next Eleven countries. </w:t>
      </w:r>
      <w:r w:rsidRPr="00FA161E">
        <w:rPr>
          <w:rFonts w:ascii="Times New Roman" w:hAnsi="Times New Roman" w:cs="Times New Roman"/>
          <w:i/>
          <w:iCs/>
          <w:sz w:val="24"/>
          <w:szCs w:val="24"/>
        </w:rPr>
        <w:t>Resources and Environment</w:t>
      </w:r>
      <w:r w:rsidRPr="00FA161E">
        <w:rPr>
          <w:rFonts w:ascii="Times New Roman" w:hAnsi="Times New Roman" w:cs="Times New Roman"/>
          <w:sz w:val="24"/>
          <w:szCs w:val="24"/>
        </w:rPr>
        <w:t xml:space="preserve">. Retrieved from </w:t>
      </w:r>
      <w:hyperlink r:id="rId15" w:tgtFrame="_new" w:history="1">
        <w:r w:rsidRPr="00FA161E">
          <w:rPr>
            <w:rStyle w:val="Hyperlink"/>
            <w:rFonts w:ascii="Times New Roman" w:hAnsi="Times New Roman" w:cs="Times New Roman"/>
            <w:sz w:val="24"/>
            <w:szCs w:val="24"/>
          </w:rPr>
          <w:t>https://www.elsevier.com/locate/resenv</w:t>
        </w:r>
      </w:hyperlink>
    </w:p>
    <w:p w14:paraId="4B1C0134" w14:textId="77777777" w:rsidR="0035724C" w:rsidRPr="00FA161E" w:rsidRDefault="0035724C" w:rsidP="00DA3538">
      <w:pPr>
        <w:spacing w:line="276" w:lineRule="auto"/>
        <w:ind w:left="720" w:hanging="360"/>
        <w:jc w:val="both"/>
        <w:rPr>
          <w:rFonts w:ascii="Times New Roman" w:hAnsi="Times New Roman" w:cs="Times New Roman"/>
          <w:sz w:val="24"/>
          <w:szCs w:val="24"/>
        </w:rPr>
      </w:pPr>
      <w:proofErr w:type="spellStart"/>
      <w:r w:rsidRPr="00FA161E">
        <w:rPr>
          <w:rFonts w:ascii="Times New Roman" w:hAnsi="Times New Roman" w:cs="Times New Roman"/>
          <w:sz w:val="24"/>
          <w:szCs w:val="24"/>
        </w:rPr>
        <w:t>Satoto</w:t>
      </w:r>
      <w:proofErr w:type="spellEnd"/>
      <w:r w:rsidRPr="00FA161E">
        <w:rPr>
          <w:rFonts w:ascii="Times New Roman" w:hAnsi="Times New Roman" w:cs="Times New Roman"/>
          <w:sz w:val="24"/>
          <w:szCs w:val="24"/>
        </w:rPr>
        <w:t xml:space="preserve">, S. H., Kurniawan, H. N., &amp; Putra, H. (2021). The effect of financial literacy and other determinants on the intention to use electronic money: Consumer behavior as a variable mediation. </w:t>
      </w:r>
      <w:r w:rsidRPr="00FA161E">
        <w:rPr>
          <w:rFonts w:ascii="Times New Roman" w:hAnsi="Times New Roman" w:cs="Times New Roman"/>
          <w:i/>
          <w:iCs/>
          <w:sz w:val="24"/>
          <w:szCs w:val="24"/>
        </w:rPr>
        <w:t>International Journal of Applied Business and International Management, 6</w:t>
      </w:r>
      <w:r w:rsidRPr="00FA161E">
        <w:rPr>
          <w:rFonts w:ascii="Times New Roman" w:hAnsi="Times New Roman" w:cs="Times New Roman"/>
          <w:sz w:val="24"/>
          <w:szCs w:val="24"/>
        </w:rPr>
        <w:t>(3), 23–34.</w:t>
      </w:r>
    </w:p>
    <w:p w14:paraId="0C66F226" w14:textId="77777777" w:rsidR="0035724C" w:rsidRPr="00FA161E" w:rsidRDefault="0035724C" w:rsidP="00DA3538">
      <w:pPr>
        <w:spacing w:line="276" w:lineRule="auto"/>
        <w:ind w:left="720" w:hanging="360"/>
        <w:jc w:val="both"/>
        <w:rPr>
          <w:rFonts w:ascii="Times New Roman" w:hAnsi="Times New Roman" w:cs="Times New Roman"/>
          <w:sz w:val="24"/>
          <w:szCs w:val="24"/>
        </w:rPr>
      </w:pPr>
      <w:proofErr w:type="spellStart"/>
      <w:r w:rsidRPr="00FA161E">
        <w:rPr>
          <w:rFonts w:ascii="Times New Roman" w:hAnsi="Times New Roman" w:cs="Times New Roman"/>
          <w:sz w:val="24"/>
          <w:szCs w:val="24"/>
        </w:rPr>
        <w:t>Servon</w:t>
      </w:r>
      <w:proofErr w:type="spellEnd"/>
      <w:r w:rsidRPr="00FA161E">
        <w:rPr>
          <w:rFonts w:ascii="Times New Roman" w:hAnsi="Times New Roman" w:cs="Times New Roman"/>
          <w:sz w:val="24"/>
          <w:szCs w:val="24"/>
        </w:rPr>
        <w:t xml:space="preserve">, L., &amp; Kaestner, R. (2008). Consumer financial literacy and the impact of online banking on the financial behavior of lower-income bank customers. </w:t>
      </w:r>
      <w:r w:rsidRPr="00FA161E">
        <w:rPr>
          <w:rFonts w:ascii="Times New Roman" w:hAnsi="Times New Roman" w:cs="Times New Roman"/>
          <w:i/>
          <w:iCs/>
          <w:sz w:val="24"/>
          <w:szCs w:val="24"/>
        </w:rPr>
        <w:t>Journal of Consumer Affairs, 42</w:t>
      </w:r>
      <w:r w:rsidRPr="00FA161E">
        <w:rPr>
          <w:rFonts w:ascii="Times New Roman" w:hAnsi="Times New Roman" w:cs="Times New Roman"/>
          <w:sz w:val="24"/>
          <w:szCs w:val="24"/>
        </w:rPr>
        <w:t>(2), 271–305.</w:t>
      </w:r>
    </w:p>
    <w:p w14:paraId="64644F81"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Shaikh, A. A., &amp; </w:t>
      </w:r>
      <w:proofErr w:type="spellStart"/>
      <w:r w:rsidRPr="00FA161E">
        <w:rPr>
          <w:rFonts w:ascii="Times New Roman" w:hAnsi="Times New Roman" w:cs="Times New Roman"/>
          <w:sz w:val="24"/>
          <w:szCs w:val="24"/>
        </w:rPr>
        <w:t>Karjaluoto</w:t>
      </w:r>
      <w:proofErr w:type="spellEnd"/>
      <w:r w:rsidRPr="00FA161E">
        <w:rPr>
          <w:rFonts w:ascii="Times New Roman" w:hAnsi="Times New Roman" w:cs="Times New Roman"/>
          <w:sz w:val="24"/>
          <w:szCs w:val="24"/>
        </w:rPr>
        <w:t xml:space="preserve">, H. (2015). Mobile banking adoption: A literature review. </w:t>
      </w:r>
      <w:r w:rsidRPr="00FA161E">
        <w:rPr>
          <w:rFonts w:ascii="Times New Roman" w:hAnsi="Times New Roman" w:cs="Times New Roman"/>
          <w:i/>
          <w:iCs/>
          <w:sz w:val="24"/>
          <w:szCs w:val="24"/>
        </w:rPr>
        <w:t>Telematics and Informatics, 32</w:t>
      </w:r>
      <w:r w:rsidRPr="00FA161E">
        <w:rPr>
          <w:rFonts w:ascii="Times New Roman" w:hAnsi="Times New Roman" w:cs="Times New Roman"/>
          <w:sz w:val="24"/>
          <w:szCs w:val="24"/>
        </w:rPr>
        <w:t xml:space="preserve">, 129–142. </w:t>
      </w:r>
      <w:hyperlink r:id="rId16" w:tgtFrame="_new" w:history="1">
        <w:r w:rsidRPr="00FA161E">
          <w:rPr>
            <w:rStyle w:val="Hyperlink"/>
            <w:rFonts w:ascii="Times New Roman" w:hAnsi="Times New Roman" w:cs="Times New Roman"/>
            <w:sz w:val="24"/>
            <w:szCs w:val="24"/>
          </w:rPr>
          <w:t>https://doi.org/10.1016/j.tele.2014.05.003</w:t>
        </w:r>
      </w:hyperlink>
    </w:p>
    <w:p w14:paraId="774AEE70"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Thomas, H., Smith, R. R., &amp; Diez, F. (2013). </w:t>
      </w:r>
      <w:r w:rsidRPr="00FA161E">
        <w:rPr>
          <w:rFonts w:ascii="Times New Roman" w:hAnsi="Times New Roman" w:cs="Times New Roman"/>
          <w:i/>
          <w:iCs/>
          <w:sz w:val="24"/>
          <w:szCs w:val="24"/>
        </w:rPr>
        <w:t>Human capital and global business strategy</w:t>
      </w:r>
      <w:r w:rsidRPr="00FA161E">
        <w:rPr>
          <w:rFonts w:ascii="Times New Roman" w:hAnsi="Times New Roman" w:cs="Times New Roman"/>
          <w:sz w:val="24"/>
          <w:szCs w:val="24"/>
        </w:rPr>
        <w:t xml:space="preserve">. Cambridge University Press. </w:t>
      </w:r>
      <w:hyperlink r:id="rId17" w:tgtFrame="_new" w:history="1">
        <w:r w:rsidRPr="00FA161E">
          <w:rPr>
            <w:rStyle w:val="Hyperlink"/>
            <w:rFonts w:ascii="Times New Roman" w:hAnsi="Times New Roman" w:cs="Times New Roman"/>
            <w:sz w:val="24"/>
            <w:szCs w:val="24"/>
          </w:rPr>
          <w:t>https://doi.org/10.1017/CBO9781139519380</w:t>
        </w:r>
      </w:hyperlink>
    </w:p>
    <w:p w14:paraId="10AA3215" w14:textId="77777777" w:rsidR="0035724C" w:rsidRPr="00FA161E" w:rsidRDefault="0035724C" w:rsidP="00DA3538">
      <w:pPr>
        <w:spacing w:line="276" w:lineRule="auto"/>
        <w:ind w:left="720" w:hanging="360"/>
        <w:jc w:val="both"/>
        <w:rPr>
          <w:rFonts w:ascii="Times New Roman" w:hAnsi="Times New Roman" w:cs="Times New Roman"/>
          <w:sz w:val="24"/>
          <w:szCs w:val="24"/>
        </w:rPr>
      </w:pPr>
      <w:proofErr w:type="spellStart"/>
      <w:r w:rsidRPr="00FA161E">
        <w:rPr>
          <w:rFonts w:ascii="Times New Roman" w:hAnsi="Times New Roman" w:cs="Times New Roman"/>
          <w:sz w:val="24"/>
          <w:szCs w:val="24"/>
        </w:rPr>
        <w:lastRenderedPageBreak/>
        <w:t>Unyathanakorn</w:t>
      </w:r>
      <w:proofErr w:type="spellEnd"/>
      <w:r w:rsidRPr="00FA161E">
        <w:rPr>
          <w:rFonts w:ascii="Times New Roman" w:hAnsi="Times New Roman" w:cs="Times New Roman"/>
          <w:sz w:val="24"/>
          <w:szCs w:val="24"/>
        </w:rPr>
        <w:t xml:space="preserve">, K., &amp; </w:t>
      </w:r>
      <w:proofErr w:type="spellStart"/>
      <w:r w:rsidRPr="00FA161E">
        <w:rPr>
          <w:rFonts w:ascii="Times New Roman" w:hAnsi="Times New Roman" w:cs="Times New Roman"/>
          <w:sz w:val="24"/>
          <w:szCs w:val="24"/>
        </w:rPr>
        <w:t>Rompho</w:t>
      </w:r>
      <w:proofErr w:type="spellEnd"/>
      <w:r w:rsidRPr="00FA161E">
        <w:rPr>
          <w:rFonts w:ascii="Times New Roman" w:hAnsi="Times New Roman" w:cs="Times New Roman"/>
          <w:sz w:val="24"/>
          <w:szCs w:val="24"/>
        </w:rPr>
        <w:t xml:space="preserve">, N. (2014). Factors affecting customer satisfaction in online banking service. </w:t>
      </w:r>
      <w:r w:rsidRPr="00FA161E">
        <w:rPr>
          <w:rFonts w:ascii="Times New Roman" w:hAnsi="Times New Roman" w:cs="Times New Roman"/>
          <w:i/>
          <w:iCs/>
          <w:sz w:val="24"/>
          <w:szCs w:val="24"/>
        </w:rPr>
        <w:t>Journal of Marketing Development and Competitiveness, 8</w:t>
      </w:r>
      <w:r w:rsidRPr="00FA161E">
        <w:rPr>
          <w:rFonts w:ascii="Times New Roman" w:hAnsi="Times New Roman" w:cs="Times New Roman"/>
          <w:sz w:val="24"/>
          <w:szCs w:val="24"/>
        </w:rPr>
        <w:t>(2), 50–60.</w:t>
      </w:r>
    </w:p>
    <w:p w14:paraId="6C4FF89D" w14:textId="77777777" w:rsidR="0035724C" w:rsidRPr="00FA161E" w:rsidRDefault="0035724C" w:rsidP="00DA3538">
      <w:pPr>
        <w:spacing w:line="276" w:lineRule="auto"/>
        <w:ind w:left="720" w:hanging="360"/>
        <w:jc w:val="both"/>
        <w:rPr>
          <w:rFonts w:ascii="Times New Roman" w:hAnsi="Times New Roman" w:cs="Times New Roman"/>
          <w:sz w:val="24"/>
          <w:szCs w:val="24"/>
        </w:rPr>
      </w:pPr>
      <w:proofErr w:type="spellStart"/>
      <w:r w:rsidRPr="00FA161E">
        <w:rPr>
          <w:rFonts w:ascii="Times New Roman" w:hAnsi="Times New Roman" w:cs="Times New Roman"/>
          <w:sz w:val="24"/>
          <w:szCs w:val="24"/>
        </w:rPr>
        <w:t>Weyu</w:t>
      </w:r>
      <w:proofErr w:type="spellEnd"/>
      <w:r w:rsidRPr="00FA161E">
        <w:rPr>
          <w:rFonts w:ascii="Times New Roman" w:hAnsi="Times New Roman" w:cs="Times New Roman"/>
          <w:sz w:val="24"/>
          <w:szCs w:val="24"/>
        </w:rPr>
        <w:t xml:space="preserve">, M., &amp; </w:t>
      </w:r>
      <w:proofErr w:type="spellStart"/>
      <w:r w:rsidRPr="00FA161E">
        <w:rPr>
          <w:rFonts w:ascii="Times New Roman" w:hAnsi="Times New Roman" w:cs="Times New Roman"/>
          <w:sz w:val="24"/>
          <w:szCs w:val="24"/>
        </w:rPr>
        <w:t>Ngare</w:t>
      </w:r>
      <w:proofErr w:type="spellEnd"/>
      <w:r w:rsidRPr="00FA161E">
        <w:rPr>
          <w:rFonts w:ascii="Times New Roman" w:hAnsi="Times New Roman" w:cs="Times New Roman"/>
          <w:sz w:val="24"/>
          <w:szCs w:val="24"/>
        </w:rPr>
        <w:t xml:space="preserve">, P. (2013). Factor analysis of customers' perception of mobile banking services in Kenya. </w:t>
      </w:r>
      <w:r w:rsidRPr="00FA161E">
        <w:rPr>
          <w:rFonts w:ascii="Times New Roman" w:hAnsi="Times New Roman" w:cs="Times New Roman"/>
          <w:i/>
          <w:iCs/>
          <w:sz w:val="24"/>
          <w:szCs w:val="24"/>
        </w:rPr>
        <w:t>Journal of Emerging Trends in Economics and Management Sciences, 5</w:t>
      </w:r>
      <w:r w:rsidRPr="00FA161E">
        <w:rPr>
          <w:rFonts w:ascii="Times New Roman" w:hAnsi="Times New Roman" w:cs="Times New Roman"/>
          <w:sz w:val="24"/>
          <w:szCs w:val="24"/>
        </w:rPr>
        <w:t>(1), 1–8.</w:t>
      </w:r>
    </w:p>
    <w:p w14:paraId="53018696"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Xiao, J. J., Chen, C., &amp; Sun, L. (2015). Age differences in consumer financial capability. </w:t>
      </w:r>
      <w:r w:rsidRPr="00FA161E">
        <w:rPr>
          <w:rFonts w:ascii="Times New Roman" w:hAnsi="Times New Roman" w:cs="Times New Roman"/>
          <w:i/>
          <w:iCs/>
          <w:sz w:val="24"/>
          <w:szCs w:val="24"/>
        </w:rPr>
        <w:t>International Journal of Consumer Studies, 39</w:t>
      </w:r>
      <w:r w:rsidRPr="00FA161E">
        <w:rPr>
          <w:rFonts w:ascii="Times New Roman" w:hAnsi="Times New Roman" w:cs="Times New Roman"/>
          <w:sz w:val="24"/>
          <w:szCs w:val="24"/>
        </w:rPr>
        <w:t>(4), 1–30.</w:t>
      </w:r>
    </w:p>
    <w:p w14:paraId="7C950387" w14:textId="77777777" w:rsidR="0035724C" w:rsidRPr="006173BE" w:rsidRDefault="0035724C" w:rsidP="00DA3538">
      <w:pPr>
        <w:spacing w:line="276" w:lineRule="auto"/>
        <w:ind w:left="720" w:hanging="360"/>
        <w:jc w:val="both"/>
        <w:rPr>
          <w:rFonts w:ascii="Times New Roman" w:hAnsi="Times New Roman" w:cs="Times New Roman"/>
          <w:sz w:val="24"/>
          <w:szCs w:val="24"/>
        </w:rPr>
      </w:pPr>
      <w:proofErr w:type="spellStart"/>
      <w:r w:rsidRPr="00FA161E">
        <w:rPr>
          <w:rFonts w:ascii="Times New Roman" w:hAnsi="Times New Roman" w:cs="Times New Roman"/>
          <w:sz w:val="24"/>
          <w:szCs w:val="24"/>
        </w:rPr>
        <w:t>Yugandhara</w:t>
      </w:r>
      <w:proofErr w:type="spellEnd"/>
      <w:r w:rsidRPr="00FA161E">
        <w:rPr>
          <w:rFonts w:ascii="Times New Roman" w:hAnsi="Times New Roman" w:cs="Times New Roman"/>
          <w:sz w:val="24"/>
          <w:szCs w:val="24"/>
        </w:rPr>
        <w:t xml:space="preserve">, R. Y. (2023). Online gambling &amp; betting market scope &amp; outlook 2023. </w:t>
      </w:r>
      <w:r w:rsidRPr="00FA161E">
        <w:rPr>
          <w:rFonts w:ascii="Times New Roman" w:hAnsi="Times New Roman" w:cs="Times New Roman"/>
          <w:i/>
          <w:iCs/>
          <w:sz w:val="24"/>
          <w:szCs w:val="24"/>
        </w:rPr>
        <w:t>Online gambling &amp; betting market size and share report 2023</w:t>
      </w:r>
      <w:r w:rsidRPr="00FA161E">
        <w:rPr>
          <w:rFonts w:ascii="Times New Roman" w:hAnsi="Times New Roman" w:cs="Times New Roman"/>
          <w:sz w:val="24"/>
          <w:szCs w:val="24"/>
        </w:rPr>
        <w:t xml:space="preserve">. Retrieved from </w:t>
      </w:r>
      <w:hyperlink r:id="rId18" w:tgtFrame="_new" w:history="1">
        <w:r w:rsidRPr="00FA161E">
          <w:rPr>
            <w:rStyle w:val="Hyperlink"/>
            <w:rFonts w:ascii="Times New Roman" w:hAnsi="Times New Roman" w:cs="Times New Roman"/>
            <w:sz w:val="24"/>
            <w:szCs w:val="24"/>
          </w:rPr>
          <w:t>https://www.researchgate.net/publication/373143396_Online_Gambling_Betting_Market_Size_and_Share_Report_2023</w:t>
        </w:r>
      </w:hyperlink>
    </w:p>
    <w:p w14:paraId="7BB5467A" w14:textId="77777777" w:rsidR="0035724C" w:rsidRPr="006173BE" w:rsidRDefault="0035724C" w:rsidP="00DA3538">
      <w:pPr>
        <w:spacing w:line="276" w:lineRule="auto"/>
        <w:ind w:left="720" w:hanging="360"/>
        <w:rPr>
          <w:rFonts w:ascii="Times New Roman" w:hAnsi="Times New Roman" w:cs="Times New Roman"/>
          <w:sz w:val="24"/>
          <w:szCs w:val="24"/>
        </w:rPr>
      </w:pPr>
    </w:p>
    <w:p w14:paraId="4F36FC2F" w14:textId="77777777" w:rsidR="0035724C" w:rsidRPr="00E737F2" w:rsidRDefault="0035724C" w:rsidP="00DA3538">
      <w:pPr>
        <w:spacing w:line="276" w:lineRule="auto"/>
        <w:jc w:val="both"/>
        <w:rPr>
          <w:rFonts w:ascii="Times New Roman" w:hAnsi="Times New Roman" w:cs="Times New Roman"/>
          <w:sz w:val="24"/>
          <w:szCs w:val="24"/>
        </w:rPr>
      </w:pPr>
    </w:p>
    <w:sectPr w:rsidR="0035724C" w:rsidRPr="00E737F2" w:rsidSect="00534356">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4ABE6" w14:textId="77777777" w:rsidR="00480563" w:rsidRDefault="00480563" w:rsidP="00E46BDC">
      <w:pPr>
        <w:spacing w:after="0" w:line="240" w:lineRule="auto"/>
      </w:pPr>
      <w:r>
        <w:separator/>
      </w:r>
    </w:p>
  </w:endnote>
  <w:endnote w:type="continuationSeparator" w:id="0">
    <w:p w14:paraId="0E06718F" w14:textId="77777777" w:rsidR="00480563" w:rsidRDefault="00480563" w:rsidP="00E46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Iskoola Pota">
    <w:altName w:val="Iskoola Pota"/>
    <w:charset w:val="00"/>
    <w:family w:val="swiss"/>
    <w:pitch w:val="variable"/>
    <w:sig w:usb0="00000003" w:usb1="00000000" w:usb2="000002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052F6" w14:textId="77777777" w:rsidR="00E46BDC" w:rsidRDefault="00E46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C744E" w14:textId="77777777" w:rsidR="00E46BDC" w:rsidRDefault="00E46B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3A5F7" w14:textId="77777777" w:rsidR="00E46BDC" w:rsidRDefault="00E46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FD36B" w14:textId="77777777" w:rsidR="00480563" w:rsidRDefault="00480563" w:rsidP="00E46BDC">
      <w:pPr>
        <w:spacing w:after="0" w:line="240" w:lineRule="auto"/>
      </w:pPr>
      <w:r>
        <w:separator/>
      </w:r>
    </w:p>
  </w:footnote>
  <w:footnote w:type="continuationSeparator" w:id="0">
    <w:p w14:paraId="6EF2FCEA" w14:textId="77777777" w:rsidR="00480563" w:rsidRDefault="00480563" w:rsidP="00E46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1760D" w14:textId="00F249AF" w:rsidR="00E46BDC" w:rsidRDefault="00E46BDC">
    <w:pPr>
      <w:pStyle w:val="Header"/>
    </w:pPr>
    <w:r>
      <w:rPr>
        <w:noProof/>
      </w:rPr>
      <w:pict w14:anchorId="2AB51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893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6D1FF" w14:textId="7CE8EA9D" w:rsidR="00E46BDC" w:rsidRDefault="00E46BDC">
    <w:pPr>
      <w:pStyle w:val="Header"/>
    </w:pPr>
    <w:r>
      <w:rPr>
        <w:noProof/>
      </w:rPr>
      <w:pict w14:anchorId="62EB6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893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C4784" w14:textId="6A68D1E2" w:rsidR="00E46BDC" w:rsidRDefault="00E46BDC">
    <w:pPr>
      <w:pStyle w:val="Header"/>
    </w:pPr>
    <w:r>
      <w:rPr>
        <w:noProof/>
      </w:rPr>
      <w:pict w14:anchorId="6D40C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893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7355B"/>
    <w:multiLevelType w:val="multilevel"/>
    <w:tmpl w:val="1D4C3F98"/>
    <w:lvl w:ilvl="0">
      <w:start w:val="1"/>
      <w:numFmt w:val="decimalZero"/>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F2D3B0A"/>
    <w:multiLevelType w:val="hybridMultilevel"/>
    <w:tmpl w:val="9E28D1CE"/>
    <w:lvl w:ilvl="0" w:tplc="44C46C6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CC"/>
    <w:rsid w:val="00002764"/>
    <w:rsid w:val="000121BE"/>
    <w:rsid w:val="000134ED"/>
    <w:rsid w:val="0001780A"/>
    <w:rsid w:val="00023018"/>
    <w:rsid w:val="00034029"/>
    <w:rsid w:val="00040046"/>
    <w:rsid w:val="0004476E"/>
    <w:rsid w:val="0005163B"/>
    <w:rsid w:val="000769AA"/>
    <w:rsid w:val="00077E20"/>
    <w:rsid w:val="00094891"/>
    <w:rsid w:val="00097BC7"/>
    <w:rsid w:val="000A153F"/>
    <w:rsid w:val="000A3FCF"/>
    <w:rsid w:val="000C4715"/>
    <w:rsid w:val="000D1B45"/>
    <w:rsid w:val="000F657E"/>
    <w:rsid w:val="00116AAD"/>
    <w:rsid w:val="00122232"/>
    <w:rsid w:val="00134287"/>
    <w:rsid w:val="001376AD"/>
    <w:rsid w:val="00141E12"/>
    <w:rsid w:val="00142062"/>
    <w:rsid w:val="00144E37"/>
    <w:rsid w:val="001570F7"/>
    <w:rsid w:val="001951B5"/>
    <w:rsid w:val="001965E6"/>
    <w:rsid w:val="001B2F93"/>
    <w:rsid w:val="001B7C18"/>
    <w:rsid w:val="001C1481"/>
    <w:rsid w:val="001C27E0"/>
    <w:rsid w:val="001E5AC9"/>
    <w:rsid w:val="001E755C"/>
    <w:rsid w:val="001F61B0"/>
    <w:rsid w:val="00203A3E"/>
    <w:rsid w:val="0022216A"/>
    <w:rsid w:val="002230B7"/>
    <w:rsid w:val="002241F2"/>
    <w:rsid w:val="00234A17"/>
    <w:rsid w:val="00287962"/>
    <w:rsid w:val="002A03FB"/>
    <w:rsid w:val="002A350C"/>
    <w:rsid w:val="002A361A"/>
    <w:rsid w:val="002A59A1"/>
    <w:rsid w:val="002A76B7"/>
    <w:rsid w:val="002B1A01"/>
    <w:rsid w:val="002B5610"/>
    <w:rsid w:val="002B716B"/>
    <w:rsid w:val="002C2689"/>
    <w:rsid w:val="002C29A6"/>
    <w:rsid w:val="002D263B"/>
    <w:rsid w:val="002E773E"/>
    <w:rsid w:val="002F0F1D"/>
    <w:rsid w:val="00306A5E"/>
    <w:rsid w:val="00342100"/>
    <w:rsid w:val="00342763"/>
    <w:rsid w:val="0035724C"/>
    <w:rsid w:val="00360A3E"/>
    <w:rsid w:val="00364123"/>
    <w:rsid w:val="0037056A"/>
    <w:rsid w:val="00371154"/>
    <w:rsid w:val="00372B8F"/>
    <w:rsid w:val="00383635"/>
    <w:rsid w:val="00392AAC"/>
    <w:rsid w:val="0039510D"/>
    <w:rsid w:val="003B425A"/>
    <w:rsid w:val="003D2D8C"/>
    <w:rsid w:val="00405FFE"/>
    <w:rsid w:val="00423AC5"/>
    <w:rsid w:val="00433163"/>
    <w:rsid w:val="0044213A"/>
    <w:rsid w:val="00444AA3"/>
    <w:rsid w:val="0046104F"/>
    <w:rsid w:val="00464BD5"/>
    <w:rsid w:val="0046508F"/>
    <w:rsid w:val="00467436"/>
    <w:rsid w:val="0047479A"/>
    <w:rsid w:val="0047787E"/>
    <w:rsid w:val="00480563"/>
    <w:rsid w:val="00482A8A"/>
    <w:rsid w:val="0048662F"/>
    <w:rsid w:val="0048784A"/>
    <w:rsid w:val="004D0D47"/>
    <w:rsid w:val="004D1FA3"/>
    <w:rsid w:val="004D3660"/>
    <w:rsid w:val="004D54F5"/>
    <w:rsid w:val="004D5E1F"/>
    <w:rsid w:val="004E2527"/>
    <w:rsid w:val="00501984"/>
    <w:rsid w:val="00505061"/>
    <w:rsid w:val="00505D9F"/>
    <w:rsid w:val="005062BF"/>
    <w:rsid w:val="00513168"/>
    <w:rsid w:val="00516231"/>
    <w:rsid w:val="0051658A"/>
    <w:rsid w:val="00534356"/>
    <w:rsid w:val="005358F1"/>
    <w:rsid w:val="00551482"/>
    <w:rsid w:val="00566B4B"/>
    <w:rsid w:val="00573FB5"/>
    <w:rsid w:val="00583A93"/>
    <w:rsid w:val="00586F0F"/>
    <w:rsid w:val="005A030D"/>
    <w:rsid w:val="005C3791"/>
    <w:rsid w:val="005C6DC1"/>
    <w:rsid w:val="005D2476"/>
    <w:rsid w:val="005E001F"/>
    <w:rsid w:val="005E5410"/>
    <w:rsid w:val="005F6D8A"/>
    <w:rsid w:val="0060571E"/>
    <w:rsid w:val="00617329"/>
    <w:rsid w:val="006242DD"/>
    <w:rsid w:val="0063712B"/>
    <w:rsid w:val="00665B13"/>
    <w:rsid w:val="0067092F"/>
    <w:rsid w:val="00671350"/>
    <w:rsid w:val="006900CC"/>
    <w:rsid w:val="00691955"/>
    <w:rsid w:val="0069281F"/>
    <w:rsid w:val="006A1EBB"/>
    <w:rsid w:val="006C433C"/>
    <w:rsid w:val="006C7963"/>
    <w:rsid w:val="006C7FE0"/>
    <w:rsid w:val="006D09B0"/>
    <w:rsid w:val="006D1FA4"/>
    <w:rsid w:val="006E0429"/>
    <w:rsid w:val="006E3EB0"/>
    <w:rsid w:val="006F6BF9"/>
    <w:rsid w:val="00722112"/>
    <w:rsid w:val="007409BE"/>
    <w:rsid w:val="00741958"/>
    <w:rsid w:val="00782A33"/>
    <w:rsid w:val="00784E83"/>
    <w:rsid w:val="00797D5D"/>
    <w:rsid w:val="007A0E8F"/>
    <w:rsid w:val="007C4924"/>
    <w:rsid w:val="007C498C"/>
    <w:rsid w:val="007E4656"/>
    <w:rsid w:val="007F317A"/>
    <w:rsid w:val="007F5D2C"/>
    <w:rsid w:val="00800F64"/>
    <w:rsid w:val="00812143"/>
    <w:rsid w:val="008361BE"/>
    <w:rsid w:val="00836437"/>
    <w:rsid w:val="008474F4"/>
    <w:rsid w:val="00860B92"/>
    <w:rsid w:val="00896B7F"/>
    <w:rsid w:val="008B4258"/>
    <w:rsid w:val="008B45C9"/>
    <w:rsid w:val="008B65EB"/>
    <w:rsid w:val="008D40C9"/>
    <w:rsid w:val="008E0DF5"/>
    <w:rsid w:val="00906865"/>
    <w:rsid w:val="00916089"/>
    <w:rsid w:val="0094259E"/>
    <w:rsid w:val="009428E6"/>
    <w:rsid w:val="00943D62"/>
    <w:rsid w:val="00967B49"/>
    <w:rsid w:val="00975507"/>
    <w:rsid w:val="009775E2"/>
    <w:rsid w:val="00982E93"/>
    <w:rsid w:val="0098593F"/>
    <w:rsid w:val="00997A5E"/>
    <w:rsid w:val="00997DB3"/>
    <w:rsid w:val="009B5C5F"/>
    <w:rsid w:val="009B7A6C"/>
    <w:rsid w:val="009C4386"/>
    <w:rsid w:val="009C4C93"/>
    <w:rsid w:val="009C7A72"/>
    <w:rsid w:val="009C7D92"/>
    <w:rsid w:val="00A008C8"/>
    <w:rsid w:val="00A22C3E"/>
    <w:rsid w:val="00A337D7"/>
    <w:rsid w:val="00A35F67"/>
    <w:rsid w:val="00A431FE"/>
    <w:rsid w:val="00A610CD"/>
    <w:rsid w:val="00A84DDF"/>
    <w:rsid w:val="00A9501B"/>
    <w:rsid w:val="00AA7D9E"/>
    <w:rsid w:val="00AB5A90"/>
    <w:rsid w:val="00AC2638"/>
    <w:rsid w:val="00AC685B"/>
    <w:rsid w:val="00AD0980"/>
    <w:rsid w:val="00AD1CDF"/>
    <w:rsid w:val="00AF440C"/>
    <w:rsid w:val="00AF7630"/>
    <w:rsid w:val="00B04502"/>
    <w:rsid w:val="00B205BE"/>
    <w:rsid w:val="00B215CC"/>
    <w:rsid w:val="00B24CE3"/>
    <w:rsid w:val="00B266E0"/>
    <w:rsid w:val="00B43BB0"/>
    <w:rsid w:val="00B53B1C"/>
    <w:rsid w:val="00B5656A"/>
    <w:rsid w:val="00B612C3"/>
    <w:rsid w:val="00B63E03"/>
    <w:rsid w:val="00B64D8F"/>
    <w:rsid w:val="00B97AEE"/>
    <w:rsid w:val="00BA09E8"/>
    <w:rsid w:val="00BB2092"/>
    <w:rsid w:val="00BB230A"/>
    <w:rsid w:val="00BB310E"/>
    <w:rsid w:val="00BB7809"/>
    <w:rsid w:val="00BC1423"/>
    <w:rsid w:val="00BC272A"/>
    <w:rsid w:val="00BC4253"/>
    <w:rsid w:val="00BD389A"/>
    <w:rsid w:val="00BD4769"/>
    <w:rsid w:val="00BF3D59"/>
    <w:rsid w:val="00C22E2C"/>
    <w:rsid w:val="00C32F38"/>
    <w:rsid w:val="00C42B82"/>
    <w:rsid w:val="00C66861"/>
    <w:rsid w:val="00C72E6A"/>
    <w:rsid w:val="00C81A4E"/>
    <w:rsid w:val="00C843CA"/>
    <w:rsid w:val="00C95F6C"/>
    <w:rsid w:val="00CB43B6"/>
    <w:rsid w:val="00CD64FB"/>
    <w:rsid w:val="00CE2E58"/>
    <w:rsid w:val="00CE6D09"/>
    <w:rsid w:val="00CE7ED7"/>
    <w:rsid w:val="00CF1B60"/>
    <w:rsid w:val="00CF33E7"/>
    <w:rsid w:val="00D01DFB"/>
    <w:rsid w:val="00D050C7"/>
    <w:rsid w:val="00D23003"/>
    <w:rsid w:val="00D31F77"/>
    <w:rsid w:val="00D53313"/>
    <w:rsid w:val="00D55FE5"/>
    <w:rsid w:val="00D61D74"/>
    <w:rsid w:val="00D62604"/>
    <w:rsid w:val="00D70946"/>
    <w:rsid w:val="00D735EB"/>
    <w:rsid w:val="00D872EB"/>
    <w:rsid w:val="00D945E1"/>
    <w:rsid w:val="00D958DE"/>
    <w:rsid w:val="00D96C9F"/>
    <w:rsid w:val="00D96D22"/>
    <w:rsid w:val="00DA00E0"/>
    <w:rsid w:val="00DA3538"/>
    <w:rsid w:val="00DB79F7"/>
    <w:rsid w:val="00DB7A02"/>
    <w:rsid w:val="00DE6937"/>
    <w:rsid w:val="00E07CD8"/>
    <w:rsid w:val="00E46BDC"/>
    <w:rsid w:val="00E51DB7"/>
    <w:rsid w:val="00E5505B"/>
    <w:rsid w:val="00E62D72"/>
    <w:rsid w:val="00E737F2"/>
    <w:rsid w:val="00E76577"/>
    <w:rsid w:val="00E77F52"/>
    <w:rsid w:val="00E85CAF"/>
    <w:rsid w:val="00E85CBC"/>
    <w:rsid w:val="00EA0DFF"/>
    <w:rsid w:val="00EC000A"/>
    <w:rsid w:val="00EC2EFA"/>
    <w:rsid w:val="00EC70F1"/>
    <w:rsid w:val="00EE1EFB"/>
    <w:rsid w:val="00EE6BAF"/>
    <w:rsid w:val="00EF305C"/>
    <w:rsid w:val="00EF580E"/>
    <w:rsid w:val="00EF7A31"/>
    <w:rsid w:val="00F0272C"/>
    <w:rsid w:val="00F31F64"/>
    <w:rsid w:val="00F440F3"/>
    <w:rsid w:val="00F44173"/>
    <w:rsid w:val="00F47E57"/>
    <w:rsid w:val="00F61984"/>
    <w:rsid w:val="00F62E48"/>
    <w:rsid w:val="00F930BE"/>
    <w:rsid w:val="00FA14EC"/>
    <w:rsid w:val="00FA161E"/>
    <w:rsid w:val="00FA5D92"/>
    <w:rsid w:val="00FC46C0"/>
    <w:rsid w:val="00FD6E1D"/>
    <w:rsid w:val="00FE780E"/>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F13B44"/>
  <w15:chartTrackingRefBased/>
  <w15:docId w15:val="{04838C06-2E9F-43FB-8B26-BA804D4A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0C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900C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900C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900C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900C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90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0C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900C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900C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900C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900C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90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0CC"/>
    <w:rPr>
      <w:rFonts w:eastAsiaTheme="majorEastAsia" w:cstheme="majorBidi"/>
      <w:color w:val="272727" w:themeColor="text1" w:themeTint="D8"/>
    </w:rPr>
  </w:style>
  <w:style w:type="paragraph" w:styleId="Title">
    <w:name w:val="Title"/>
    <w:basedOn w:val="Normal"/>
    <w:next w:val="Normal"/>
    <w:link w:val="TitleChar"/>
    <w:uiPriority w:val="10"/>
    <w:qFormat/>
    <w:rsid w:val="00690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0CC"/>
    <w:pPr>
      <w:spacing w:before="160"/>
      <w:jc w:val="center"/>
    </w:pPr>
    <w:rPr>
      <w:i/>
      <w:iCs/>
      <w:color w:val="404040" w:themeColor="text1" w:themeTint="BF"/>
    </w:rPr>
  </w:style>
  <w:style w:type="character" w:customStyle="1" w:styleId="QuoteChar">
    <w:name w:val="Quote Char"/>
    <w:basedOn w:val="DefaultParagraphFont"/>
    <w:link w:val="Quote"/>
    <w:uiPriority w:val="29"/>
    <w:rsid w:val="006900CC"/>
    <w:rPr>
      <w:i/>
      <w:iCs/>
      <w:color w:val="404040" w:themeColor="text1" w:themeTint="BF"/>
    </w:rPr>
  </w:style>
  <w:style w:type="paragraph" w:styleId="ListParagraph">
    <w:name w:val="List Paragraph"/>
    <w:basedOn w:val="Normal"/>
    <w:uiPriority w:val="34"/>
    <w:qFormat/>
    <w:rsid w:val="006900CC"/>
    <w:pPr>
      <w:ind w:left="720"/>
      <w:contextualSpacing/>
    </w:pPr>
  </w:style>
  <w:style w:type="character" w:styleId="IntenseEmphasis">
    <w:name w:val="Intense Emphasis"/>
    <w:basedOn w:val="DefaultParagraphFont"/>
    <w:uiPriority w:val="21"/>
    <w:qFormat/>
    <w:rsid w:val="006900CC"/>
    <w:rPr>
      <w:i/>
      <w:iCs/>
      <w:color w:val="2E74B5" w:themeColor="accent1" w:themeShade="BF"/>
    </w:rPr>
  </w:style>
  <w:style w:type="paragraph" w:styleId="IntenseQuote">
    <w:name w:val="Intense Quote"/>
    <w:basedOn w:val="Normal"/>
    <w:next w:val="Normal"/>
    <w:link w:val="IntenseQuoteChar"/>
    <w:uiPriority w:val="30"/>
    <w:qFormat/>
    <w:rsid w:val="006900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900CC"/>
    <w:rPr>
      <w:i/>
      <w:iCs/>
      <w:color w:val="2E74B5" w:themeColor="accent1" w:themeShade="BF"/>
    </w:rPr>
  </w:style>
  <w:style w:type="character" w:styleId="IntenseReference">
    <w:name w:val="Intense Reference"/>
    <w:basedOn w:val="DefaultParagraphFont"/>
    <w:uiPriority w:val="32"/>
    <w:qFormat/>
    <w:rsid w:val="006900CC"/>
    <w:rPr>
      <w:b/>
      <w:bCs/>
      <w:smallCaps/>
      <w:color w:val="2E74B5" w:themeColor="accent1" w:themeShade="BF"/>
      <w:spacing w:val="5"/>
    </w:rPr>
  </w:style>
  <w:style w:type="paragraph" w:styleId="Caption">
    <w:name w:val="caption"/>
    <w:basedOn w:val="Normal"/>
    <w:next w:val="Normal"/>
    <w:uiPriority w:val="35"/>
    <w:unhideWhenUsed/>
    <w:qFormat/>
    <w:rsid w:val="0047787E"/>
    <w:pPr>
      <w:spacing w:after="200" w:line="240" w:lineRule="auto"/>
    </w:pPr>
    <w:rPr>
      <w:i/>
      <w:iCs/>
      <w:color w:val="44546A" w:themeColor="text2"/>
      <w:sz w:val="18"/>
      <w:szCs w:val="18"/>
      <w:lang w:val="en-GB" w:bidi="si-LK"/>
    </w:rPr>
  </w:style>
  <w:style w:type="table" w:styleId="TableGrid">
    <w:name w:val="Table Grid"/>
    <w:basedOn w:val="TableNormal"/>
    <w:uiPriority w:val="39"/>
    <w:rsid w:val="00D23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231"/>
    <w:pPr>
      <w:autoSpaceDE w:val="0"/>
      <w:autoSpaceDN w:val="0"/>
      <w:adjustRightInd w:val="0"/>
      <w:spacing w:after="0" w:line="240" w:lineRule="auto"/>
    </w:pPr>
    <w:rPr>
      <w:rFonts w:ascii="Times New Roman" w:hAnsi="Times New Roman" w:cs="Times New Roman"/>
      <w:color w:val="000000"/>
      <w:kern w:val="0"/>
      <w:sz w:val="24"/>
      <w:szCs w:val="24"/>
      <w:lang w:bidi="si-LK"/>
      <w14:ligatures w14:val="none"/>
    </w:rPr>
  </w:style>
  <w:style w:type="character" w:styleId="Hyperlink">
    <w:name w:val="Hyperlink"/>
    <w:basedOn w:val="DefaultParagraphFont"/>
    <w:uiPriority w:val="99"/>
    <w:unhideWhenUsed/>
    <w:rsid w:val="0035724C"/>
    <w:rPr>
      <w:color w:val="0563C1" w:themeColor="hyperlink"/>
      <w:u w:val="single"/>
    </w:rPr>
  </w:style>
  <w:style w:type="paragraph" w:styleId="NormalWeb">
    <w:name w:val="Normal (Web)"/>
    <w:basedOn w:val="Normal"/>
    <w:uiPriority w:val="99"/>
    <w:semiHidden/>
    <w:unhideWhenUsed/>
    <w:rsid w:val="005C3791"/>
    <w:pPr>
      <w:spacing w:before="100" w:beforeAutospacing="1" w:after="100" w:afterAutospacing="1" w:line="240" w:lineRule="auto"/>
    </w:pPr>
    <w:rPr>
      <w:rFonts w:ascii="Times New Roman" w:eastAsia="Times New Roman" w:hAnsi="Times New Roman" w:cs="Times New Roman"/>
      <w:kern w:val="0"/>
      <w:sz w:val="24"/>
      <w:szCs w:val="24"/>
      <w:lang w:bidi="si-LK"/>
      <w14:ligatures w14:val="none"/>
    </w:rPr>
  </w:style>
  <w:style w:type="character" w:customStyle="1" w:styleId="bzpyqfadein">
    <w:name w:val="bz_pyq_fadein"/>
    <w:basedOn w:val="DefaultParagraphFont"/>
    <w:rsid w:val="005C3791"/>
  </w:style>
  <w:style w:type="character" w:styleId="UnresolvedMention">
    <w:name w:val="Unresolved Mention"/>
    <w:basedOn w:val="DefaultParagraphFont"/>
    <w:uiPriority w:val="99"/>
    <w:semiHidden/>
    <w:unhideWhenUsed/>
    <w:rsid w:val="00D96C9F"/>
    <w:rPr>
      <w:color w:val="605E5C"/>
      <w:shd w:val="clear" w:color="auto" w:fill="E1DFDD"/>
    </w:rPr>
  </w:style>
  <w:style w:type="paragraph" w:styleId="Header">
    <w:name w:val="header"/>
    <w:basedOn w:val="Normal"/>
    <w:link w:val="HeaderChar"/>
    <w:uiPriority w:val="99"/>
    <w:unhideWhenUsed/>
    <w:rsid w:val="00E46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DC"/>
  </w:style>
  <w:style w:type="paragraph" w:styleId="Footer">
    <w:name w:val="footer"/>
    <w:basedOn w:val="Normal"/>
    <w:link w:val="FooterChar"/>
    <w:uiPriority w:val="99"/>
    <w:unhideWhenUsed/>
    <w:rsid w:val="00E46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29305">
      <w:bodyDiv w:val="1"/>
      <w:marLeft w:val="0"/>
      <w:marRight w:val="0"/>
      <w:marTop w:val="0"/>
      <w:marBottom w:val="0"/>
      <w:divBdr>
        <w:top w:val="none" w:sz="0" w:space="0" w:color="auto"/>
        <w:left w:val="none" w:sz="0" w:space="0" w:color="auto"/>
        <w:bottom w:val="none" w:sz="0" w:space="0" w:color="auto"/>
        <w:right w:val="none" w:sz="0" w:space="0" w:color="auto"/>
      </w:divBdr>
    </w:div>
    <w:div w:id="382220295">
      <w:bodyDiv w:val="1"/>
      <w:marLeft w:val="0"/>
      <w:marRight w:val="0"/>
      <w:marTop w:val="0"/>
      <w:marBottom w:val="0"/>
      <w:divBdr>
        <w:top w:val="none" w:sz="0" w:space="0" w:color="auto"/>
        <w:left w:val="none" w:sz="0" w:space="0" w:color="auto"/>
        <w:bottom w:val="none" w:sz="0" w:space="0" w:color="auto"/>
        <w:right w:val="none" w:sz="0" w:space="0" w:color="auto"/>
      </w:divBdr>
    </w:div>
    <w:div w:id="707755019">
      <w:bodyDiv w:val="1"/>
      <w:marLeft w:val="0"/>
      <w:marRight w:val="0"/>
      <w:marTop w:val="0"/>
      <w:marBottom w:val="0"/>
      <w:divBdr>
        <w:top w:val="none" w:sz="0" w:space="0" w:color="auto"/>
        <w:left w:val="none" w:sz="0" w:space="0" w:color="auto"/>
        <w:bottom w:val="none" w:sz="0" w:space="0" w:color="auto"/>
        <w:right w:val="none" w:sz="0" w:space="0" w:color="auto"/>
      </w:divBdr>
    </w:div>
    <w:div w:id="1139688160">
      <w:bodyDiv w:val="1"/>
      <w:marLeft w:val="0"/>
      <w:marRight w:val="0"/>
      <w:marTop w:val="0"/>
      <w:marBottom w:val="0"/>
      <w:divBdr>
        <w:top w:val="none" w:sz="0" w:space="0" w:color="auto"/>
        <w:left w:val="none" w:sz="0" w:space="0" w:color="auto"/>
        <w:bottom w:val="none" w:sz="0" w:space="0" w:color="auto"/>
        <w:right w:val="none" w:sz="0" w:space="0" w:color="auto"/>
      </w:divBdr>
    </w:div>
    <w:div w:id="157026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540-6261.2006.00883.x" TargetMode="External"/><Relationship Id="rId13" Type="http://schemas.openxmlformats.org/officeDocument/2006/relationships/hyperlink" Target="https://doi.org/10.1177/21582440231197495" TargetMode="External"/><Relationship Id="rId18" Type="http://schemas.openxmlformats.org/officeDocument/2006/relationships/hyperlink" Target="https://www.researchgate.net/publication/373143396_Online_Gambling_Betting_Market_Size_and_Share_Report_202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1108/JEDT-09-2020-0354" TargetMode="External"/><Relationship Id="rId12" Type="http://schemas.openxmlformats.org/officeDocument/2006/relationships/hyperlink" Target="https://doi.org/10.1111/j.1552-3934.2010.00034.x" TargetMode="External"/><Relationship Id="rId17" Type="http://schemas.openxmlformats.org/officeDocument/2006/relationships/hyperlink" Target="https://doi.org/10.1017/CBO978113951938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tele.2014.05.00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21582440231197495"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elsevier.com/locate/resenv" TargetMode="External"/><Relationship Id="rId23" Type="http://schemas.openxmlformats.org/officeDocument/2006/relationships/header" Target="header3.xml"/><Relationship Id="rId10" Type="http://schemas.openxmlformats.org/officeDocument/2006/relationships/hyperlink" Target="https://doi.org/10.1177/014920631039777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bsl.gov.lk/sites/default/files/cbslweb_documents/financial_literacy_servey_sri_lanka_2021_e.pdf" TargetMode="External"/><Relationship Id="rId14" Type="http://schemas.openxmlformats.org/officeDocument/2006/relationships/hyperlink" Target="http://www.simplypsychology.org/bandura.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23</Pages>
  <Words>9255</Words>
  <Characters>52755</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Samadhi Abhisheka</dc:creator>
  <cp:keywords/>
  <dc:description/>
  <cp:lastModifiedBy>SDI 1084</cp:lastModifiedBy>
  <cp:revision>31</cp:revision>
  <dcterms:created xsi:type="dcterms:W3CDTF">2024-12-30T13:35:00Z</dcterms:created>
  <dcterms:modified xsi:type="dcterms:W3CDTF">2026-03-16T11:06:00Z</dcterms:modified>
</cp:coreProperties>
</file>