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6D8E4" w14:textId="77777777" w:rsidR="009D6337" w:rsidRDefault="009D6337" w:rsidP="000E3C28">
      <w:pPr>
        <w:spacing w:line="240" w:lineRule="auto"/>
        <w:jc w:val="center"/>
        <w:rPr>
          <w:rFonts w:ascii="Arial" w:hAnsi="Arial" w:cs="Arial"/>
          <w:b/>
          <w:sz w:val="36"/>
          <w:szCs w:val="36"/>
        </w:rPr>
      </w:pPr>
      <w:r w:rsidRPr="009D6337">
        <w:rPr>
          <w:rFonts w:ascii="Arial" w:hAnsi="Arial" w:cs="Arial"/>
          <w:b/>
          <w:sz w:val="36"/>
          <w:szCs w:val="36"/>
        </w:rPr>
        <w:t>Original Research Article</w:t>
      </w:r>
    </w:p>
    <w:p w14:paraId="7FBDF4FF" w14:textId="77777777" w:rsidR="009D6337" w:rsidRDefault="009D6337" w:rsidP="000E3C28">
      <w:pPr>
        <w:spacing w:line="240" w:lineRule="auto"/>
        <w:jc w:val="center"/>
        <w:rPr>
          <w:rFonts w:ascii="Arial" w:hAnsi="Arial" w:cs="Arial"/>
          <w:b/>
          <w:sz w:val="36"/>
          <w:szCs w:val="36"/>
        </w:rPr>
      </w:pPr>
    </w:p>
    <w:p w14:paraId="13E56AF2" w14:textId="244B81C4" w:rsidR="000E3C28" w:rsidRPr="000E3C28" w:rsidRDefault="000E3C28" w:rsidP="000E3C28">
      <w:pPr>
        <w:spacing w:line="240" w:lineRule="auto"/>
        <w:jc w:val="center"/>
        <w:rPr>
          <w:rFonts w:ascii="Arial" w:hAnsi="Arial" w:cs="Arial"/>
          <w:b/>
          <w:sz w:val="36"/>
          <w:szCs w:val="36"/>
        </w:rPr>
      </w:pPr>
      <w:r w:rsidRPr="000E3C28">
        <w:rPr>
          <w:rFonts w:ascii="Arial" w:hAnsi="Arial" w:cs="Arial"/>
          <w:b/>
          <w:sz w:val="36"/>
          <w:szCs w:val="36"/>
        </w:rPr>
        <w:t>Analyzing the Dimensions of Service Quality in Household Waste Management: Evidences from Urban Kerala, India</w:t>
      </w:r>
    </w:p>
    <w:p w14:paraId="634470B2" w14:textId="77777777" w:rsidR="000E3C28" w:rsidRPr="000E3C28" w:rsidRDefault="000E3C28" w:rsidP="000E3C28">
      <w:pPr>
        <w:pStyle w:val="Author"/>
        <w:spacing w:line="240" w:lineRule="auto"/>
        <w:jc w:val="both"/>
        <w:rPr>
          <w:rFonts w:ascii="Arial" w:hAnsi="Arial" w:cs="Arial"/>
          <w:sz w:val="36"/>
        </w:rPr>
      </w:pPr>
    </w:p>
    <w:p w14:paraId="008BFA00" w14:textId="1E86FBF5" w:rsidR="003F659B" w:rsidRDefault="003F659B" w:rsidP="00A80DC1">
      <w:pPr>
        <w:pStyle w:val="NoSpacing"/>
        <w:ind w:left="1440" w:firstLine="720"/>
        <w:rPr>
          <w:rStyle w:val="Hyperlink"/>
          <w:rFonts w:ascii="Arial" w:hAnsi="Arial" w:cs="Arial"/>
          <w:color w:val="auto"/>
          <w:sz w:val="20"/>
          <w:u w:val="none"/>
        </w:rPr>
      </w:pPr>
    </w:p>
    <w:p w14:paraId="3B7CB727" w14:textId="77777777" w:rsidR="008A7A0E" w:rsidRPr="00A80DC1" w:rsidRDefault="008A7A0E" w:rsidP="00A80DC1">
      <w:pPr>
        <w:pStyle w:val="NoSpacing"/>
        <w:ind w:left="1440" w:firstLine="720"/>
        <w:rPr>
          <w:rStyle w:val="Hyperlink"/>
          <w:rFonts w:ascii="Arial" w:hAnsi="Arial" w:cs="Arial"/>
          <w:color w:val="auto"/>
          <w:sz w:val="20"/>
          <w:u w:val="none"/>
        </w:rPr>
      </w:pPr>
      <w:bookmarkStart w:id="0" w:name="_GoBack"/>
      <w:bookmarkEnd w:id="0"/>
    </w:p>
    <w:p w14:paraId="75B10E88" w14:textId="77777777" w:rsidR="000E3C28" w:rsidRPr="00A80DC1" w:rsidRDefault="000E3C28" w:rsidP="00751C27">
      <w:pPr>
        <w:pStyle w:val="NoSpacing"/>
        <w:jc w:val="center"/>
        <w:rPr>
          <w:rStyle w:val="Hyperlink"/>
          <w:rFonts w:ascii="Arial" w:hAnsi="Arial" w:cs="Arial"/>
          <w:color w:val="auto"/>
          <w:sz w:val="20"/>
          <w:u w:val="none"/>
        </w:rPr>
      </w:pPr>
    </w:p>
    <w:p w14:paraId="24877570" w14:textId="77777777" w:rsidR="00D40BE2" w:rsidRPr="000E3C28" w:rsidRDefault="000E3C28" w:rsidP="000E3C28">
      <w:pPr>
        <w:spacing w:line="240" w:lineRule="auto"/>
        <w:jc w:val="both"/>
        <w:rPr>
          <w:rFonts w:ascii="Arial" w:hAnsi="Arial" w:cs="Arial"/>
          <w:b/>
          <w:color w:val="000000"/>
          <w:szCs w:val="22"/>
          <w:lang w:val="en-IN" w:bidi="ar-SA"/>
        </w:rPr>
      </w:pPr>
      <w:r w:rsidRPr="000E3C28">
        <w:rPr>
          <w:rFonts w:ascii="Arial" w:hAnsi="Arial" w:cs="Arial"/>
          <w:b/>
          <w:color w:val="000000"/>
          <w:szCs w:val="22"/>
          <w:lang w:val="en-IN" w:bidi="ar-SA"/>
        </w:rPr>
        <w:t>ABSTRACT</w:t>
      </w:r>
    </w:p>
    <w:p w14:paraId="7BB1113E" w14:textId="77777777" w:rsidR="00D40BE2" w:rsidRPr="000E3C28" w:rsidRDefault="000C0135" w:rsidP="000E3C28">
      <w:pPr>
        <w:pStyle w:val="NormalWeb"/>
        <w:shd w:val="clear" w:color="auto" w:fill="FFFFFF"/>
        <w:spacing w:before="0" w:beforeAutospacing="0" w:after="150" w:afterAutospacing="0"/>
        <w:jc w:val="both"/>
        <w:rPr>
          <w:rFonts w:ascii="Arial" w:hAnsi="Arial" w:cs="Arial"/>
          <w:color w:val="333333"/>
          <w:sz w:val="20"/>
          <w:szCs w:val="20"/>
        </w:rPr>
      </w:pPr>
      <w:r w:rsidRPr="000E3C28">
        <w:rPr>
          <w:rFonts w:ascii="Arial" w:hAnsi="Arial" w:cs="Arial"/>
          <w:color w:val="333333"/>
          <w:sz w:val="20"/>
          <w:szCs w:val="20"/>
          <w:shd w:val="clear" w:color="auto" w:fill="FFFFFF"/>
        </w:rPr>
        <w:t>Environmental quality, considered as a public good which is non-rival and non-excludable in consumption and under the absence of price signal government interventions are necessary. But they can also lead to policy failure or market distortion, highlighting the need for techniques to evaluate non-market goods like environmental quality. In this regard, this paper addresses possible options in de</w:t>
      </w:r>
      <w:r w:rsidR="0060678B">
        <w:rPr>
          <w:rFonts w:ascii="Arial" w:hAnsi="Arial" w:cs="Arial"/>
          <w:color w:val="333333"/>
          <w:sz w:val="20"/>
          <w:szCs w:val="20"/>
          <w:shd w:val="clear" w:color="auto" w:fill="FFFFFF"/>
        </w:rPr>
        <w:t>aling with the issues of solid </w:t>
      </w:r>
      <w:r w:rsidRPr="000E3C28">
        <w:rPr>
          <w:rFonts w:ascii="Arial" w:hAnsi="Arial" w:cs="Arial"/>
          <w:color w:val="333333"/>
          <w:sz w:val="20"/>
          <w:szCs w:val="20"/>
          <w:shd w:val="clear" w:color="auto" w:fill="FFFFFF"/>
        </w:rPr>
        <w:t>waste management under systems of private and public service providers. Thus, the study investigates alternative approaches to solid waste management in Kerala, focusing on the service quality dimensions of public and private service providers in waste management. Data for the study are collected from the urban households of Kerala. Mathematical models like discriminant analysis and principal component analysis are used to identify the service quality dimensions like collection charge, attitude of the collector, regularity, efficiency, and feasibility in collection by service providers. The result shows that public service providers are found to be relatively successful in ensuring regularity but failed in ensuring feasibility in the collection. Results from the analysis of service quality offer strong analytical possibilities. The results go in line with the theory that market failure in ensuring environmental quality necessitates government intervention. However, government failure persists in ensuring feasibility in the collection, which paves the way for the intervention of private service provider. This shows that market failure and the government failure have paved the way for a collaborative effort between the private and public service providers in waste management to promote environmental sustainability.</w:t>
      </w:r>
      <w:r w:rsidRPr="000E3C28">
        <w:rPr>
          <w:rFonts w:ascii="Arial" w:hAnsi="Arial" w:cs="Arial"/>
          <w:sz w:val="20"/>
          <w:szCs w:val="20"/>
        </w:rPr>
        <w:t xml:space="preserve"> </w:t>
      </w:r>
    </w:p>
    <w:p w14:paraId="52EF6345" w14:textId="77777777" w:rsidR="00D40BE2" w:rsidRPr="000E3C28" w:rsidRDefault="00D40BE2" w:rsidP="00751C27">
      <w:pPr>
        <w:pStyle w:val="NormalWeb"/>
        <w:shd w:val="clear" w:color="auto" w:fill="FFFFFF"/>
        <w:spacing w:before="0" w:beforeAutospacing="0" w:after="150" w:afterAutospacing="0"/>
        <w:jc w:val="both"/>
        <w:rPr>
          <w:rFonts w:ascii="Arial" w:hAnsi="Arial" w:cs="Arial"/>
          <w:noProof/>
          <w:sz w:val="20"/>
          <w:szCs w:val="20"/>
        </w:rPr>
      </w:pPr>
      <w:r w:rsidRPr="000E3C28">
        <w:rPr>
          <w:rFonts w:ascii="Arial" w:hAnsi="Arial" w:cs="Arial"/>
          <w:noProof/>
          <w:sz w:val="20"/>
          <w:szCs w:val="20"/>
        </w:rPr>
        <w:t>Keywords: Service quality, waste management, market failure, government failure, discriminant analysis, principal component analysis.</w:t>
      </w:r>
    </w:p>
    <w:p w14:paraId="44C02FB3" w14:textId="77777777" w:rsidR="00D40BE2" w:rsidRPr="000E3C28" w:rsidRDefault="00D40BE2" w:rsidP="00751C27">
      <w:pPr>
        <w:pStyle w:val="NormalWeb"/>
        <w:shd w:val="clear" w:color="auto" w:fill="FFFFFF"/>
        <w:spacing w:before="0" w:beforeAutospacing="0" w:after="150" w:afterAutospacing="0"/>
        <w:jc w:val="both"/>
        <w:rPr>
          <w:rFonts w:ascii="Arial" w:hAnsi="Arial" w:cs="Arial"/>
          <w:color w:val="333333"/>
          <w:sz w:val="22"/>
          <w:szCs w:val="22"/>
        </w:rPr>
      </w:pPr>
      <w:r w:rsidRPr="000E3C28">
        <w:rPr>
          <w:rFonts w:ascii="Arial" w:hAnsi="Arial" w:cs="Arial"/>
          <w:noProof/>
          <w:sz w:val="22"/>
          <w:szCs w:val="22"/>
        </w:rPr>
        <w:t>JEL Code: Q53, Q58</w:t>
      </w:r>
    </w:p>
    <w:p w14:paraId="1BF2B381" w14:textId="77777777" w:rsidR="00D40BE2" w:rsidRPr="000E3C28" w:rsidRDefault="00D40BE2" w:rsidP="00751C27">
      <w:pPr>
        <w:pStyle w:val="NormalWeb"/>
        <w:shd w:val="clear" w:color="auto" w:fill="FFFFFF"/>
        <w:spacing w:before="0" w:beforeAutospacing="0" w:after="150" w:afterAutospacing="0"/>
        <w:jc w:val="both"/>
        <w:rPr>
          <w:rFonts w:ascii="Arial" w:hAnsi="Arial" w:cs="Arial"/>
          <w:b/>
          <w:color w:val="333333"/>
          <w:sz w:val="22"/>
          <w:szCs w:val="22"/>
        </w:rPr>
      </w:pPr>
      <w:r w:rsidRPr="000E3C28">
        <w:rPr>
          <w:rFonts w:ascii="Arial" w:hAnsi="Arial" w:cs="Arial"/>
          <w:b/>
          <w:color w:val="333333"/>
          <w:sz w:val="22"/>
          <w:szCs w:val="22"/>
        </w:rPr>
        <w:t xml:space="preserve">1. </w:t>
      </w:r>
      <w:r w:rsidR="003104C0" w:rsidRPr="000E3C28">
        <w:rPr>
          <w:rFonts w:ascii="Arial" w:hAnsi="Arial" w:cs="Arial"/>
          <w:b/>
          <w:color w:val="333333"/>
          <w:sz w:val="22"/>
          <w:szCs w:val="22"/>
        </w:rPr>
        <w:t>Introduction</w:t>
      </w:r>
    </w:p>
    <w:p w14:paraId="48DD2EA9" w14:textId="77777777" w:rsidR="00D40BE2" w:rsidRPr="000E3C28" w:rsidRDefault="00D40BE2" w:rsidP="000E3C28">
      <w:pPr>
        <w:pStyle w:val="NormalWeb"/>
        <w:shd w:val="clear" w:color="auto" w:fill="FFFFFF"/>
        <w:spacing w:before="0" w:beforeAutospacing="0" w:after="150" w:afterAutospacing="0"/>
        <w:jc w:val="both"/>
        <w:rPr>
          <w:rFonts w:ascii="Arial" w:hAnsi="Arial" w:cs="Arial"/>
          <w:sz w:val="20"/>
          <w:szCs w:val="20"/>
        </w:rPr>
      </w:pPr>
      <w:r w:rsidRPr="000E3C28">
        <w:rPr>
          <w:rFonts w:ascii="Arial" w:hAnsi="Arial" w:cs="Arial"/>
          <w:sz w:val="20"/>
          <w:szCs w:val="20"/>
        </w:rPr>
        <w:t xml:space="preserve">Solid waste has become a serious local environmental issue in recent years and one of the impacts of human exploitation of the </w:t>
      </w:r>
      <w:r w:rsidRPr="000E3C28">
        <w:rPr>
          <w:rFonts w:ascii="Arial" w:hAnsi="Arial" w:cs="Arial"/>
          <w:noProof/>
          <w:sz w:val="20"/>
          <w:szCs w:val="20"/>
        </w:rPr>
        <w:t>environment</w:t>
      </w:r>
      <w:r w:rsidRPr="000E3C28">
        <w:rPr>
          <w:rFonts w:ascii="Arial" w:hAnsi="Arial" w:cs="Arial"/>
          <w:sz w:val="20"/>
          <w:szCs w:val="20"/>
        </w:rPr>
        <w:t>. The rapid growth in population and prosperity has led to a significant rise in municipal solid waste generation, posing serious threats to public health and the environment, affecting every individual globally (Sharma and Jain, 2020, Hoang et.al.,</w:t>
      </w:r>
      <w:r w:rsidR="00C5329B" w:rsidRPr="000E3C28">
        <w:rPr>
          <w:rFonts w:ascii="Arial" w:hAnsi="Arial" w:cs="Arial"/>
          <w:sz w:val="20"/>
          <w:szCs w:val="20"/>
        </w:rPr>
        <w:t xml:space="preserve"> </w:t>
      </w:r>
      <w:r w:rsidRPr="000E3C28">
        <w:rPr>
          <w:rFonts w:ascii="Arial" w:hAnsi="Arial" w:cs="Arial"/>
          <w:sz w:val="20"/>
          <w:szCs w:val="20"/>
        </w:rPr>
        <w:t>2022). Municipal solid waste mismanagement, driven by population growth and urbanization, exacerbates environmental pollution, contributes to greenhouse gas emissions, and poses significant public health and socioeconomic challenges (Shah et.al.,</w:t>
      </w:r>
      <w:r w:rsidR="00C5329B" w:rsidRPr="000E3C28">
        <w:rPr>
          <w:rFonts w:ascii="Arial" w:hAnsi="Arial" w:cs="Arial"/>
          <w:sz w:val="20"/>
          <w:szCs w:val="20"/>
        </w:rPr>
        <w:t xml:space="preserve"> </w:t>
      </w:r>
      <w:r w:rsidRPr="000E3C28">
        <w:rPr>
          <w:rFonts w:ascii="Arial" w:hAnsi="Arial" w:cs="Arial"/>
          <w:sz w:val="20"/>
          <w:szCs w:val="20"/>
        </w:rPr>
        <w:t>2021). In developed nations, cities possess the financial means and expertise for the efficient waste management praxis. However, the situation is more challenging in developing nations due to their increasing speed of urbanisation. Municipalities in these regions often lack the necessary financial resources and expertise, leading to a noticeable decline in scientific waste management services. Overlooking these deficiencies in public sector service delivery poses serious risks to public health (Ahmed and Ali, 2006). Thus, it is imperative to explore alternative mechanisms for delivering services in the cities of developing countries to maintain their health and liveability. This situation highlights the crucial issue of ensuring quality service provision despite the financial and skill limitations of the authorities.</w:t>
      </w:r>
    </w:p>
    <w:p w14:paraId="6853D838" w14:textId="77777777" w:rsidR="00D40BE2" w:rsidRPr="000E3C28" w:rsidRDefault="00A209C2" w:rsidP="00751C27">
      <w:pPr>
        <w:pStyle w:val="NormalWeb"/>
        <w:shd w:val="clear" w:color="auto" w:fill="FFFFFF"/>
        <w:spacing w:after="150"/>
        <w:ind w:firstLine="720"/>
        <w:jc w:val="both"/>
        <w:rPr>
          <w:rFonts w:ascii="Arial" w:hAnsi="Arial" w:cs="Arial"/>
          <w:color w:val="1F1F1F"/>
          <w:sz w:val="20"/>
          <w:szCs w:val="20"/>
        </w:rPr>
      </w:pPr>
      <w:r w:rsidRPr="000E3C28">
        <w:rPr>
          <w:rFonts w:ascii="Arial" w:hAnsi="Arial" w:cs="Arial"/>
          <w:sz w:val="20"/>
          <w:szCs w:val="20"/>
        </w:rPr>
        <w:lastRenderedPageBreak/>
        <w:t>Solid waste management has emerged as a major global concern, highlighting the need for innovative strategies to improve resource recovery and curb environmental pollution (Khan et al., 2022). W</w:t>
      </w:r>
      <w:r w:rsidR="00D40BE2" w:rsidRPr="000E3C28">
        <w:rPr>
          <w:rFonts w:ascii="Arial" w:hAnsi="Arial" w:cs="Arial"/>
          <w:sz w:val="20"/>
          <w:szCs w:val="20"/>
        </w:rPr>
        <w:t xml:space="preserve">aste management strategies focused on recycling are essential for achieving sustainability goals, as demonstrated by developed countries with effective waste management systems (Khan et.al., 2022). </w:t>
      </w:r>
      <w:r w:rsidR="00D40BE2" w:rsidRPr="000E3C28">
        <w:rPr>
          <w:rFonts w:ascii="Arial" w:hAnsi="Arial" w:cs="Arial"/>
          <w:sz w:val="20"/>
          <w:szCs w:val="20"/>
          <w:lang w:val="en-US"/>
        </w:rPr>
        <w:t xml:space="preserve">Despite increased governmental emphasis on municipal solid waste (MSW) management, providing cost-effective and sustainable waste services remains a significant hurdle for municipalities in India. To address technical and financial shortcomings within the current system, there's a growing reliance on private contractors for waste collection, transportation, and disposal. </w:t>
      </w:r>
      <w:r w:rsidR="00D40BE2" w:rsidRPr="000E3C28">
        <w:rPr>
          <w:rFonts w:ascii="Arial" w:hAnsi="Arial" w:cs="Arial"/>
          <w:color w:val="333333"/>
          <w:sz w:val="20"/>
          <w:szCs w:val="20"/>
          <w:shd w:val="clear" w:color="auto" w:fill="FFFFFF"/>
        </w:rPr>
        <w:t xml:space="preserve"> Moreover, the costs involved and the rate of waste generation have virtually forced city authorities to seek new arrangements with the private sector </w:t>
      </w:r>
      <w:proofErr w:type="spellStart"/>
      <w:r w:rsidR="00D40BE2" w:rsidRPr="000E3C28">
        <w:rPr>
          <w:rFonts w:ascii="Arial" w:hAnsi="Arial" w:cs="Arial"/>
          <w:color w:val="222222"/>
          <w:sz w:val="20"/>
          <w:szCs w:val="20"/>
          <w:shd w:val="clear" w:color="auto" w:fill="FFFFFF"/>
        </w:rPr>
        <w:t>Oteng</w:t>
      </w:r>
      <w:proofErr w:type="spellEnd"/>
      <w:r w:rsidR="00D40BE2" w:rsidRPr="000E3C28">
        <w:rPr>
          <w:rFonts w:ascii="Arial" w:hAnsi="Arial" w:cs="Arial"/>
          <w:color w:val="222222"/>
          <w:sz w:val="20"/>
          <w:szCs w:val="20"/>
          <w:shd w:val="clear" w:color="auto" w:fill="FFFFFF"/>
        </w:rPr>
        <w:t xml:space="preserve"> – </w:t>
      </w:r>
      <w:proofErr w:type="spellStart"/>
      <w:r w:rsidR="00D40BE2" w:rsidRPr="000E3C28">
        <w:rPr>
          <w:rFonts w:ascii="Arial" w:hAnsi="Arial" w:cs="Arial"/>
          <w:color w:val="222222"/>
          <w:sz w:val="20"/>
          <w:szCs w:val="20"/>
          <w:shd w:val="clear" w:color="auto" w:fill="FFFFFF"/>
        </w:rPr>
        <w:t>Ababio</w:t>
      </w:r>
      <w:proofErr w:type="spellEnd"/>
      <w:r w:rsidR="00D40BE2" w:rsidRPr="000E3C28">
        <w:rPr>
          <w:rFonts w:ascii="Arial" w:hAnsi="Arial" w:cs="Arial"/>
          <w:color w:val="222222"/>
          <w:sz w:val="20"/>
          <w:szCs w:val="20"/>
          <w:shd w:val="clear" w:color="auto" w:fill="FFFFFF"/>
        </w:rPr>
        <w:t xml:space="preserve"> (2010).</w:t>
      </w:r>
      <w:r w:rsidR="00D40BE2" w:rsidRPr="000E3C28">
        <w:rPr>
          <w:rFonts w:ascii="Arial" w:hAnsi="Arial" w:cs="Arial"/>
          <w:color w:val="333333"/>
          <w:sz w:val="20"/>
          <w:szCs w:val="20"/>
          <w:shd w:val="clear" w:color="auto" w:fill="FFFFFF"/>
        </w:rPr>
        <w:t xml:space="preserve"> </w:t>
      </w:r>
      <w:r w:rsidR="00D40BE2" w:rsidRPr="000E3C28">
        <w:rPr>
          <w:rFonts w:ascii="Arial" w:hAnsi="Arial" w:cs="Arial"/>
          <w:color w:val="1F1F1F"/>
          <w:sz w:val="20"/>
          <w:szCs w:val="20"/>
        </w:rPr>
        <w:t>The involvement of the </w:t>
      </w:r>
      <w:hyperlink r:id="rId6" w:tooltip="Learn more about private sector from ScienceDirect's AI-generated Topic Pages" w:history="1">
        <w:r w:rsidR="00D40BE2" w:rsidRPr="000E3C28">
          <w:rPr>
            <w:rStyle w:val="Hyperlink"/>
            <w:rFonts w:ascii="Arial" w:hAnsi="Arial" w:cs="Arial"/>
            <w:color w:val="1F1F1F"/>
            <w:sz w:val="20"/>
            <w:szCs w:val="20"/>
            <w:u w:val="none"/>
          </w:rPr>
          <w:t>private sector</w:t>
        </w:r>
      </w:hyperlink>
      <w:r w:rsidR="00D40BE2" w:rsidRPr="000E3C28">
        <w:rPr>
          <w:rFonts w:ascii="Arial" w:hAnsi="Arial" w:cs="Arial"/>
          <w:color w:val="1F1F1F"/>
          <w:sz w:val="20"/>
          <w:szCs w:val="20"/>
        </w:rPr>
        <w:t> yielded positive outcomes, as it increased the solid waste collection frequency and improved the quality of the waste management service (</w:t>
      </w:r>
      <w:proofErr w:type="spellStart"/>
      <w:r w:rsidR="00D40BE2" w:rsidRPr="000E3C28">
        <w:rPr>
          <w:rFonts w:ascii="Arial" w:hAnsi="Arial" w:cs="Arial"/>
          <w:color w:val="1F1F1F"/>
          <w:sz w:val="20"/>
          <w:szCs w:val="20"/>
        </w:rPr>
        <w:t>Tshekiso</w:t>
      </w:r>
      <w:proofErr w:type="spellEnd"/>
      <w:r w:rsidR="00D40BE2" w:rsidRPr="000E3C28">
        <w:rPr>
          <w:rFonts w:ascii="Arial" w:hAnsi="Arial" w:cs="Arial"/>
          <w:color w:val="1F1F1F"/>
          <w:sz w:val="20"/>
          <w:szCs w:val="20"/>
        </w:rPr>
        <w:t>, 2020).</w:t>
      </w:r>
    </w:p>
    <w:p w14:paraId="739AB97A" w14:textId="77777777" w:rsidR="00D40BE2" w:rsidRPr="000E3C28" w:rsidRDefault="00D40BE2" w:rsidP="00751C27">
      <w:pPr>
        <w:pStyle w:val="NormalWeb"/>
        <w:shd w:val="clear" w:color="auto" w:fill="FFFFFF"/>
        <w:spacing w:after="150"/>
        <w:ind w:firstLine="720"/>
        <w:jc w:val="both"/>
        <w:rPr>
          <w:rFonts w:ascii="Arial" w:hAnsi="Arial" w:cs="Arial"/>
          <w:sz w:val="20"/>
          <w:szCs w:val="20"/>
          <w:lang w:val="en-US"/>
        </w:rPr>
      </w:pPr>
      <w:r w:rsidRPr="000E3C28">
        <w:rPr>
          <w:rFonts w:ascii="Arial" w:hAnsi="Arial" w:cs="Arial"/>
          <w:sz w:val="20"/>
          <w:szCs w:val="20"/>
          <w:lang w:val="en-US"/>
        </w:rPr>
        <w:t xml:space="preserve">Over time, there has been a </w:t>
      </w:r>
      <w:r w:rsidRPr="000E3C28">
        <w:rPr>
          <w:rFonts w:ascii="Arial" w:hAnsi="Arial" w:cs="Arial"/>
          <w:color w:val="0D0D0D" w:themeColor="text1" w:themeTint="F2"/>
          <w:sz w:val="20"/>
          <w:szCs w:val="20"/>
          <w:lang w:val="en-US"/>
        </w:rPr>
        <w:t xml:space="preserve">shift from short-term contracts to longer-term collaborations between the service providers. </w:t>
      </w:r>
      <w:proofErr w:type="spellStart"/>
      <w:r w:rsidRPr="000E3C28">
        <w:rPr>
          <w:rFonts w:ascii="Arial" w:hAnsi="Arial" w:cs="Arial"/>
          <w:color w:val="0D0D0D" w:themeColor="text1" w:themeTint="F2"/>
          <w:sz w:val="20"/>
          <w:szCs w:val="20"/>
          <w:lang w:val="en-US"/>
        </w:rPr>
        <w:t>Olukanni</w:t>
      </w:r>
      <w:proofErr w:type="spellEnd"/>
      <w:r w:rsidRPr="000E3C28">
        <w:rPr>
          <w:rFonts w:ascii="Arial" w:hAnsi="Arial" w:cs="Arial"/>
          <w:color w:val="0D0D0D" w:themeColor="text1" w:themeTint="F2"/>
          <w:sz w:val="20"/>
          <w:szCs w:val="20"/>
          <w:lang w:val="en-US"/>
        </w:rPr>
        <w:t xml:space="preserve"> and </w:t>
      </w:r>
      <w:proofErr w:type="spellStart"/>
      <w:r w:rsidRPr="000E3C28">
        <w:rPr>
          <w:rFonts w:ascii="Arial" w:hAnsi="Arial" w:cs="Arial"/>
          <w:color w:val="0D0D0D" w:themeColor="text1" w:themeTint="F2"/>
          <w:sz w:val="20"/>
          <w:szCs w:val="20"/>
          <w:lang w:val="en-US"/>
        </w:rPr>
        <w:t>Nwafor</w:t>
      </w:r>
      <w:proofErr w:type="spellEnd"/>
      <w:r w:rsidRPr="000E3C28">
        <w:rPr>
          <w:rFonts w:ascii="Arial" w:hAnsi="Arial" w:cs="Arial"/>
          <w:color w:val="0D0D0D" w:themeColor="text1" w:themeTint="F2"/>
          <w:sz w:val="20"/>
          <w:szCs w:val="20"/>
          <w:lang w:val="en-US"/>
        </w:rPr>
        <w:t xml:space="preserve"> (2019) review public-private sector collaboration in delivering efficient solid waste </w:t>
      </w:r>
      <w:proofErr w:type="gramStart"/>
      <w:r w:rsidRPr="000E3C28">
        <w:rPr>
          <w:rFonts w:ascii="Arial" w:hAnsi="Arial" w:cs="Arial"/>
          <w:color w:val="0D0D0D" w:themeColor="text1" w:themeTint="F2"/>
          <w:sz w:val="20"/>
          <w:szCs w:val="20"/>
          <w:lang w:val="en-US"/>
        </w:rPr>
        <w:t>management  services</w:t>
      </w:r>
      <w:proofErr w:type="gramEnd"/>
      <w:r w:rsidRPr="000E3C28">
        <w:rPr>
          <w:rFonts w:ascii="Arial" w:hAnsi="Arial" w:cs="Arial"/>
          <w:color w:val="0D0D0D" w:themeColor="text1" w:themeTint="F2"/>
          <w:sz w:val="20"/>
          <w:szCs w:val="20"/>
          <w:lang w:val="en-US"/>
        </w:rPr>
        <w:t xml:space="preserve"> and show that while the public sector is responsible for SWM, it has often struggled to meet demand, particularly in developing countries and to enhance efficiency and reduce costs, private sector involvement has been pursued</w:t>
      </w:r>
      <w:r w:rsidRPr="000E3C28">
        <w:rPr>
          <w:rFonts w:ascii="Arial" w:hAnsi="Arial" w:cs="Arial"/>
          <w:sz w:val="20"/>
          <w:szCs w:val="20"/>
          <w:lang w:val="en-US"/>
        </w:rPr>
        <w:t xml:space="preserve">. </w:t>
      </w:r>
      <w:r w:rsidRPr="000E3C28">
        <w:rPr>
          <w:rFonts w:ascii="Arial" w:hAnsi="Arial" w:cs="Arial"/>
          <w:sz w:val="20"/>
          <w:szCs w:val="20"/>
        </w:rPr>
        <w:t>The public sector, constrained by resource and institutional limitations, can address service delivery gaps through partnerships with the private sector, leveraging its dynamism and flexibility for more effective outcomes (Ahmed &amp; Ali, 2006).</w:t>
      </w:r>
      <w:r w:rsidR="00A209C2" w:rsidRPr="000E3C28">
        <w:rPr>
          <w:rFonts w:ascii="Arial" w:hAnsi="Arial" w:cs="Arial"/>
          <w:sz w:val="20"/>
          <w:szCs w:val="20"/>
        </w:rPr>
        <w:t xml:space="preserve"> Ganesh et al. (2024) highlighted the vital role of smart technologies, public–private collaborations, and the adoption of circular economy principles in enhancing the efficiency of municipal solid waste management.</w:t>
      </w:r>
      <w:r w:rsidRPr="000E3C28">
        <w:rPr>
          <w:rFonts w:ascii="Arial" w:hAnsi="Arial" w:cs="Arial"/>
          <w:sz w:val="20"/>
          <w:szCs w:val="20"/>
          <w:lang w:val="en-US"/>
        </w:rPr>
        <w:t xml:space="preserve"> Collaborative partnerships benefit investors, the state, and citizens by reducing the costs and potential opposition to new investments, while also giving citizens the opportunity to align these partnerships with local needs (Forsyth, 2005).  </w:t>
      </w:r>
      <w:proofErr w:type="spellStart"/>
      <w:proofErr w:type="gramStart"/>
      <w:r w:rsidRPr="000E3C28">
        <w:rPr>
          <w:rFonts w:ascii="Arial" w:hAnsi="Arial" w:cs="Arial"/>
          <w:color w:val="222222"/>
          <w:sz w:val="20"/>
          <w:szCs w:val="20"/>
          <w:shd w:val="clear" w:color="auto" w:fill="FFFFFF"/>
        </w:rPr>
        <w:t>Olukanni</w:t>
      </w:r>
      <w:proofErr w:type="spellEnd"/>
      <w:r w:rsidRPr="000E3C28">
        <w:rPr>
          <w:rFonts w:ascii="Arial" w:hAnsi="Arial" w:cs="Arial"/>
          <w:sz w:val="20"/>
          <w:szCs w:val="20"/>
        </w:rPr>
        <w:t xml:space="preserve">  and</w:t>
      </w:r>
      <w:proofErr w:type="gramEnd"/>
      <w:r w:rsidRPr="000E3C28">
        <w:rPr>
          <w:rFonts w:ascii="Arial" w:hAnsi="Arial" w:cs="Arial"/>
          <w:sz w:val="20"/>
          <w:szCs w:val="20"/>
        </w:rPr>
        <w:t xml:space="preserve"> </w:t>
      </w:r>
      <w:proofErr w:type="spellStart"/>
      <w:r w:rsidRPr="000E3C28">
        <w:rPr>
          <w:rFonts w:ascii="Arial" w:hAnsi="Arial" w:cs="Arial"/>
          <w:sz w:val="20"/>
          <w:szCs w:val="20"/>
        </w:rPr>
        <w:t>Nwafor</w:t>
      </w:r>
      <w:proofErr w:type="spellEnd"/>
      <w:r w:rsidRPr="000E3C28">
        <w:rPr>
          <w:rFonts w:ascii="Arial" w:hAnsi="Arial" w:cs="Arial"/>
          <w:sz w:val="20"/>
          <w:szCs w:val="20"/>
        </w:rPr>
        <w:t xml:space="preserve"> (2019)  examines public-private partnerships in solid waste management, highlighting their role in improving ef</w:t>
      </w:r>
      <w:r w:rsidR="00C5329B" w:rsidRPr="000E3C28">
        <w:rPr>
          <w:rFonts w:ascii="Arial" w:hAnsi="Arial" w:cs="Arial"/>
          <w:sz w:val="20"/>
          <w:szCs w:val="20"/>
        </w:rPr>
        <w:t>ficiency and reducing costs and</w:t>
      </w:r>
      <w:r w:rsidRPr="000E3C28">
        <w:rPr>
          <w:rFonts w:ascii="Arial" w:hAnsi="Arial" w:cs="Arial"/>
          <w:sz w:val="20"/>
          <w:szCs w:val="20"/>
        </w:rPr>
        <w:t xml:space="preserve"> emphasizes that the success of such partnerships depends on effective government oversight, stakeholder commitment, and strong legislative enforcement to ensure proper waste disposal.</w:t>
      </w:r>
      <w:r w:rsidRPr="000E3C28">
        <w:rPr>
          <w:rFonts w:ascii="Arial" w:hAnsi="Arial" w:cs="Arial"/>
          <w:sz w:val="20"/>
          <w:szCs w:val="20"/>
          <w:lang w:val="en-US"/>
        </w:rPr>
        <w:t xml:space="preserve"> Yet, despite the growing popularity of PPPs (Public-Private Partnerships) in MSW services, the lack of established institutional frameworks, governance structures, regulatory measures, and market connections poses considerable challenges to their successful </w:t>
      </w:r>
      <w:proofErr w:type="gramStart"/>
      <w:r w:rsidRPr="000E3C28">
        <w:rPr>
          <w:rFonts w:ascii="Arial" w:hAnsi="Arial" w:cs="Arial"/>
          <w:sz w:val="20"/>
          <w:szCs w:val="20"/>
          <w:lang w:val="en-US"/>
        </w:rPr>
        <w:t>implementation.</w:t>
      </w:r>
      <w:r w:rsidRPr="000E3C28">
        <w:rPr>
          <w:rFonts w:ascii="Arial" w:hAnsi="Arial" w:cs="Arial"/>
          <w:color w:val="FF0000"/>
          <w:sz w:val="20"/>
          <w:szCs w:val="20"/>
          <w:lang w:val="en-US"/>
        </w:rPr>
        <w:t>.</w:t>
      </w:r>
      <w:proofErr w:type="gramEnd"/>
      <w:r w:rsidRPr="000E3C28">
        <w:rPr>
          <w:rFonts w:ascii="Arial" w:hAnsi="Arial" w:cs="Arial"/>
          <w:color w:val="FF0000"/>
          <w:sz w:val="20"/>
          <w:szCs w:val="20"/>
          <w:lang w:val="en-US"/>
        </w:rPr>
        <w:t xml:space="preserve"> </w:t>
      </w:r>
      <w:r w:rsidRPr="000E3C28">
        <w:rPr>
          <w:rFonts w:ascii="Arial" w:hAnsi="Arial" w:cs="Arial"/>
          <w:sz w:val="20"/>
          <w:szCs w:val="20"/>
          <w:lang w:val="en-US"/>
        </w:rPr>
        <w:t xml:space="preserve">Hence, given the local institutional dynamics and market conditions, exploring the potential of PPPs in waste management demands meticulous examination. </w:t>
      </w:r>
    </w:p>
    <w:p w14:paraId="11CA750F" w14:textId="77777777" w:rsidR="00D40BE2" w:rsidRPr="000E3C28" w:rsidRDefault="00D40BE2" w:rsidP="00751C27">
      <w:pPr>
        <w:pStyle w:val="NormalWeb"/>
        <w:shd w:val="clear" w:color="auto" w:fill="FFFFFF"/>
        <w:spacing w:before="0" w:beforeAutospacing="0" w:after="150" w:afterAutospacing="0"/>
        <w:ind w:firstLine="720"/>
        <w:jc w:val="both"/>
        <w:rPr>
          <w:rFonts w:ascii="Arial" w:hAnsi="Arial" w:cs="Arial"/>
          <w:sz w:val="20"/>
          <w:szCs w:val="20"/>
          <w:lang w:val="en-US"/>
        </w:rPr>
      </w:pPr>
      <w:proofErr w:type="spellStart"/>
      <w:r w:rsidRPr="000E3C28">
        <w:rPr>
          <w:rFonts w:ascii="Arial" w:hAnsi="Arial" w:cs="Arial"/>
          <w:sz w:val="20"/>
          <w:szCs w:val="20"/>
          <w:lang w:val="en-US"/>
        </w:rPr>
        <w:t>Opareh</w:t>
      </w:r>
      <w:proofErr w:type="spellEnd"/>
      <w:r w:rsidRPr="000E3C28">
        <w:rPr>
          <w:rFonts w:ascii="Arial" w:hAnsi="Arial" w:cs="Arial"/>
          <w:sz w:val="20"/>
          <w:szCs w:val="20"/>
          <w:lang w:val="en-US"/>
        </w:rPr>
        <w:t xml:space="preserve"> </w:t>
      </w:r>
      <w:r w:rsidRPr="000E3C28">
        <w:rPr>
          <w:rFonts w:ascii="Arial" w:hAnsi="Arial" w:cs="Arial"/>
          <w:sz w:val="20"/>
          <w:szCs w:val="20"/>
        </w:rPr>
        <w:t xml:space="preserve">and Post (2002) </w:t>
      </w:r>
      <w:r w:rsidRPr="000E3C28">
        <w:rPr>
          <w:rFonts w:ascii="Arial" w:hAnsi="Arial" w:cs="Arial"/>
          <w:sz w:val="20"/>
          <w:szCs w:val="20"/>
          <w:lang w:val="en-US"/>
        </w:rPr>
        <w:t xml:space="preserve">demonstrates that </w:t>
      </w:r>
      <w:proofErr w:type="spellStart"/>
      <w:r w:rsidRPr="000E3C28">
        <w:rPr>
          <w:rFonts w:ascii="Arial" w:hAnsi="Arial" w:cs="Arial"/>
          <w:sz w:val="20"/>
          <w:szCs w:val="20"/>
          <w:lang w:val="en-US"/>
        </w:rPr>
        <w:t>privatisation</w:t>
      </w:r>
      <w:proofErr w:type="spellEnd"/>
      <w:r w:rsidRPr="000E3C28">
        <w:rPr>
          <w:rFonts w:ascii="Arial" w:hAnsi="Arial" w:cs="Arial"/>
          <w:sz w:val="20"/>
          <w:szCs w:val="20"/>
          <w:lang w:val="en-US"/>
        </w:rPr>
        <w:t xml:space="preserve"> has brought advantages to consumers through expanded coverage, increased service frequency, and enhanced reliability, however, it comes with several drawbacks, including deteriorating labor conditions, heightened environmental risks and the absence of financial stability.</w:t>
      </w:r>
      <w:r w:rsidRPr="000E3C28">
        <w:rPr>
          <w:rFonts w:ascii="Arial" w:hAnsi="Arial" w:cs="Arial"/>
          <w:sz w:val="20"/>
          <w:szCs w:val="20"/>
        </w:rPr>
        <w:t xml:space="preserve"> On the other, </w:t>
      </w:r>
      <w:proofErr w:type="spellStart"/>
      <w:r w:rsidRPr="000E3C28">
        <w:rPr>
          <w:rFonts w:ascii="Arial" w:hAnsi="Arial" w:cs="Arial"/>
          <w:color w:val="222222"/>
          <w:sz w:val="20"/>
          <w:szCs w:val="20"/>
          <w:shd w:val="clear" w:color="auto" w:fill="FFFFFF"/>
        </w:rPr>
        <w:t>Ezebilo</w:t>
      </w:r>
      <w:proofErr w:type="spellEnd"/>
      <w:r w:rsidRPr="000E3C28">
        <w:rPr>
          <w:rFonts w:ascii="Arial" w:hAnsi="Arial" w:cs="Arial"/>
          <w:color w:val="222222"/>
          <w:sz w:val="20"/>
          <w:szCs w:val="20"/>
          <w:shd w:val="clear" w:color="auto" w:fill="FFFFFF"/>
        </w:rPr>
        <w:t xml:space="preserve"> and </w:t>
      </w:r>
      <w:proofErr w:type="spellStart"/>
      <w:r w:rsidRPr="000E3C28">
        <w:rPr>
          <w:rFonts w:ascii="Arial" w:hAnsi="Arial" w:cs="Arial"/>
          <w:color w:val="222222"/>
          <w:sz w:val="20"/>
          <w:szCs w:val="20"/>
          <w:shd w:val="clear" w:color="auto" w:fill="FFFFFF"/>
        </w:rPr>
        <w:t>Animasaun</w:t>
      </w:r>
      <w:proofErr w:type="spellEnd"/>
      <w:r w:rsidRPr="000E3C28">
        <w:rPr>
          <w:rFonts w:ascii="Arial" w:hAnsi="Arial" w:cs="Arial"/>
          <w:color w:val="222222"/>
          <w:sz w:val="20"/>
          <w:szCs w:val="20"/>
          <w:shd w:val="clear" w:color="auto" w:fill="FFFFFF"/>
        </w:rPr>
        <w:t>, (2012) show</w:t>
      </w:r>
      <w:r w:rsidRPr="000E3C28">
        <w:rPr>
          <w:rFonts w:ascii="Arial" w:hAnsi="Arial" w:cs="Arial"/>
          <w:sz w:val="20"/>
          <w:szCs w:val="20"/>
          <w:lang w:val="en-US"/>
        </w:rPr>
        <w:t xml:space="preserve"> that the public-private partnership hasn't effectively enhanced household waste management services and factors such as the duration spent visiting waste collection points, income level, and marital status have exhibited negative impacts on people's perceptions. Hence, to ensure effectiveness and sustainability in waste management, it is imperative to assess the service quality of both public and private service providers in waste management. This evaluation of service quality is essential for fostering a robust waste management system that contributes to the overarching objective of environmental sustainability.</w:t>
      </w:r>
    </w:p>
    <w:p w14:paraId="1EF97E1E" w14:textId="77777777" w:rsidR="00D40BE2" w:rsidRPr="000E3C28" w:rsidRDefault="00D40BE2" w:rsidP="00751C27">
      <w:pPr>
        <w:spacing w:line="240" w:lineRule="auto"/>
        <w:ind w:firstLine="720"/>
        <w:jc w:val="both"/>
        <w:rPr>
          <w:rFonts w:ascii="Arial" w:hAnsi="Arial" w:cs="Arial"/>
          <w:sz w:val="20"/>
          <w:lang w:val="en-IN"/>
        </w:rPr>
      </w:pPr>
      <w:r w:rsidRPr="000E3C28">
        <w:rPr>
          <w:rFonts w:ascii="Arial" w:hAnsi="Arial" w:cs="Arial"/>
          <w:sz w:val="20"/>
          <w:lang w:val="en-IN"/>
        </w:rPr>
        <w:t xml:space="preserve">Coming to Kerala, a densely populated state of India, the initiation of the Clean Kerala Mission (CKM) in 2004 sought to ensure compliance with waste management regulations outlined in the Municipal Solid Waste (Management and Handling) Rules, 2000. This mission provided technical and financial support to local governments, leading to the establishment of centralized and decentralized waste management systems, especially targeting markets and institutions. Following a comprehensive sectorial study on municipal solid waste management in 2006, Kerala formulated the Zero Waste Kerala Action Plan in 2007. Consequently, the state modified its waste management approach, emphasizing producer responsibility. The launch of the Haritha </w:t>
      </w:r>
      <w:proofErr w:type="spellStart"/>
      <w:r w:rsidRPr="000E3C28">
        <w:rPr>
          <w:rFonts w:ascii="Arial" w:hAnsi="Arial" w:cs="Arial"/>
          <w:sz w:val="20"/>
          <w:lang w:val="en-IN"/>
        </w:rPr>
        <w:t>Keralam</w:t>
      </w:r>
      <w:proofErr w:type="spellEnd"/>
      <w:r w:rsidRPr="000E3C28">
        <w:rPr>
          <w:rFonts w:ascii="Arial" w:hAnsi="Arial" w:cs="Arial"/>
          <w:sz w:val="20"/>
          <w:lang w:val="en-IN"/>
        </w:rPr>
        <w:t xml:space="preserve"> Mission in 2016 aimed to revive Kerala's cleanliness standards, collaborating with various missions and launching extensive waste management campaigns.  Both state and central governments incentivized municipal waste programs, encouraging community engagement. Acknowledging the importance of private sector involvement, it is perceived as a significant catalyst in augmenting the efficiency of public services related to waste management.</w:t>
      </w:r>
      <w:r w:rsidRPr="000E3C28">
        <w:rPr>
          <w:rFonts w:ascii="Arial" w:hAnsi="Arial" w:cs="Arial"/>
          <w:sz w:val="20"/>
        </w:rPr>
        <w:t xml:space="preserve"> </w:t>
      </w:r>
      <w:r w:rsidRPr="000E3C28">
        <w:rPr>
          <w:rFonts w:ascii="Arial" w:hAnsi="Arial" w:cs="Arial"/>
          <w:color w:val="333333"/>
          <w:sz w:val="20"/>
        </w:rPr>
        <w:t xml:space="preserve">While public authorities are generally responsible for solid </w:t>
      </w:r>
      <w:r w:rsidRPr="000E3C28">
        <w:rPr>
          <w:rFonts w:ascii="Arial" w:hAnsi="Arial" w:cs="Arial"/>
          <w:color w:val="333333"/>
          <w:sz w:val="20"/>
        </w:rPr>
        <w:lastRenderedPageBreak/>
        <w:t>waste services,</w:t>
      </w:r>
      <w:r w:rsidRPr="000E3C28">
        <w:rPr>
          <w:rFonts w:ascii="Arial" w:hAnsi="Arial" w:cs="Arial"/>
          <w:sz w:val="20"/>
        </w:rPr>
        <w:t xml:space="preserve"> </w:t>
      </w:r>
      <w:r w:rsidRPr="000E3C28">
        <w:rPr>
          <w:rFonts w:ascii="Arial" w:hAnsi="Arial" w:cs="Arial"/>
          <w:noProof/>
          <w:sz w:val="20"/>
        </w:rPr>
        <w:t>public-private</w:t>
      </w:r>
      <w:r w:rsidRPr="000E3C28">
        <w:rPr>
          <w:rFonts w:ascii="Arial" w:hAnsi="Arial" w:cs="Arial"/>
          <w:sz w:val="20"/>
        </w:rPr>
        <w:t xml:space="preserve"> participation </w:t>
      </w:r>
      <w:r w:rsidRPr="000E3C28">
        <w:rPr>
          <w:rFonts w:ascii="Arial" w:hAnsi="Arial" w:cs="Arial"/>
          <w:noProof/>
          <w:sz w:val="20"/>
        </w:rPr>
        <w:t>has</w:t>
      </w:r>
      <w:r w:rsidRPr="000E3C28">
        <w:rPr>
          <w:rFonts w:ascii="Arial" w:hAnsi="Arial" w:cs="Arial"/>
          <w:sz w:val="20"/>
        </w:rPr>
        <w:t xml:space="preserve"> emerged as a promising alternative to improve waste management in different parts of the State. </w:t>
      </w:r>
    </w:p>
    <w:p w14:paraId="64680B2E" w14:textId="77777777" w:rsidR="00D40BE2" w:rsidRPr="000E3C28" w:rsidRDefault="00D40BE2" w:rsidP="00751C27">
      <w:pPr>
        <w:spacing w:line="240" w:lineRule="auto"/>
        <w:jc w:val="both"/>
        <w:rPr>
          <w:rFonts w:ascii="Arial" w:hAnsi="Arial" w:cs="Arial"/>
          <w:sz w:val="20"/>
        </w:rPr>
      </w:pPr>
      <w:r w:rsidRPr="000E3C28">
        <w:rPr>
          <w:rFonts w:ascii="Arial" w:hAnsi="Arial" w:cs="Arial"/>
          <w:sz w:val="20"/>
        </w:rPr>
        <w:t xml:space="preserve">Local administration in Kerala has instituted many waste treatment plants in collaboration with the private service providers for </w:t>
      </w:r>
      <w:r w:rsidRPr="000E3C28">
        <w:rPr>
          <w:rFonts w:ascii="Arial" w:hAnsi="Arial" w:cs="Arial"/>
          <w:noProof/>
          <w:sz w:val="20"/>
        </w:rPr>
        <w:t>effective</w:t>
      </w:r>
      <w:r w:rsidRPr="000E3C28">
        <w:rPr>
          <w:rFonts w:ascii="Arial" w:hAnsi="Arial" w:cs="Arial"/>
          <w:sz w:val="20"/>
        </w:rPr>
        <w:t xml:space="preserve"> waste management. </w:t>
      </w:r>
      <w:r w:rsidRPr="000E3C28">
        <w:rPr>
          <w:rFonts w:ascii="Arial" w:hAnsi="Arial" w:cs="Arial"/>
          <w:noProof/>
          <w:sz w:val="20"/>
        </w:rPr>
        <w:t>However</w:t>
      </w:r>
      <w:r w:rsidRPr="000E3C28">
        <w:rPr>
          <w:rFonts w:ascii="Arial" w:hAnsi="Arial" w:cs="Arial"/>
          <w:noProof/>
          <w:color w:val="000000"/>
          <w:sz w:val="20"/>
        </w:rPr>
        <w:t xml:space="preserve">, </w:t>
      </w:r>
      <w:r w:rsidRPr="000E3C28">
        <w:rPr>
          <w:rFonts w:ascii="Arial" w:hAnsi="Arial" w:cs="Arial"/>
          <w:color w:val="000000"/>
          <w:sz w:val="20"/>
        </w:rPr>
        <w:t xml:space="preserve">a substantial part of the households does not </w:t>
      </w:r>
      <w:r w:rsidRPr="000E3C28">
        <w:rPr>
          <w:rFonts w:ascii="Arial" w:hAnsi="Arial" w:cs="Arial"/>
          <w:noProof/>
          <w:color w:val="000000"/>
          <w:sz w:val="20"/>
        </w:rPr>
        <w:t xml:space="preserve">benefit </w:t>
      </w:r>
      <w:r w:rsidRPr="000E3C28">
        <w:rPr>
          <w:rFonts w:ascii="Arial" w:hAnsi="Arial" w:cs="Arial"/>
          <w:color w:val="000000"/>
          <w:sz w:val="20"/>
        </w:rPr>
        <w:t xml:space="preserve">regular waste collection services from the authorities. Besides, </w:t>
      </w:r>
      <w:r w:rsidRPr="000E3C28">
        <w:rPr>
          <w:rFonts w:ascii="Arial" w:hAnsi="Arial" w:cs="Arial"/>
          <w:noProof/>
          <w:color w:val="000000"/>
          <w:sz w:val="20"/>
        </w:rPr>
        <w:t>inefficient collection</w:t>
      </w:r>
      <w:r w:rsidRPr="000E3C28">
        <w:rPr>
          <w:rFonts w:ascii="Arial" w:hAnsi="Arial" w:cs="Arial"/>
          <w:color w:val="000000"/>
          <w:sz w:val="20"/>
        </w:rPr>
        <w:t xml:space="preserve"> and unscientific management pollute water, land and air, and become a threat to human health and </w:t>
      </w:r>
      <w:r w:rsidRPr="000E3C28">
        <w:rPr>
          <w:rFonts w:ascii="Arial" w:hAnsi="Arial" w:cs="Arial"/>
          <w:noProof/>
          <w:color w:val="000000"/>
          <w:sz w:val="20"/>
        </w:rPr>
        <w:t>environmental</w:t>
      </w:r>
      <w:r w:rsidRPr="000E3C28">
        <w:rPr>
          <w:rFonts w:ascii="Arial" w:hAnsi="Arial" w:cs="Arial"/>
          <w:color w:val="000000"/>
          <w:sz w:val="20"/>
        </w:rPr>
        <w:t xml:space="preserve"> quality. P</w:t>
      </w:r>
      <w:r w:rsidRPr="000E3C28">
        <w:rPr>
          <w:rFonts w:ascii="Arial" w:hAnsi="Arial" w:cs="Arial"/>
          <w:sz w:val="20"/>
        </w:rPr>
        <w:t xml:space="preserve">eople’s protest against waste treatment plants had led to closing down of some plants like </w:t>
      </w:r>
      <w:proofErr w:type="spellStart"/>
      <w:r w:rsidRPr="000E3C28">
        <w:rPr>
          <w:rFonts w:ascii="Arial" w:hAnsi="Arial" w:cs="Arial"/>
          <w:sz w:val="20"/>
        </w:rPr>
        <w:t>Vilappilsala</w:t>
      </w:r>
      <w:proofErr w:type="spellEnd"/>
      <w:r w:rsidRPr="000E3C28">
        <w:rPr>
          <w:rFonts w:ascii="Arial" w:hAnsi="Arial" w:cs="Arial"/>
          <w:sz w:val="20"/>
        </w:rPr>
        <w:t xml:space="preserve"> at Trivandrum and </w:t>
      </w:r>
      <w:proofErr w:type="spellStart"/>
      <w:r w:rsidRPr="000E3C28">
        <w:rPr>
          <w:rFonts w:ascii="Arial" w:hAnsi="Arial" w:cs="Arial"/>
          <w:sz w:val="20"/>
        </w:rPr>
        <w:t>Laloor</w:t>
      </w:r>
      <w:proofErr w:type="spellEnd"/>
      <w:r w:rsidRPr="000E3C28">
        <w:rPr>
          <w:rFonts w:ascii="Arial" w:hAnsi="Arial" w:cs="Arial"/>
          <w:sz w:val="20"/>
        </w:rPr>
        <w:t xml:space="preserve"> at Thrissur. It demands the need for evaluating service quality dimensions like regularity, collection charge, efficiency in collection, attitude of the collector and feasibility in collection of waste management mechanism followed by the authorities. Hence, the service quality dimensions of both public and private service providers in waste management are important for </w:t>
      </w:r>
      <w:r w:rsidRPr="000E3C28">
        <w:rPr>
          <w:rFonts w:ascii="Arial" w:hAnsi="Arial" w:cs="Arial"/>
          <w:noProof/>
          <w:sz w:val="20"/>
        </w:rPr>
        <w:t>empirical  scrutiny.</w:t>
      </w:r>
      <w:r w:rsidRPr="000E3C28">
        <w:rPr>
          <w:rFonts w:ascii="Arial" w:hAnsi="Arial" w:cs="Arial"/>
          <w:sz w:val="20"/>
        </w:rPr>
        <w:t xml:space="preserve">  The study is designed to examine the service quality dimensions of public and private service providers in waste management in Kerala, the southern state of India.</w:t>
      </w:r>
    </w:p>
    <w:p w14:paraId="0681CC17" w14:textId="77777777" w:rsidR="00D40BE2" w:rsidRPr="000E3C28" w:rsidRDefault="00D40BE2" w:rsidP="00751C27">
      <w:pPr>
        <w:spacing w:line="240" w:lineRule="auto"/>
        <w:jc w:val="both"/>
        <w:rPr>
          <w:rFonts w:ascii="Arial" w:hAnsi="Arial" w:cs="Arial"/>
          <w:b/>
          <w:szCs w:val="22"/>
        </w:rPr>
      </w:pPr>
      <w:r w:rsidRPr="000E3C28">
        <w:rPr>
          <w:rFonts w:ascii="Arial" w:hAnsi="Arial" w:cs="Arial"/>
          <w:b/>
          <w:szCs w:val="22"/>
        </w:rPr>
        <w:t>2</w:t>
      </w:r>
      <w:r w:rsidR="00E664B7" w:rsidRPr="000E3C28">
        <w:rPr>
          <w:rFonts w:ascii="Arial" w:hAnsi="Arial" w:cs="Arial"/>
          <w:b/>
          <w:szCs w:val="22"/>
        </w:rPr>
        <w:t xml:space="preserve">. </w:t>
      </w:r>
      <w:r w:rsidR="003104C0" w:rsidRPr="000E3C28">
        <w:rPr>
          <w:rFonts w:ascii="Arial" w:hAnsi="Arial" w:cs="Arial"/>
          <w:b/>
          <w:szCs w:val="22"/>
        </w:rPr>
        <w:t>Theoretical Literature</w:t>
      </w:r>
    </w:p>
    <w:p w14:paraId="3C7F42CE" w14:textId="77777777" w:rsidR="00D40BE2" w:rsidRPr="000E3C28" w:rsidRDefault="00D40BE2" w:rsidP="000E3C28">
      <w:pPr>
        <w:spacing w:line="240" w:lineRule="auto"/>
        <w:jc w:val="both"/>
        <w:rPr>
          <w:rFonts w:ascii="Arial" w:hAnsi="Arial" w:cs="Arial"/>
          <w:sz w:val="20"/>
        </w:rPr>
      </w:pPr>
      <w:r w:rsidRPr="000E3C28">
        <w:rPr>
          <w:rFonts w:ascii="Arial" w:hAnsi="Arial" w:cs="Arial"/>
          <w:sz w:val="20"/>
        </w:rPr>
        <w:t>Economists use the theory of externalities or the theory of public goods to model environmental issues as market failures. When environmental quality is evaluated at market value, it causes market failure because it is a public good that is non-rivalry and non-excludable in consumption. Market failure is frequently the cause of environmental degradation, demonstrating the inefficiency of the markets for environmental products and services. Asymmetric information, market flaws, common property resource problems, incomplete markets, and the existence of public goods and public bad all contribute to this failure. It is important to remember that although market failure is a prerequisite, it does not automatically mean that the government should step in. Government engagement ought to outperform the market or improve its functionality. Furthermore, the advantages of the intervention must exceed the expenses related to its conception, execution, and upholding.</w:t>
      </w:r>
    </w:p>
    <w:p w14:paraId="7932B85E" w14:textId="77777777" w:rsidR="00D40BE2" w:rsidRPr="000E3C28" w:rsidRDefault="00D40BE2" w:rsidP="000E3C28">
      <w:pPr>
        <w:spacing w:after="120" w:line="240" w:lineRule="auto"/>
        <w:jc w:val="both"/>
        <w:rPr>
          <w:rFonts w:ascii="Arial" w:hAnsi="Arial" w:cs="Arial"/>
          <w:sz w:val="20"/>
        </w:rPr>
      </w:pPr>
      <w:r w:rsidRPr="000E3C28">
        <w:rPr>
          <w:rFonts w:ascii="Arial" w:hAnsi="Arial" w:cs="Arial"/>
          <w:noProof/>
          <w:sz w:val="20"/>
        </w:rPr>
        <w:t>The economic</w:t>
      </w:r>
      <w:r w:rsidRPr="000E3C28">
        <w:rPr>
          <w:rFonts w:ascii="Arial" w:hAnsi="Arial" w:cs="Arial"/>
          <w:sz w:val="20"/>
        </w:rPr>
        <w:t xml:space="preserve"> theory defines waste as a negative externality. Production and consumption activities generate enormous waste which </w:t>
      </w:r>
      <w:r w:rsidRPr="000E3C28">
        <w:rPr>
          <w:rFonts w:ascii="Arial" w:hAnsi="Arial" w:cs="Arial"/>
          <w:noProof/>
          <w:sz w:val="20"/>
        </w:rPr>
        <w:t>has a negative impact on</w:t>
      </w:r>
      <w:r w:rsidRPr="000E3C28">
        <w:rPr>
          <w:rFonts w:ascii="Arial" w:hAnsi="Arial" w:cs="Arial"/>
          <w:sz w:val="20"/>
        </w:rPr>
        <w:t xml:space="preserve"> the </w:t>
      </w:r>
      <w:r w:rsidRPr="000E3C28">
        <w:rPr>
          <w:rFonts w:ascii="Arial" w:hAnsi="Arial" w:cs="Arial"/>
          <w:noProof/>
          <w:sz w:val="20"/>
        </w:rPr>
        <w:t>environment</w:t>
      </w:r>
      <w:r w:rsidRPr="000E3C28">
        <w:rPr>
          <w:rFonts w:ascii="Arial" w:hAnsi="Arial" w:cs="Arial"/>
          <w:sz w:val="20"/>
        </w:rPr>
        <w:t xml:space="preserve"> and welfare, which is not </w:t>
      </w:r>
      <w:proofErr w:type="gramStart"/>
      <w:r w:rsidRPr="000E3C28">
        <w:rPr>
          <w:rFonts w:ascii="Arial" w:hAnsi="Arial" w:cs="Arial"/>
          <w:sz w:val="20"/>
        </w:rPr>
        <w:t>taken into account</w:t>
      </w:r>
      <w:proofErr w:type="gramEnd"/>
      <w:r w:rsidRPr="000E3C28">
        <w:rPr>
          <w:rFonts w:ascii="Arial" w:hAnsi="Arial" w:cs="Arial"/>
          <w:sz w:val="20"/>
        </w:rPr>
        <w:t xml:space="preserve"> by competitive markets. Humans suffer losses from economic activities that degrade the environment now </w:t>
      </w:r>
      <w:proofErr w:type="gramStart"/>
      <w:r w:rsidRPr="000E3C28">
        <w:rPr>
          <w:rFonts w:ascii="Arial" w:hAnsi="Arial" w:cs="Arial"/>
          <w:sz w:val="20"/>
        </w:rPr>
        <w:t>and in the future</w:t>
      </w:r>
      <w:proofErr w:type="gramEnd"/>
      <w:r w:rsidRPr="000E3C28">
        <w:rPr>
          <w:rFonts w:ascii="Arial" w:hAnsi="Arial" w:cs="Arial"/>
          <w:sz w:val="20"/>
        </w:rPr>
        <w:t xml:space="preserve">, including deteriorated health, decreased productivity, depletion of natural resources, and diminished enjoyment of nature. </w:t>
      </w:r>
    </w:p>
    <w:p w14:paraId="29D7DEB1" w14:textId="77777777" w:rsidR="00D40BE2" w:rsidRPr="000E3C28" w:rsidRDefault="00D40BE2" w:rsidP="000E3C28">
      <w:pPr>
        <w:spacing w:line="240" w:lineRule="auto"/>
        <w:jc w:val="both"/>
        <w:rPr>
          <w:rFonts w:ascii="Arial" w:hAnsi="Arial" w:cs="Arial"/>
          <w:sz w:val="20"/>
        </w:rPr>
      </w:pPr>
      <w:r w:rsidRPr="000E3C28">
        <w:rPr>
          <w:rFonts w:ascii="Arial" w:eastAsia="Times New Roman" w:hAnsi="Arial" w:cs="Arial"/>
          <w:color w:val="1F1F1F"/>
          <w:sz w:val="20"/>
          <w:lang w:val="en-IN" w:eastAsia="en-IN" w:bidi="ar-SA"/>
        </w:rPr>
        <w:t>Externalities are a form of market failure arising in an unconstrained market (</w:t>
      </w:r>
      <w:proofErr w:type="spellStart"/>
      <w:r w:rsidRPr="000E3C28">
        <w:rPr>
          <w:rFonts w:ascii="Arial" w:eastAsia="Times New Roman" w:hAnsi="Arial" w:cs="Arial"/>
          <w:color w:val="1F1F1F"/>
          <w:sz w:val="20"/>
          <w:lang w:val="en-IN" w:eastAsia="en-IN" w:bidi="ar-SA"/>
        </w:rPr>
        <w:t>Rabl</w:t>
      </w:r>
      <w:proofErr w:type="spellEnd"/>
      <w:r w:rsidRPr="000E3C28">
        <w:rPr>
          <w:rFonts w:ascii="Arial" w:eastAsia="Times New Roman" w:hAnsi="Arial" w:cs="Arial"/>
          <w:color w:val="1F1F1F"/>
          <w:sz w:val="20"/>
          <w:lang w:val="en-IN" w:eastAsia="en-IN" w:bidi="ar-SA"/>
        </w:rPr>
        <w:t xml:space="preserve"> et al., 1998), defined as the external costs and benefits that arise when the social or economic activities of one group of people have an impact on another, and when the first group fails to account fully for their impact (</w:t>
      </w:r>
      <w:proofErr w:type="spellStart"/>
      <w:r w:rsidRPr="000E3C28">
        <w:rPr>
          <w:rFonts w:ascii="Arial" w:eastAsia="Times New Roman" w:hAnsi="Arial" w:cs="Arial"/>
          <w:color w:val="1F1F1F"/>
          <w:sz w:val="20"/>
          <w:lang w:val="en-IN" w:eastAsia="en-IN" w:bidi="ar-SA"/>
        </w:rPr>
        <w:t>Krewitt</w:t>
      </w:r>
      <w:proofErr w:type="spellEnd"/>
      <w:r w:rsidRPr="000E3C28">
        <w:rPr>
          <w:rFonts w:ascii="Arial" w:eastAsia="Times New Roman" w:hAnsi="Arial" w:cs="Arial"/>
          <w:color w:val="1F1F1F"/>
          <w:sz w:val="20"/>
          <w:lang w:val="en-IN" w:eastAsia="en-IN" w:bidi="ar-SA"/>
        </w:rPr>
        <w:t xml:space="preserve"> et al., 1998).</w:t>
      </w:r>
      <w:r w:rsidRPr="000E3C28">
        <w:rPr>
          <w:rFonts w:ascii="Arial" w:hAnsi="Arial" w:cs="Arial"/>
          <w:sz w:val="20"/>
        </w:rPr>
        <w:t xml:space="preserve"> </w:t>
      </w:r>
      <w:r w:rsidRPr="000E3C28">
        <w:rPr>
          <w:rFonts w:ascii="Arial" w:hAnsi="Arial" w:cs="Arial"/>
          <w:noProof/>
          <w:sz w:val="20"/>
        </w:rPr>
        <w:t>Neoclassical</w:t>
      </w:r>
      <w:r w:rsidRPr="000E3C28">
        <w:rPr>
          <w:rFonts w:ascii="Arial" w:hAnsi="Arial" w:cs="Arial"/>
          <w:sz w:val="20"/>
        </w:rPr>
        <w:t xml:space="preserve"> economist, who made an </w:t>
      </w:r>
      <w:r w:rsidRPr="000E3C28">
        <w:rPr>
          <w:rFonts w:ascii="Arial" w:hAnsi="Arial" w:cs="Arial"/>
          <w:noProof/>
          <w:sz w:val="20"/>
        </w:rPr>
        <w:t>important</w:t>
      </w:r>
      <w:r w:rsidRPr="000E3C28">
        <w:rPr>
          <w:rFonts w:ascii="Arial" w:hAnsi="Arial" w:cs="Arial"/>
          <w:sz w:val="20"/>
        </w:rPr>
        <w:t xml:space="preserve"> contribution to environmental theories during 1950, argues the common property nature of natural resources causes economic externalities. The majority of India's natural resources are de facto open access resources, or CPRs, making them vulnerable to deterioration, contamination, and theft. In a nutshell, most of the CPRs and all open access resources in India are subject to what </w:t>
      </w:r>
      <w:r w:rsidRPr="000E3C28">
        <w:rPr>
          <w:rFonts w:ascii="Arial" w:hAnsi="Arial" w:cs="Arial"/>
          <w:bCs/>
          <w:sz w:val="20"/>
        </w:rPr>
        <w:t>Garret Hardin</w:t>
      </w:r>
      <w:r w:rsidRPr="000E3C28">
        <w:rPr>
          <w:rFonts w:ascii="Arial" w:hAnsi="Arial" w:cs="Arial"/>
          <w:sz w:val="20"/>
        </w:rPr>
        <w:t xml:space="preserve"> (1968) called ‘</w:t>
      </w:r>
      <w:r w:rsidRPr="000E3C28">
        <w:rPr>
          <w:rFonts w:ascii="Arial" w:hAnsi="Arial" w:cs="Arial"/>
          <w:bCs/>
          <w:sz w:val="20"/>
        </w:rPr>
        <w:t>the Tragedy of Commons’</w:t>
      </w:r>
      <w:r w:rsidRPr="000E3C28">
        <w:rPr>
          <w:rFonts w:ascii="Arial" w:hAnsi="Arial" w:cs="Arial"/>
          <w:sz w:val="20"/>
        </w:rPr>
        <w:t xml:space="preserve">. In the case of a CPR, an individual can appropriate all the benefits resulting from his increased use of the resource, he bears only a small fraction of the incremental costs associated with increased use, and </w:t>
      </w:r>
      <w:r w:rsidRPr="000E3C28">
        <w:rPr>
          <w:rFonts w:ascii="Arial" w:hAnsi="Arial" w:cs="Arial"/>
          <w:noProof/>
          <w:sz w:val="20"/>
        </w:rPr>
        <w:t>all the members of the community share the incremental costs</w:t>
      </w:r>
      <w:r w:rsidRPr="000E3C28">
        <w:rPr>
          <w:rFonts w:ascii="Arial" w:hAnsi="Arial" w:cs="Arial"/>
          <w:sz w:val="20"/>
        </w:rPr>
        <w:t xml:space="preserve"> (Hardin, 1968) which shows that the common pool problem is one of the reasons for the existence of externality.</w:t>
      </w:r>
    </w:p>
    <w:p w14:paraId="5986FF8B" w14:textId="77777777" w:rsidR="00D40BE2" w:rsidRPr="000E3C28" w:rsidRDefault="00D40BE2" w:rsidP="000E3C28">
      <w:pPr>
        <w:spacing w:after="120" w:line="240" w:lineRule="auto"/>
        <w:jc w:val="both"/>
        <w:rPr>
          <w:rFonts w:ascii="Arial" w:hAnsi="Arial" w:cs="Arial"/>
          <w:sz w:val="20"/>
        </w:rPr>
      </w:pPr>
      <w:r w:rsidRPr="000E3C28">
        <w:rPr>
          <w:rFonts w:ascii="Arial" w:hAnsi="Arial" w:cs="Arial"/>
          <w:sz w:val="20"/>
        </w:rPr>
        <w:t xml:space="preserve">From an economic perspective, the general solution to externalities, including those affecting the environment is to </w:t>
      </w:r>
      <w:r w:rsidRPr="000E3C28">
        <w:rPr>
          <w:rFonts w:ascii="Arial" w:hAnsi="Arial" w:cs="Arial"/>
          <w:noProof/>
          <w:sz w:val="20"/>
        </w:rPr>
        <w:t>internalise</w:t>
      </w:r>
      <w:r w:rsidRPr="000E3C28">
        <w:rPr>
          <w:rFonts w:ascii="Arial" w:hAnsi="Arial" w:cs="Arial"/>
          <w:sz w:val="20"/>
        </w:rPr>
        <w:t xml:space="preserve"> the externality, that is, to force the market participants to absorb the external costs or benefit which can </w:t>
      </w:r>
      <w:r w:rsidRPr="000E3C28">
        <w:rPr>
          <w:rFonts w:ascii="Arial" w:hAnsi="Arial" w:cs="Arial"/>
          <w:noProof/>
          <w:sz w:val="20"/>
        </w:rPr>
        <w:t>be either done</w:t>
      </w:r>
      <w:r w:rsidRPr="000E3C28">
        <w:rPr>
          <w:rFonts w:ascii="Arial" w:hAnsi="Arial" w:cs="Arial"/>
          <w:sz w:val="20"/>
        </w:rPr>
        <w:t xml:space="preserve"> through the assignment of property rights or by </w:t>
      </w:r>
      <w:r w:rsidRPr="000E3C28">
        <w:rPr>
          <w:rFonts w:ascii="Arial" w:hAnsi="Arial" w:cs="Arial"/>
          <w:noProof/>
          <w:sz w:val="20"/>
        </w:rPr>
        <w:t>internalising</w:t>
      </w:r>
      <w:r w:rsidRPr="000E3C28">
        <w:rPr>
          <w:rFonts w:ascii="Arial" w:hAnsi="Arial" w:cs="Arial"/>
          <w:sz w:val="20"/>
        </w:rPr>
        <w:t xml:space="preserve"> environmental externalities through policies that change the product price by the amount of the associated external cost or benefit (Callen and Thomas, 2015).</w:t>
      </w:r>
    </w:p>
    <w:p w14:paraId="2B067022" w14:textId="77777777" w:rsidR="00D40BE2" w:rsidRPr="000E3C28" w:rsidRDefault="00D40BE2" w:rsidP="000E3C28">
      <w:pPr>
        <w:spacing w:line="240" w:lineRule="auto"/>
        <w:jc w:val="both"/>
        <w:rPr>
          <w:rFonts w:ascii="Arial" w:eastAsia="Times New Roman" w:hAnsi="Arial" w:cs="Arial"/>
          <w:color w:val="1F1F1F"/>
          <w:sz w:val="20"/>
          <w:lang w:val="en-IN" w:eastAsia="en-IN" w:bidi="ar-SA"/>
        </w:rPr>
      </w:pPr>
      <w:r w:rsidRPr="000E3C28">
        <w:rPr>
          <w:rFonts w:ascii="Arial" w:eastAsia="Times New Roman" w:hAnsi="Arial" w:cs="Arial"/>
          <w:color w:val="1F1F1F"/>
          <w:sz w:val="20"/>
          <w:lang w:val="en-IN" w:eastAsia="en-IN" w:bidi="ar-SA"/>
        </w:rPr>
        <w:t>The impact of waste management on the environment has been widely recognized, and since the 1990s, has contributed to a better understanding of the role of the waste sector in ecological, economic, and social frameworks and in the context of sustainable development (</w:t>
      </w:r>
      <w:proofErr w:type="spellStart"/>
      <w:r w:rsidRPr="000E3C28">
        <w:rPr>
          <w:rFonts w:ascii="Arial" w:eastAsia="Times New Roman" w:hAnsi="Arial" w:cs="Arial"/>
          <w:color w:val="1F1F1F"/>
          <w:sz w:val="20"/>
          <w:lang w:val="en-IN" w:eastAsia="en-IN" w:bidi="ar-SA"/>
        </w:rPr>
        <w:t>Eshet</w:t>
      </w:r>
      <w:proofErr w:type="spellEnd"/>
      <w:r w:rsidRPr="000E3C28">
        <w:rPr>
          <w:rFonts w:ascii="Arial" w:eastAsia="Times New Roman" w:hAnsi="Arial" w:cs="Arial"/>
          <w:color w:val="1F1F1F"/>
          <w:sz w:val="20"/>
          <w:lang w:val="en-IN" w:eastAsia="en-IN" w:bidi="ar-SA"/>
        </w:rPr>
        <w:t xml:space="preserve">, 2006). All alternative strategies of waste management result in externalities that are generated at the collection, </w:t>
      </w:r>
      <w:proofErr w:type="gramStart"/>
      <w:r w:rsidRPr="000E3C28">
        <w:rPr>
          <w:rFonts w:ascii="Arial" w:eastAsia="Times New Roman" w:hAnsi="Arial" w:cs="Arial"/>
          <w:color w:val="1F1F1F"/>
          <w:sz w:val="20"/>
          <w:lang w:val="en-IN" w:eastAsia="en-IN" w:bidi="ar-SA"/>
        </w:rPr>
        <w:t>transport ,</w:t>
      </w:r>
      <w:proofErr w:type="gramEnd"/>
      <w:r w:rsidRPr="000E3C28">
        <w:rPr>
          <w:rFonts w:ascii="Arial" w:eastAsia="Times New Roman" w:hAnsi="Arial" w:cs="Arial"/>
          <w:color w:val="1F1F1F"/>
          <w:sz w:val="20"/>
          <w:lang w:val="en-IN" w:eastAsia="en-IN" w:bidi="ar-SA"/>
        </w:rPr>
        <w:t xml:space="preserve"> disposal stages, as a  result, municipal solid waste generation and its  management and associated externalities have been addressed as one of the key targets in environmental policies (Ayalon et al., 1999). </w:t>
      </w:r>
    </w:p>
    <w:p w14:paraId="31088CC3" w14:textId="77777777" w:rsidR="00D40BE2" w:rsidRPr="000E3C28" w:rsidRDefault="00D40BE2" w:rsidP="000E3C28">
      <w:pPr>
        <w:spacing w:line="240" w:lineRule="auto"/>
        <w:jc w:val="both"/>
        <w:rPr>
          <w:rFonts w:ascii="Arial" w:hAnsi="Arial" w:cs="Arial"/>
          <w:sz w:val="20"/>
        </w:rPr>
      </w:pPr>
      <w:r w:rsidRPr="000E3C28">
        <w:rPr>
          <w:rFonts w:ascii="Arial" w:hAnsi="Arial" w:cs="Arial"/>
          <w:sz w:val="20"/>
        </w:rPr>
        <w:lastRenderedPageBreak/>
        <w:t>In these situations, government intervention is necessary to address these shortcomings. This intervention may be in the form of direct public investments, policy tools like taxes and subsidies, market-based incentives and regularity measures, and changes to property rights and other institutions governing resource use. Institutional reforms, macroeconomic management, public initiatives, taxation, laws, and private incentives are the typical ways that governments intervene. But due of policy failures, not all government interventions may be socially good. In other words, government interventions may distort a healthy market functioning or failing to create the conditions necessary for a healthy market. Thus</w:t>
      </w:r>
      <w:r w:rsidR="00751C27" w:rsidRPr="000E3C28">
        <w:rPr>
          <w:rFonts w:ascii="Arial" w:hAnsi="Arial" w:cs="Arial"/>
          <w:sz w:val="20"/>
        </w:rPr>
        <w:t xml:space="preserve">, here, </w:t>
      </w:r>
      <w:r w:rsidRPr="000E3C28">
        <w:rPr>
          <w:rFonts w:ascii="Arial" w:hAnsi="Arial" w:cs="Arial"/>
          <w:sz w:val="20"/>
        </w:rPr>
        <w:t xml:space="preserve">the market and government failure </w:t>
      </w:r>
      <w:r w:rsidRPr="000E3C28">
        <w:rPr>
          <w:rFonts w:ascii="Arial" w:hAnsi="Arial" w:cs="Arial"/>
          <w:noProof/>
          <w:sz w:val="20"/>
        </w:rPr>
        <w:t>demand</w:t>
      </w:r>
      <w:r w:rsidRPr="000E3C28">
        <w:rPr>
          <w:rFonts w:ascii="Arial" w:hAnsi="Arial" w:cs="Arial"/>
          <w:sz w:val="20"/>
        </w:rPr>
        <w:t xml:space="preserve"> the need for an alternative technique like public private participation in waste management that can evaluate environmental quality in general and solid waste management in particular.</w:t>
      </w:r>
    </w:p>
    <w:p w14:paraId="300CE876" w14:textId="77777777" w:rsidR="00D40BE2" w:rsidRPr="000E3C28" w:rsidRDefault="00D40BE2" w:rsidP="00751C27">
      <w:pPr>
        <w:spacing w:line="240" w:lineRule="auto"/>
        <w:jc w:val="both"/>
        <w:rPr>
          <w:rFonts w:ascii="Arial" w:hAnsi="Arial" w:cs="Arial"/>
          <w:b/>
          <w:szCs w:val="22"/>
        </w:rPr>
      </w:pPr>
      <w:r w:rsidRPr="000E3C28">
        <w:rPr>
          <w:rFonts w:ascii="Arial" w:hAnsi="Arial" w:cs="Arial"/>
          <w:b/>
          <w:szCs w:val="22"/>
        </w:rPr>
        <w:t xml:space="preserve">3. </w:t>
      </w:r>
      <w:r w:rsidR="003104C0" w:rsidRPr="000E3C28">
        <w:rPr>
          <w:rFonts w:ascii="Arial" w:hAnsi="Arial" w:cs="Arial"/>
          <w:b/>
          <w:szCs w:val="22"/>
        </w:rPr>
        <w:t>Data Source and Methodology</w:t>
      </w:r>
    </w:p>
    <w:p w14:paraId="7A3EC59D" w14:textId="77777777" w:rsidR="00D40BE2" w:rsidRPr="000E3C28" w:rsidRDefault="00D40BE2" w:rsidP="000E3C28">
      <w:pPr>
        <w:spacing w:line="240" w:lineRule="auto"/>
        <w:jc w:val="both"/>
        <w:rPr>
          <w:rFonts w:ascii="Arial" w:hAnsi="Arial" w:cs="Arial"/>
          <w:sz w:val="20"/>
        </w:rPr>
      </w:pPr>
      <w:r w:rsidRPr="000E3C28">
        <w:rPr>
          <w:rFonts w:ascii="Arial" w:hAnsi="Arial" w:cs="Arial"/>
          <w:sz w:val="20"/>
        </w:rPr>
        <w:t>The study is based on primary data which are collected from the households of Kozhikode Corporation</w:t>
      </w:r>
      <w:r w:rsidRPr="000E3C28">
        <w:rPr>
          <w:rFonts w:ascii="Arial" w:hAnsi="Arial" w:cs="Arial"/>
          <w:color w:val="FF0000"/>
          <w:sz w:val="20"/>
        </w:rPr>
        <w:t xml:space="preserve"> </w:t>
      </w:r>
      <w:r w:rsidRPr="000E3C28">
        <w:rPr>
          <w:rFonts w:ascii="Arial" w:hAnsi="Arial" w:cs="Arial"/>
          <w:sz w:val="20"/>
        </w:rPr>
        <w:t>of Kerala. A total of 384 sample sizes (n) were selected on the basis of stratified random sampling. The entire wards are split into two strata on the basis of mean distance from waste treatment plant which is 8 km. Strata I comprises of the wards that are within the mean distance and Strata II comprises of the wards above the mean distance. Eight wards from Stratum II and seven wards from Stratum I are chosen for the study, and samples were drawn at random from the wards.</w:t>
      </w:r>
    </w:p>
    <w:p w14:paraId="55301491" w14:textId="77777777" w:rsidR="007A35EB" w:rsidRPr="000E3C28" w:rsidRDefault="00D40BE2" w:rsidP="000E3C28">
      <w:pPr>
        <w:autoSpaceDE w:val="0"/>
        <w:autoSpaceDN w:val="0"/>
        <w:adjustRightInd w:val="0"/>
        <w:spacing w:line="240" w:lineRule="auto"/>
        <w:jc w:val="both"/>
        <w:rPr>
          <w:rFonts w:ascii="Arial" w:hAnsi="Arial" w:cs="Arial"/>
          <w:sz w:val="20"/>
        </w:rPr>
      </w:pPr>
      <w:r w:rsidRPr="000E3C28">
        <w:rPr>
          <w:rFonts w:ascii="Arial" w:hAnsi="Arial" w:cs="Arial"/>
          <w:color w:val="222222"/>
          <w:sz w:val="20"/>
          <w:shd w:val="clear" w:color="auto" w:fill="FFFFFF"/>
        </w:rPr>
        <w:t xml:space="preserve">The study </w:t>
      </w:r>
      <w:r w:rsidRPr="000E3C28">
        <w:rPr>
          <w:rFonts w:ascii="Arial" w:hAnsi="Arial" w:cs="Arial"/>
          <w:sz w:val="20"/>
        </w:rPr>
        <w:t xml:space="preserve">employed discriminant analysis to identify the most prominent service quality dimensions of service providers and </w:t>
      </w:r>
      <w:r w:rsidRPr="000E3C28">
        <w:rPr>
          <w:rFonts w:ascii="Arial" w:hAnsi="Arial" w:cs="Arial"/>
          <w:color w:val="000000"/>
          <w:sz w:val="20"/>
        </w:rPr>
        <w:t>to assess the extent to which households differentiate between the two types of service providers in</w:t>
      </w:r>
      <w:r w:rsidRPr="000E3C28">
        <w:rPr>
          <w:rFonts w:ascii="Arial" w:hAnsi="Arial" w:cs="Arial"/>
          <w:color w:val="000000"/>
          <w:sz w:val="20"/>
          <w:lang w:val="en-IN" w:bidi="ar-SA"/>
        </w:rPr>
        <w:t xml:space="preserve"> quality dimensions like regularity in waste collection, collection charge, efficiency in collection, the </w:t>
      </w:r>
      <w:r w:rsidRPr="000E3C28">
        <w:rPr>
          <w:rFonts w:ascii="Arial" w:hAnsi="Arial" w:cs="Arial"/>
          <w:noProof/>
          <w:color w:val="000000"/>
          <w:sz w:val="20"/>
          <w:lang w:val="en-IN" w:bidi="ar-SA"/>
        </w:rPr>
        <w:t>attitude</w:t>
      </w:r>
      <w:r w:rsidRPr="000E3C28">
        <w:rPr>
          <w:rFonts w:ascii="Arial" w:hAnsi="Arial" w:cs="Arial"/>
          <w:color w:val="000000"/>
          <w:sz w:val="20"/>
          <w:lang w:val="en-IN" w:bidi="ar-SA"/>
        </w:rPr>
        <w:t xml:space="preserve"> of the collector, and feasibility in the </w:t>
      </w:r>
      <w:r w:rsidRPr="000E3C28">
        <w:rPr>
          <w:rFonts w:ascii="Arial" w:hAnsi="Arial" w:cs="Arial"/>
          <w:noProof/>
          <w:color w:val="000000"/>
          <w:sz w:val="20"/>
          <w:lang w:val="en-IN" w:bidi="ar-SA"/>
        </w:rPr>
        <w:t>collection.</w:t>
      </w:r>
      <w:r w:rsidRPr="000E3C28">
        <w:rPr>
          <w:rFonts w:ascii="Arial" w:hAnsi="Arial" w:cs="Arial"/>
          <w:sz w:val="20"/>
        </w:rPr>
        <w:t xml:space="preserve"> </w:t>
      </w:r>
      <w:r w:rsidRPr="000E3C28">
        <w:rPr>
          <w:rFonts w:ascii="Arial" w:hAnsi="Arial" w:cs="Arial"/>
          <w:color w:val="000000"/>
          <w:sz w:val="20"/>
          <w:lang w:val="en-IN" w:bidi="ar-SA"/>
        </w:rPr>
        <w:t>Regularity in waste collection refers to the consistent and timely collection of waste at scheduled intervals, which is crucial for ensuring the overall service quality of a service provider in waste collection. The collection charge evaluates the cost-effectiveness and affordability of waste collection services, considering the fees charged for the collection of waste from households.</w:t>
      </w:r>
      <w:r w:rsidRPr="000E3C28">
        <w:rPr>
          <w:rFonts w:ascii="Arial" w:hAnsi="Arial" w:cs="Arial"/>
          <w:color w:val="000000"/>
          <w:sz w:val="20"/>
        </w:rPr>
        <w:t xml:space="preserve"> The attitude of the service provider assesses the behavior and professionalism of waste collectors, including their interaction with residents, adherence to regulations, and responsiveness to inquiries or complaints.</w:t>
      </w:r>
      <w:r w:rsidRPr="000E3C28">
        <w:rPr>
          <w:rFonts w:ascii="Arial" w:hAnsi="Arial" w:cs="Arial"/>
          <w:sz w:val="20"/>
        </w:rPr>
        <w:t xml:space="preserve">  </w:t>
      </w:r>
      <w:r w:rsidRPr="000E3C28">
        <w:rPr>
          <w:rFonts w:ascii="Arial" w:hAnsi="Arial" w:cs="Arial"/>
          <w:color w:val="000000"/>
          <w:sz w:val="20"/>
        </w:rPr>
        <w:t>Efficiency in collection involves the use of appropriate equipment like transportation vehicles number of workers etc. to improve the speed and effectiveness of waste collection processes, ensuring that resources are utilized efficiently. Additionally, this dimension considers the proper disposal and recycling of waste collected, aiming to reduce landfill usage and promote sustainable waste management practices.</w:t>
      </w:r>
      <w:r w:rsidRPr="000E3C28">
        <w:rPr>
          <w:rFonts w:ascii="Arial" w:hAnsi="Arial" w:cs="Arial"/>
          <w:sz w:val="20"/>
        </w:rPr>
        <w:t xml:space="preserve"> </w:t>
      </w:r>
      <w:r w:rsidRPr="000E3C28">
        <w:rPr>
          <w:rFonts w:ascii="Arial" w:hAnsi="Arial" w:cs="Arial"/>
          <w:color w:val="000000"/>
          <w:sz w:val="20"/>
        </w:rPr>
        <w:t>Feasibility in collection examines the practicality and viability of managing non-biodegradable materials. This dimension evaluates the effectiveness of systems and infrastructure for handling inorganic waste, including the availability of appropriate collection methods, transportation logistics,</w:t>
      </w:r>
      <w:r w:rsidR="007A35EB" w:rsidRPr="000E3C28">
        <w:rPr>
          <w:rFonts w:ascii="Arial" w:hAnsi="Arial" w:cs="Arial"/>
          <w:color w:val="000000"/>
          <w:sz w:val="20"/>
        </w:rPr>
        <w:t xml:space="preserve"> and disposal mechanisms. This includes considering factors such as availability of suitable collection, methods and infrastructure for handling inorganic waste, the feasibility of transportation and disposal, and the potential for recycling or reusing inorganic materials.</w:t>
      </w:r>
      <w:r w:rsidR="007A35EB" w:rsidRPr="000E3C28">
        <w:rPr>
          <w:rFonts w:ascii="Arial" w:hAnsi="Arial" w:cs="Arial"/>
          <w:sz w:val="20"/>
        </w:rPr>
        <w:t xml:space="preserve"> </w:t>
      </w:r>
    </w:p>
    <w:p w14:paraId="3091D452" w14:textId="77777777" w:rsidR="007A35EB" w:rsidRPr="000E3C28" w:rsidRDefault="007A35EB" w:rsidP="000E3C28">
      <w:pPr>
        <w:autoSpaceDE w:val="0"/>
        <w:autoSpaceDN w:val="0"/>
        <w:adjustRightInd w:val="0"/>
        <w:spacing w:line="240" w:lineRule="auto"/>
        <w:jc w:val="both"/>
        <w:rPr>
          <w:rFonts w:ascii="Arial" w:hAnsi="Arial" w:cs="Arial"/>
          <w:color w:val="000000"/>
          <w:sz w:val="20"/>
        </w:rPr>
      </w:pPr>
      <w:r w:rsidRPr="000E3C28">
        <w:rPr>
          <w:rFonts w:ascii="Arial" w:hAnsi="Arial" w:cs="Arial"/>
          <w:color w:val="000000"/>
          <w:sz w:val="20"/>
        </w:rPr>
        <w:t>These five dimensions (regularity in waste collection, collection charge, efficiency in collection, attitude of the collector, and feasibility in collection) are evaluated using a 5-point Likert scale, with responses ranging from 1 (very good) to 5 (poor). This scale allows respondents to indicate their perceptions of each dimension towards public and private service providers providing a structured approach to assessing service quality in waste management.</w:t>
      </w:r>
    </w:p>
    <w:p w14:paraId="658B18DE" w14:textId="77777777" w:rsidR="007A35EB" w:rsidRPr="000E3C28" w:rsidRDefault="007A35EB" w:rsidP="000E3C28">
      <w:pPr>
        <w:autoSpaceDE w:val="0"/>
        <w:autoSpaceDN w:val="0"/>
        <w:adjustRightInd w:val="0"/>
        <w:spacing w:line="240" w:lineRule="auto"/>
        <w:jc w:val="both"/>
        <w:rPr>
          <w:rFonts w:ascii="Arial" w:hAnsi="Arial" w:cs="Arial"/>
          <w:color w:val="000000"/>
          <w:sz w:val="20"/>
        </w:rPr>
      </w:pPr>
      <w:r w:rsidRPr="000E3C28">
        <w:rPr>
          <w:rFonts w:ascii="Arial" w:hAnsi="Arial" w:cs="Arial"/>
          <w:color w:val="000000"/>
          <w:sz w:val="20"/>
        </w:rPr>
        <w:t xml:space="preserve">The examination of equality among group means served as the primary step in assessing the significance of an independent variable towards a discriminant function. Wilks' Lambda test is used to determine whether the group mean is equal. The principal component analysis, a dimension reduction approach, is used to break down various dimensions of public and private service quality into two components, Factor 1 and Factor 2. Factor 1 exemplifies service quality dimensions of the </w:t>
      </w:r>
      <w:r w:rsidRPr="000E3C28">
        <w:rPr>
          <w:rFonts w:ascii="Arial" w:hAnsi="Arial" w:cs="Arial"/>
          <w:noProof/>
          <w:color w:val="000000"/>
          <w:sz w:val="20"/>
        </w:rPr>
        <w:t>public</w:t>
      </w:r>
      <w:r w:rsidRPr="000E3C28">
        <w:rPr>
          <w:rFonts w:ascii="Arial" w:hAnsi="Arial" w:cs="Arial"/>
          <w:color w:val="000000"/>
          <w:sz w:val="20"/>
        </w:rPr>
        <w:t xml:space="preserve"> service provider,</w:t>
      </w:r>
      <w:r w:rsidRPr="000E3C28">
        <w:rPr>
          <w:rFonts w:ascii="Arial" w:hAnsi="Arial" w:cs="Arial"/>
          <w:noProof/>
          <w:color w:val="000000"/>
          <w:sz w:val="20"/>
        </w:rPr>
        <w:t xml:space="preserve"> and</w:t>
      </w:r>
      <w:r w:rsidRPr="000E3C28">
        <w:rPr>
          <w:rFonts w:ascii="Arial" w:hAnsi="Arial" w:cs="Arial"/>
          <w:color w:val="000000"/>
          <w:sz w:val="20"/>
        </w:rPr>
        <w:t xml:space="preserve"> Factor 2 exemplifies the </w:t>
      </w:r>
      <w:r w:rsidRPr="000E3C28">
        <w:rPr>
          <w:rFonts w:ascii="Arial" w:hAnsi="Arial" w:cs="Arial"/>
          <w:noProof/>
          <w:color w:val="000000"/>
          <w:sz w:val="20"/>
        </w:rPr>
        <w:t>private</w:t>
      </w:r>
      <w:r w:rsidRPr="000E3C28">
        <w:rPr>
          <w:rFonts w:ascii="Arial" w:hAnsi="Arial" w:cs="Arial"/>
          <w:color w:val="000000"/>
          <w:sz w:val="20"/>
        </w:rPr>
        <w:t xml:space="preserve"> service provider.</w:t>
      </w:r>
    </w:p>
    <w:p w14:paraId="2445D6A4" w14:textId="77777777" w:rsidR="007A35EB" w:rsidRPr="000E3C28" w:rsidRDefault="00E664B7" w:rsidP="00751C27">
      <w:pPr>
        <w:tabs>
          <w:tab w:val="left" w:pos="3780"/>
        </w:tabs>
        <w:autoSpaceDE w:val="0"/>
        <w:autoSpaceDN w:val="0"/>
        <w:adjustRightInd w:val="0"/>
        <w:spacing w:line="240" w:lineRule="auto"/>
        <w:jc w:val="both"/>
        <w:rPr>
          <w:rFonts w:ascii="Arial" w:hAnsi="Arial" w:cs="Arial"/>
          <w:color w:val="000000"/>
          <w:szCs w:val="22"/>
        </w:rPr>
      </w:pPr>
      <w:r w:rsidRPr="000E3C28">
        <w:rPr>
          <w:rFonts w:ascii="Arial" w:hAnsi="Arial" w:cs="Arial"/>
          <w:b/>
          <w:color w:val="333333"/>
          <w:szCs w:val="22"/>
        </w:rPr>
        <w:t xml:space="preserve">4. </w:t>
      </w:r>
      <w:r w:rsidR="003104C0" w:rsidRPr="000E3C28">
        <w:rPr>
          <w:rFonts w:ascii="Arial" w:hAnsi="Arial" w:cs="Arial"/>
          <w:b/>
          <w:color w:val="333333"/>
          <w:szCs w:val="22"/>
        </w:rPr>
        <w:t>Results and Discussion</w:t>
      </w:r>
      <w:r w:rsidR="007A35EB" w:rsidRPr="000E3C28">
        <w:rPr>
          <w:rFonts w:ascii="Arial" w:hAnsi="Arial" w:cs="Arial"/>
          <w:b/>
          <w:color w:val="333333"/>
          <w:szCs w:val="22"/>
        </w:rPr>
        <w:tab/>
      </w:r>
    </w:p>
    <w:p w14:paraId="26480AD3" w14:textId="77777777" w:rsidR="007A35EB" w:rsidRPr="000E3C28" w:rsidRDefault="007A35EB" w:rsidP="000E3C28">
      <w:pPr>
        <w:spacing w:line="240" w:lineRule="auto"/>
        <w:jc w:val="both"/>
        <w:rPr>
          <w:rFonts w:ascii="Arial" w:hAnsi="Arial" w:cs="Arial"/>
          <w:sz w:val="20"/>
        </w:rPr>
      </w:pPr>
      <w:r w:rsidRPr="000E3C28">
        <w:rPr>
          <w:rFonts w:ascii="Arial" w:hAnsi="Arial" w:cs="Arial"/>
          <w:sz w:val="20"/>
        </w:rPr>
        <w:t xml:space="preserve">In Kerala, the waste collection service was launched by the </w:t>
      </w:r>
      <w:proofErr w:type="spellStart"/>
      <w:r w:rsidRPr="000E3C28">
        <w:rPr>
          <w:rFonts w:ascii="Arial" w:hAnsi="Arial" w:cs="Arial"/>
          <w:sz w:val="20"/>
        </w:rPr>
        <w:t>Suchitwa</w:t>
      </w:r>
      <w:proofErr w:type="spellEnd"/>
      <w:r w:rsidRPr="000E3C28">
        <w:rPr>
          <w:rFonts w:ascii="Arial" w:hAnsi="Arial" w:cs="Arial"/>
          <w:sz w:val="20"/>
        </w:rPr>
        <w:t xml:space="preserve"> Mission in partnership with </w:t>
      </w:r>
      <w:proofErr w:type="spellStart"/>
      <w:r w:rsidRPr="000E3C28">
        <w:rPr>
          <w:rFonts w:ascii="Arial" w:hAnsi="Arial" w:cs="Arial"/>
          <w:sz w:val="20"/>
        </w:rPr>
        <w:t>Kudumbasree</w:t>
      </w:r>
      <w:proofErr w:type="spellEnd"/>
      <w:r w:rsidRPr="000E3C28">
        <w:rPr>
          <w:rStyle w:val="FootnoteReference"/>
          <w:rFonts w:ascii="Arial" w:hAnsi="Arial" w:cs="Arial"/>
          <w:sz w:val="20"/>
        </w:rPr>
        <w:footnoteReference w:id="1"/>
      </w:r>
      <w:r w:rsidRPr="000E3C28">
        <w:rPr>
          <w:rFonts w:ascii="Arial" w:hAnsi="Arial" w:cs="Arial"/>
          <w:sz w:val="20"/>
        </w:rPr>
        <w:t xml:space="preserve"> on a trial basis.  </w:t>
      </w:r>
      <w:proofErr w:type="spellStart"/>
      <w:r w:rsidRPr="000E3C28">
        <w:rPr>
          <w:rFonts w:ascii="Arial" w:hAnsi="Arial" w:cs="Arial"/>
          <w:color w:val="000000"/>
          <w:sz w:val="20"/>
        </w:rPr>
        <w:t>Kudumbasree</w:t>
      </w:r>
      <w:proofErr w:type="spellEnd"/>
      <w:r w:rsidRPr="000E3C28">
        <w:rPr>
          <w:rFonts w:ascii="Arial" w:hAnsi="Arial" w:cs="Arial"/>
          <w:color w:val="000000"/>
          <w:sz w:val="20"/>
        </w:rPr>
        <w:t xml:space="preserve"> collects organic waste from households every day </w:t>
      </w:r>
      <w:r w:rsidRPr="000E3C28">
        <w:rPr>
          <w:rFonts w:ascii="Arial" w:hAnsi="Arial" w:cs="Arial"/>
          <w:color w:val="000000"/>
          <w:sz w:val="20"/>
        </w:rPr>
        <w:lastRenderedPageBreak/>
        <w:t xml:space="preserve">except Sunday. This waste is then taken to 32 designated secondary collection points identified by the Corporation, where it is loaded to secondary collection vehicles such as tractors or trucks. Subsequently, the waste is transported to a treatment plant, where biodegradable waste is processed into bio-manure, while non-biodegradable waste and rejects are directed to landfill sites. However, </w:t>
      </w:r>
      <w:proofErr w:type="spellStart"/>
      <w:r w:rsidRPr="000E3C28">
        <w:rPr>
          <w:rFonts w:ascii="Arial" w:hAnsi="Arial" w:cs="Arial"/>
          <w:color w:val="000000"/>
          <w:sz w:val="20"/>
        </w:rPr>
        <w:t>Kudumbasree</w:t>
      </w:r>
      <w:proofErr w:type="spellEnd"/>
      <w:r w:rsidRPr="000E3C28">
        <w:rPr>
          <w:rFonts w:ascii="Arial" w:hAnsi="Arial" w:cs="Arial"/>
          <w:color w:val="000000"/>
          <w:sz w:val="20"/>
        </w:rPr>
        <w:t xml:space="preserve"> workers specialize in collecting organic waste and are unwilling to handle inorganic waste. This shows the necessity for additional services to efficiently manage the disposal of inorganic waste in the region.</w:t>
      </w:r>
      <w:r w:rsidRPr="000E3C28">
        <w:rPr>
          <w:rFonts w:ascii="Arial" w:hAnsi="Arial" w:cs="Arial"/>
          <w:sz w:val="20"/>
        </w:rPr>
        <w:t xml:space="preserve"> In such situation private service provider like “</w:t>
      </w:r>
      <w:proofErr w:type="spellStart"/>
      <w:r w:rsidRPr="000E3C28">
        <w:rPr>
          <w:rFonts w:ascii="Arial" w:hAnsi="Arial" w:cs="Arial"/>
          <w:sz w:val="20"/>
        </w:rPr>
        <w:t>Niravu</w:t>
      </w:r>
      <w:proofErr w:type="spellEnd"/>
      <w:r w:rsidRPr="000E3C28">
        <w:rPr>
          <w:rFonts w:ascii="Arial" w:hAnsi="Arial" w:cs="Arial"/>
          <w:sz w:val="20"/>
        </w:rPr>
        <w:t>”</w:t>
      </w:r>
      <w:r w:rsidRPr="000E3C28">
        <w:rPr>
          <w:rStyle w:val="FootnoteReference"/>
          <w:rFonts w:ascii="Arial" w:hAnsi="Arial" w:cs="Arial"/>
          <w:sz w:val="20"/>
        </w:rPr>
        <w:footnoteReference w:id="2"/>
      </w:r>
      <w:r w:rsidRPr="000E3C28">
        <w:rPr>
          <w:rFonts w:ascii="Arial" w:hAnsi="Arial" w:cs="Arial"/>
          <w:color w:val="000000"/>
          <w:sz w:val="20"/>
        </w:rPr>
        <w:t xml:space="preserve"> stepping in to fill this gap, collaborating with residents' associations, demonstrates an innovative approach to address this issue. This collaboration not only ensures the proper disposal of inorganic waste but also promotes community involvement in waste management, contributing to a cleaner and more sustainable environment in Kerala.</w:t>
      </w:r>
      <w:r w:rsidRPr="000E3C28">
        <w:rPr>
          <w:rFonts w:ascii="Arial" w:hAnsi="Arial" w:cs="Arial"/>
          <w:sz w:val="20"/>
        </w:rPr>
        <w:t xml:space="preserve"> Here, t</w:t>
      </w:r>
      <w:r w:rsidRPr="000E3C28">
        <w:rPr>
          <w:rFonts w:ascii="Arial" w:hAnsi="Arial" w:cs="Arial"/>
          <w:color w:val="000000"/>
          <w:sz w:val="20"/>
        </w:rPr>
        <w:t xml:space="preserve">he study aims to investigate individuals' preferences between public and private waste management services, focusing on potential differences in service quality that drive these preferences. </w:t>
      </w:r>
    </w:p>
    <w:p w14:paraId="34D411CD" w14:textId="77777777" w:rsidR="007A35EB" w:rsidRPr="000E3C28" w:rsidRDefault="007A35EB" w:rsidP="000E3C28">
      <w:pPr>
        <w:pStyle w:val="NormalWeb"/>
        <w:shd w:val="clear" w:color="auto" w:fill="FFFFFF"/>
        <w:spacing w:before="0" w:beforeAutospacing="0" w:after="150" w:afterAutospacing="0"/>
        <w:jc w:val="both"/>
        <w:rPr>
          <w:rFonts w:ascii="Arial" w:hAnsi="Arial" w:cs="Arial"/>
          <w:sz w:val="20"/>
          <w:szCs w:val="20"/>
        </w:rPr>
      </w:pPr>
      <w:r w:rsidRPr="000E3C28">
        <w:rPr>
          <w:rFonts w:ascii="Arial" w:hAnsi="Arial" w:cs="Arial"/>
          <w:sz w:val="20"/>
          <w:szCs w:val="20"/>
        </w:rPr>
        <w:t xml:space="preserve">By </w:t>
      </w:r>
      <w:proofErr w:type="spellStart"/>
      <w:r w:rsidRPr="000E3C28">
        <w:rPr>
          <w:rFonts w:ascii="Arial" w:hAnsi="Arial" w:cs="Arial"/>
          <w:sz w:val="20"/>
          <w:szCs w:val="20"/>
        </w:rPr>
        <w:t>analyzing</w:t>
      </w:r>
      <w:proofErr w:type="spellEnd"/>
      <w:r w:rsidRPr="000E3C28">
        <w:rPr>
          <w:rFonts w:ascii="Arial" w:hAnsi="Arial" w:cs="Arial"/>
          <w:sz w:val="20"/>
          <w:szCs w:val="20"/>
        </w:rPr>
        <w:t xml:space="preserve"> the service qualities of </w:t>
      </w:r>
      <w:proofErr w:type="spellStart"/>
      <w:r w:rsidRPr="000E3C28">
        <w:rPr>
          <w:rFonts w:ascii="Arial" w:hAnsi="Arial" w:cs="Arial"/>
          <w:sz w:val="20"/>
          <w:szCs w:val="20"/>
        </w:rPr>
        <w:t>of</w:t>
      </w:r>
      <w:proofErr w:type="spellEnd"/>
      <w:r w:rsidRPr="000E3C28">
        <w:rPr>
          <w:rFonts w:ascii="Arial" w:hAnsi="Arial" w:cs="Arial"/>
          <w:sz w:val="20"/>
          <w:szCs w:val="20"/>
        </w:rPr>
        <w:t xml:space="preserve"> waste management providers and the level of institutional support they receive, researchers and policymakers can identify areas for improvement and develop strategies to enhance waste management practices</w:t>
      </w:r>
      <w:r w:rsidRPr="000E3C28">
        <w:rPr>
          <w:rFonts w:ascii="Arial" w:hAnsi="Arial" w:cs="Arial"/>
          <w:color w:val="333333"/>
          <w:sz w:val="20"/>
          <w:szCs w:val="20"/>
        </w:rPr>
        <w:t xml:space="preserve">. </w:t>
      </w:r>
      <w:r w:rsidRPr="000E3C28">
        <w:rPr>
          <w:rFonts w:ascii="Arial" w:hAnsi="Arial" w:cs="Arial"/>
          <w:sz w:val="20"/>
          <w:szCs w:val="20"/>
        </w:rPr>
        <w:t xml:space="preserve">As a result, it is critical to analyse the service qualities of providers in waste management in particular and environmental quality in general. </w:t>
      </w:r>
    </w:p>
    <w:p w14:paraId="46BBB472" w14:textId="77777777" w:rsidR="00E664B7" w:rsidRPr="000E3C28" w:rsidRDefault="007A35EB" w:rsidP="000E3C28">
      <w:pPr>
        <w:pStyle w:val="NormalWeb"/>
        <w:shd w:val="clear" w:color="auto" w:fill="FFFFFF"/>
        <w:spacing w:before="0" w:beforeAutospacing="0" w:after="150" w:afterAutospacing="0"/>
        <w:jc w:val="both"/>
        <w:rPr>
          <w:rFonts w:ascii="Arial" w:hAnsi="Arial" w:cs="Arial"/>
        </w:rPr>
      </w:pPr>
      <w:r w:rsidRPr="000E3C28">
        <w:rPr>
          <w:rFonts w:ascii="Arial" w:hAnsi="Arial" w:cs="Arial"/>
          <w:sz w:val="20"/>
          <w:szCs w:val="20"/>
        </w:rPr>
        <w:t>In Kerala, households predominantly rely on a combination of private and public service providers for the disposal of solid waste. A significant proportion of households, 31.5 per cent, opt for public services for the disposal of organic waste. This reliance on public services indicates a level of trust and preference for municipal or government-run waste management systems for biodegradable waste. On the other hand, a similar percentage of households, also 31.5 per cent, rely on private services for the disposal of inorganic waste, particularly plastic waste. This reliance on private services for specific types of waste, such as plastics, suggests a perceived efficiency or effectiveness in handling non-biodegradable waste by private entities. Additionally, 15.4 per cent of households utilize both public and private services, highlighting a nuanced approach where different types of waste are</w:t>
      </w:r>
      <w:r w:rsidRPr="000E3C28">
        <w:rPr>
          <w:rFonts w:ascii="Arial" w:hAnsi="Arial" w:cs="Arial"/>
        </w:rPr>
        <w:t xml:space="preserve"> </w:t>
      </w:r>
      <w:r w:rsidRPr="000E3C28">
        <w:rPr>
          <w:rFonts w:ascii="Arial" w:hAnsi="Arial" w:cs="Arial"/>
          <w:sz w:val="20"/>
          <w:szCs w:val="20"/>
        </w:rPr>
        <w:t>managed by different service providers based on their perceived strengths or specialization. Overall, this data indicates that nearly half of the households (47 per cent) in Kerala rely on either public or private service providers for their waste disposal needs, showcasing a diverse and somewhat fragmented waste management landscape in the region</w:t>
      </w:r>
      <w:r w:rsidR="00B7720E" w:rsidRPr="000E3C28">
        <w:rPr>
          <w:rFonts w:ascii="Arial" w:hAnsi="Arial" w:cs="Arial"/>
        </w:rPr>
        <w:t>.</w:t>
      </w:r>
    </w:p>
    <w:p w14:paraId="2A06647D" w14:textId="77777777" w:rsidR="007A35EB" w:rsidRPr="000E3C28" w:rsidRDefault="007A35EB" w:rsidP="00751C27">
      <w:pPr>
        <w:autoSpaceDE w:val="0"/>
        <w:autoSpaceDN w:val="0"/>
        <w:adjustRightInd w:val="0"/>
        <w:spacing w:after="0" w:line="240" w:lineRule="auto"/>
        <w:ind w:left="1440" w:firstLine="720"/>
        <w:jc w:val="both"/>
        <w:rPr>
          <w:rFonts w:ascii="Arial" w:hAnsi="Arial" w:cs="Arial"/>
          <w:b/>
          <w:sz w:val="20"/>
          <w:lang w:val="en-IN" w:eastAsia="en-IN" w:bidi="ar-SA"/>
        </w:rPr>
      </w:pPr>
      <w:r w:rsidRPr="000E3C28">
        <w:rPr>
          <w:rFonts w:ascii="Arial" w:hAnsi="Arial" w:cs="Arial"/>
          <w:b/>
          <w:sz w:val="20"/>
          <w:lang w:val="en-IN" w:eastAsia="en-IN" w:bidi="ar-SA"/>
        </w:rPr>
        <w:t>Table 1. Availability of Waste Disposal Service</w:t>
      </w:r>
    </w:p>
    <w:tbl>
      <w:tblPr>
        <w:tblW w:w="5692" w:type="dxa"/>
        <w:jc w:val="center"/>
        <w:tblLayout w:type="fixed"/>
        <w:tblCellMar>
          <w:left w:w="0" w:type="dxa"/>
          <w:right w:w="0" w:type="dxa"/>
        </w:tblCellMar>
        <w:tblLook w:val="04A0" w:firstRow="1" w:lastRow="0" w:firstColumn="1" w:lastColumn="0" w:noHBand="0" w:noVBand="1"/>
      </w:tblPr>
      <w:tblGrid>
        <w:gridCol w:w="846"/>
        <w:gridCol w:w="1456"/>
        <w:gridCol w:w="1248"/>
        <w:gridCol w:w="1417"/>
        <w:gridCol w:w="725"/>
      </w:tblGrid>
      <w:tr w:rsidR="007A35EB" w:rsidRPr="000E3C28" w14:paraId="0D6EA068" w14:textId="77777777" w:rsidTr="00C05858">
        <w:trPr>
          <w:cantSplit/>
          <w:trHeight w:val="333"/>
          <w:jc w:val="center"/>
        </w:trPr>
        <w:tc>
          <w:tcPr>
            <w:tcW w:w="2302" w:type="dxa"/>
            <w:gridSpan w:val="2"/>
            <w:vMerge w:val="restart"/>
            <w:shd w:val="clear" w:color="auto" w:fill="FFFFFF"/>
            <w:vAlign w:val="bottom"/>
          </w:tcPr>
          <w:p w14:paraId="5249D88A" w14:textId="77777777" w:rsidR="007A35EB" w:rsidRPr="000E3C28" w:rsidRDefault="00C05858" w:rsidP="00751C27">
            <w:pPr>
              <w:pStyle w:val="NoSpacing"/>
              <w:rPr>
                <w:rFonts w:ascii="Arial" w:hAnsi="Arial" w:cs="Arial"/>
                <w:sz w:val="20"/>
              </w:rPr>
            </w:pPr>
            <w:r w:rsidRPr="000E3C28">
              <w:rPr>
                <w:rFonts w:ascii="Arial" w:hAnsi="Arial" w:cs="Arial"/>
                <w:sz w:val="20"/>
              </w:rPr>
              <w:t xml:space="preserve">                     </w:t>
            </w:r>
          </w:p>
          <w:p w14:paraId="76050AC2" w14:textId="77777777" w:rsidR="007A35EB" w:rsidRPr="000E3C28" w:rsidRDefault="00C05858" w:rsidP="00751C27">
            <w:pPr>
              <w:pStyle w:val="NoSpacing"/>
              <w:rPr>
                <w:rFonts w:ascii="Arial" w:hAnsi="Arial" w:cs="Arial"/>
                <w:sz w:val="20"/>
              </w:rPr>
            </w:pPr>
            <w:r w:rsidRPr="000E3C28">
              <w:rPr>
                <w:rFonts w:ascii="Arial" w:hAnsi="Arial" w:cs="Arial"/>
                <w:sz w:val="20"/>
              </w:rPr>
              <w:t xml:space="preserve">     </w:t>
            </w:r>
            <w:r w:rsidR="007A35EB" w:rsidRPr="000E3C28">
              <w:rPr>
                <w:rFonts w:ascii="Arial" w:hAnsi="Arial" w:cs="Arial"/>
                <w:sz w:val="20"/>
              </w:rPr>
              <w:t xml:space="preserve"> </w:t>
            </w:r>
            <w:r w:rsidRPr="000E3C28">
              <w:rPr>
                <w:rFonts w:ascii="Arial" w:hAnsi="Arial" w:cs="Arial"/>
                <w:sz w:val="20"/>
              </w:rPr>
              <w:t xml:space="preserve">   </w:t>
            </w:r>
            <w:r w:rsidR="007A35EB" w:rsidRPr="000E3C28">
              <w:rPr>
                <w:rFonts w:ascii="Arial" w:hAnsi="Arial" w:cs="Arial"/>
                <w:sz w:val="20"/>
              </w:rPr>
              <w:t>Private</w:t>
            </w:r>
            <w:r w:rsidRPr="000E3C28">
              <w:rPr>
                <w:rFonts w:ascii="Arial" w:hAnsi="Arial" w:cs="Arial"/>
                <w:sz w:val="20"/>
              </w:rPr>
              <w:t xml:space="preserve"> service</w:t>
            </w:r>
          </w:p>
        </w:tc>
        <w:tc>
          <w:tcPr>
            <w:tcW w:w="2665" w:type="dxa"/>
            <w:gridSpan w:val="2"/>
            <w:shd w:val="clear" w:color="auto" w:fill="FFFFFF"/>
            <w:vAlign w:val="bottom"/>
            <w:hideMark/>
          </w:tcPr>
          <w:p w14:paraId="3A7AB282" w14:textId="77777777" w:rsidR="007A35EB" w:rsidRPr="000E3C28" w:rsidRDefault="00C05858" w:rsidP="00751C27">
            <w:pPr>
              <w:pStyle w:val="NoSpacing"/>
              <w:rPr>
                <w:rFonts w:ascii="Arial" w:hAnsi="Arial" w:cs="Arial"/>
                <w:b/>
                <w:sz w:val="20"/>
              </w:rPr>
            </w:pPr>
            <w:r w:rsidRPr="000E3C28">
              <w:rPr>
                <w:rFonts w:ascii="Arial" w:hAnsi="Arial" w:cs="Arial"/>
                <w:sz w:val="20"/>
              </w:rPr>
              <w:t xml:space="preserve">       </w:t>
            </w:r>
            <w:r w:rsidR="007A35EB" w:rsidRPr="000E3C28">
              <w:rPr>
                <w:rFonts w:ascii="Arial" w:hAnsi="Arial" w:cs="Arial"/>
                <w:b/>
                <w:sz w:val="20"/>
              </w:rPr>
              <w:t>Public Service</w:t>
            </w:r>
          </w:p>
        </w:tc>
        <w:tc>
          <w:tcPr>
            <w:tcW w:w="725" w:type="dxa"/>
            <w:vMerge w:val="restart"/>
            <w:tcBorders>
              <w:bottom w:val="single" w:sz="4" w:space="0" w:color="auto"/>
            </w:tcBorders>
            <w:shd w:val="clear" w:color="auto" w:fill="FFFFFF"/>
            <w:vAlign w:val="bottom"/>
            <w:hideMark/>
          </w:tcPr>
          <w:p w14:paraId="101EECC9" w14:textId="77777777" w:rsidR="007A35EB" w:rsidRPr="000E3C28" w:rsidRDefault="007A35EB" w:rsidP="00751C27">
            <w:pPr>
              <w:pStyle w:val="NoSpacing"/>
              <w:rPr>
                <w:rFonts w:ascii="Arial" w:hAnsi="Arial" w:cs="Arial"/>
                <w:sz w:val="20"/>
              </w:rPr>
            </w:pPr>
            <w:r w:rsidRPr="000E3C28">
              <w:rPr>
                <w:rFonts w:ascii="Arial" w:hAnsi="Arial" w:cs="Arial"/>
                <w:sz w:val="20"/>
              </w:rPr>
              <w:t>Total</w:t>
            </w:r>
          </w:p>
        </w:tc>
      </w:tr>
      <w:tr w:rsidR="007A35EB" w:rsidRPr="000E3C28" w14:paraId="2E259B5F" w14:textId="77777777" w:rsidTr="00C05858">
        <w:trPr>
          <w:cantSplit/>
          <w:trHeight w:val="480"/>
          <w:jc w:val="center"/>
        </w:trPr>
        <w:tc>
          <w:tcPr>
            <w:tcW w:w="2302" w:type="dxa"/>
            <w:gridSpan w:val="2"/>
            <w:vMerge/>
            <w:tcBorders>
              <w:bottom w:val="single" w:sz="4" w:space="0" w:color="auto"/>
            </w:tcBorders>
            <w:vAlign w:val="center"/>
            <w:hideMark/>
          </w:tcPr>
          <w:p w14:paraId="680C70E6" w14:textId="77777777" w:rsidR="007A35EB" w:rsidRPr="000E3C28" w:rsidRDefault="007A35EB" w:rsidP="00751C27">
            <w:pPr>
              <w:pStyle w:val="NoSpacing"/>
              <w:rPr>
                <w:rFonts w:ascii="Arial" w:hAnsi="Arial" w:cs="Arial"/>
                <w:sz w:val="20"/>
              </w:rPr>
            </w:pPr>
          </w:p>
        </w:tc>
        <w:tc>
          <w:tcPr>
            <w:tcW w:w="1248" w:type="dxa"/>
            <w:tcBorders>
              <w:bottom w:val="single" w:sz="4" w:space="0" w:color="auto"/>
            </w:tcBorders>
            <w:shd w:val="clear" w:color="auto" w:fill="FFFFFF"/>
            <w:vAlign w:val="bottom"/>
            <w:hideMark/>
          </w:tcPr>
          <w:p w14:paraId="40540D75" w14:textId="77777777" w:rsidR="007A35EB" w:rsidRPr="000E3C28" w:rsidRDefault="007A35EB" w:rsidP="00751C27">
            <w:pPr>
              <w:pStyle w:val="NoSpacing"/>
              <w:rPr>
                <w:rFonts w:ascii="Arial" w:hAnsi="Arial" w:cs="Arial"/>
                <w:sz w:val="20"/>
              </w:rPr>
            </w:pPr>
            <w:r w:rsidRPr="000E3C28">
              <w:rPr>
                <w:rFonts w:ascii="Arial" w:hAnsi="Arial" w:cs="Arial"/>
                <w:sz w:val="20"/>
              </w:rPr>
              <w:t>Available</w:t>
            </w:r>
          </w:p>
        </w:tc>
        <w:tc>
          <w:tcPr>
            <w:tcW w:w="1417" w:type="dxa"/>
            <w:tcBorders>
              <w:bottom w:val="single" w:sz="4" w:space="0" w:color="auto"/>
            </w:tcBorders>
            <w:shd w:val="clear" w:color="auto" w:fill="FFFFFF"/>
            <w:vAlign w:val="bottom"/>
            <w:hideMark/>
          </w:tcPr>
          <w:p w14:paraId="73951C8A" w14:textId="77777777" w:rsidR="007A35EB" w:rsidRPr="000E3C28" w:rsidRDefault="007A35EB" w:rsidP="00751C27">
            <w:pPr>
              <w:pStyle w:val="NoSpacing"/>
              <w:rPr>
                <w:rFonts w:ascii="Arial" w:hAnsi="Arial" w:cs="Arial"/>
                <w:sz w:val="20"/>
              </w:rPr>
            </w:pPr>
            <w:r w:rsidRPr="000E3C28">
              <w:rPr>
                <w:rFonts w:ascii="Arial" w:hAnsi="Arial" w:cs="Arial"/>
                <w:sz w:val="20"/>
              </w:rPr>
              <w:t>Not available</w:t>
            </w:r>
          </w:p>
        </w:tc>
        <w:tc>
          <w:tcPr>
            <w:tcW w:w="725" w:type="dxa"/>
            <w:vMerge/>
            <w:tcBorders>
              <w:bottom w:val="single" w:sz="4" w:space="0" w:color="auto"/>
            </w:tcBorders>
            <w:vAlign w:val="center"/>
            <w:hideMark/>
          </w:tcPr>
          <w:p w14:paraId="3A74CE92" w14:textId="77777777" w:rsidR="007A35EB" w:rsidRPr="000E3C28" w:rsidRDefault="007A35EB" w:rsidP="00751C27">
            <w:pPr>
              <w:pStyle w:val="NoSpacing"/>
              <w:rPr>
                <w:rFonts w:ascii="Arial" w:hAnsi="Arial" w:cs="Arial"/>
                <w:sz w:val="20"/>
              </w:rPr>
            </w:pPr>
          </w:p>
        </w:tc>
      </w:tr>
      <w:tr w:rsidR="007A35EB" w:rsidRPr="000E3C28" w14:paraId="16BF640C" w14:textId="77777777" w:rsidTr="00C05858">
        <w:trPr>
          <w:cantSplit/>
          <w:trHeight w:val="431"/>
          <w:jc w:val="center"/>
        </w:trPr>
        <w:tc>
          <w:tcPr>
            <w:tcW w:w="846" w:type="dxa"/>
            <w:vMerge w:val="restart"/>
            <w:tcBorders>
              <w:top w:val="single" w:sz="4" w:space="0" w:color="auto"/>
            </w:tcBorders>
            <w:shd w:val="clear" w:color="auto" w:fill="FFFFFF"/>
            <w:hideMark/>
          </w:tcPr>
          <w:p w14:paraId="73C6474D" w14:textId="77777777" w:rsidR="007A35EB" w:rsidRPr="000E3C28" w:rsidRDefault="007A35EB" w:rsidP="00751C27">
            <w:pPr>
              <w:pStyle w:val="NoSpacing"/>
              <w:rPr>
                <w:rFonts w:ascii="Arial" w:hAnsi="Arial" w:cs="Arial"/>
                <w:sz w:val="20"/>
              </w:rPr>
            </w:pPr>
          </w:p>
        </w:tc>
        <w:tc>
          <w:tcPr>
            <w:tcW w:w="1456" w:type="dxa"/>
            <w:tcBorders>
              <w:top w:val="single" w:sz="4" w:space="0" w:color="auto"/>
            </w:tcBorders>
            <w:shd w:val="clear" w:color="auto" w:fill="FFFFFF"/>
            <w:hideMark/>
          </w:tcPr>
          <w:p w14:paraId="18AA533B" w14:textId="77777777" w:rsidR="007A35EB" w:rsidRPr="000E3C28" w:rsidRDefault="00C05858" w:rsidP="00751C27">
            <w:pPr>
              <w:pStyle w:val="NoSpacing"/>
              <w:rPr>
                <w:rFonts w:ascii="Arial" w:hAnsi="Arial" w:cs="Arial"/>
                <w:sz w:val="20"/>
              </w:rPr>
            </w:pPr>
            <w:r w:rsidRPr="000E3C28">
              <w:rPr>
                <w:rFonts w:ascii="Arial" w:hAnsi="Arial" w:cs="Arial"/>
                <w:sz w:val="20"/>
              </w:rPr>
              <w:t xml:space="preserve">   </w:t>
            </w:r>
            <w:r w:rsidR="007A35EB" w:rsidRPr="000E3C28">
              <w:rPr>
                <w:rFonts w:ascii="Arial" w:hAnsi="Arial" w:cs="Arial"/>
                <w:sz w:val="20"/>
              </w:rPr>
              <w:t>Available</w:t>
            </w:r>
          </w:p>
        </w:tc>
        <w:tc>
          <w:tcPr>
            <w:tcW w:w="1248" w:type="dxa"/>
            <w:tcBorders>
              <w:top w:val="single" w:sz="4" w:space="0" w:color="auto"/>
            </w:tcBorders>
            <w:shd w:val="clear" w:color="auto" w:fill="FFFFFF"/>
            <w:vAlign w:val="center"/>
            <w:hideMark/>
          </w:tcPr>
          <w:p w14:paraId="5947B475" w14:textId="77777777" w:rsidR="007A35EB" w:rsidRPr="000E3C28" w:rsidRDefault="007A35EB" w:rsidP="00751C27">
            <w:pPr>
              <w:pStyle w:val="NoSpacing"/>
              <w:jc w:val="center"/>
              <w:rPr>
                <w:rFonts w:ascii="Arial" w:hAnsi="Arial" w:cs="Arial"/>
                <w:sz w:val="20"/>
              </w:rPr>
            </w:pPr>
            <w:r w:rsidRPr="000E3C28">
              <w:rPr>
                <w:rFonts w:ascii="Arial" w:hAnsi="Arial" w:cs="Arial"/>
                <w:sz w:val="20"/>
              </w:rPr>
              <w:t>15.4</w:t>
            </w:r>
          </w:p>
        </w:tc>
        <w:tc>
          <w:tcPr>
            <w:tcW w:w="1417" w:type="dxa"/>
            <w:tcBorders>
              <w:top w:val="single" w:sz="4" w:space="0" w:color="auto"/>
            </w:tcBorders>
            <w:shd w:val="clear" w:color="auto" w:fill="FFFFFF"/>
            <w:vAlign w:val="center"/>
            <w:hideMark/>
          </w:tcPr>
          <w:p w14:paraId="2EE2C4EC" w14:textId="77777777" w:rsidR="007A35EB" w:rsidRPr="000E3C28" w:rsidRDefault="007A35EB" w:rsidP="00751C27">
            <w:pPr>
              <w:pStyle w:val="NoSpacing"/>
              <w:jc w:val="center"/>
              <w:rPr>
                <w:rFonts w:ascii="Arial" w:hAnsi="Arial" w:cs="Arial"/>
                <w:sz w:val="20"/>
              </w:rPr>
            </w:pPr>
            <w:r w:rsidRPr="000E3C28">
              <w:rPr>
                <w:rFonts w:ascii="Arial" w:hAnsi="Arial" w:cs="Arial"/>
                <w:sz w:val="20"/>
              </w:rPr>
              <w:t>16.1</w:t>
            </w:r>
          </w:p>
        </w:tc>
        <w:tc>
          <w:tcPr>
            <w:tcW w:w="725" w:type="dxa"/>
            <w:tcBorders>
              <w:top w:val="single" w:sz="4" w:space="0" w:color="auto"/>
            </w:tcBorders>
            <w:shd w:val="clear" w:color="auto" w:fill="FFFFFF"/>
            <w:vAlign w:val="center"/>
            <w:hideMark/>
          </w:tcPr>
          <w:p w14:paraId="4CA95219" w14:textId="77777777" w:rsidR="007A35EB" w:rsidRPr="000E3C28" w:rsidRDefault="007A35EB" w:rsidP="00751C27">
            <w:pPr>
              <w:pStyle w:val="NoSpacing"/>
              <w:jc w:val="center"/>
              <w:rPr>
                <w:rFonts w:ascii="Arial" w:hAnsi="Arial" w:cs="Arial"/>
                <w:sz w:val="20"/>
              </w:rPr>
            </w:pPr>
            <w:r w:rsidRPr="000E3C28">
              <w:rPr>
                <w:rFonts w:ascii="Arial" w:hAnsi="Arial" w:cs="Arial"/>
                <w:sz w:val="20"/>
              </w:rPr>
              <w:t>31.5</w:t>
            </w:r>
          </w:p>
        </w:tc>
      </w:tr>
      <w:tr w:rsidR="007A35EB" w:rsidRPr="000E3C28" w14:paraId="0FB6B39D" w14:textId="77777777" w:rsidTr="00C05858">
        <w:trPr>
          <w:cantSplit/>
          <w:trHeight w:val="431"/>
          <w:jc w:val="center"/>
        </w:trPr>
        <w:tc>
          <w:tcPr>
            <w:tcW w:w="846" w:type="dxa"/>
            <w:vMerge/>
            <w:tcBorders>
              <w:bottom w:val="single" w:sz="4" w:space="0" w:color="auto"/>
            </w:tcBorders>
            <w:vAlign w:val="center"/>
            <w:hideMark/>
          </w:tcPr>
          <w:p w14:paraId="476DE777" w14:textId="77777777" w:rsidR="007A35EB" w:rsidRPr="000E3C28" w:rsidRDefault="007A35EB" w:rsidP="00751C27">
            <w:pPr>
              <w:pStyle w:val="NoSpacing"/>
              <w:rPr>
                <w:rFonts w:ascii="Arial" w:hAnsi="Arial" w:cs="Arial"/>
                <w:sz w:val="20"/>
              </w:rPr>
            </w:pPr>
          </w:p>
        </w:tc>
        <w:tc>
          <w:tcPr>
            <w:tcW w:w="1456" w:type="dxa"/>
            <w:tcBorders>
              <w:bottom w:val="single" w:sz="4" w:space="0" w:color="auto"/>
            </w:tcBorders>
            <w:shd w:val="clear" w:color="auto" w:fill="FFFFFF"/>
            <w:hideMark/>
          </w:tcPr>
          <w:p w14:paraId="5E55A887" w14:textId="77777777" w:rsidR="007A35EB" w:rsidRPr="000E3C28" w:rsidRDefault="007A35EB" w:rsidP="00751C27">
            <w:pPr>
              <w:pStyle w:val="NoSpacing"/>
              <w:rPr>
                <w:rFonts w:ascii="Arial" w:hAnsi="Arial" w:cs="Arial"/>
                <w:sz w:val="20"/>
              </w:rPr>
            </w:pPr>
            <w:r w:rsidRPr="000E3C28">
              <w:rPr>
                <w:rFonts w:ascii="Arial" w:hAnsi="Arial" w:cs="Arial"/>
                <w:sz w:val="20"/>
              </w:rPr>
              <w:t>Not Available</w:t>
            </w:r>
          </w:p>
        </w:tc>
        <w:tc>
          <w:tcPr>
            <w:tcW w:w="1248" w:type="dxa"/>
            <w:tcBorders>
              <w:bottom w:val="single" w:sz="4" w:space="0" w:color="auto"/>
            </w:tcBorders>
            <w:shd w:val="clear" w:color="auto" w:fill="FFFFFF"/>
            <w:vAlign w:val="center"/>
            <w:hideMark/>
          </w:tcPr>
          <w:p w14:paraId="172F3D41" w14:textId="77777777" w:rsidR="007A35EB" w:rsidRPr="000E3C28" w:rsidRDefault="007A35EB" w:rsidP="00751C27">
            <w:pPr>
              <w:pStyle w:val="NoSpacing"/>
              <w:jc w:val="center"/>
              <w:rPr>
                <w:rFonts w:ascii="Arial" w:hAnsi="Arial" w:cs="Arial"/>
                <w:sz w:val="20"/>
              </w:rPr>
            </w:pPr>
            <w:r w:rsidRPr="000E3C28">
              <w:rPr>
                <w:rFonts w:ascii="Arial" w:hAnsi="Arial" w:cs="Arial"/>
                <w:sz w:val="20"/>
              </w:rPr>
              <w:t>16.1</w:t>
            </w:r>
          </w:p>
        </w:tc>
        <w:tc>
          <w:tcPr>
            <w:tcW w:w="1417" w:type="dxa"/>
            <w:tcBorders>
              <w:bottom w:val="single" w:sz="4" w:space="0" w:color="auto"/>
            </w:tcBorders>
            <w:shd w:val="clear" w:color="auto" w:fill="FFFFFF"/>
            <w:vAlign w:val="center"/>
            <w:hideMark/>
          </w:tcPr>
          <w:p w14:paraId="0A4DA3E9" w14:textId="77777777" w:rsidR="007A35EB" w:rsidRPr="000E3C28" w:rsidRDefault="007A35EB" w:rsidP="00751C27">
            <w:pPr>
              <w:pStyle w:val="NoSpacing"/>
              <w:jc w:val="center"/>
              <w:rPr>
                <w:rFonts w:ascii="Arial" w:hAnsi="Arial" w:cs="Arial"/>
                <w:sz w:val="20"/>
              </w:rPr>
            </w:pPr>
            <w:r w:rsidRPr="000E3C28">
              <w:rPr>
                <w:rFonts w:ascii="Arial" w:hAnsi="Arial" w:cs="Arial"/>
                <w:sz w:val="20"/>
              </w:rPr>
              <w:t>52.3</w:t>
            </w:r>
          </w:p>
        </w:tc>
        <w:tc>
          <w:tcPr>
            <w:tcW w:w="725" w:type="dxa"/>
            <w:tcBorders>
              <w:bottom w:val="single" w:sz="4" w:space="0" w:color="auto"/>
            </w:tcBorders>
            <w:shd w:val="clear" w:color="auto" w:fill="FFFFFF"/>
            <w:vAlign w:val="center"/>
            <w:hideMark/>
          </w:tcPr>
          <w:p w14:paraId="5F95C516" w14:textId="77777777" w:rsidR="007A35EB" w:rsidRPr="000E3C28" w:rsidRDefault="007A35EB" w:rsidP="00751C27">
            <w:pPr>
              <w:pStyle w:val="NoSpacing"/>
              <w:jc w:val="center"/>
              <w:rPr>
                <w:rFonts w:ascii="Arial" w:hAnsi="Arial" w:cs="Arial"/>
                <w:sz w:val="20"/>
              </w:rPr>
            </w:pPr>
            <w:r w:rsidRPr="000E3C28">
              <w:rPr>
                <w:rFonts w:ascii="Arial" w:hAnsi="Arial" w:cs="Arial"/>
                <w:sz w:val="20"/>
              </w:rPr>
              <w:t>68.5</w:t>
            </w:r>
          </w:p>
        </w:tc>
      </w:tr>
      <w:tr w:rsidR="007A35EB" w:rsidRPr="000E3C28" w14:paraId="24ED3B01" w14:textId="77777777" w:rsidTr="00C05858">
        <w:trPr>
          <w:cantSplit/>
          <w:trHeight w:val="431"/>
          <w:jc w:val="center"/>
        </w:trPr>
        <w:tc>
          <w:tcPr>
            <w:tcW w:w="2302" w:type="dxa"/>
            <w:gridSpan w:val="2"/>
            <w:tcBorders>
              <w:top w:val="single" w:sz="4" w:space="0" w:color="auto"/>
            </w:tcBorders>
            <w:shd w:val="clear" w:color="auto" w:fill="FFFFFF"/>
            <w:hideMark/>
          </w:tcPr>
          <w:p w14:paraId="6F15409C" w14:textId="77777777" w:rsidR="007A35EB" w:rsidRPr="000E3C28" w:rsidRDefault="00C05858" w:rsidP="00751C27">
            <w:pPr>
              <w:pStyle w:val="NoSpacing"/>
              <w:rPr>
                <w:rFonts w:ascii="Arial" w:hAnsi="Arial" w:cs="Arial"/>
                <w:sz w:val="20"/>
              </w:rPr>
            </w:pPr>
            <w:r w:rsidRPr="000E3C28">
              <w:rPr>
                <w:rFonts w:ascii="Arial" w:hAnsi="Arial" w:cs="Arial"/>
                <w:sz w:val="20"/>
              </w:rPr>
              <w:t xml:space="preserve">                     </w:t>
            </w:r>
            <w:r w:rsidR="007A35EB" w:rsidRPr="000E3C28">
              <w:rPr>
                <w:rFonts w:ascii="Arial" w:hAnsi="Arial" w:cs="Arial"/>
                <w:sz w:val="20"/>
              </w:rPr>
              <w:t>Total</w:t>
            </w:r>
          </w:p>
        </w:tc>
        <w:tc>
          <w:tcPr>
            <w:tcW w:w="1248" w:type="dxa"/>
            <w:tcBorders>
              <w:top w:val="single" w:sz="4" w:space="0" w:color="auto"/>
            </w:tcBorders>
            <w:shd w:val="clear" w:color="auto" w:fill="FFFFFF"/>
            <w:vAlign w:val="center"/>
            <w:hideMark/>
          </w:tcPr>
          <w:p w14:paraId="1D5C91D1" w14:textId="77777777" w:rsidR="007A35EB" w:rsidRPr="000E3C28" w:rsidRDefault="007A35EB" w:rsidP="00751C27">
            <w:pPr>
              <w:pStyle w:val="NoSpacing"/>
              <w:jc w:val="center"/>
              <w:rPr>
                <w:rFonts w:ascii="Arial" w:hAnsi="Arial" w:cs="Arial"/>
                <w:sz w:val="20"/>
              </w:rPr>
            </w:pPr>
            <w:r w:rsidRPr="000E3C28">
              <w:rPr>
                <w:rFonts w:ascii="Arial" w:hAnsi="Arial" w:cs="Arial"/>
                <w:sz w:val="20"/>
              </w:rPr>
              <w:t>31.5</w:t>
            </w:r>
          </w:p>
        </w:tc>
        <w:tc>
          <w:tcPr>
            <w:tcW w:w="1417" w:type="dxa"/>
            <w:tcBorders>
              <w:top w:val="single" w:sz="4" w:space="0" w:color="auto"/>
            </w:tcBorders>
            <w:shd w:val="clear" w:color="auto" w:fill="FFFFFF"/>
            <w:vAlign w:val="center"/>
            <w:hideMark/>
          </w:tcPr>
          <w:p w14:paraId="0352BD32" w14:textId="77777777" w:rsidR="007A35EB" w:rsidRPr="000E3C28" w:rsidRDefault="007A35EB" w:rsidP="00751C27">
            <w:pPr>
              <w:pStyle w:val="NoSpacing"/>
              <w:jc w:val="center"/>
              <w:rPr>
                <w:rFonts w:ascii="Arial" w:hAnsi="Arial" w:cs="Arial"/>
                <w:sz w:val="20"/>
              </w:rPr>
            </w:pPr>
            <w:r w:rsidRPr="000E3C28">
              <w:rPr>
                <w:rFonts w:ascii="Arial" w:hAnsi="Arial" w:cs="Arial"/>
                <w:sz w:val="20"/>
              </w:rPr>
              <w:t>68.5</w:t>
            </w:r>
          </w:p>
        </w:tc>
        <w:tc>
          <w:tcPr>
            <w:tcW w:w="725" w:type="dxa"/>
            <w:tcBorders>
              <w:top w:val="single" w:sz="4" w:space="0" w:color="auto"/>
            </w:tcBorders>
            <w:shd w:val="clear" w:color="auto" w:fill="FFFFFF"/>
            <w:vAlign w:val="center"/>
            <w:hideMark/>
          </w:tcPr>
          <w:p w14:paraId="1830D878" w14:textId="77777777" w:rsidR="007A35EB" w:rsidRPr="000E3C28" w:rsidRDefault="007A35EB" w:rsidP="00751C27">
            <w:pPr>
              <w:pStyle w:val="NoSpacing"/>
              <w:jc w:val="center"/>
              <w:rPr>
                <w:rFonts w:ascii="Arial" w:hAnsi="Arial" w:cs="Arial"/>
                <w:sz w:val="20"/>
              </w:rPr>
            </w:pPr>
            <w:r w:rsidRPr="000E3C28">
              <w:rPr>
                <w:rFonts w:ascii="Arial" w:hAnsi="Arial" w:cs="Arial"/>
                <w:sz w:val="20"/>
              </w:rPr>
              <w:t>100</w:t>
            </w:r>
          </w:p>
        </w:tc>
      </w:tr>
    </w:tbl>
    <w:p w14:paraId="3BFD63D0" w14:textId="77777777" w:rsidR="007A35EB" w:rsidRPr="000E3C28" w:rsidRDefault="007A35EB" w:rsidP="00751C27">
      <w:pPr>
        <w:spacing w:line="240" w:lineRule="auto"/>
        <w:ind w:left="-142"/>
        <w:jc w:val="both"/>
        <w:rPr>
          <w:rFonts w:ascii="Arial" w:hAnsi="Arial" w:cs="Arial"/>
          <w:i/>
          <w:color w:val="000000"/>
          <w:sz w:val="20"/>
          <w:lang w:val="en-IN" w:bidi="ar-SA"/>
        </w:rPr>
      </w:pPr>
      <w:r w:rsidRPr="000E3C28">
        <w:rPr>
          <w:rFonts w:ascii="Arial" w:hAnsi="Arial" w:cs="Arial"/>
          <w:i/>
          <w:color w:val="000000"/>
          <w:sz w:val="20"/>
          <w:lang w:val="en-IN" w:bidi="ar-SA"/>
        </w:rPr>
        <w:t xml:space="preserve">                            Source: Estimated from primary data</w:t>
      </w:r>
    </w:p>
    <w:p w14:paraId="02EB0339" w14:textId="77777777" w:rsidR="007A35EB" w:rsidRPr="000E3C28" w:rsidRDefault="007A35EB" w:rsidP="000E3C28">
      <w:pPr>
        <w:spacing w:line="240" w:lineRule="auto"/>
        <w:jc w:val="both"/>
        <w:rPr>
          <w:rFonts w:ascii="Arial" w:hAnsi="Arial" w:cs="Arial"/>
          <w:color w:val="000000"/>
          <w:sz w:val="20"/>
          <w:lang w:val="en-IN" w:bidi="ar-SA"/>
        </w:rPr>
      </w:pPr>
      <w:r w:rsidRPr="000E3C28">
        <w:rPr>
          <w:rFonts w:ascii="Arial" w:hAnsi="Arial" w:cs="Arial"/>
          <w:sz w:val="20"/>
        </w:rPr>
        <w:t xml:space="preserve">The study used discriminant analysis to identify the most prominent service quality dimensions of both public and private services and </w:t>
      </w:r>
      <w:r w:rsidRPr="000E3C28">
        <w:rPr>
          <w:rFonts w:ascii="Arial" w:hAnsi="Arial" w:cs="Arial"/>
          <w:noProof/>
          <w:sz w:val="20"/>
        </w:rPr>
        <w:t>to</w:t>
      </w:r>
      <w:r w:rsidRPr="000E3C28">
        <w:rPr>
          <w:rFonts w:ascii="Arial" w:hAnsi="Arial" w:cs="Arial"/>
          <w:color w:val="000000"/>
          <w:sz w:val="20"/>
          <w:lang w:val="en-IN" w:bidi="ar-SA"/>
        </w:rPr>
        <w:t xml:space="preserve"> examine how far the households are discriminated private and public service providers. Service quality dimensions like regularity in waste collection, collection charge, and efficiency in collection, the attitude of the collector and feasibility in collection (collection of</w:t>
      </w:r>
      <w:r w:rsidRPr="000E3C28">
        <w:rPr>
          <w:rFonts w:ascii="Arial" w:hAnsi="Arial" w:cs="Arial"/>
          <w:noProof/>
          <w:color w:val="000000"/>
          <w:sz w:val="20"/>
          <w:lang w:val="en-IN" w:bidi="ar-SA"/>
        </w:rPr>
        <w:t xml:space="preserve"> inorganic waste like recyclable and non recyclable wastes)</w:t>
      </w:r>
      <w:r w:rsidRPr="000E3C28">
        <w:rPr>
          <w:rFonts w:ascii="Arial" w:hAnsi="Arial" w:cs="Arial"/>
          <w:color w:val="000000"/>
          <w:sz w:val="20"/>
          <w:lang w:val="en-IN" w:bidi="ar-SA"/>
        </w:rPr>
        <w:t xml:space="preserve"> </w:t>
      </w:r>
      <w:r w:rsidRPr="000E3C28">
        <w:rPr>
          <w:rFonts w:ascii="Arial" w:hAnsi="Arial" w:cs="Arial"/>
          <w:noProof/>
          <w:color w:val="000000"/>
          <w:sz w:val="20"/>
          <w:lang w:val="en-IN" w:bidi="ar-SA"/>
        </w:rPr>
        <w:t>are taken</w:t>
      </w:r>
      <w:r w:rsidRPr="000E3C28">
        <w:rPr>
          <w:rFonts w:ascii="Arial" w:hAnsi="Arial" w:cs="Arial"/>
          <w:color w:val="000000"/>
          <w:sz w:val="20"/>
          <w:lang w:val="en-IN" w:bidi="ar-SA"/>
        </w:rPr>
        <w:t xml:space="preserve"> into consideration for the analysis.</w:t>
      </w:r>
      <w:r w:rsidRPr="000E3C28">
        <w:rPr>
          <w:rFonts w:ascii="Arial" w:hAnsi="Arial" w:cs="Arial"/>
          <w:sz w:val="20"/>
        </w:rPr>
        <w:t xml:space="preserve"> </w:t>
      </w:r>
      <w:r w:rsidRPr="000E3C28">
        <w:rPr>
          <w:rFonts w:ascii="Arial" w:hAnsi="Arial" w:cs="Arial"/>
          <w:color w:val="000000"/>
          <w:sz w:val="20"/>
          <w:lang w:val="en-IN" w:bidi="ar-SA"/>
        </w:rPr>
        <w:t xml:space="preserve">To trace out the relative significance of the different dimensions of service quality, as a first </w:t>
      </w:r>
      <w:r w:rsidRPr="000E3C28">
        <w:rPr>
          <w:rFonts w:ascii="Arial" w:hAnsi="Arial" w:cs="Arial"/>
          <w:color w:val="000000"/>
          <w:sz w:val="20"/>
          <w:lang w:val="en-IN" w:bidi="ar-SA"/>
        </w:rPr>
        <w:lastRenderedPageBreak/>
        <w:t xml:space="preserve">step, a </w:t>
      </w:r>
      <w:r w:rsidRPr="000E3C28">
        <w:rPr>
          <w:rFonts w:ascii="Arial" w:hAnsi="Arial" w:cs="Arial"/>
          <w:noProof/>
          <w:color w:val="000000"/>
          <w:sz w:val="20"/>
          <w:lang w:val="en-IN" w:bidi="ar-SA"/>
        </w:rPr>
        <w:t>test</w:t>
      </w:r>
      <w:r w:rsidRPr="000E3C28">
        <w:rPr>
          <w:rFonts w:ascii="Arial" w:hAnsi="Arial" w:cs="Arial"/>
          <w:color w:val="000000"/>
          <w:sz w:val="20"/>
          <w:lang w:val="en-IN" w:bidi="ar-SA"/>
        </w:rPr>
        <w:t xml:space="preserve"> of equality of group means was performed. Wilks’ Lambda test</w:t>
      </w:r>
      <w:r w:rsidRPr="000E3C28">
        <w:rPr>
          <w:rStyle w:val="FootnoteReference"/>
          <w:rFonts w:ascii="Arial" w:hAnsi="Arial" w:cs="Arial"/>
          <w:color w:val="000000"/>
          <w:sz w:val="20"/>
          <w:lang w:val="en-IN" w:bidi="ar-SA"/>
        </w:rPr>
        <w:footnoteReference w:id="3"/>
      </w:r>
      <w:r w:rsidRPr="000E3C28">
        <w:rPr>
          <w:rFonts w:ascii="Arial" w:hAnsi="Arial" w:cs="Arial"/>
          <w:color w:val="000000"/>
          <w:sz w:val="20"/>
          <w:lang w:val="en-IN" w:bidi="ar-SA"/>
        </w:rPr>
        <w:t xml:space="preserve"> is used to determine whether group means are equal. The findings from the group mean equality test are given in Table</w:t>
      </w:r>
      <w:r w:rsidR="00BB3F9B" w:rsidRPr="000E3C28">
        <w:rPr>
          <w:rFonts w:ascii="Arial" w:hAnsi="Arial" w:cs="Arial"/>
          <w:color w:val="000000"/>
          <w:sz w:val="20"/>
          <w:lang w:val="en-IN" w:bidi="ar-SA"/>
        </w:rPr>
        <w:t xml:space="preserve"> </w:t>
      </w:r>
      <w:r w:rsidRPr="000E3C28">
        <w:rPr>
          <w:rFonts w:ascii="Arial" w:hAnsi="Arial" w:cs="Arial"/>
          <w:color w:val="000000"/>
          <w:sz w:val="20"/>
          <w:lang w:val="en-IN" w:bidi="ar-SA"/>
        </w:rPr>
        <w:t>2.</w:t>
      </w:r>
    </w:p>
    <w:p w14:paraId="0CE76153" w14:textId="77777777" w:rsidR="007A35EB" w:rsidRPr="000E3C28" w:rsidRDefault="007A35EB" w:rsidP="00751C27">
      <w:pPr>
        <w:tabs>
          <w:tab w:val="left" w:pos="7938"/>
        </w:tabs>
        <w:spacing w:after="120" w:line="240" w:lineRule="auto"/>
        <w:jc w:val="both"/>
        <w:rPr>
          <w:rFonts w:ascii="Arial" w:hAnsi="Arial" w:cs="Arial"/>
          <w:b/>
          <w:sz w:val="20"/>
        </w:rPr>
      </w:pPr>
      <w:r w:rsidRPr="000E3C28">
        <w:rPr>
          <w:rFonts w:ascii="Arial" w:hAnsi="Arial" w:cs="Arial"/>
          <w:b/>
          <w:sz w:val="20"/>
        </w:rPr>
        <w:t>Table 2. Service Quality Dimensions of Public and Private Service Providers</w:t>
      </w:r>
    </w:p>
    <w:tbl>
      <w:tblPr>
        <w:tblW w:w="4859" w:type="pct"/>
        <w:jc w:val="center"/>
        <w:tblLook w:val="04A0" w:firstRow="1" w:lastRow="0" w:firstColumn="1" w:lastColumn="0" w:noHBand="0" w:noVBand="1"/>
      </w:tblPr>
      <w:tblGrid>
        <w:gridCol w:w="2554"/>
        <w:gridCol w:w="830"/>
        <w:gridCol w:w="896"/>
        <w:gridCol w:w="747"/>
        <w:gridCol w:w="665"/>
        <w:gridCol w:w="1004"/>
        <w:gridCol w:w="756"/>
        <w:gridCol w:w="679"/>
        <w:gridCol w:w="850"/>
      </w:tblGrid>
      <w:tr w:rsidR="007A35EB" w:rsidRPr="000E3C28" w14:paraId="1AF21025" w14:textId="77777777" w:rsidTr="004D1865">
        <w:trPr>
          <w:jc w:val="center"/>
        </w:trPr>
        <w:tc>
          <w:tcPr>
            <w:tcW w:w="1422" w:type="pct"/>
            <w:vMerge w:val="restart"/>
            <w:tcBorders>
              <w:top w:val="single" w:sz="4" w:space="0" w:color="auto"/>
              <w:bottom w:val="single" w:sz="4" w:space="0" w:color="auto"/>
            </w:tcBorders>
            <w:vAlign w:val="center"/>
            <w:hideMark/>
          </w:tcPr>
          <w:p w14:paraId="238D68CD" w14:textId="77777777" w:rsidR="007A35EB" w:rsidRPr="000E3C28" w:rsidRDefault="007A35EB" w:rsidP="00751C27">
            <w:pPr>
              <w:pStyle w:val="NoSpacing"/>
              <w:rPr>
                <w:rFonts w:ascii="Arial" w:hAnsi="Arial" w:cs="Arial"/>
                <w:sz w:val="20"/>
              </w:rPr>
            </w:pPr>
            <w:r w:rsidRPr="000E3C28">
              <w:rPr>
                <w:rFonts w:ascii="Arial" w:hAnsi="Arial" w:cs="Arial"/>
                <w:sz w:val="20"/>
              </w:rPr>
              <w:t>Public/ Private</w:t>
            </w:r>
          </w:p>
        </w:tc>
        <w:tc>
          <w:tcPr>
            <w:tcW w:w="1377" w:type="pct"/>
            <w:gridSpan w:val="3"/>
            <w:tcBorders>
              <w:top w:val="single" w:sz="4" w:space="0" w:color="auto"/>
              <w:bottom w:val="single" w:sz="4" w:space="0" w:color="auto"/>
            </w:tcBorders>
            <w:vAlign w:val="center"/>
            <w:hideMark/>
          </w:tcPr>
          <w:p w14:paraId="02FA3B10" w14:textId="77777777" w:rsidR="007A35EB" w:rsidRPr="000E3C28" w:rsidRDefault="007A35EB" w:rsidP="00751C27">
            <w:pPr>
              <w:pStyle w:val="NoSpacing"/>
              <w:rPr>
                <w:rFonts w:ascii="Arial" w:hAnsi="Arial" w:cs="Arial"/>
                <w:sz w:val="20"/>
              </w:rPr>
            </w:pPr>
            <w:r w:rsidRPr="000E3C28">
              <w:rPr>
                <w:rFonts w:ascii="Arial" w:hAnsi="Arial" w:cs="Arial"/>
                <w:sz w:val="20"/>
              </w:rPr>
              <w:t>Average Mean Score</w:t>
            </w:r>
          </w:p>
        </w:tc>
        <w:tc>
          <w:tcPr>
            <w:tcW w:w="370" w:type="pct"/>
            <w:vMerge w:val="restart"/>
            <w:tcBorders>
              <w:top w:val="single" w:sz="4" w:space="0" w:color="auto"/>
              <w:bottom w:val="single" w:sz="4" w:space="0" w:color="auto"/>
            </w:tcBorders>
            <w:vAlign w:val="center"/>
            <w:hideMark/>
          </w:tcPr>
          <w:p w14:paraId="54B87AB0" w14:textId="77777777" w:rsidR="007A35EB" w:rsidRPr="000E3C28" w:rsidRDefault="007A35EB" w:rsidP="00751C27">
            <w:pPr>
              <w:pStyle w:val="NoSpacing"/>
              <w:rPr>
                <w:rFonts w:ascii="Arial" w:hAnsi="Arial" w:cs="Arial"/>
                <w:sz w:val="20"/>
              </w:rPr>
            </w:pPr>
            <w:r w:rsidRPr="000E3C28">
              <w:rPr>
                <w:rFonts w:ascii="Arial" w:hAnsi="Arial" w:cs="Arial"/>
                <w:sz w:val="20"/>
              </w:rPr>
              <w:t>SD</w:t>
            </w:r>
          </w:p>
        </w:tc>
        <w:tc>
          <w:tcPr>
            <w:tcW w:w="559" w:type="pct"/>
            <w:vMerge w:val="restart"/>
            <w:tcBorders>
              <w:top w:val="single" w:sz="4" w:space="0" w:color="auto"/>
              <w:bottom w:val="single" w:sz="4" w:space="0" w:color="auto"/>
            </w:tcBorders>
            <w:vAlign w:val="center"/>
            <w:hideMark/>
          </w:tcPr>
          <w:p w14:paraId="44479808" w14:textId="77777777" w:rsidR="007A35EB" w:rsidRPr="000E3C28" w:rsidRDefault="00D91AEB" w:rsidP="00751C27">
            <w:pPr>
              <w:pStyle w:val="NoSpacing"/>
              <w:rPr>
                <w:rFonts w:ascii="Arial" w:hAnsi="Arial" w:cs="Arial"/>
                <w:sz w:val="20"/>
              </w:rPr>
            </w:pPr>
            <w:r w:rsidRPr="000E3C28">
              <w:rPr>
                <w:rFonts w:ascii="Arial" w:hAnsi="Arial" w:cs="Arial"/>
                <w:color w:val="000000"/>
                <w:sz w:val="20"/>
              </w:rPr>
              <w:t xml:space="preserve"> </w:t>
            </w:r>
            <w:r w:rsidR="007A35EB" w:rsidRPr="000E3C28">
              <w:rPr>
                <w:rFonts w:ascii="Arial" w:hAnsi="Arial" w:cs="Arial"/>
                <w:color w:val="000000"/>
                <w:sz w:val="20"/>
              </w:rPr>
              <w:t>Wilks' Lambda</w:t>
            </w:r>
          </w:p>
        </w:tc>
        <w:tc>
          <w:tcPr>
            <w:tcW w:w="421" w:type="pct"/>
            <w:vMerge w:val="restart"/>
            <w:tcBorders>
              <w:top w:val="single" w:sz="4" w:space="0" w:color="auto"/>
              <w:bottom w:val="single" w:sz="4" w:space="0" w:color="auto"/>
            </w:tcBorders>
            <w:vAlign w:val="center"/>
            <w:hideMark/>
          </w:tcPr>
          <w:p w14:paraId="09A034CA" w14:textId="77777777" w:rsidR="007A35EB" w:rsidRPr="000E3C28" w:rsidRDefault="00D91AEB" w:rsidP="00751C27">
            <w:pPr>
              <w:pStyle w:val="NoSpacing"/>
              <w:rPr>
                <w:rFonts w:ascii="Arial" w:hAnsi="Arial" w:cs="Arial"/>
                <w:sz w:val="20"/>
              </w:rPr>
            </w:pPr>
            <w:r w:rsidRPr="000E3C28">
              <w:rPr>
                <w:rFonts w:ascii="Arial" w:hAnsi="Arial" w:cs="Arial"/>
                <w:sz w:val="20"/>
              </w:rPr>
              <w:t xml:space="preserve">  F value</w:t>
            </w:r>
          </w:p>
        </w:tc>
        <w:tc>
          <w:tcPr>
            <w:tcW w:w="378" w:type="pct"/>
            <w:vMerge w:val="restart"/>
            <w:tcBorders>
              <w:top w:val="single" w:sz="4" w:space="0" w:color="auto"/>
              <w:bottom w:val="single" w:sz="4" w:space="0" w:color="auto"/>
            </w:tcBorders>
            <w:vAlign w:val="center"/>
            <w:hideMark/>
          </w:tcPr>
          <w:p w14:paraId="6215E09A" w14:textId="77777777" w:rsidR="007A35EB" w:rsidRPr="000E3C28" w:rsidRDefault="007A35EB" w:rsidP="00751C27">
            <w:pPr>
              <w:pStyle w:val="NoSpacing"/>
              <w:rPr>
                <w:rFonts w:ascii="Arial" w:hAnsi="Arial" w:cs="Arial"/>
                <w:sz w:val="20"/>
              </w:rPr>
            </w:pPr>
            <w:r w:rsidRPr="000E3C28">
              <w:rPr>
                <w:rFonts w:ascii="Arial" w:hAnsi="Arial" w:cs="Arial"/>
                <w:sz w:val="20"/>
              </w:rPr>
              <w:t>Df 2</w:t>
            </w:r>
          </w:p>
        </w:tc>
        <w:tc>
          <w:tcPr>
            <w:tcW w:w="473" w:type="pct"/>
            <w:vMerge w:val="restart"/>
            <w:tcBorders>
              <w:top w:val="single" w:sz="4" w:space="0" w:color="auto"/>
              <w:bottom w:val="single" w:sz="4" w:space="0" w:color="auto"/>
            </w:tcBorders>
            <w:vAlign w:val="center"/>
            <w:hideMark/>
          </w:tcPr>
          <w:p w14:paraId="7C566F20" w14:textId="77777777" w:rsidR="007A35EB" w:rsidRPr="000E3C28" w:rsidRDefault="00D91AEB" w:rsidP="00751C27">
            <w:pPr>
              <w:pStyle w:val="NoSpacing"/>
              <w:rPr>
                <w:rFonts w:ascii="Arial" w:hAnsi="Arial" w:cs="Arial"/>
                <w:sz w:val="20"/>
              </w:rPr>
            </w:pPr>
            <w:r w:rsidRPr="000E3C28">
              <w:rPr>
                <w:rFonts w:ascii="Arial" w:hAnsi="Arial" w:cs="Arial"/>
                <w:sz w:val="20"/>
              </w:rPr>
              <w:t xml:space="preserve">    </w:t>
            </w:r>
            <w:proofErr w:type="gramStart"/>
            <w:r w:rsidR="007A35EB" w:rsidRPr="000E3C28">
              <w:rPr>
                <w:rFonts w:ascii="Arial" w:hAnsi="Arial" w:cs="Arial"/>
                <w:sz w:val="20"/>
              </w:rPr>
              <w:t xml:space="preserve">p </w:t>
            </w:r>
            <w:r w:rsidRPr="000E3C28">
              <w:rPr>
                <w:rFonts w:ascii="Arial" w:hAnsi="Arial" w:cs="Arial"/>
                <w:sz w:val="20"/>
              </w:rPr>
              <w:t xml:space="preserve"> </w:t>
            </w:r>
            <w:r w:rsidR="007A35EB" w:rsidRPr="000E3C28">
              <w:rPr>
                <w:rFonts w:ascii="Arial" w:hAnsi="Arial" w:cs="Arial"/>
                <w:sz w:val="20"/>
              </w:rPr>
              <w:t>Value</w:t>
            </w:r>
            <w:proofErr w:type="gramEnd"/>
          </w:p>
        </w:tc>
      </w:tr>
      <w:tr w:rsidR="007A35EB" w:rsidRPr="000E3C28" w14:paraId="24484D50" w14:textId="77777777" w:rsidTr="00BB3F9B">
        <w:trPr>
          <w:jc w:val="center"/>
        </w:trPr>
        <w:tc>
          <w:tcPr>
            <w:tcW w:w="1422" w:type="pct"/>
            <w:vMerge/>
            <w:tcBorders>
              <w:top w:val="single" w:sz="4" w:space="0" w:color="auto"/>
              <w:bottom w:val="single" w:sz="4" w:space="0" w:color="auto"/>
            </w:tcBorders>
            <w:vAlign w:val="center"/>
            <w:hideMark/>
          </w:tcPr>
          <w:p w14:paraId="5362161C" w14:textId="77777777" w:rsidR="007A35EB" w:rsidRPr="000E3C28" w:rsidRDefault="007A35EB" w:rsidP="00751C27">
            <w:pPr>
              <w:pStyle w:val="NoSpacing"/>
              <w:rPr>
                <w:rFonts w:ascii="Arial" w:hAnsi="Arial" w:cs="Arial"/>
                <w:sz w:val="20"/>
              </w:rPr>
            </w:pPr>
          </w:p>
        </w:tc>
        <w:tc>
          <w:tcPr>
            <w:tcW w:w="462" w:type="pct"/>
            <w:tcBorders>
              <w:top w:val="single" w:sz="4" w:space="0" w:color="auto"/>
              <w:bottom w:val="single" w:sz="4" w:space="0" w:color="auto"/>
            </w:tcBorders>
            <w:shd w:val="clear" w:color="auto" w:fill="FFFFFF"/>
            <w:hideMark/>
          </w:tcPr>
          <w:p w14:paraId="74F712A0" w14:textId="77777777" w:rsidR="007A35EB" w:rsidRPr="000E3C28" w:rsidRDefault="007A35EB" w:rsidP="00751C27">
            <w:pPr>
              <w:pStyle w:val="NoSpacing"/>
              <w:rPr>
                <w:rFonts w:ascii="Arial" w:hAnsi="Arial" w:cs="Arial"/>
                <w:color w:val="000000"/>
                <w:sz w:val="20"/>
              </w:rPr>
            </w:pPr>
            <w:r w:rsidRPr="000E3C28">
              <w:rPr>
                <w:rFonts w:ascii="Arial" w:hAnsi="Arial" w:cs="Arial"/>
                <w:color w:val="000000"/>
                <w:sz w:val="20"/>
              </w:rPr>
              <w:t>Public</w:t>
            </w:r>
          </w:p>
        </w:tc>
        <w:tc>
          <w:tcPr>
            <w:tcW w:w="499" w:type="pct"/>
            <w:tcBorders>
              <w:top w:val="single" w:sz="4" w:space="0" w:color="auto"/>
              <w:bottom w:val="single" w:sz="4" w:space="0" w:color="auto"/>
            </w:tcBorders>
            <w:shd w:val="clear" w:color="auto" w:fill="FFFFFF"/>
            <w:hideMark/>
          </w:tcPr>
          <w:p w14:paraId="459277E4" w14:textId="77777777" w:rsidR="007A35EB" w:rsidRPr="000E3C28" w:rsidRDefault="007A35EB" w:rsidP="00751C27">
            <w:pPr>
              <w:pStyle w:val="NoSpacing"/>
              <w:rPr>
                <w:rFonts w:ascii="Arial" w:hAnsi="Arial" w:cs="Arial"/>
                <w:color w:val="000000"/>
                <w:sz w:val="20"/>
              </w:rPr>
            </w:pPr>
            <w:r w:rsidRPr="000E3C28">
              <w:rPr>
                <w:rFonts w:ascii="Arial" w:hAnsi="Arial" w:cs="Arial"/>
                <w:color w:val="000000"/>
                <w:sz w:val="20"/>
              </w:rPr>
              <w:t>Private</w:t>
            </w:r>
          </w:p>
        </w:tc>
        <w:tc>
          <w:tcPr>
            <w:tcW w:w="416" w:type="pct"/>
            <w:tcBorders>
              <w:top w:val="single" w:sz="4" w:space="0" w:color="auto"/>
              <w:bottom w:val="single" w:sz="4" w:space="0" w:color="auto"/>
            </w:tcBorders>
            <w:shd w:val="clear" w:color="auto" w:fill="FFFFFF"/>
            <w:vAlign w:val="center"/>
            <w:hideMark/>
          </w:tcPr>
          <w:p w14:paraId="1F0E31BC" w14:textId="77777777" w:rsidR="007A35EB" w:rsidRPr="000E3C28" w:rsidRDefault="007A35EB" w:rsidP="00751C27">
            <w:pPr>
              <w:pStyle w:val="NoSpacing"/>
              <w:rPr>
                <w:rFonts w:ascii="Arial" w:hAnsi="Arial" w:cs="Arial"/>
                <w:color w:val="000000"/>
                <w:sz w:val="20"/>
              </w:rPr>
            </w:pPr>
            <w:r w:rsidRPr="000E3C28">
              <w:rPr>
                <w:rFonts w:ascii="Arial" w:hAnsi="Arial" w:cs="Arial"/>
                <w:color w:val="000000"/>
                <w:sz w:val="20"/>
              </w:rPr>
              <w:t>Total</w:t>
            </w:r>
          </w:p>
        </w:tc>
        <w:tc>
          <w:tcPr>
            <w:tcW w:w="370" w:type="pct"/>
            <w:vMerge/>
            <w:tcBorders>
              <w:top w:val="single" w:sz="4" w:space="0" w:color="auto"/>
              <w:bottom w:val="single" w:sz="4" w:space="0" w:color="auto"/>
            </w:tcBorders>
            <w:vAlign w:val="center"/>
            <w:hideMark/>
          </w:tcPr>
          <w:p w14:paraId="7E96ACD8" w14:textId="77777777" w:rsidR="007A35EB" w:rsidRPr="000E3C28" w:rsidRDefault="007A35EB" w:rsidP="00751C27">
            <w:pPr>
              <w:pStyle w:val="NoSpacing"/>
              <w:rPr>
                <w:rFonts w:ascii="Arial" w:hAnsi="Arial" w:cs="Arial"/>
                <w:sz w:val="20"/>
              </w:rPr>
            </w:pPr>
          </w:p>
        </w:tc>
        <w:tc>
          <w:tcPr>
            <w:tcW w:w="559" w:type="pct"/>
            <w:vMerge/>
            <w:tcBorders>
              <w:top w:val="single" w:sz="4" w:space="0" w:color="auto"/>
              <w:bottom w:val="single" w:sz="4" w:space="0" w:color="auto"/>
            </w:tcBorders>
            <w:vAlign w:val="center"/>
            <w:hideMark/>
          </w:tcPr>
          <w:p w14:paraId="7571D978" w14:textId="77777777" w:rsidR="007A35EB" w:rsidRPr="000E3C28" w:rsidRDefault="007A35EB" w:rsidP="00751C27">
            <w:pPr>
              <w:pStyle w:val="NoSpacing"/>
              <w:rPr>
                <w:rFonts w:ascii="Arial" w:hAnsi="Arial" w:cs="Arial"/>
                <w:sz w:val="20"/>
              </w:rPr>
            </w:pPr>
          </w:p>
        </w:tc>
        <w:tc>
          <w:tcPr>
            <w:tcW w:w="421" w:type="pct"/>
            <w:vMerge/>
            <w:tcBorders>
              <w:top w:val="single" w:sz="4" w:space="0" w:color="auto"/>
              <w:bottom w:val="single" w:sz="4" w:space="0" w:color="auto"/>
            </w:tcBorders>
            <w:vAlign w:val="center"/>
            <w:hideMark/>
          </w:tcPr>
          <w:p w14:paraId="2BB0CC4D" w14:textId="77777777" w:rsidR="007A35EB" w:rsidRPr="000E3C28" w:rsidRDefault="007A35EB" w:rsidP="00751C27">
            <w:pPr>
              <w:pStyle w:val="NoSpacing"/>
              <w:rPr>
                <w:rFonts w:ascii="Arial" w:hAnsi="Arial" w:cs="Arial"/>
                <w:sz w:val="20"/>
              </w:rPr>
            </w:pPr>
          </w:p>
        </w:tc>
        <w:tc>
          <w:tcPr>
            <w:tcW w:w="378" w:type="pct"/>
            <w:vMerge/>
            <w:tcBorders>
              <w:top w:val="single" w:sz="4" w:space="0" w:color="auto"/>
              <w:bottom w:val="single" w:sz="4" w:space="0" w:color="auto"/>
            </w:tcBorders>
            <w:vAlign w:val="center"/>
            <w:hideMark/>
          </w:tcPr>
          <w:p w14:paraId="389A7B9E" w14:textId="77777777" w:rsidR="007A35EB" w:rsidRPr="000E3C28" w:rsidRDefault="007A35EB" w:rsidP="00751C27">
            <w:pPr>
              <w:pStyle w:val="NoSpacing"/>
              <w:rPr>
                <w:rFonts w:ascii="Arial" w:hAnsi="Arial" w:cs="Arial"/>
                <w:sz w:val="20"/>
              </w:rPr>
            </w:pPr>
          </w:p>
        </w:tc>
        <w:tc>
          <w:tcPr>
            <w:tcW w:w="473" w:type="pct"/>
            <w:vMerge/>
            <w:tcBorders>
              <w:top w:val="single" w:sz="4" w:space="0" w:color="auto"/>
              <w:bottom w:val="single" w:sz="4" w:space="0" w:color="auto"/>
            </w:tcBorders>
            <w:vAlign w:val="center"/>
            <w:hideMark/>
          </w:tcPr>
          <w:p w14:paraId="1985277B" w14:textId="77777777" w:rsidR="007A35EB" w:rsidRPr="000E3C28" w:rsidRDefault="007A35EB" w:rsidP="00751C27">
            <w:pPr>
              <w:pStyle w:val="NoSpacing"/>
              <w:rPr>
                <w:rFonts w:ascii="Arial" w:hAnsi="Arial" w:cs="Arial"/>
                <w:sz w:val="20"/>
              </w:rPr>
            </w:pPr>
          </w:p>
        </w:tc>
      </w:tr>
      <w:tr w:rsidR="007A35EB" w:rsidRPr="000E3C28" w14:paraId="53FF0CEA" w14:textId="77777777" w:rsidTr="00BB3F9B">
        <w:trPr>
          <w:jc w:val="center"/>
        </w:trPr>
        <w:tc>
          <w:tcPr>
            <w:tcW w:w="1422" w:type="pct"/>
            <w:tcBorders>
              <w:top w:val="single" w:sz="4" w:space="0" w:color="auto"/>
            </w:tcBorders>
            <w:hideMark/>
          </w:tcPr>
          <w:p w14:paraId="04CAAF50" w14:textId="77777777" w:rsidR="007A35EB" w:rsidRPr="000E3C28" w:rsidRDefault="007A35EB" w:rsidP="00751C27">
            <w:pPr>
              <w:pStyle w:val="NoSpacing"/>
              <w:rPr>
                <w:rFonts w:ascii="Arial" w:hAnsi="Arial" w:cs="Arial"/>
                <w:sz w:val="20"/>
              </w:rPr>
            </w:pPr>
            <w:r w:rsidRPr="000E3C28">
              <w:rPr>
                <w:rFonts w:ascii="Arial" w:hAnsi="Arial" w:cs="Arial"/>
                <w:sz w:val="20"/>
              </w:rPr>
              <w:t>Regularity in collection</w:t>
            </w:r>
          </w:p>
        </w:tc>
        <w:tc>
          <w:tcPr>
            <w:tcW w:w="462" w:type="pct"/>
            <w:tcBorders>
              <w:top w:val="single" w:sz="4" w:space="0" w:color="auto"/>
            </w:tcBorders>
            <w:shd w:val="clear" w:color="auto" w:fill="FFFFFF"/>
            <w:vAlign w:val="center"/>
            <w:hideMark/>
          </w:tcPr>
          <w:p w14:paraId="6EB43AD8"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2.92</w:t>
            </w:r>
          </w:p>
        </w:tc>
        <w:tc>
          <w:tcPr>
            <w:tcW w:w="499" w:type="pct"/>
            <w:tcBorders>
              <w:top w:val="single" w:sz="4" w:space="0" w:color="auto"/>
            </w:tcBorders>
            <w:shd w:val="clear" w:color="auto" w:fill="FFFFFF"/>
            <w:vAlign w:val="center"/>
            <w:hideMark/>
          </w:tcPr>
          <w:p w14:paraId="134265CF"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4.48</w:t>
            </w:r>
          </w:p>
        </w:tc>
        <w:tc>
          <w:tcPr>
            <w:tcW w:w="416" w:type="pct"/>
            <w:tcBorders>
              <w:top w:val="single" w:sz="4" w:space="0" w:color="auto"/>
            </w:tcBorders>
            <w:shd w:val="clear" w:color="auto" w:fill="FFFFFF"/>
            <w:vAlign w:val="center"/>
            <w:hideMark/>
          </w:tcPr>
          <w:p w14:paraId="75487B0E"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3.69</w:t>
            </w:r>
          </w:p>
        </w:tc>
        <w:tc>
          <w:tcPr>
            <w:tcW w:w="370" w:type="pct"/>
            <w:tcBorders>
              <w:top w:val="single" w:sz="4" w:space="0" w:color="auto"/>
            </w:tcBorders>
            <w:shd w:val="clear" w:color="auto" w:fill="FFFFFF"/>
            <w:vAlign w:val="center"/>
            <w:hideMark/>
          </w:tcPr>
          <w:p w14:paraId="78A5C583"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0.73</w:t>
            </w:r>
          </w:p>
        </w:tc>
        <w:tc>
          <w:tcPr>
            <w:tcW w:w="559" w:type="pct"/>
            <w:tcBorders>
              <w:top w:val="single" w:sz="4" w:space="0" w:color="auto"/>
            </w:tcBorders>
            <w:shd w:val="clear" w:color="auto" w:fill="FFFFFF"/>
            <w:vAlign w:val="center"/>
            <w:hideMark/>
          </w:tcPr>
          <w:p w14:paraId="0A97357E" w14:textId="77777777" w:rsidR="007A35EB" w:rsidRPr="000E3C28" w:rsidRDefault="007A35EB" w:rsidP="00751C27">
            <w:pPr>
              <w:pStyle w:val="NoSpacing"/>
              <w:jc w:val="center"/>
              <w:rPr>
                <w:rFonts w:ascii="Arial" w:hAnsi="Arial" w:cs="Arial"/>
                <w:color w:val="000000"/>
                <w:sz w:val="20"/>
              </w:rPr>
            </w:pPr>
            <w:r w:rsidRPr="000E3C28">
              <w:rPr>
                <w:rFonts w:ascii="Arial" w:hAnsi="Arial" w:cs="Arial"/>
                <w:color w:val="000000"/>
                <w:sz w:val="20"/>
              </w:rPr>
              <w:t>0.43</w:t>
            </w:r>
          </w:p>
        </w:tc>
        <w:tc>
          <w:tcPr>
            <w:tcW w:w="421" w:type="pct"/>
            <w:tcBorders>
              <w:top w:val="single" w:sz="4" w:space="0" w:color="auto"/>
            </w:tcBorders>
            <w:shd w:val="clear" w:color="auto" w:fill="FFFFFF"/>
            <w:vAlign w:val="center"/>
            <w:hideMark/>
          </w:tcPr>
          <w:p w14:paraId="65EBE2D6"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323.9</w:t>
            </w:r>
          </w:p>
        </w:tc>
        <w:tc>
          <w:tcPr>
            <w:tcW w:w="378" w:type="pct"/>
            <w:tcBorders>
              <w:top w:val="single" w:sz="4" w:space="0" w:color="auto"/>
            </w:tcBorders>
            <w:shd w:val="clear" w:color="auto" w:fill="FFFFFF"/>
            <w:vAlign w:val="center"/>
            <w:hideMark/>
          </w:tcPr>
          <w:p w14:paraId="256A1132"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240</w:t>
            </w:r>
          </w:p>
        </w:tc>
        <w:tc>
          <w:tcPr>
            <w:tcW w:w="473" w:type="pct"/>
            <w:tcBorders>
              <w:top w:val="single" w:sz="4" w:space="0" w:color="auto"/>
            </w:tcBorders>
            <w:shd w:val="clear" w:color="auto" w:fill="FFFFFF"/>
            <w:vAlign w:val="center"/>
            <w:hideMark/>
          </w:tcPr>
          <w:p w14:paraId="712282C1"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0.00</w:t>
            </w:r>
          </w:p>
        </w:tc>
      </w:tr>
      <w:tr w:rsidR="007A35EB" w:rsidRPr="000E3C28" w14:paraId="55E161E6" w14:textId="77777777" w:rsidTr="00BB3F9B">
        <w:trPr>
          <w:jc w:val="center"/>
        </w:trPr>
        <w:tc>
          <w:tcPr>
            <w:tcW w:w="1422" w:type="pct"/>
            <w:hideMark/>
          </w:tcPr>
          <w:p w14:paraId="7A9F4EF0" w14:textId="77777777" w:rsidR="007A35EB" w:rsidRPr="000E3C28" w:rsidRDefault="007A35EB" w:rsidP="00751C27">
            <w:pPr>
              <w:pStyle w:val="NoSpacing"/>
              <w:rPr>
                <w:rFonts w:ascii="Arial" w:hAnsi="Arial" w:cs="Arial"/>
                <w:sz w:val="20"/>
              </w:rPr>
            </w:pPr>
            <w:r w:rsidRPr="000E3C28">
              <w:rPr>
                <w:rFonts w:ascii="Arial" w:hAnsi="Arial" w:cs="Arial"/>
                <w:sz w:val="20"/>
              </w:rPr>
              <w:t>Collection Charge</w:t>
            </w:r>
          </w:p>
        </w:tc>
        <w:tc>
          <w:tcPr>
            <w:tcW w:w="462" w:type="pct"/>
            <w:shd w:val="clear" w:color="auto" w:fill="FFFFFF"/>
            <w:vAlign w:val="center"/>
            <w:hideMark/>
          </w:tcPr>
          <w:p w14:paraId="4CA43689"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2.65</w:t>
            </w:r>
          </w:p>
        </w:tc>
        <w:tc>
          <w:tcPr>
            <w:tcW w:w="499" w:type="pct"/>
            <w:shd w:val="clear" w:color="auto" w:fill="FFFFFF"/>
            <w:vAlign w:val="center"/>
            <w:hideMark/>
          </w:tcPr>
          <w:p w14:paraId="52CD0E98"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2.88</w:t>
            </w:r>
          </w:p>
        </w:tc>
        <w:tc>
          <w:tcPr>
            <w:tcW w:w="416" w:type="pct"/>
            <w:shd w:val="clear" w:color="auto" w:fill="FFFFFF"/>
            <w:vAlign w:val="center"/>
            <w:hideMark/>
          </w:tcPr>
          <w:p w14:paraId="1FB5BB7B"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2.76</w:t>
            </w:r>
          </w:p>
        </w:tc>
        <w:tc>
          <w:tcPr>
            <w:tcW w:w="370" w:type="pct"/>
            <w:shd w:val="clear" w:color="auto" w:fill="FFFFFF"/>
            <w:vAlign w:val="center"/>
            <w:hideMark/>
          </w:tcPr>
          <w:p w14:paraId="19E6247E"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0.60</w:t>
            </w:r>
          </w:p>
        </w:tc>
        <w:tc>
          <w:tcPr>
            <w:tcW w:w="559" w:type="pct"/>
            <w:shd w:val="clear" w:color="auto" w:fill="FFFFFF"/>
            <w:vAlign w:val="center"/>
            <w:hideMark/>
          </w:tcPr>
          <w:p w14:paraId="2D12C234" w14:textId="77777777" w:rsidR="007A35EB" w:rsidRPr="000E3C28" w:rsidRDefault="007A35EB" w:rsidP="00751C27">
            <w:pPr>
              <w:pStyle w:val="NoSpacing"/>
              <w:jc w:val="center"/>
              <w:rPr>
                <w:rFonts w:ascii="Arial" w:hAnsi="Arial" w:cs="Arial"/>
                <w:color w:val="000000"/>
                <w:sz w:val="20"/>
              </w:rPr>
            </w:pPr>
            <w:r w:rsidRPr="000E3C28">
              <w:rPr>
                <w:rFonts w:ascii="Arial" w:hAnsi="Arial" w:cs="Arial"/>
                <w:color w:val="000000"/>
                <w:sz w:val="20"/>
              </w:rPr>
              <w:t>0.95</w:t>
            </w:r>
          </w:p>
        </w:tc>
        <w:tc>
          <w:tcPr>
            <w:tcW w:w="421" w:type="pct"/>
            <w:shd w:val="clear" w:color="auto" w:fill="FFFFFF"/>
            <w:vAlign w:val="center"/>
            <w:hideMark/>
          </w:tcPr>
          <w:p w14:paraId="43B102DB"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12.37</w:t>
            </w:r>
          </w:p>
        </w:tc>
        <w:tc>
          <w:tcPr>
            <w:tcW w:w="378" w:type="pct"/>
            <w:shd w:val="clear" w:color="auto" w:fill="FFFFFF"/>
            <w:vAlign w:val="center"/>
            <w:hideMark/>
          </w:tcPr>
          <w:p w14:paraId="78C76DB6"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240</w:t>
            </w:r>
          </w:p>
        </w:tc>
        <w:tc>
          <w:tcPr>
            <w:tcW w:w="473" w:type="pct"/>
            <w:shd w:val="clear" w:color="auto" w:fill="FFFFFF"/>
            <w:vAlign w:val="center"/>
            <w:hideMark/>
          </w:tcPr>
          <w:p w14:paraId="15C8DD60"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0.00</w:t>
            </w:r>
          </w:p>
        </w:tc>
      </w:tr>
      <w:tr w:rsidR="007A35EB" w:rsidRPr="000E3C28" w14:paraId="2BD7B26D" w14:textId="77777777" w:rsidTr="00BB3F9B">
        <w:trPr>
          <w:jc w:val="center"/>
        </w:trPr>
        <w:tc>
          <w:tcPr>
            <w:tcW w:w="1422" w:type="pct"/>
            <w:hideMark/>
          </w:tcPr>
          <w:p w14:paraId="42758CF8" w14:textId="77777777" w:rsidR="007A35EB" w:rsidRPr="000E3C28" w:rsidRDefault="007A35EB" w:rsidP="00751C27">
            <w:pPr>
              <w:pStyle w:val="NoSpacing"/>
              <w:rPr>
                <w:rFonts w:ascii="Arial" w:hAnsi="Arial" w:cs="Arial"/>
                <w:sz w:val="20"/>
              </w:rPr>
            </w:pPr>
            <w:r w:rsidRPr="000E3C28">
              <w:rPr>
                <w:rFonts w:ascii="Arial" w:hAnsi="Arial" w:cs="Arial"/>
                <w:sz w:val="20"/>
              </w:rPr>
              <w:t>Efficiency in collection</w:t>
            </w:r>
          </w:p>
        </w:tc>
        <w:tc>
          <w:tcPr>
            <w:tcW w:w="462" w:type="pct"/>
            <w:shd w:val="clear" w:color="auto" w:fill="FFFFFF"/>
            <w:vAlign w:val="center"/>
            <w:hideMark/>
          </w:tcPr>
          <w:p w14:paraId="32ADECD2"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2.79</w:t>
            </w:r>
          </w:p>
        </w:tc>
        <w:tc>
          <w:tcPr>
            <w:tcW w:w="499" w:type="pct"/>
            <w:shd w:val="clear" w:color="auto" w:fill="FFFFFF"/>
            <w:vAlign w:val="center"/>
            <w:hideMark/>
          </w:tcPr>
          <w:p w14:paraId="55630F40"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3.09</w:t>
            </w:r>
          </w:p>
        </w:tc>
        <w:tc>
          <w:tcPr>
            <w:tcW w:w="416" w:type="pct"/>
            <w:shd w:val="clear" w:color="auto" w:fill="FFFFFF"/>
            <w:vAlign w:val="center"/>
            <w:hideMark/>
          </w:tcPr>
          <w:p w14:paraId="544CF7B8"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2.95</w:t>
            </w:r>
          </w:p>
        </w:tc>
        <w:tc>
          <w:tcPr>
            <w:tcW w:w="370" w:type="pct"/>
            <w:shd w:val="clear" w:color="auto" w:fill="FFFFFF"/>
            <w:vAlign w:val="center"/>
            <w:hideMark/>
          </w:tcPr>
          <w:p w14:paraId="27C83625"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0.59</w:t>
            </w:r>
          </w:p>
        </w:tc>
        <w:tc>
          <w:tcPr>
            <w:tcW w:w="559" w:type="pct"/>
            <w:shd w:val="clear" w:color="auto" w:fill="FFFFFF"/>
            <w:vAlign w:val="center"/>
            <w:hideMark/>
          </w:tcPr>
          <w:p w14:paraId="46D1FD49" w14:textId="77777777" w:rsidR="007A35EB" w:rsidRPr="000E3C28" w:rsidRDefault="007A35EB" w:rsidP="00751C27">
            <w:pPr>
              <w:pStyle w:val="NoSpacing"/>
              <w:jc w:val="center"/>
              <w:rPr>
                <w:rFonts w:ascii="Arial" w:hAnsi="Arial" w:cs="Arial"/>
                <w:color w:val="000000"/>
                <w:sz w:val="20"/>
              </w:rPr>
            </w:pPr>
            <w:r w:rsidRPr="000E3C28">
              <w:rPr>
                <w:rFonts w:ascii="Arial" w:hAnsi="Arial" w:cs="Arial"/>
                <w:color w:val="000000"/>
                <w:sz w:val="20"/>
              </w:rPr>
              <w:t>0.93</w:t>
            </w:r>
          </w:p>
        </w:tc>
        <w:tc>
          <w:tcPr>
            <w:tcW w:w="421" w:type="pct"/>
            <w:shd w:val="clear" w:color="auto" w:fill="FFFFFF"/>
            <w:vAlign w:val="center"/>
            <w:hideMark/>
          </w:tcPr>
          <w:p w14:paraId="00EEBD2E"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16.84</w:t>
            </w:r>
          </w:p>
        </w:tc>
        <w:tc>
          <w:tcPr>
            <w:tcW w:w="378" w:type="pct"/>
            <w:shd w:val="clear" w:color="auto" w:fill="FFFFFF"/>
            <w:vAlign w:val="center"/>
            <w:hideMark/>
          </w:tcPr>
          <w:p w14:paraId="61DC3126"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240</w:t>
            </w:r>
          </w:p>
        </w:tc>
        <w:tc>
          <w:tcPr>
            <w:tcW w:w="473" w:type="pct"/>
            <w:shd w:val="clear" w:color="auto" w:fill="FFFFFF"/>
            <w:vAlign w:val="center"/>
            <w:hideMark/>
          </w:tcPr>
          <w:p w14:paraId="57567BC9"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0.00</w:t>
            </w:r>
          </w:p>
        </w:tc>
      </w:tr>
      <w:tr w:rsidR="007A35EB" w:rsidRPr="000E3C28" w14:paraId="009B734C" w14:textId="77777777" w:rsidTr="00D91AEB">
        <w:trPr>
          <w:jc w:val="center"/>
        </w:trPr>
        <w:tc>
          <w:tcPr>
            <w:tcW w:w="1422" w:type="pct"/>
            <w:hideMark/>
          </w:tcPr>
          <w:p w14:paraId="0CE4C25D" w14:textId="77777777" w:rsidR="007A35EB" w:rsidRPr="000E3C28" w:rsidRDefault="007A35EB" w:rsidP="00751C27">
            <w:pPr>
              <w:pStyle w:val="NoSpacing"/>
              <w:rPr>
                <w:rFonts w:ascii="Arial" w:hAnsi="Arial" w:cs="Arial"/>
                <w:sz w:val="20"/>
              </w:rPr>
            </w:pPr>
            <w:r w:rsidRPr="000E3C28">
              <w:rPr>
                <w:rFonts w:ascii="Arial" w:hAnsi="Arial" w:cs="Arial"/>
                <w:sz w:val="20"/>
              </w:rPr>
              <w:t>Attitude of the collector</w:t>
            </w:r>
          </w:p>
        </w:tc>
        <w:tc>
          <w:tcPr>
            <w:tcW w:w="462" w:type="pct"/>
            <w:shd w:val="clear" w:color="auto" w:fill="FFFFFF"/>
            <w:vAlign w:val="center"/>
            <w:hideMark/>
          </w:tcPr>
          <w:p w14:paraId="3F011731"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2.74</w:t>
            </w:r>
          </w:p>
        </w:tc>
        <w:tc>
          <w:tcPr>
            <w:tcW w:w="499" w:type="pct"/>
            <w:shd w:val="clear" w:color="auto" w:fill="FFFFFF"/>
            <w:vAlign w:val="center"/>
            <w:hideMark/>
          </w:tcPr>
          <w:p w14:paraId="27E38F7D"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2.80</w:t>
            </w:r>
          </w:p>
        </w:tc>
        <w:tc>
          <w:tcPr>
            <w:tcW w:w="416" w:type="pct"/>
            <w:shd w:val="clear" w:color="auto" w:fill="FFFFFF"/>
            <w:vAlign w:val="center"/>
            <w:hideMark/>
          </w:tcPr>
          <w:p w14:paraId="60047C55"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2.77</w:t>
            </w:r>
          </w:p>
        </w:tc>
        <w:tc>
          <w:tcPr>
            <w:tcW w:w="370" w:type="pct"/>
            <w:shd w:val="clear" w:color="auto" w:fill="FFFFFF"/>
            <w:vAlign w:val="center"/>
            <w:hideMark/>
          </w:tcPr>
          <w:p w14:paraId="2722C57D"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0.59</w:t>
            </w:r>
          </w:p>
        </w:tc>
        <w:tc>
          <w:tcPr>
            <w:tcW w:w="559" w:type="pct"/>
            <w:shd w:val="clear" w:color="auto" w:fill="FFFFFF"/>
            <w:vAlign w:val="center"/>
            <w:hideMark/>
          </w:tcPr>
          <w:p w14:paraId="7BFF0281" w14:textId="77777777" w:rsidR="007A35EB" w:rsidRPr="000E3C28" w:rsidRDefault="007A35EB" w:rsidP="00751C27">
            <w:pPr>
              <w:pStyle w:val="NoSpacing"/>
              <w:jc w:val="center"/>
              <w:rPr>
                <w:rFonts w:ascii="Arial" w:hAnsi="Arial" w:cs="Arial"/>
                <w:color w:val="000000"/>
                <w:sz w:val="20"/>
              </w:rPr>
            </w:pPr>
            <w:r w:rsidRPr="000E3C28">
              <w:rPr>
                <w:rFonts w:ascii="Arial" w:hAnsi="Arial" w:cs="Arial"/>
                <w:color w:val="000000"/>
                <w:sz w:val="20"/>
              </w:rPr>
              <w:t>0.99</w:t>
            </w:r>
          </w:p>
        </w:tc>
        <w:tc>
          <w:tcPr>
            <w:tcW w:w="421" w:type="pct"/>
            <w:shd w:val="clear" w:color="auto" w:fill="FFFFFF"/>
            <w:vAlign w:val="center"/>
            <w:hideMark/>
          </w:tcPr>
          <w:p w14:paraId="0110149D"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0.69</w:t>
            </w:r>
          </w:p>
        </w:tc>
        <w:tc>
          <w:tcPr>
            <w:tcW w:w="378" w:type="pct"/>
            <w:shd w:val="clear" w:color="auto" w:fill="FFFFFF"/>
            <w:vAlign w:val="center"/>
            <w:hideMark/>
          </w:tcPr>
          <w:p w14:paraId="60F3875A"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240</w:t>
            </w:r>
          </w:p>
        </w:tc>
        <w:tc>
          <w:tcPr>
            <w:tcW w:w="473" w:type="pct"/>
            <w:shd w:val="clear" w:color="auto" w:fill="FFFFFF"/>
            <w:vAlign w:val="center"/>
            <w:hideMark/>
          </w:tcPr>
          <w:p w14:paraId="799C6A00"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0.40</w:t>
            </w:r>
          </w:p>
        </w:tc>
      </w:tr>
      <w:tr w:rsidR="007A35EB" w:rsidRPr="000E3C28" w14:paraId="08ECD125" w14:textId="77777777" w:rsidTr="00D91AEB">
        <w:trPr>
          <w:jc w:val="center"/>
        </w:trPr>
        <w:tc>
          <w:tcPr>
            <w:tcW w:w="1422" w:type="pct"/>
            <w:tcBorders>
              <w:bottom w:val="single" w:sz="4" w:space="0" w:color="auto"/>
            </w:tcBorders>
            <w:hideMark/>
          </w:tcPr>
          <w:p w14:paraId="66A2D04C" w14:textId="77777777" w:rsidR="007A35EB" w:rsidRPr="000E3C28" w:rsidRDefault="007A35EB" w:rsidP="00751C27">
            <w:pPr>
              <w:pStyle w:val="NoSpacing"/>
              <w:rPr>
                <w:rFonts w:ascii="Arial" w:hAnsi="Arial" w:cs="Arial"/>
                <w:sz w:val="20"/>
              </w:rPr>
            </w:pPr>
            <w:r w:rsidRPr="000E3C28">
              <w:rPr>
                <w:rFonts w:ascii="Arial" w:hAnsi="Arial" w:cs="Arial"/>
                <w:sz w:val="20"/>
              </w:rPr>
              <w:t>Feasibility in collection</w:t>
            </w:r>
          </w:p>
        </w:tc>
        <w:tc>
          <w:tcPr>
            <w:tcW w:w="462" w:type="pct"/>
            <w:tcBorders>
              <w:bottom w:val="single" w:sz="4" w:space="0" w:color="auto"/>
            </w:tcBorders>
            <w:shd w:val="clear" w:color="auto" w:fill="FFFFFF"/>
            <w:vAlign w:val="center"/>
            <w:hideMark/>
          </w:tcPr>
          <w:p w14:paraId="0F1DDB77"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3.55</w:t>
            </w:r>
          </w:p>
        </w:tc>
        <w:tc>
          <w:tcPr>
            <w:tcW w:w="499" w:type="pct"/>
            <w:tcBorders>
              <w:bottom w:val="single" w:sz="4" w:space="0" w:color="auto"/>
            </w:tcBorders>
            <w:shd w:val="clear" w:color="auto" w:fill="FFFFFF"/>
            <w:vAlign w:val="center"/>
            <w:hideMark/>
          </w:tcPr>
          <w:p w14:paraId="077919BC"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3.04</w:t>
            </w:r>
          </w:p>
        </w:tc>
        <w:tc>
          <w:tcPr>
            <w:tcW w:w="416" w:type="pct"/>
            <w:tcBorders>
              <w:bottom w:val="single" w:sz="4" w:space="0" w:color="auto"/>
            </w:tcBorders>
            <w:shd w:val="clear" w:color="auto" w:fill="FFFFFF"/>
            <w:vAlign w:val="center"/>
            <w:hideMark/>
          </w:tcPr>
          <w:p w14:paraId="4BDCE8EF"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3.29</w:t>
            </w:r>
          </w:p>
        </w:tc>
        <w:tc>
          <w:tcPr>
            <w:tcW w:w="370" w:type="pct"/>
            <w:tcBorders>
              <w:bottom w:val="single" w:sz="4" w:space="0" w:color="auto"/>
            </w:tcBorders>
            <w:shd w:val="clear" w:color="auto" w:fill="FFFFFF"/>
            <w:vAlign w:val="center"/>
            <w:hideMark/>
          </w:tcPr>
          <w:p w14:paraId="74E0F608"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0.74</w:t>
            </w:r>
          </w:p>
        </w:tc>
        <w:tc>
          <w:tcPr>
            <w:tcW w:w="559" w:type="pct"/>
            <w:tcBorders>
              <w:bottom w:val="single" w:sz="4" w:space="0" w:color="auto"/>
            </w:tcBorders>
            <w:shd w:val="clear" w:color="auto" w:fill="FFFFFF"/>
            <w:vAlign w:val="center"/>
            <w:hideMark/>
          </w:tcPr>
          <w:p w14:paraId="754B8F9B" w14:textId="77777777" w:rsidR="007A35EB" w:rsidRPr="000E3C28" w:rsidRDefault="007A35EB" w:rsidP="00751C27">
            <w:pPr>
              <w:pStyle w:val="NoSpacing"/>
              <w:jc w:val="center"/>
              <w:rPr>
                <w:rFonts w:ascii="Arial" w:hAnsi="Arial" w:cs="Arial"/>
                <w:color w:val="000000"/>
                <w:sz w:val="20"/>
              </w:rPr>
            </w:pPr>
            <w:r w:rsidRPr="000E3C28">
              <w:rPr>
                <w:rFonts w:ascii="Arial" w:hAnsi="Arial" w:cs="Arial"/>
                <w:color w:val="000000"/>
                <w:sz w:val="20"/>
              </w:rPr>
              <w:t>0.88</w:t>
            </w:r>
          </w:p>
        </w:tc>
        <w:tc>
          <w:tcPr>
            <w:tcW w:w="421" w:type="pct"/>
            <w:tcBorders>
              <w:bottom w:val="single" w:sz="4" w:space="0" w:color="auto"/>
            </w:tcBorders>
            <w:shd w:val="clear" w:color="auto" w:fill="FFFFFF"/>
            <w:vAlign w:val="center"/>
            <w:hideMark/>
          </w:tcPr>
          <w:p w14:paraId="6ED13381"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33.31</w:t>
            </w:r>
          </w:p>
        </w:tc>
        <w:tc>
          <w:tcPr>
            <w:tcW w:w="378" w:type="pct"/>
            <w:tcBorders>
              <w:bottom w:val="single" w:sz="4" w:space="0" w:color="auto"/>
            </w:tcBorders>
            <w:shd w:val="clear" w:color="auto" w:fill="FFFFFF"/>
            <w:vAlign w:val="center"/>
            <w:hideMark/>
          </w:tcPr>
          <w:p w14:paraId="6AB1C1FD"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240</w:t>
            </w:r>
          </w:p>
        </w:tc>
        <w:tc>
          <w:tcPr>
            <w:tcW w:w="473" w:type="pct"/>
            <w:tcBorders>
              <w:bottom w:val="single" w:sz="4" w:space="0" w:color="auto"/>
            </w:tcBorders>
            <w:shd w:val="clear" w:color="auto" w:fill="FFFFFF"/>
            <w:vAlign w:val="center"/>
            <w:hideMark/>
          </w:tcPr>
          <w:p w14:paraId="406BF6EE"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0.00</w:t>
            </w:r>
          </w:p>
        </w:tc>
      </w:tr>
    </w:tbl>
    <w:p w14:paraId="00203344" w14:textId="77777777" w:rsidR="007A35EB" w:rsidRPr="000E3C28" w:rsidRDefault="007A35EB" w:rsidP="00751C27">
      <w:pPr>
        <w:spacing w:line="240" w:lineRule="auto"/>
        <w:jc w:val="both"/>
        <w:rPr>
          <w:rFonts w:ascii="Arial" w:hAnsi="Arial" w:cs="Arial"/>
          <w:i/>
          <w:sz w:val="20"/>
        </w:rPr>
      </w:pPr>
      <w:r w:rsidRPr="000E3C28">
        <w:rPr>
          <w:rFonts w:ascii="Arial" w:hAnsi="Arial" w:cs="Arial"/>
          <w:i/>
          <w:sz w:val="20"/>
        </w:rPr>
        <w:t>Source: Estimated from primary data</w:t>
      </w:r>
    </w:p>
    <w:p w14:paraId="6E5B5B5E" w14:textId="77777777" w:rsidR="007A35EB" w:rsidRPr="000E3C28" w:rsidRDefault="007A35EB" w:rsidP="000E3C28">
      <w:pPr>
        <w:spacing w:line="240" w:lineRule="auto"/>
        <w:jc w:val="both"/>
        <w:rPr>
          <w:rFonts w:ascii="Arial" w:hAnsi="Arial" w:cs="Arial"/>
          <w:bCs/>
          <w:iCs/>
          <w:sz w:val="20"/>
          <w:lang w:val="en-IN" w:bidi="ar-SA"/>
        </w:rPr>
      </w:pPr>
      <w:r w:rsidRPr="000E3C28">
        <w:rPr>
          <w:rFonts w:ascii="Arial" w:hAnsi="Arial" w:cs="Arial"/>
          <w:sz w:val="20"/>
          <w:lang w:val="en-IN" w:bidi="ar-SA"/>
        </w:rPr>
        <w:t xml:space="preserve">The Table 2 shows that all dimensions, </w:t>
      </w:r>
      <w:r w:rsidRPr="000E3C28">
        <w:rPr>
          <w:rFonts w:ascii="Arial" w:hAnsi="Arial" w:cs="Arial"/>
          <w:bCs/>
          <w:iCs/>
          <w:sz w:val="20"/>
          <w:lang w:val="en-IN" w:bidi="ar-SA"/>
        </w:rPr>
        <w:t>except for the attitude of the collector, exhibit significance based on Wilk's Lambda test.</w:t>
      </w:r>
      <w:r w:rsidRPr="000E3C28">
        <w:rPr>
          <w:rFonts w:ascii="Arial" w:hAnsi="Arial" w:cs="Arial"/>
          <w:noProof/>
          <w:sz w:val="20"/>
          <w:lang w:val="en-IN" w:bidi="ar-SA"/>
        </w:rPr>
        <w:t xml:space="preserve"> The o</w:t>
      </w:r>
      <w:r w:rsidRPr="000E3C28">
        <w:rPr>
          <w:rFonts w:ascii="Arial" w:hAnsi="Arial" w:cs="Arial"/>
          <w:bCs/>
          <w:iCs/>
          <w:noProof/>
          <w:sz w:val="20"/>
          <w:lang w:val="en-IN" w:bidi="ar-SA"/>
        </w:rPr>
        <w:t>verall</w:t>
      </w:r>
      <w:r w:rsidRPr="000E3C28">
        <w:rPr>
          <w:rFonts w:ascii="Arial" w:hAnsi="Arial" w:cs="Arial"/>
          <w:bCs/>
          <w:iCs/>
          <w:sz w:val="20"/>
          <w:lang w:val="en-IN" w:bidi="ar-SA"/>
        </w:rPr>
        <w:t xml:space="preserve"> significance of the model </w:t>
      </w:r>
      <w:r w:rsidRPr="000E3C28">
        <w:rPr>
          <w:rFonts w:ascii="Arial" w:hAnsi="Arial" w:cs="Arial"/>
          <w:bCs/>
          <w:iCs/>
          <w:noProof/>
          <w:sz w:val="20"/>
          <w:lang w:val="en-IN" w:bidi="ar-SA"/>
        </w:rPr>
        <w:t>is established</w:t>
      </w:r>
      <w:r w:rsidRPr="000E3C28">
        <w:rPr>
          <w:rFonts w:ascii="Arial" w:hAnsi="Arial" w:cs="Arial"/>
          <w:bCs/>
          <w:iCs/>
          <w:sz w:val="20"/>
          <w:lang w:val="en-IN" w:bidi="ar-SA"/>
        </w:rPr>
        <w:t xml:space="preserve"> through the Wilks </w:t>
      </w:r>
      <w:r w:rsidRPr="000E3C28">
        <w:rPr>
          <w:rFonts w:ascii="Arial" w:hAnsi="Arial" w:cs="Arial"/>
          <w:bCs/>
          <w:iCs/>
          <w:noProof/>
          <w:sz w:val="20"/>
          <w:lang w:val="en-IN" w:bidi="ar-SA"/>
        </w:rPr>
        <w:t>Lamda</w:t>
      </w:r>
      <w:r w:rsidRPr="000E3C28">
        <w:rPr>
          <w:rFonts w:ascii="Arial" w:hAnsi="Arial" w:cs="Arial"/>
          <w:bCs/>
          <w:iCs/>
          <w:sz w:val="20"/>
          <w:lang w:val="en-IN" w:bidi="ar-SA"/>
        </w:rPr>
        <w:t xml:space="preserve"> (0.36), </w:t>
      </w:r>
      <w:proofErr w:type="gramStart"/>
      <w:r w:rsidRPr="000E3C28">
        <w:rPr>
          <w:rFonts w:ascii="Arial" w:hAnsi="Arial" w:cs="Arial"/>
          <w:bCs/>
          <w:iCs/>
          <w:sz w:val="20"/>
          <w:lang w:val="en-IN" w:bidi="ar-SA"/>
        </w:rPr>
        <w:t>which  translates</w:t>
      </w:r>
      <w:proofErr w:type="gramEnd"/>
      <w:r w:rsidRPr="000E3C28">
        <w:rPr>
          <w:rFonts w:ascii="Arial" w:hAnsi="Arial" w:cs="Arial"/>
          <w:bCs/>
          <w:iCs/>
          <w:sz w:val="20"/>
          <w:lang w:val="en-IN" w:bidi="ar-SA"/>
        </w:rPr>
        <w:t xml:space="preserve"> to a chi-square value (241.12) with a </w:t>
      </w:r>
      <w:r w:rsidRPr="000E3C28">
        <w:rPr>
          <w:rFonts w:ascii="Arial" w:hAnsi="Arial" w:cs="Arial"/>
          <w:bCs/>
          <w:iCs/>
          <w:noProof/>
          <w:sz w:val="20"/>
          <w:lang w:val="en-IN" w:bidi="ar-SA"/>
        </w:rPr>
        <w:t>degree</w:t>
      </w:r>
      <w:r w:rsidRPr="000E3C28">
        <w:rPr>
          <w:rFonts w:ascii="Arial" w:hAnsi="Arial" w:cs="Arial"/>
          <w:bCs/>
          <w:iCs/>
          <w:sz w:val="20"/>
          <w:lang w:val="en-IN" w:bidi="ar-SA"/>
        </w:rPr>
        <w:t xml:space="preserve"> of freedom </w:t>
      </w:r>
      <w:r w:rsidRPr="000E3C28">
        <w:rPr>
          <w:rFonts w:ascii="Arial" w:hAnsi="Arial" w:cs="Arial"/>
          <w:bCs/>
          <w:iCs/>
          <w:noProof/>
          <w:sz w:val="20"/>
          <w:lang w:val="en-IN" w:bidi="ar-SA"/>
        </w:rPr>
        <w:t>six</w:t>
      </w:r>
      <w:r w:rsidRPr="000E3C28">
        <w:rPr>
          <w:rFonts w:ascii="Arial" w:hAnsi="Arial" w:cs="Arial"/>
          <w:bCs/>
          <w:iCs/>
          <w:sz w:val="20"/>
          <w:lang w:val="en-IN" w:bidi="ar-SA"/>
        </w:rPr>
        <w:t xml:space="preserve"> is found to be significant (p = 0.00 &lt; 0.05). The results suggest that the dimensions included in the model (regularity in collection, waste collection charge, efficiency in collection, feasibility in collection) are important factors in understanding waste management practices and their impact on environmental quality.</w:t>
      </w:r>
    </w:p>
    <w:p w14:paraId="41CD10AC" w14:textId="77777777" w:rsidR="007A35EB" w:rsidRPr="000E3C28" w:rsidRDefault="007A35EB" w:rsidP="000E3C28">
      <w:pPr>
        <w:spacing w:line="240" w:lineRule="auto"/>
        <w:jc w:val="both"/>
        <w:rPr>
          <w:rFonts w:ascii="Arial" w:hAnsi="Arial" w:cs="Arial"/>
          <w:color w:val="000000"/>
          <w:sz w:val="20"/>
          <w:lang w:val="en-IN" w:bidi="ar-SA"/>
        </w:rPr>
      </w:pPr>
      <w:r w:rsidRPr="000E3C28">
        <w:rPr>
          <w:rFonts w:ascii="Arial" w:hAnsi="Arial" w:cs="Arial"/>
          <w:color w:val="000000"/>
          <w:sz w:val="20"/>
          <w:lang w:val="en-IN" w:bidi="ar-SA"/>
        </w:rPr>
        <w:t xml:space="preserve">Mean value shows that households </w:t>
      </w:r>
      <w:r w:rsidRPr="000E3C28">
        <w:rPr>
          <w:rFonts w:ascii="Arial" w:hAnsi="Arial" w:cs="Arial"/>
          <w:noProof/>
          <w:color w:val="000000"/>
          <w:sz w:val="20"/>
          <w:lang w:val="en-IN" w:bidi="ar-SA"/>
        </w:rPr>
        <w:t>favour</w:t>
      </w:r>
      <w:r w:rsidRPr="000E3C28">
        <w:rPr>
          <w:rFonts w:ascii="Arial" w:hAnsi="Arial" w:cs="Arial"/>
          <w:color w:val="000000"/>
          <w:sz w:val="20"/>
          <w:lang w:val="en-IN" w:bidi="ar-SA"/>
        </w:rPr>
        <w:t xml:space="preserve"> public provider in dimensions such as regularity in waste collection, collection charge, and efficiency in collection which imply that these areas are strengths of the public waste management system. In case of feasibility in the </w:t>
      </w:r>
      <w:r w:rsidRPr="000E3C28">
        <w:rPr>
          <w:rFonts w:ascii="Arial" w:hAnsi="Arial" w:cs="Arial"/>
          <w:noProof/>
          <w:color w:val="000000"/>
          <w:sz w:val="20"/>
          <w:lang w:val="en-IN" w:bidi="ar-SA"/>
        </w:rPr>
        <w:t>collection</w:t>
      </w:r>
      <w:r w:rsidRPr="000E3C28">
        <w:rPr>
          <w:rFonts w:ascii="Arial" w:hAnsi="Arial" w:cs="Arial"/>
          <w:color w:val="000000"/>
          <w:sz w:val="20"/>
          <w:lang w:val="en-IN" w:bidi="ar-SA"/>
        </w:rPr>
        <w:t xml:space="preserve">, households prefer private service provider as they </w:t>
      </w:r>
      <w:r w:rsidRPr="000E3C28">
        <w:rPr>
          <w:rFonts w:ascii="Arial" w:hAnsi="Arial" w:cs="Arial"/>
          <w:noProof/>
          <w:color w:val="000000"/>
          <w:sz w:val="20"/>
          <w:lang w:val="en-IN" w:bidi="ar-SA"/>
        </w:rPr>
        <w:t>collect</w:t>
      </w:r>
      <w:r w:rsidRPr="000E3C28">
        <w:rPr>
          <w:rFonts w:ascii="Arial" w:hAnsi="Arial" w:cs="Arial"/>
          <w:color w:val="000000"/>
          <w:sz w:val="20"/>
          <w:lang w:val="en-IN" w:bidi="ar-SA"/>
        </w:rPr>
        <w:t xml:space="preserve"> inorganic waste,</w:t>
      </w:r>
      <w:r w:rsidRPr="000E3C28">
        <w:rPr>
          <w:rFonts w:ascii="Arial" w:hAnsi="Arial" w:cs="Arial"/>
          <w:noProof/>
          <w:color w:val="000000"/>
          <w:sz w:val="20"/>
          <w:lang w:val="en-IN" w:bidi="ar-SA"/>
        </w:rPr>
        <w:t xml:space="preserve"> but</w:t>
      </w:r>
      <w:r w:rsidRPr="000E3C28">
        <w:rPr>
          <w:rFonts w:ascii="Arial" w:hAnsi="Arial" w:cs="Arial"/>
          <w:color w:val="000000"/>
          <w:sz w:val="20"/>
          <w:lang w:val="en-IN" w:bidi="ar-SA"/>
        </w:rPr>
        <w:t xml:space="preserve"> the government agencies do not cater to this. It implies that the preference for private providers in feasibility, especially in handling inorganic waste, highlights a potential gap in the services provided by government agencies.</w:t>
      </w:r>
    </w:p>
    <w:p w14:paraId="73057185" w14:textId="77777777" w:rsidR="007A35EB" w:rsidRPr="000E3C28" w:rsidRDefault="007A35EB" w:rsidP="000E3C28">
      <w:pPr>
        <w:spacing w:line="240" w:lineRule="auto"/>
        <w:jc w:val="both"/>
        <w:rPr>
          <w:rFonts w:ascii="Arial" w:hAnsi="Arial" w:cs="Arial"/>
          <w:color w:val="000000"/>
          <w:sz w:val="20"/>
          <w:lang w:val="en-IN" w:bidi="ar-SA"/>
        </w:rPr>
      </w:pPr>
      <w:r w:rsidRPr="000E3C28">
        <w:rPr>
          <w:rFonts w:ascii="Arial" w:hAnsi="Arial" w:cs="Arial"/>
          <w:color w:val="000000"/>
          <w:sz w:val="20"/>
          <w:lang w:val="en-IN" w:bidi="ar-SA"/>
        </w:rPr>
        <w:t xml:space="preserve">Environmental theorists argue that environmental qualities such as air, water, and natural beauty exemplify public goods, which are not privately owned and thus not easily governed by market principles. Waste collection and its management </w:t>
      </w:r>
      <w:r w:rsidRPr="000E3C28">
        <w:rPr>
          <w:rFonts w:ascii="Arial" w:hAnsi="Arial" w:cs="Arial"/>
          <w:noProof/>
          <w:color w:val="000000"/>
          <w:sz w:val="20"/>
          <w:lang w:val="en-IN" w:bidi="ar-SA"/>
        </w:rPr>
        <w:t xml:space="preserve">are </w:t>
      </w:r>
      <w:r w:rsidRPr="000E3C28">
        <w:rPr>
          <w:rFonts w:ascii="Arial" w:hAnsi="Arial" w:cs="Arial"/>
          <w:color w:val="000000"/>
          <w:sz w:val="20"/>
          <w:lang w:val="en-IN" w:bidi="ar-SA"/>
        </w:rPr>
        <w:t xml:space="preserve">carried out mainly for maintaining environmental quality which </w:t>
      </w:r>
      <w:r w:rsidRPr="000E3C28">
        <w:rPr>
          <w:rFonts w:ascii="Arial" w:hAnsi="Arial" w:cs="Arial"/>
          <w:noProof/>
          <w:color w:val="000000"/>
          <w:sz w:val="20"/>
          <w:lang w:val="en-IN" w:bidi="ar-SA"/>
        </w:rPr>
        <w:t>is considered</w:t>
      </w:r>
      <w:r w:rsidRPr="000E3C28">
        <w:rPr>
          <w:rFonts w:ascii="Arial" w:hAnsi="Arial" w:cs="Arial"/>
          <w:color w:val="000000"/>
          <w:sz w:val="20"/>
          <w:lang w:val="en-IN" w:bidi="ar-SA"/>
        </w:rPr>
        <w:t xml:space="preserve"> as a public good. The study suggests an indication of market failure in determining the price of environmental quality, necessitating government intervention. However, government is seemed to be a </w:t>
      </w:r>
      <w:r w:rsidRPr="000E3C28">
        <w:rPr>
          <w:rFonts w:ascii="Arial" w:hAnsi="Arial" w:cs="Arial"/>
          <w:noProof/>
          <w:color w:val="000000"/>
          <w:sz w:val="20"/>
          <w:lang w:val="en-IN" w:bidi="ar-SA"/>
        </w:rPr>
        <w:t>failure</w:t>
      </w:r>
      <w:r w:rsidRPr="000E3C28">
        <w:rPr>
          <w:rFonts w:ascii="Arial" w:hAnsi="Arial" w:cs="Arial"/>
          <w:color w:val="000000"/>
          <w:sz w:val="20"/>
          <w:lang w:val="en-IN" w:bidi="ar-SA"/>
        </w:rPr>
        <w:t xml:space="preserve"> in ensuring dimension like feasibility in waste collection, that is </w:t>
      </w:r>
      <w:r w:rsidRPr="000E3C28">
        <w:rPr>
          <w:rFonts w:ascii="Arial" w:hAnsi="Arial" w:cs="Arial"/>
          <w:noProof/>
          <w:color w:val="000000"/>
          <w:sz w:val="20"/>
          <w:lang w:val="en-IN" w:bidi="ar-SA"/>
        </w:rPr>
        <w:t>ensure</w:t>
      </w:r>
      <w:r w:rsidRPr="000E3C28">
        <w:rPr>
          <w:rFonts w:ascii="Arial" w:hAnsi="Arial" w:cs="Arial"/>
          <w:color w:val="000000"/>
          <w:sz w:val="20"/>
          <w:lang w:val="en-IN" w:bidi="ar-SA"/>
        </w:rPr>
        <w:t xml:space="preserve"> the collection of all types of inorganic waste. This failure has led to the entry of private service providers in collaboration with residents' associations, who collect inorganic waste from households at Rs.70 per sack and transport it out of Kerala. This situation highlights the government's failure to collect inorganic waste, leaving the task to private entities, thereby indicating a failure in the public service provision. </w:t>
      </w:r>
    </w:p>
    <w:p w14:paraId="32E0EFC2" w14:textId="77777777" w:rsidR="004D1865" w:rsidRPr="000E3C28" w:rsidRDefault="007A35EB" w:rsidP="00875E97">
      <w:pPr>
        <w:autoSpaceDE w:val="0"/>
        <w:autoSpaceDN w:val="0"/>
        <w:adjustRightInd w:val="0"/>
        <w:spacing w:after="120" w:line="240" w:lineRule="auto"/>
        <w:jc w:val="both"/>
        <w:rPr>
          <w:rFonts w:ascii="Arial" w:hAnsi="Arial" w:cs="Arial"/>
          <w:sz w:val="20"/>
          <w:lang w:val="en-IN" w:bidi="ar-SA"/>
        </w:rPr>
      </w:pPr>
      <w:r w:rsidRPr="000E3C28">
        <w:rPr>
          <w:rFonts w:ascii="Arial" w:hAnsi="Arial" w:cs="Arial"/>
          <w:color w:val="000000"/>
          <w:sz w:val="20"/>
          <w:lang w:val="en-IN" w:bidi="ar-SA"/>
        </w:rPr>
        <w:t xml:space="preserve">To compare </w:t>
      </w:r>
      <w:r w:rsidRPr="000E3C28">
        <w:rPr>
          <w:rFonts w:ascii="Arial" w:hAnsi="Arial" w:cs="Arial"/>
          <w:sz w:val="20"/>
          <w:lang w:val="en-IN" w:bidi="ar-SA"/>
        </w:rPr>
        <w:t>the relative significance between the two groups, the standardised canonical discriminant function coefficients are employed.</w:t>
      </w:r>
      <w:r w:rsidR="00B7720E" w:rsidRPr="000E3C28">
        <w:rPr>
          <w:rFonts w:ascii="Arial" w:hAnsi="Arial" w:cs="Arial"/>
          <w:sz w:val="20"/>
          <w:lang w:val="en-IN" w:bidi="ar-SA"/>
        </w:rPr>
        <w:t xml:space="preserve"> The findings </w:t>
      </w:r>
      <w:proofErr w:type="gramStart"/>
      <w:r w:rsidR="00B7720E" w:rsidRPr="000E3C28">
        <w:rPr>
          <w:rFonts w:ascii="Arial" w:hAnsi="Arial" w:cs="Arial"/>
          <w:sz w:val="20"/>
          <w:lang w:val="en-IN" w:bidi="ar-SA"/>
        </w:rPr>
        <w:t xml:space="preserve">( </w:t>
      </w:r>
      <w:r w:rsidRPr="000E3C28">
        <w:rPr>
          <w:rFonts w:ascii="Arial" w:hAnsi="Arial" w:cs="Arial"/>
          <w:sz w:val="20"/>
          <w:lang w:val="en-IN" w:bidi="ar-SA"/>
        </w:rPr>
        <w:t>Table</w:t>
      </w:r>
      <w:proofErr w:type="gramEnd"/>
      <w:r w:rsidRPr="000E3C28">
        <w:rPr>
          <w:rFonts w:ascii="Arial" w:hAnsi="Arial" w:cs="Arial"/>
          <w:sz w:val="20"/>
          <w:lang w:val="en-IN" w:bidi="ar-SA"/>
        </w:rPr>
        <w:t xml:space="preserve"> 3) demonstrates that the variables that have large coefficients have a stronger effect on the variability's explanation. It demonstrates that the garbage collection charge and regularity are the variables with positive coefficients. </w:t>
      </w:r>
      <w:r w:rsidRPr="000E3C28">
        <w:rPr>
          <w:rFonts w:ascii="Arial" w:hAnsi="Arial" w:cs="Arial"/>
          <w:noProof/>
          <w:sz w:val="20"/>
          <w:lang w:val="en-IN" w:bidi="ar-SA"/>
        </w:rPr>
        <w:t>Among these three, the variable considered to be important for the public agency is regularity in the collection which has larger coefficients.</w:t>
      </w:r>
      <w:r w:rsidRPr="000E3C28">
        <w:rPr>
          <w:rFonts w:ascii="Arial" w:hAnsi="Arial" w:cs="Arial"/>
          <w:sz w:val="20"/>
          <w:lang w:val="en-IN" w:bidi="ar-SA"/>
        </w:rPr>
        <w:t xml:space="preserve"> All the other variables, namely, efficiency in collection, the </w:t>
      </w:r>
      <w:r w:rsidRPr="000E3C28">
        <w:rPr>
          <w:rFonts w:ascii="Arial" w:hAnsi="Arial" w:cs="Arial"/>
          <w:noProof/>
          <w:sz w:val="20"/>
          <w:lang w:val="en-IN" w:bidi="ar-SA"/>
        </w:rPr>
        <w:t>attitude</w:t>
      </w:r>
      <w:r w:rsidRPr="000E3C28">
        <w:rPr>
          <w:rFonts w:ascii="Arial" w:hAnsi="Arial" w:cs="Arial"/>
          <w:sz w:val="20"/>
          <w:lang w:val="en-IN" w:bidi="ar-SA"/>
        </w:rPr>
        <w:t xml:space="preserve"> of the collector and feasibility in the </w:t>
      </w:r>
      <w:r w:rsidRPr="000E3C28">
        <w:rPr>
          <w:rFonts w:ascii="Arial" w:hAnsi="Arial" w:cs="Arial"/>
          <w:noProof/>
          <w:sz w:val="20"/>
          <w:lang w:val="en-IN" w:bidi="ar-SA"/>
        </w:rPr>
        <w:t>collection</w:t>
      </w:r>
      <w:r w:rsidRPr="000E3C28">
        <w:rPr>
          <w:rFonts w:ascii="Arial" w:hAnsi="Arial" w:cs="Arial"/>
          <w:sz w:val="20"/>
          <w:lang w:val="en-IN" w:bidi="ar-SA"/>
        </w:rPr>
        <w:t xml:space="preserve"> have negative coefficients,</w:t>
      </w:r>
      <w:r w:rsidRPr="000E3C28">
        <w:rPr>
          <w:rFonts w:ascii="Arial" w:hAnsi="Arial" w:cs="Arial"/>
          <w:noProof/>
          <w:sz w:val="20"/>
          <w:lang w:val="en-IN" w:bidi="ar-SA"/>
        </w:rPr>
        <w:t xml:space="preserve"> and</w:t>
      </w:r>
      <w:r w:rsidRPr="000E3C28">
        <w:rPr>
          <w:rFonts w:ascii="Arial" w:hAnsi="Arial" w:cs="Arial"/>
          <w:sz w:val="20"/>
          <w:lang w:val="en-IN" w:bidi="ar-SA"/>
        </w:rPr>
        <w:t xml:space="preserve"> among </w:t>
      </w:r>
      <w:r w:rsidRPr="000E3C28">
        <w:rPr>
          <w:rFonts w:ascii="Arial" w:hAnsi="Arial" w:cs="Arial"/>
          <w:noProof/>
          <w:sz w:val="20"/>
          <w:lang w:val="en-IN" w:bidi="ar-SA"/>
        </w:rPr>
        <w:t>these three, feasibility</w:t>
      </w:r>
      <w:r w:rsidRPr="000E3C28">
        <w:rPr>
          <w:rFonts w:ascii="Arial" w:hAnsi="Arial" w:cs="Arial"/>
          <w:sz w:val="20"/>
          <w:lang w:val="en-IN" w:bidi="ar-SA"/>
        </w:rPr>
        <w:t xml:space="preserve"> in the </w:t>
      </w:r>
      <w:r w:rsidRPr="000E3C28">
        <w:rPr>
          <w:rFonts w:ascii="Arial" w:hAnsi="Arial" w:cs="Arial"/>
          <w:noProof/>
          <w:sz w:val="20"/>
          <w:lang w:val="en-IN" w:bidi="ar-SA"/>
        </w:rPr>
        <w:t>collection</w:t>
      </w:r>
      <w:r w:rsidRPr="000E3C28">
        <w:rPr>
          <w:rFonts w:ascii="Arial" w:hAnsi="Arial" w:cs="Arial"/>
          <w:sz w:val="20"/>
          <w:lang w:val="en-IN" w:bidi="ar-SA"/>
        </w:rPr>
        <w:t xml:space="preserve"> is more dominant in the private sector.</w:t>
      </w:r>
    </w:p>
    <w:p w14:paraId="7A5AA370" w14:textId="77777777" w:rsidR="007A35EB" w:rsidRPr="000E3C28" w:rsidRDefault="007A35EB" w:rsidP="00751C27">
      <w:pPr>
        <w:autoSpaceDE w:val="0"/>
        <w:autoSpaceDN w:val="0"/>
        <w:adjustRightInd w:val="0"/>
        <w:spacing w:after="120" w:line="240" w:lineRule="auto"/>
        <w:jc w:val="both"/>
        <w:rPr>
          <w:rFonts w:ascii="Arial" w:hAnsi="Arial" w:cs="Arial"/>
          <w:b/>
          <w:bCs/>
          <w:i/>
          <w:iCs/>
          <w:sz w:val="20"/>
          <w:lang w:val="en-IN" w:bidi="ar-SA"/>
        </w:rPr>
      </w:pPr>
      <w:r w:rsidRPr="000E3C28">
        <w:rPr>
          <w:rFonts w:ascii="Arial" w:hAnsi="Arial" w:cs="Arial"/>
          <w:b/>
          <w:bCs/>
          <w:sz w:val="20"/>
          <w:lang w:val="en-IN" w:bidi="ar-SA"/>
        </w:rPr>
        <w:t xml:space="preserve">                               Table 3: Canonical Discriminant Function Coefficients</w:t>
      </w:r>
    </w:p>
    <w:tbl>
      <w:tblPr>
        <w:tblW w:w="2471" w:type="pct"/>
        <w:jc w:val="center"/>
        <w:tblLook w:val="04A0" w:firstRow="1" w:lastRow="0" w:firstColumn="1" w:lastColumn="0" w:noHBand="0" w:noVBand="1"/>
      </w:tblPr>
      <w:tblGrid>
        <w:gridCol w:w="3402"/>
        <w:gridCol w:w="1165"/>
      </w:tblGrid>
      <w:tr w:rsidR="007A35EB" w:rsidRPr="00875E97" w14:paraId="504E747F" w14:textId="77777777" w:rsidTr="004D1865">
        <w:trPr>
          <w:trHeight w:val="374"/>
          <w:jc w:val="center"/>
        </w:trPr>
        <w:tc>
          <w:tcPr>
            <w:tcW w:w="3724" w:type="pct"/>
            <w:tcBorders>
              <w:top w:val="single" w:sz="4" w:space="0" w:color="auto"/>
              <w:bottom w:val="single" w:sz="4" w:space="0" w:color="auto"/>
            </w:tcBorders>
            <w:vAlign w:val="center"/>
          </w:tcPr>
          <w:p w14:paraId="023D0836" w14:textId="77777777" w:rsidR="007A35EB" w:rsidRPr="00875E97" w:rsidRDefault="007A35EB" w:rsidP="00751C27">
            <w:pPr>
              <w:pStyle w:val="NoSpacing"/>
              <w:rPr>
                <w:rFonts w:ascii="Arial" w:hAnsi="Arial" w:cs="Arial"/>
                <w:sz w:val="20"/>
              </w:rPr>
            </w:pPr>
            <w:r w:rsidRPr="00875E97">
              <w:rPr>
                <w:rFonts w:ascii="Arial" w:hAnsi="Arial" w:cs="Arial"/>
                <w:sz w:val="20"/>
              </w:rPr>
              <w:t>Variables</w:t>
            </w:r>
          </w:p>
        </w:tc>
        <w:tc>
          <w:tcPr>
            <w:tcW w:w="1276" w:type="pct"/>
            <w:tcBorders>
              <w:top w:val="single" w:sz="4" w:space="0" w:color="auto"/>
              <w:bottom w:val="single" w:sz="4" w:space="0" w:color="auto"/>
            </w:tcBorders>
            <w:vAlign w:val="center"/>
          </w:tcPr>
          <w:p w14:paraId="7A70B14B" w14:textId="77777777" w:rsidR="007A35EB" w:rsidRPr="00875E97" w:rsidRDefault="007A35EB" w:rsidP="00751C27">
            <w:pPr>
              <w:pStyle w:val="NoSpacing"/>
              <w:rPr>
                <w:rFonts w:ascii="Arial" w:hAnsi="Arial" w:cs="Arial"/>
                <w:sz w:val="20"/>
              </w:rPr>
            </w:pPr>
            <w:r w:rsidRPr="00875E97">
              <w:rPr>
                <w:rFonts w:ascii="Arial" w:hAnsi="Arial" w:cs="Arial"/>
                <w:sz w:val="20"/>
              </w:rPr>
              <w:t>Function</w:t>
            </w:r>
          </w:p>
        </w:tc>
      </w:tr>
      <w:tr w:rsidR="007A35EB" w:rsidRPr="00875E97" w14:paraId="2B0862C3" w14:textId="77777777" w:rsidTr="004D1865">
        <w:trPr>
          <w:trHeight w:val="374"/>
          <w:jc w:val="center"/>
        </w:trPr>
        <w:tc>
          <w:tcPr>
            <w:tcW w:w="3724" w:type="pct"/>
            <w:tcBorders>
              <w:top w:val="single" w:sz="4" w:space="0" w:color="auto"/>
            </w:tcBorders>
            <w:vAlign w:val="center"/>
          </w:tcPr>
          <w:p w14:paraId="6CD80C6B" w14:textId="77777777" w:rsidR="007A35EB" w:rsidRPr="00875E97" w:rsidRDefault="007A35EB" w:rsidP="00751C27">
            <w:pPr>
              <w:pStyle w:val="NoSpacing"/>
              <w:rPr>
                <w:rFonts w:ascii="Arial" w:hAnsi="Arial" w:cs="Arial"/>
                <w:sz w:val="20"/>
              </w:rPr>
            </w:pPr>
            <w:r w:rsidRPr="00875E97">
              <w:rPr>
                <w:rFonts w:ascii="Arial" w:hAnsi="Arial" w:cs="Arial"/>
                <w:sz w:val="20"/>
              </w:rPr>
              <w:t>Regularity in collection</w:t>
            </w:r>
          </w:p>
        </w:tc>
        <w:tc>
          <w:tcPr>
            <w:tcW w:w="1276" w:type="pct"/>
            <w:tcBorders>
              <w:top w:val="single" w:sz="4" w:space="0" w:color="auto"/>
            </w:tcBorders>
            <w:vAlign w:val="center"/>
          </w:tcPr>
          <w:p w14:paraId="37614E5F" w14:textId="77777777" w:rsidR="007A35EB" w:rsidRPr="00875E97" w:rsidRDefault="007A35EB" w:rsidP="00751C27">
            <w:pPr>
              <w:pStyle w:val="NoSpacing"/>
              <w:rPr>
                <w:rFonts w:ascii="Arial" w:hAnsi="Arial" w:cs="Arial"/>
                <w:sz w:val="20"/>
              </w:rPr>
            </w:pPr>
            <w:r w:rsidRPr="00875E97">
              <w:rPr>
                <w:rFonts w:ascii="Arial" w:hAnsi="Arial" w:cs="Arial"/>
                <w:sz w:val="20"/>
              </w:rPr>
              <w:t>0.990</w:t>
            </w:r>
          </w:p>
        </w:tc>
      </w:tr>
      <w:tr w:rsidR="007A35EB" w:rsidRPr="00875E97" w14:paraId="22038F7B" w14:textId="77777777" w:rsidTr="004D1865">
        <w:trPr>
          <w:trHeight w:val="374"/>
          <w:jc w:val="center"/>
        </w:trPr>
        <w:tc>
          <w:tcPr>
            <w:tcW w:w="3724" w:type="pct"/>
            <w:vAlign w:val="center"/>
          </w:tcPr>
          <w:p w14:paraId="7BC19AEB" w14:textId="77777777" w:rsidR="007A35EB" w:rsidRPr="00875E97" w:rsidRDefault="007A35EB" w:rsidP="00751C27">
            <w:pPr>
              <w:pStyle w:val="NoSpacing"/>
              <w:rPr>
                <w:rFonts w:ascii="Arial" w:hAnsi="Arial" w:cs="Arial"/>
                <w:sz w:val="20"/>
              </w:rPr>
            </w:pPr>
            <w:r w:rsidRPr="00875E97">
              <w:rPr>
                <w:rFonts w:ascii="Arial" w:hAnsi="Arial" w:cs="Arial"/>
                <w:sz w:val="20"/>
              </w:rPr>
              <w:t>Waste collection charge</w:t>
            </w:r>
          </w:p>
        </w:tc>
        <w:tc>
          <w:tcPr>
            <w:tcW w:w="1276" w:type="pct"/>
            <w:vAlign w:val="center"/>
          </w:tcPr>
          <w:p w14:paraId="4D611F88" w14:textId="77777777" w:rsidR="007A35EB" w:rsidRPr="00875E97" w:rsidRDefault="007A35EB" w:rsidP="00751C27">
            <w:pPr>
              <w:pStyle w:val="NoSpacing"/>
              <w:rPr>
                <w:rFonts w:ascii="Arial" w:hAnsi="Arial" w:cs="Arial"/>
                <w:sz w:val="20"/>
              </w:rPr>
            </w:pPr>
            <w:r w:rsidRPr="00875E97">
              <w:rPr>
                <w:rFonts w:ascii="Arial" w:hAnsi="Arial" w:cs="Arial"/>
                <w:sz w:val="20"/>
              </w:rPr>
              <w:t>0.127</w:t>
            </w:r>
          </w:p>
        </w:tc>
      </w:tr>
      <w:tr w:rsidR="007A35EB" w:rsidRPr="00875E97" w14:paraId="335CF98B" w14:textId="77777777" w:rsidTr="004D1865">
        <w:trPr>
          <w:trHeight w:val="374"/>
          <w:jc w:val="center"/>
        </w:trPr>
        <w:tc>
          <w:tcPr>
            <w:tcW w:w="3724" w:type="pct"/>
            <w:vAlign w:val="center"/>
          </w:tcPr>
          <w:p w14:paraId="7DA42ACF" w14:textId="77777777" w:rsidR="007A35EB" w:rsidRPr="00875E97" w:rsidRDefault="007A35EB" w:rsidP="00751C27">
            <w:pPr>
              <w:pStyle w:val="NoSpacing"/>
              <w:rPr>
                <w:rFonts w:ascii="Arial" w:hAnsi="Arial" w:cs="Arial"/>
                <w:sz w:val="20"/>
              </w:rPr>
            </w:pPr>
            <w:r w:rsidRPr="00875E97">
              <w:rPr>
                <w:rFonts w:ascii="Arial" w:hAnsi="Arial" w:cs="Arial"/>
                <w:sz w:val="20"/>
              </w:rPr>
              <w:lastRenderedPageBreak/>
              <w:t>Efficiency in collection</w:t>
            </w:r>
          </w:p>
        </w:tc>
        <w:tc>
          <w:tcPr>
            <w:tcW w:w="1276" w:type="pct"/>
            <w:vAlign w:val="center"/>
          </w:tcPr>
          <w:p w14:paraId="1E0B5232" w14:textId="77777777" w:rsidR="007A35EB" w:rsidRPr="00875E97" w:rsidRDefault="007A35EB" w:rsidP="00751C27">
            <w:pPr>
              <w:pStyle w:val="NoSpacing"/>
              <w:rPr>
                <w:rFonts w:ascii="Arial" w:hAnsi="Arial" w:cs="Arial"/>
                <w:sz w:val="20"/>
              </w:rPr>
            </w:pPr>
            <w:r w:rsidRPr="00875E97">
              <w:rPr>
                <w:rFonts w:ascii="Arial" w:hAnsi="Arial" w:cs="Arial"/>
                <w:sz w:val="20"/>
              </w:rPr>
              <w:t>-0.015</w:t>
            </w:r>
          </w:p>
        </w:tc>
      </w:tr>
      <w:tr w:rsidR="007A35EB" w:rsidRPr="00875E97" w14:paraId="37698020" w14:textId="77777777" w:rsidTr="004D1865">
        <w:trPr>
          <w:trHeight w:val="374"/>
          <w:jc w:val="center"/>
        </w:trPr>
        <w:tc>
          <w:tcPr>
            <w:tcW w:w="3724" w:type="pct"/>
            <w:vAlign w:val="center"/>
          </w:tcPr>
          <w:p w14:paraId="10DE17E0" w14:textId="77777777" w:rsidR="007A35EB" w:rsidRPr="00875E97" w:rsidRDefault="007A35EB" w:rsidP="00751C27">
            <w:pPr>
              <w:pStyle w:val="NoSpacing"/>
              <w:rPr>
                <w:rFonts w:ascii="Arial" w:hAnsi="Arial" w:cs="Arial"/>
                <w:sz w:val="20"/>
              </w:rPr>
            </w:pPr>
            <w:r w:rsidRPr="00875E97">
              <w:rPr>
                <w:rFonts w:ascii="Arial" w:hAnsi="Arial" w:cs="Arial"/>
                <w:sz w:val="20"/>
              </w:rPr>
              <w:t>The attitude of the collector</w:t>
            </w:r>
          </w:p>
        </w:tc>
        <w:tc>
          <w:tcPr>
            <w:tcW w:w="1276" w:type="pct"/>
            <w:vAlign w:val="center"/>
          </w:tcPr>
          <w:p w14:paraId="33469FB4" w14:textId="77777777" w:rsidR="007A35EB" w:rsidRPr="00875E97" w:rsidRDefault="007A35EB" w:rsidP="00751C27">
            <w:pPr>
              <w:pStyle w:val="NoSpacing"/>
              <w:rPr>
                <w:rFonts w:ascii="Arial" w:hAnsi="Arial" w:cs="Arial"/>
                <w:sz w:val="20"/>
              </w:rPr>
            </w:pPr>
            <w:r w:rsidRPr="00875E97">
              <w:rPr>
                <w:rFonts w:ascii="Arial" w:hAnsi="Arial" w:cs="Arial"/>
                <w:sz w:val="20"/>
              </w:rPr>
              <w:t>-0.319</w:t>
            </w:r>
          </w:p>
        </w:tc>
      </w:tr>
      <w:tr w:rsidR="007A35EB" w:rsidRPr="00875E97" w14:paraId="324BD6F0" w14:textId="77777777" w:rsidTr="004D1865">
        <w:trPr>
          <w:trHeight w:val="374"/>
          <w:jc w:val="center"/>
        </w:trPr>
        <w:tc>
          <w:tcPr>
            <w:tcW w:w="3724" w:type="pct"/>
            <w:tcBorders>
              <w:bottom w:val="single" w:sz="4" w:space="0" w:color="auto"/>
            </w:tcBorders>
            <w:vAlign w:val="center"/>
          </w:tcPr>
          <w:p w14:paraId="65652D41" w14:textId="77777777" w:rsidR="007A35EB" w:rsidRPr="00875E97" w:rsidRDefault="007A35EB" w:rsidP="00751C27">
            <w:pPr>
              <w:pStyle w:val="NoSpacing"/>
              <w:rPr>
                <w:rFonts w:ascii="Arial" w:hAnsi="Arial" w:cs="Arial"/>
                <w:sz w:val="20"/>
              </w:rPr>
            </w:pPr>
            <w:r w:rsidRPr="00875E97">
              <w:rPr>
                <w:rFonts w:ascii="Arial" w:hAnsi="Arial" w:cs="Arial"/>
                <w:sz w:val="20"/>
              </w:rPr>
              <w:t>Feasibility in collection</w:t>
            </w:r>
          </w:p>
        </w:tc>
        <w:tc>
          <w:tcPr>
            <w:tcW w:w="1276" w:type="pct"/>
            <w:tcBorders>
              <w:bottom w:val="single" w:sz="4" w:space="0" w:color="auto"/>
            </w:tcBorders>
            <w:vAlign w:val="center"/>
          </w:tcPr>
          <w:p w14:paraId="75860A73" w14:textId="77777777" w:rsidR="007A35EB" w:rsidRPr="00875E97" w:rsidRDefault="007A35EB" w:rsidP="00751C27">
            <w:pPr>
              <w:pStyle w:val="NoSpacing"/>
              <w:rPr>
                <w:rFonts w:ascii="Arial" w:hAnsi="Arial" w:cs="Arial"/>
                <w:sz w:val="20"/>
              </w:rPr>
            </w:pPr>
            <w:r w:rsidRPr="00875E97">
              <w:rPr>
                <w:rFonts w:ascii="Arial" w:hAnsi="Arial" w:cs="Arial"/>
                <w:sz w:val="20"/>
              </w:rPr>
              <w:t>-0.401</w:t>
            </w:r>
          </w:p>
        </w:tc>
      </w:tr>
    </w:tbl>
    <w:p w14:paraId="22818417" w14:textId="77777777" w:rsidR="007A35EB" w:rsidRPr="00875E97" w:rsidRDefault="007A35EB" w:rsidP="00751C27">
      <w:pPr>
        <w:autoSpaceDE w:val="0"/>
        <w:autoSpaceDN w:val="0"/>
        <w:adjustRightInd w:val="0"/>
        <w:spacing w:line="240" w:lineRule="auto"/>
        <w:jc w:val="both"/>
        <w:rPr>
          <w:rFonts w:ascii="Arial" w:hAnsi="Arial" w:cs="Arial"/>
          <w:i/>
          <w:iCs/>
          <w:sz w:val="20"/>
          <w:lang w:val="en-IN" w:bidi="ar-SA"/>
        </w:rPr>
      </w:pPr>
      <w:r w:rsidRPr="000E3C28">
        <w:rPr>
          <w:rFonts w:ascii="Arial" w:hAnsi="Arial" w:cs="Arial"/>
          <w:i/>
          <w:iCs/>
          <w:sz w:val="24"/>
          <w:szCs w:val="24"/>
          <w:lang w:val="en-IN" w:bidi="ar-SA"/>
        </w:rPr>
        <w:t xml:space="preserve">                                  </w:t>
      </w:r>
      <w:r w:rsidRPr="00875E97">
        <w:rPr>
          <w:rFonts w:ascii="Arial" w:hAnsi="Arial" w:cs="Arial"/>
          <w:i/>
          <w:iCs/>
          <w:sz w:val="20"/>
          <w:lang w:val="en-IN" w:bidi="ar-SA"/>
        </w:rPr>
        <w:t>Source: Estimated from primary data</w:t>
      </w:r>
    </w:p>
    <w:p w14:paraId="5DB52418" w14:textId="77777777" w:rsidR="007A35EB" w:rsidRPr="00875E97" w:rsidRDefault="007A35EB" w:rsidP="00875E97">
      <w:pPr>
        <w:autoSpaceDE w:val="0"/>
        <w:autoSpaceDN w:val="0"/>
        <w:adjustRightInd w:val="0"/>
        <w:spacing w:line="240" w:lineRule="auto"/>
        <w:jc w:val="both"/>
        <w:rPr>
          <w:rFonts w:ascii="Arial" w:hAnsi="Arial" w:cs="Arial"/>
          <w:sz w:val="20"/>
          <w:lang w:val="en-IN" w:bidi="ar-SA"/>
        </w:rPr>
      </w:pPr>
      <w:r w:rsidRPr="00875E97">
        <w:rPr>
          <w:rFonts w:ascii="Arial" w:hAnsi="Arial" w:cs="Arial"/>
          <w:sz w:val="20"/>
          <w:lang w:val="en-IN" w:bidi="ar-SA"/>
        </w:rPr>
        <w:t xml:space="preserve">Table 4 shows the structure matrix of the canonical loading or discriminant loading of the discriminant function. The structural coefficients indicate the relative significance of the discriminating variables based on total correlation, making it possible to identify the crucial variable that separates the two agencies. It reveals a </w:t>
      </w:r>
      <w:r w:rsidRPr="00875E97">
        <w:rPr>
          <w:rFonts w:ascii="Arial" w:hAnsi="Arial" w:cs="Arial"/>
          <w:noProof/>
          <w:sz w:val="20"/>
          <w:lang w:val="en-IN" w:bidi="ar-SA"/>
        </w:rPr>
        <w:t>correlation</w:t>
      </w:r>
      <w:r w:rsidRPr="00875E97">
        <w:rPr>
          <w:rFonts w:ascii="Arial" w:hAnsi="Arial" w:cs="Arial"/>
          <w:sz w:val="20"/>
          <w:lang w:val="en-IN" w:bidi="ar-SA"/>
        </w:rPr>
        <w:t xml:space="preserve"> between each </w:t>
      </w:r>
      <w:r w:rsidRPr="00875E97">
        <w:rPr>
          <w:rFonts w:ascii="Arial" w:hAnsi="Arial" w:cs="Arial"/>
          <w:noProof/>
          <w:sz w:val="20"/>
          <w:lang w:val="en-IN" w:bidi="ar-SA"/>
        </w:rPr>
        <w:t>variable</w:t>
      </w:r>
      <w:r w:rsidRPr="00875E97">
        <w:rPr>
          <w:rFonts w:ascii="Arial" w:hAnsi="Arial" w:cs="Arial"/>
          <w:sz w:val="20"/>
          <w:lang w:val="en-IN" w:bidi="ar-SA"/>
        </w:rPr>
        <w:t xml:space="preserve"> in the model and the discriminant functions. Overall, these coefficients provide insight into the relative importance of each variable in the analysis, with regularity in collection and feasibility in collection appearing to be the most influential variables for distinguishing between groups.</w:t>
      </w:r>
    </w:p>
    <w:p w14:paraId="0936A056" w14:textId="77777777" w:rsidR="007A35EB" w:rsidRPr="00875E97" w:rsidRDefault="007A35EB" w:rsidP="00751C27">
      <w:pPr>
        <w:autoSpaceDE w:val="0"/>
        <w:autoSpaceDN w:val="0"/>
        <w:adjustRightInd w:val="0"/>
        <w:spacing w:line="240" w:lineRule="auto"/>
        <w:jc w:val="both"/>
        <w:rPr>
          <w:rFonts w:ascii="Arial" w:hAnsi="Arial" w:cs="Arial"/>
          <w:sz w:val="20"/>
          <w:lang w:val="en-IN" w:bidi="ar-SA"/>
        </w:rPr>
      </w:pPr>
      <w:r w:rsidRPr="00875E97">
        <w:rPr>
          <w:rFonts w:ascii="Arial" w:hAnsi="Arial" w:cs="Arial"/>
          <w:b/>
          <w:sz w:val="20"/>
          <w:lang w:val="en-IN" w:bidi="ar-SA"/>
        </w:rPr>
        <w:t xml:space="preserve">                                    </w:t>
      </w:r>
      <w:r w:rsidR="004D1865" w:rsidRPr="00875E97">
        <w:rPr>
          <w:rFonts w:ascii="Arial" w:hAnsi="Arial" w:cs="Arial"/>
          <w:b/>
          <w:sz w:val="20"/>
          <w:lang w:val="en-IN" w:bidi="ar-SA"/>
        </w:rPr>
        <w:t xml:space="preserve">      </w:t>
      </w:r>
      <w:r w:rsidRPr="00875E97">
        <w:rPr>
          <w:rFonts w:ascii="Arial" w:hAnsi="Arial" w:cs="Arial"/>
          <w:b/>
          <w:sz w:val="20"/>
          <w:lang w:val="en-IN" w:bidi="ar-SA"/>
        </w:rPr>
        <w:t xml:space="preserve">  Table 4.  Structure Matrix </w:t>
      </w:r>
    </w:p>
    <w:tbl>
      <w:tblPr>
        <w:tblW w:w="2513" w:type="pct"/>
        <w:jc w:val="center"/>
        <w:tblLook w:val="04A0" w:firstRow="1" w:lastRow="0" w:firstColumn="1" w:lastColumn="0" w:noHBand="0" w:noVBand="1"/>
      </w:tblPr>
      <w:tblGrid>
        <w:gridCol w:w="3338"/>
        <w:gridCol w:w="1307"/>
      </w:tblGrid>
      <w:tr w:rsidR="007A35EB" w:rsidRPr="00875E97" w14:paraId="27C65A26" w14:textId="77777777" w:rsidTr="004D1865">
        <w:trPr>
          <w:trHeight w:val="339"/>
          <w:jc w:val="center"/>
        </w:trPr>
        <w:tc>
          <w:tcPr>
            <w:tcW w:w="3593" w:type="pct"/>
            <w:tcBorders>
              <w:top w:val="single" w:sz="4" w:space="0" w:color="auto"/>
              <w:bottom w:val="single" w:sz="4" w:space="0" w:color="auto"/>
            </w:tcBorders>
            <w:hideMark/>
          </w:tcPr>
          <w:p w14:paraId="0FB1C123" w14:textId="77777777" w:rsidR="007A35EB" w:rsidRPr="00875E97" w:rsidRDefault="007A35EB" w:rsidP="00751C27">
            <w:pPr>
              <w:pStyle w:val="NoSpacing"/>
              <w:rPr>
                <w:rFonts w:ascii="Arial" w:hAnsi="Arial" w:cs="Arial"/>
                <w:sz w:val="20"/>
                <w:lang w:val="en-IN" w:bidi="ar-SA"/>
              </w:rPr>
            </w:pPr>
            <w:r w:rsidRPr="00875E97">
              <w:rPr>
                <w:rFonts w:ascii="Arial" w:hAnsi="Arial" w:cs="Arial"/>
                <w:sz w:val="20"/>
                <w:lang w:val="en-IN" w:bidi="ar-SA"/>
              </w:rPr>
              <w:t>Variables</w:t>
            </w:r>
          </w:p>
        </w:tc>
        <w:tc>
          <w:tcPr>
            <w:tcW w:w="1407" w:type="pct"/>
            <w:tcBorders>
              <w:top w:val="single" w:sz="4" w:space="0" w:color="auto"/>
              <w:bottom w:val="single" w:sz="4" w:space="0" w:color="auto"/>
            </w:tcBorders>
            <w:hideMark/>
          </w:tcPr>
          <w:p w14:paraId="314B108A" w14:textId="77777777" w:rsidR="007A35EB" w:rsidRPr="00875E97" w:rsidRDefault="007A35EB" w:rsidP="00751C27">
            <w:pPr>
              <w:pStyle w:val="NoSpacing"/>
              <w:rPr>
                <w:rFonts w:ascii="Arial" w:hAnsi="Arial" w:cs="Arial"/>
                <w:sz w:val="20"/>
                <w:lang w:val="en-IN" w:bidi="ar-SA"/>
              </w:rPr>
            </w:pPr>
            <w:r w:rsidRPr="00875E97">
              <w:rPr>
                <w:rFonts w:ascii="Arial" w:hAnsi="Arial" w:cs="Arial"/>
                <w:sz w:val="20"/>
                <w:lang w:val="en-IN" w:bidi="ar-SA"/>
              </w:rPr>
              <w:t>Function</w:t>
            </w:r>
          </w:p>
        </w:tc>
      </w:tr>
      <w:tr w:rsidR="007A35EB" w:rsidRPr="00875E97" w14:paraId="1FA7917F" w14:textId="77777777" w:rsidTr="004D1865">
        <w:trPr>
          <w:jc w:val="center"/>
        </w:trPr>
        <w:tc>
          <w:tcPr>
            <w:tcW w:w="3593" w:type="pct"/>
            <w:tcBorders>
              <w:top w:val="single" w:sz="4" w:space="0" w:color="auto"/>
            </w:tcBorders>
            <w:hideMark/>
          </w:tcPr>
          <w:p w14:paraId="7F7D1960" w14:textId="77777777" w:rsidR="007A35EB" w:rsidRPr="00875E97" w:rsidRDefault="007A35EB" w:rsidP="00751C27">
            <w:pPr>
              <w:pStyle w:val="NoSpacing"/>
              <w:rPr>
                <w:rFonts w:ascii="Arial" w:hAnsi="Arial" w:cs="Arial"/>
                <w:bCs/>
                <w:sz w:val="20"/>
                <w:lang w:val="en-IN" w:bidi="ar-SA"/>
              </w:rPr>
            </w:pPr>
            <w:r w:rsidRPr="00875E97">
              <w:rPr>
                <w:rFonts w:ascii="Arial" w:hAnsi="Arial" w:cs="Arial"/>
                <w:bCs/>
                <w:sz w:val="20"/>
                <w:lang w:val="en-IN" w:bidi="ar-SA"/>
              </w:rPr>
              <w:t>Regularity in collection</w:t>
            </w:r>
          </w:p>
        </w:tc>
        <w:tc>
          <w:tcPr>
            <w:tcW w:w="1407" w:type="pct"/>
            <w:tcBorders>
              <w:top w:val="single" w:sz="4" w:space="0" w:color="auto"/>
            </w:tcBorders>
            <w:hideMark/>
          </w:tcPr>
          <w:p w14:paraId="7D437334" w14:textId="77777777" w:rsidR="007A35EB" w:rsidRPr="00875E97" w:rsidRDefault="007A35EB" w:rsidP="00751C27">
            <w:pPr>
              <w:pStyle w:val="NoSpacing"/>
              <w:rPr>
                <w:rFonts w:ascii="Arial" w:hAnsi="Arial" w:cs="Arial"/>
                <w:bCs/>
                <w:sz w:val="20"/>
                <w:lang w:val="en-IN" w:bidi="ar-SA"/>
              </w:rPr>
            </w:pPr>
            <w:r w:rsidRPr="00875E97">
              <w:rPr>
                <w:rFonts w:ascii="Arial" w:hAnsi="Arial" w:cs="Arial"/>
                <w:bCs/>
                <w:sz w:val="20"/>
                <w:lang w:val="en-IN" w:bidi="ar-SA"/>
              </w:rPr>
              <w:t>0.87</w:t>
            </w:r>
          </w:p>
        </w:tc>
      </w:tr>
      <w:tr w:rsidR="007A35EB" w:rsidRPr="00875E97" w14:paraId="3C41BE7D" w14:textId="77777777" w:rsidTr="004D1865">
        <w:trPr>
          <w:jc w:val="center"/>
        </w:trPr>
        <w:tc>
          <w:tcPr>
            <w:tcW w:w="3593" w:type="pct"/>
            <w:hideMark/>
          </w:tcPr>
          <w:p w14:paraId="7A85757F" w14:textId="77777777" w:rsidR="007A35EB" w:rsidRPr="00875E97" w:rsidRDefault="007A35EB" w:rsidP="00751C27">
            <w:pPr>
              <w:pStyle w:val="NoSpacing"/>
              <w:rPr>
                <w:rFonts w:ascii="Arial" w:hAnsi="Arial" w:cs="Arial"/>
                <w:bCs/>
                <w:sz w:val="20"/>
                <w:lang w:val="en-IN" w:bidi="ar-SA"/>
              </w:rPr>
            </w:pPr>
            <w:r w:rsidRPr="00875E97">
              <w:rPr>
                <w:rFonts w:ascii="Arial" w:hAnsi="Arial" w:cs="Arial"/>
                <w:bCs/>
                <w:sz w:val="20"/>
                <w:lang w:val="en-IN" w:bidi="ar-SA"/>
              </w:rPr>
              <w:t>Waste collection charge</w:t>
            </w:r>
          </w:p>
        </w:tc>
        <w:tc>
          <w:tcPr>
            <w:tcW w:w="1407" w:type="pct"/>
            <w:hideMark/>
          </w:tcPr>
          <w:p w14:paraId="6CF98A76" w14:textId="77777777" w:rsidR="007A35EB" w:rsidRPr="00875E97" w:rsidRDefault="007A35EB" w:rsidP="00751C27">
            <w:pPr>
              <w:pStyle w:val="NoSpacing"/>
              <w:rPr>
                <w:rFonts w:ascii="Arial" w:hAnsi="Arial" w:cs="Arial"/>
                <w:bCs/>
                <w:sz w:val="20"/>
                <w:lang w:val="en-IN" w:bidi="ar-SA"/>
              </w:rPr>
            </w:pPr>
            <w:r w:rsidRPr="00875E97">
              <w:rPr>
                <w:rFonts w:ascii="Arial" w:hAnsi="Arial" w:cs="Arial"/>
                <w:bCs/>
                <w:sz w:val="20"/>
                <w:lang w:val="en-IN" w:bidi="ar-SA"/>
              </w:rPr>
              <w:t>0.17</w:t>
            </w:r>
          </w:p>
        </w:tc>
      </w:tr>
      <w:tr w:rsidR="007A35EB" w:rsidRPr="00875E97" w14:paraId="54FB188E" w14:textId="77777777" w:rsidTr="004D1865">
        <w:trPr>
          <w:jc w:val="center"/>
        </w:trPr>
        <w:tc>
          <w:tcPr>
            <w:tcW w:w="3593" w:type="pct"/>
            <w:hideMark/>
          </w:tcPr>
          <w:p w14:paraId="4135915C" w14:textId="77777777" w:rsidR="007A35EB" w:rsidRPr="00875E97" w:rsidRDefault="007A35EB" w:rsidP="00751C27">
            <w:pPr>
              <w:pStyle w:val="NoSpacing"/>
              <w:rPr>
                <w:rFonts w:ascii="Arial" w:hAnsi="Arial" w:cs="Arial"/>
                <w:bCs/>
                <w:sz w:val="20"/>
                <w:lang w:val="en-IN" w:bidi="ar-SA"/>
              </w:rPr>
            </w:pPr>
            <w:r w:rsidRPr="00875E97">
              <w:rPr>
                <w:rFonts w:ascii="Arial" w:hAnsi="Arial" w:cs="Arial"/>
                <w:bCs/>
                <w:sz w:val="20"/>
                <w:lang w:val="en-IN" w:bidi="ar-SA"/>
              </w:rPr>
              <w:t>Efficiency in collection</w:t>
            </w:r>
          </w:p>
        </w:tc>
        <w:tc>
          <w:tcPr>
            <w:tcW w:w="1407" w:type="pct"/>
            <w:hideMark/>
          </w:tcPr>
          <w:p w14:paraId="3F1648FE" w14:textId="77777777" w:rsidR="007A35EB" w:rsidRPr="00875E97" w:rsidRDefault="007A35EB" w:rsidP="00751C27">
            <w:pPr>
              <w:pStyle w:val="NoSpacing"/>
              <w:rPr>
                <w:rFonts w:ascii="Arial" w:hAnsi="Arial" w:cs="Arial"/>
                <w:bCs/>
                <w:sz w:val="20"/>
                <w:lang w:val="en-IN" w:bidi="ar-SA"/>
              </w:rPr>
            </w:pPr>
            <w:r w:rsidRPr="00875E97">
              <w:rPr>
                <w:rFonts w:ascii="Arial" w:hAnsi="Arial" w:cs="Arial"/>
                <w:bCs/>
                <w:sz w:val="20"/>
                <w:lang w:val="en-IN" w:bidi="ar-SA"/>
              </w:rPr>
              <w:t>0.19</w:t>
            </w:r>
          </w:p>
        </w:tc>
      </w:tr>
      <w:tr w:rsidR="007A35EB" w:rsidRPr="00875E97" w14:paraId="0AC52F9C" w14:textId="77777777" w:rsidTr="004D1865">
        <w:trPr>
          <w:jc w:val="center"/>
        </w:trPr>
        <w:tc>
          <w:tcPr>
            <w:tcW w:w="3593" w:type="pct"/>
            <w:hideMark/>
          </w:tcPr>
          <w:p w14:paraId="3FE9E916" w14:textId="77777777" w:rsidR="007A35EB" w:rsidRPr="00875E97" w:rsidRDefault="007A35EB" w:rsidP="00751C27">
            <w:pPr>
              <w:pStyle w:val="NoSpacing"/>
              <w:rPr>
                <w:rFonts w:ascii="Arial" w:hAnsi="Arial" w:cs="Arial"/>
                <w:bCs/>
                <w:sz w:val="20"/>
                <w:lang w:val="en-IN" w:bidi="ar-SA"/>
              </w:rPr>
            </w:pPr>
            <w:r w:rsidRPr="00875E97">
              <w:rPr>
                <w:rFonts w:ascii="Arial" w:hAnsi="Arial" w:cs="Arial"/>
                <w:bCs/>
                <w:noProof/>
                <w:sz w:val="20"/>
                <w:lang w:val="en-IN" w:bidi="ar-SA"/>
              </w:rPr>
              <w:t>The attitude</w:t>
            </w:r>
            <w:r w:rsidRPr="00875E97">
              <w:rPr>
                <w:rFonts w:ascii="Arial" w:hAnsi="Arial" w:cs="Arial"/>
                <w:bCs/>
                <w:sz w:val="20"/>
                <w:lang w:val="en-IN" w:bidi="ar-SA"/>
              </w:rPr>
              <w:t xml:space="preserve"> of the collector</w:t>
            </w:r>
          </w:p>
        </w:tc>
        <w:tc>
          <w:tcPr>
            <w:tcW w:w="1407" w:type="pct"/>
            <w:hideMark/>
          </w:tcPr>
          <w:p w14:paraId="0B9FC13E" w14:textId="77777777" w:rsidR="007A35EB" w:rsidRPr="00875E97" w:rsidRDefault="007A35EB" w:rsidP="00751C27">
            <w:pPr>
              <w:pStyle w:val="NoSpacing"/>
              <w:rPr>
                <w:rFonts w:ascii="Arial" w:hAnsi="Arial" w:cs="Arial"/>
                <w:bCs/>
                <w:sz w:val="20"/>
                <w:lang w:val="en-IN" w:bidi="ar-SA"/>
              </w:rPr>
            </w:pPr>
            <w:r w:rsidRPr="00875E97">
              <w:rPr>
                <w:rFonts w:ascii="Arial" w:hAnsi="Arial" w:cs="Arial"/>
                <w:bCs/>
                <w:sz w:val="20"/>
                <w:lang w:val="en-IN" w:bidi="ar-SA"/>
              </w:rPr>
              <w:t>0.04</w:t>
            </w:r>
          </w:p>
        </w:tc>
      </w:tr>
      <w:tr w:rsidR="007A35EB" w:rsidRPr="00875E97" w14:paraId="5518EA5C" w14:textId="77777777" w:rsidTr="004D1865">
        <w:trPr>
          <w:jc w:val="center"/>
        </w:trPr>
        <w:tc>
          <w:tcPr>
            <w:tcW w:w="3593" w:type="pct"/>
            <w:tcBorders>
              <w:bottom w:val="single" w:sz="4" w:space="0" w:color="auto"/>
            </w:tcBorders>
            <w:hideMark/>
          </w:tcPr>
          <w:p w14:paraId="49C01D1B" w14:textId="77777777" w:rsidR="007A35EB" w:rsidRPr="00875E97" w:rsidRDefault="007A35EB" w:rsidP="00751C27">
            <w:pPr>
              <w:pStyle w:val="NoSpacing"/>
              <w:rPr>
                <w:rFonts w:ascii="Arial" w:hAnsi="Arial" w:cs="Arial"/>
                <w:bCs/>
                <w:sz w:val="20"/>
                <w:lang w:val="en-IN" w:bidi="ar-SA"/>
              </w:rPr>
            </w:pPr>
            <w:r w:rsidRPr="00875E97">
              <w:rPr>
                <w:rFonts w:ascii="Arial" w:hAnsi="Arial" w:cs="Arial"/>
                <w:bCs/>
                <w:sz w:val="20"/>
                <w:lang w:val="en-IN" w:bidi="ar-SA"/>
              </w:rPr>
              <w:t>Feasibility in collection</w:t>
            </w:r>
          </w:p>
        </w:tc>
        <w:tc>
          <w:tcPr>
            <w:tcW w:w="1407" w:type="pct"/>
            <w:tcBorders>
              <w:bottom w:val="single" w:sz="4" w:space="0" w:color="auto"/>
            </w:tcBorders>
            <w:hideMark/>
          </w:tcPr>
          <w:p w14:paraId="6A297FCE" w14:textId="77777777" w:rsidR="007A35EB" w:rsidRPr="00875E97" w:rsidRDefault="007A35EB" w:rsidP="00751C27">
            <w:pPr>
              <w:pStyle w:val="NoSpacing"/>
              <w:rPr>
                <w:rFonts w:ascii="Arial" w:hAnsi="Arial" w:cs="Arial"/>
                <w:bCs/>
                <w:sz w:val="20"/>
                <w:lang w:val="en-IN" w:bidi="ar-SA"/>
              </w:rPr>
            </w:pPr>
            <w:r w:rsidRPr="00875E97">
              <w:rPr>
                <w:rFonts w:ascii="Arial" w:hAnsi="Arial" w:cs="Arial"/>
                <w:bCs/>
                <w:sz w:val="20"/>
                <w:lang w:val="en-IN" w:bidi="ar-SA"/>
              </w:rPr>
              <w:t>-0.28</w:t>
            </w:r>
          </w:p>
        </w:tc>
      </w:tr>
    </w:tbl>
    <w:p w14:paraId="37E3B42C" w14:textId="77777777" w:rsidR="007A35EB" w:rsidRPr="00875E97" w:rsidRDefault="007A35EB" w:rsidP="00751C27">
      <w:pPr>
        <w:autoSpaceDE w:val="0"/>
        <w:autoSpaceDN w:val="0"/>
        <w:adjustRightInd w:val="0"/>
        <w:spacing w:line="240" w:lineRule="auto"/>
        <w:jc w:val="both"/>
        <w:rPr>
          <w:rFonts w:ascii="Arial" w:hAnsi="Arial" w:cs="Arial"/>
          <w:sz w:val="20"/>
          <w:lang w:val="en-IN" w:bidi="ar-SA"/>
        </w:rPr>
      </w:pPr>
      <w:r w:rsidRPr="00875E97">
        <w:rPr>
          <w:rFonts w:ascii="Arial" w:hAnsi="Arial" w:cs="Arial"/>
          <w:i/>
          <w:iCs/>
          <w:sz w:val="20"/>
          <w:lang w:val="en-IN" w:bidi="ar-SA"/>
        </w:rPr>
        <w:t xml:space="preserve">                                       Source: Estimated from primary data</w:t>
      </w:r>
    </w:p>
    <w:p w14:paraId="3583D347" w14:textId="77777777" w:rsidR="007A35EB" w:rsidRPr="00875E97" w:rsidRDefault="007A35EB" w:rsidP="00875E97">
      <w:pPr>
        <w:spacing w:line="240" w:lineRule="auto"/>
        <w:jc w:val="both"/>
        <w:rPr>
          <w:rFonts w:ascii="Arial" w:hAnsi="Arial" w:cs="Arial"/>
          <w:sz w:val="20"/>
          <w:lang w:val="en-IN" w:bidi="ar-SA"/>
        </w:rPr>
      </w:pPr>
      <w:r w:rsidRPr="00875E97">
        <w:rPr>
          <w:rFonts w:ascii="Arial" w:hAnsi="Arial" w:cs="Arial"/>
          <w:sz w:val="20"/>
          <w:lang w:val="en-IN" w:bidi="ar-SA"/>
        </w:rPr>
        <w:t xml:space="preserve">Structure Matrix indicates that the variable regularity in the </w:t>
      </w:r>
      <w:r w:rsidRPr="00875E97">
        <w:rPr>
          <w:rFonts w:ascii="Arial" w:hAnsi="Arial" w:cs="Arial"/>
          <w:noProof/>
          <w:sz w:val="20"/>
          <w:lang w:val="en-IN" w:bidi="ar-SA"/>
        </w:rPr>
        <w:t>waste</w:t>
      </w:r>
      <w:r w:rsidRPr="00875E97">
        <w:rPr>
          <w:rFonts w:ascii="Arial" w:hAnsi="Arial" w:cs="Arial"/>
          <w:sz w:val="20"/>
          <w:lang w:val="en-IN" w:bidi="ar-SA"/>
        </w:rPr>
        <w:t xml:space="preserve"> collection has the maximum loading compared to other variables with positive coefficients and feasibility in the </w:t>
      </w:r>
      <w:r w:rsidRPr="00875E97">
        <w:rPr>
          <w:rFonts w:ascii="Arial" w:hAnsi="Arial" w:cs="Arial"/>
          <w:noProof/>
          <w:sz w:val="20"/>
          <w:lang w:val="en-IN" w:bidi="ar-SA"/>
        </w:rPr>
        <w:t xml:space="preserve">collection </w:t>
      </w:r>
      <w:r w:rsidRPr="00875E97">
        <w:rPr>
          <w:rFonts w:ascii="Arial" w:hAnsi="Arial" w:cs="Arial"/>
          <w:sz w:val="20"/>
          <w:lang w:val="en-IN" w:bidi="ar-SA"/>
        </w:rPr>
        <w:t xml:space="preserve">has the maximum loading among negative coefficients. Hence, it is clear that regularity in the </w:t>
      </w:r>
      <w:r w:rsidRPr="00875E97">
        <w:rPr>
          <w:rFonts w:ascii="Arial" w:hAnsi="Arial" w:cs="Arial"/>
          <w:noProof/>
          <w:sz w:val="20"/>
          <w:lang w:val="en-IN" w:bidi="ar-SA"/>
        </w:rPr>
        <w:t xml:space="preserve">waste </w:t>
      </w:r>
      <w:r w:rsidRPr="00875E97">
        <w:rPr>
          <w:rFonts w:ascii="Arial" w:hAnsi="Arial" w:cs="Arial"/>
          <w:sz w:val="20"/>
          <w:lang w:val="en-IN" w:bidi="ar-SA"/>
        </w:rPr>
        <w:t xml:space="preserve">collection is the crucial variable that discriminating the public agency from the private while, feasibility in the </w:t>
      </w:r>
      <w:r w:rsidRPr="00875E97">
        <w:rPr>
          <w:rFonts w:ascii="Arial" w:hAnsi="Arial" w:cs="Arial"/>
          <w:noProof/>
          <w:sz w:val="20"/>
          <w:lang w:val="en-IN" w:bidi="ar-SA"/>
        </w:rPr>
        <w:t>waste</w:t>
      </w:r>
      <w:r w:rsidRPr="00875E97">
        <w:rPr>
          <w:rFonts w:ascii="Arial" w:hAnsi="Arial" w:cs="Arial"/>
          <w:sz w:val="20"/>
          <w:lang w:val="en-IN" w:bidi="ar-SA"/>
        </w:rPr>
        <w:t xml:space="preserve"> collection is more dominant for discriminating the private against public.</w:t>
      </w:r>
    </w:p>
    <w:p w14:paraId="1D4D15B9" w14:textId="77777777" w:rsidR="000D6A12" w:rsidRPr="00875E97" w:rsidRDefault="007A35EB" w:rsidP="00875E97">
      <w:pPr>
        <w:autoSpaceDE w:val="0"/>
        <w:autoSpaceDN w:val="0"/>
        <w:adjustRightInd w:val="0"/>
        <w:spacing w:line="240" w:lineRule="auto"/>
        <w:jc w:val="both"/>
        <w:rPr>
          <w:rFonts w:ascii="Arial" w:hAnsi="Arial" w:cs="Arial"/>
          <w:sz w:val="20"/>
          <w:lang w:val="en-IN" w:bidi="ar-SA"/>
        </w:rPr>
      </w:pPr>
      <w:r w:rsidRPr="00875E97">
        <w:rPr>
          <w:rFonts w:ascii="Arial" w:hAnsi="Arial" w:cs="Arial"/>
          <w:sz w:val="20"/>
        </w:rPr>
        <w:t>In the analysis of service quality</w:t>
      </w:r>
      <w:r w:rsidR="000D6A12" w:rsidRPr="00875E97">
        <w:rPr>
          <w:rFonts w:ascii="Arial" w:hAnsi="Arial" w:cs="Arial"/>
          <w:noProof/>
          <w:sz w:val="20"/>
          <w:lang w:val="en-IN" w:bidi="ar-SA"/>
        </w:rPr>
        <w:t xml:space="preserve">, </w:t>
      </w:r>
      <w:r w:rsidR="000D6A12" w:rsidRPr="00875E97">
        <w:rPr>
          <w:rFonts w:ascii="Arial" w:hAnsi="Arial" w:cs="Arial"/>
          <w:sz w:val="20"/>
          <w:lang w:val="en-IN" w:bidi="ar-SA"/>
        </w:rPr>
        <w:t xml:space="preserve">the study initially examined five dimensions. </w:t>
      </w:r>
      <w:r w:rsidR="000D6A12" w:rsidRPr="00875E97">
        <w:rPr>
          <w:rFonts w:ascii="Arial" w:hAnsi="Arial" w:cs="Arial"/>
          <w:noProof/>
          <w:sz w:val="20"/>
          <w:lang w:val="en-IN" w:bidi="ar-SA"/>
        </w:rPr>
        <w:t>Using principal component analysis through the varimax rotation,</w:t>
      </w:r>
      <w:r w:rsidR="000D6A12" w:rsidRPr="00875E97">
        <w:rPr>
          <w:rStyle w:val="FootnoteReference"/>
          <w:rFonts w:ascii="Arial" w:hAnsi="Arial" w:cs="Arial"/>
          <w:noProof/>
          <w:sz w:val="20"/>
          <w:lang w:val="en-IN" w:bidi="ar-SA"/>
        </w:rPr>
        <w:footnoteReference w:id="4"/>
      </w:r>
      <w:r w:rsidR="000D6A12" w:rsidRPr="00875E97">
        <w:rPr>
          <w:rFonts w:ascii="Arial" w:hAnsi="Arial" w:cs="Arial"/>
          <w:noProof/>
          <w:sz w:val="20"/>
          <w:lang w:val="en-IN" w:bidi="ar-SA"/>
        </w:rPr>
        <w:t xml:space="preserve"> the dimensions were consolidated into two factors. This is based</w:t>
      </w:r>
      <w:r w:rsidR="000D6A12" w:rsidRPr="00875E97">
        <w:rPr>
          <w:rFonts w:ascii="Arial" w:hAnsi="Arial" w:cs="Arial"/>
          <w:sz w:val="20"/>
          <w:lang w:val="en-IN" w:bidi="ar-SA"/>
        </w:rPr>
        <w:t xml:space="preserve"> on the </w:t>
      </w:r>
      <w:r w:rsidR="000D6A12" w:rsidRPr="00875E97">
        <w:rPr>
          <w:rFonts w:ascii="Arial" w:hAnsi="Arial" w:cs="Arial"/>
          <w:noProof/>
          <w:sz w:val="20"/>
          <w:lang w:val="en-IN" w:bidi="ar-SA"/>
        </w:rPr>
        <w:t>apriori</w:t>
      </w:r>
      <w:r w:rsidR="000D6A12" w:rsidRPr="00875E97">
        <w:rPr>
          <w:rFonts w:ascii="Arial" w:hAnsi="Arial" w:cs="Arial"/>
          <w:sz w:val="20"/>
          <w:lang w:val="en-IN" w:bidi="ar-SA"/>
        </w:rPr>
        <w:t xml:space="preserve"> information that we have gained from the discriminant analysis and </w:t>
      </w:r>
      <w:r w:rsidR="000D6A12" w:rsidRPr="00875E97">
        <w:rPr>
          <w:rFonts w:ascii="Arial" w:hAnsi="Arial" w:cs="Arial"/>
          <w:noProof/>
          <w:sz w:val="20"/>
          <w:lang w:val="en-IN" w:bidi="ar-SA"/>
        </w:rPr>
        <w:t>these two factors elicidated 72.5 per cent of the total variability</w:t>
      </w:r>
      <w:r w:rsidR="000D6A12" w:rsidRPr="00875E97">
        <w:rPr>
          <w:rFonts w:ascii="Arial" w:hAnsi="Arial" w:cs="Arial"/>
          <w:sz w:val="20"/>
          <w:lang w:val="en-IN" w:bidi="ar-SA"/>
        </w:rPr>
        <w:t>. Furthermore, the study employed rotated component matrix to estimate the correlation between each of the variables and the estimated components.</w:t>
      </w:r>
    </w:p>
    <w:p w14:paraId="31472643" w14:textId="77777777" w:rsidR="000D6A12" w:rsidRPr="00875E97" w:rsidRDefault="000D6A12" w:rsidP="00751C27">
      <w:pPr>
        <w:autoSpaceDE w:val="0"/>
        <w:autoSpaceDN w:val="0"/>
        <w:adjustRightInd w:val="0"/>
        <w:spacing w:line="240" w:lineRule="auto"/>
        <w:jc w:val="both"/>
        <w:rPr>
          <w:rFonts w:ascii="Arial" w:hAnsi="Arial" w:cs="Arial"/>
          <w:b/>
          <w:bCs/>
          <w:sz w:val="20"/>
          <w:lang w:val="en-IN" w:bidi="ar-SA"/>
        </w:rPr>
      </w:pPr>
      <w:r w:rsidRPr="00875E97">
        <w:rPr>
          <w:rFonts w:ascii="Arial" w:hAnsi="Arial" w:cs="Arial"/>
          <w:b/>
          <w:bCs/>
          <w:sz w:val="20"/>
          <w:lang w:val="en-IN" w:bidi="ar-SA"/>
        </w:rPr>
        <w:t xml:space="preserve">                              Table 5. Rotated Component Matrix</w:t>
      </w:r>
    </w:p>
    <w:tbl>
      <w:tblPr>
        <w:tblW w:w="2925" w:type="pct"/>
        <w:jc w:val="center"/>
        <w:tblLook w:val="04A0" w:firstRow="1" w:lastRow="0" w:firstColumn="1" w:lastColumn="0" w:noHBand="0" w:noVBand="1"/>
      </w:tblPr>
      <w:tblGrid>
        <w:gridCol w:w="2971"/>
        <w:gridCol w:w="1384"/>
        <w:gridCol w:w="1052"/>
      </w:tblGrid>
      <w:tr w:rsidR="000D6A12" w:rsidRPr="00875E97" w14:paraId="0444FA88" w14:textId="77777777" w:rsidTr="004D1865">
        <w:trPr>
          <w:jc w:val="center"/>
        </w:trPr>
        <w:tc>
          <w:tcPr>
            <w:tcW w:w="2747" w:type="pct"/>
            <w:vMerge w:val="restart"/>
            <w:tcBorders>
              <w:top w:val="single" w:sz="4" w:space="0" w:color="auto"/>
            </w:tcBorders>
            <w:vAlign w:val="center"/>
            <w:hideMark/>
          </w:tcPr>
          <w:p w14:paraId="119399D5" w14:textId="77777777" w:rsidR="000D6A12" w:rsidRPr="00875E97" w:rsidRDefault="000D6A12" w:rsidP="00751C27">
            <w:pPr>
              <w:pStyle w:val="NoSpacing"/>
              <w:rPr>
                <w:rFonts w:ascii="Arial" w:hAnsi="Arial" w:cs="Arial"/>
                <w:sz w:val="20"/>
                <w:lang w:val="en-IN" w:bidi="ar-SA"/>
              </w:rPr>
            </w:pPr>
            <w:r w:rsidRPr="00875E97">
              <w:rPr>
                <w:rFonts w:ascii="Arial" w:hAnsi="Arial" w:cs="Arial"/>
                <w:sz w:val="20"/>
                <w:lang w:val="en-IN" w:bidi="ar-SA"/>
              </w:rPr>
              <w:t>Dimensions</w:t>
            </w:r>
          </w:p>
        </w:tc>
        <w:tc>
          <w:tcPr>
            <w:tcW w:w="2253" w:type="pct"/>
            <w:gridSpan w:val="2"/>
            <w:tcBorders>
              <w:top w:val="single" w:sz="4" w:space="0" w:color="auto"/>
            </w:tcBorders>
            <w:vAlign w:val="center"/>
            <w:hideMark/>
          </w:tcPr>
          <w:p w14:paraId="66812A69" w14:textId="77777777" w:rsidR="000D6A12" w:rsidRPr="00875E97" w:rsidRDefault="004D1865" w:rsidP="00751C27">
            <w:pPr>
              <w:pStyle w:val="NoSpacing"/>
              <w:rPr>
                <w:rFonts w:ascii="Arial" w:hAnsi="Arial" w:cs="Arial"/>
                <w:sz w:val="20"/>
                <w:lang w:val="en-IN" w:bidi="ar-SA"/>
              </w:rPr>
            </w:pPr>
            <w:r w:rsidRPr="00875E97">
              <w:rPr>
                <w:rFonts w:ascii="Arial" w:hAnsi="Arial" w:cs="Arial"/>
                <w:sz w:val="20"/>
                <w:lang w:val="en-IN" w:bidi="ar-SA"/>
              </w:rPr>
              <w:t xml:space="preserve">    </w:t>
            </w:r>
            <w:r w:rsidR="000D6A12" w:rsidRPr="00875E97">
              <w:rPr>
                <w:rFonts w:ascii="Arial" w:hAnsi="Arial" w:cs="Arial"/>
                <w:sz w:val="20"/>
                <w:lang w:val="en-IN" w:bidi="ar-SA"/>
              </w:rPr>
              <w:t>Factor Loadings</w:t>
            </w:r>
          </w:p>
        </w:tc>
      </w:tr>
      <w:tr w:rsidR="000D6A12" w:rsidRPr="00875E97" w14:paraId="5C92DC8A" w14:textId="77777777" w:rsidTr="004D1865">
        <w:trPr>
          <w:jc w:val="center"/>
        </w:trPr>
        <w:tc>
          <w:tcPr>
            <w:tcW w:w="0" w:type="auto"/>
            <w:vMerge/>
            <w:tcBorders>
              <w:bottom w:val="single" w:sz="4" w:space="0" w:color="auto"/>
            </w:tcBorders>
            <w:vAlign w:val="center"/>
            <w:hideMark/>
          </w:tcPr>
          <w:p w14:paraId="654BD499" w14:textId="77777777" w:rsidR="000D6A12" w:rsidRPr="00875E97" w:rsidRDefault="000D6A12" w:rsidP="00751C27">
            <w:pPr>
              <w:pStyle w:val="NoSpacing"/>
              <w:rPr>
                <w:rFonts w:ascii="Arial" w:hAnsi="Arial" w:cs="Arial"/>
                <w:sz w:val="20"/>
                <w:lang w:val="en-IN" w:bidi="ar-SA"/>
              </w:rPr>
            </w:pPr>
          </w:p>
        </w:tc>
        <w:tc>
          <w:tcPr>
            <w:tcW w:w="1280" w:type="pct"/>
            <w:tcBorders>
              <w:bottom w:val="single" w:sz="4" w:space="0" w:color="auto"/>
            </w:tcBorders>
            <w:vAlign w:val="center"/>
            <w:hideMark/>
          </w:tcPr>
          <w:p w14:paraId="2927DD55" w14:textId="77777777" w:rsidR="000D6A12" w:rsidRPr="00875E97" w:rsidRDefault="000D6A12" w:rsidP="00751C27">
            <w:pPr>
              <w:pStyle w:val="NoSpacing"/>
              <w:rPr>
                <w:rFonts w:ascii="Arial" w:hAnsi="Arial" w:cs="Arial"/>
                <w:sz w:val="20"/>
                <w:lang w:val="en-IN" w:bidi="ar-SA"/>
              </w:rPr>
            </w:pPr>
            <w:r w:rsidRPr="00875E97">
              <w:rPr>
                <w:rFonts w:ascii="Arial" w:hAnsi="Arial" w:cs="Arial"/>
                <w:sz w:val="20"/>
                <w:lang w:val="en-IN" w:bidi="ar-SA"/>
              </w:rPr>
              <w:t>Public</w:t>
            </w:r>
          </w:p>
        </w:tc>
        <w:tc>
          <w:tcPr>
            <w:tcW w:w="973" w:type="pct"/>
            <w:tcBorders>
              <w:bottom w:val="single" w:sz="4" w:space="0" w:color="auto"/>
            </w:tcBorders>
            <w:vAlign w:val="center"/>
            <w:hideMark/>
          </w:tcPr>
          <w:p w14:paraId="7962C0FF" w14:textId="77777777" w:rsidR="000D6A12" w:rsidRPr="00875E97" w:rsidRDefault="000D6A12" w:rsidP="00751C27">
            <w:pPr>
              <w:pStyle w:val="NoSpacing"/>
              <w:rPr>
                <w:rFonts w:ascii="Arial" w:hAnsi="Arial" w:cs="Arial"/>
                <w:sz w:val="20"/>
                <w:lang w:val="en-IN" w:bidi="ar-SA"/>
              </w:rPr>
            </w:pPr>
            <w:r w:rsidRPr="00875E97">
              <w:rPr>
                <w:rFonts w:ascii="Arial" w:hAnsi="Arial" w:cs="Arial"/>
                <w:sz w:val="20"/>
                <w:lang w:val="en-IN" w:bidi="ar-SA"/>
              </w:rPr>
              <w:t>Private</w:t>
            </w:r>
          </w:p>
        </w:tc>
      </w:tr>
      <w:tr w:rsidR="000D6A12" w:rsidRPr="00875E97" w14:paraId="2D790AB6" w14:textId="77777777" w:rsidTr="004D1865">
        <w:trPr>
          <w:jc w:val="center"/>
        </w:trPr>
        <w:tc>
          <w:tcPr>
            <w:tcW w:w="2747" w:type="pct"/>
            <w:tcBorders>
              <w:top w:val="single" w:sz="4" w:space="0" w:color="auto"/>
            </w:tcBorders>
            <w:vAlign w:val="center"/>
            <w:hideMark/>
          </w:tcPr>
          <w:p w14:paraId="0923752D" w14:textId="77777777" w:rsidR="000D6A12" w:rsidRPr="00875E97" w:rsidRDefault="000D6A12" w:rsidP="00751C27">
            <w:pPr>
              <w:pStyle w:val="NoSpacing"/>
              <w:rPr>
                <w:rFonts w:ascii="Arial" w:hAnsi="Arial" w:cs="Arial"/>
                <w:bCs/>
                <w:sz w:val="20"/>
                <w:lang w:val="en-IN" w:bidi="ar-SA"/>
              </w:rPr>
            </w:pPr>
            <w:r w:rsidRPr="00875E97">
              <w:rPr>
                <w:rFonts w:ascii="Arial" w:hAnsi="Arial" w:cs="Arial"/>
                <w:bCs/>
                <w:sz w:val="20"/>
                <w:lang w:val="en-IN" w:bidi="ar-SA"/>
              </w:rPr>
              <w:t>Regularity in collection</w:t>
            </w:r>
          </w:p>
        </w:tc>
        <w:tc>
          <w:tcPr>
            <w:tcW w:w="1280" w:type="pct"/>
            <w:tcBorders>
              <w:top w:val="single" w:sz="4" w:space="0" w:color="auto"/>
            </w:tcBorders>
            <w:vAlign w:val="center"/>
            <w:hideMark/>
          </w:tcPr>
          <w:p w14:paraId="3052E710" w14:textId="77777777" w:rsidR="000D6A12" w:rsidRPr="00875E97" w:rsidRDefault="000D6A12" w:rsidP="00751C27">
            <w:pPr>
              <w:pStyle w:val="NoSpacing"/>
              <w:jc w:val="center"/>
              <w:rPr>
                <w:rFonts w:ascii="Arial" w:hAnsi="Arial" w:cs="Arial"/>
                <w:b/>
                <w:bCs/>
                <w:sz w:val="20"/>
                <w:lang w:val="en-IN" w:bidi="ar-SA"/>
              </w:rPr>
            </w:pPr>
            <w:r w:rsidRPr="00875E97">
              <w:rPr>
                <w:rFonts w:ascii="Arial" w:hAnsi="Arial" w:cs="Arial"/>
                <w:b/>
                <w:bCs/>
                <w:sz w:val="20"/>
                <w:lang w:val="en-IN" w:bidi="ar-SA"/>
              </w:rPr>
              <w:t>0.762</w:t>
            </w:r>
          </w:p>
        </w:tc>
        <w:tc>
          <w:tcPr>
            <w:tcW w:w="973" w:type="pct"/>
            <w:tcBorders>
              <w:top w:val="single" w:sz="4" w:space="0" w:color="auto"/>
            </w:tcBorders>
            <w:vAlign w:val="center"/>
            <w:hideMark/>
          </w:tcPr>
          <w:p w14:paraId="77770EA0" w14:textId="77777777" w:rsidR="000D6A12" w:rsidRPr="00875E97" w:rsidRDefault="000D6A12" w:rsidP="00751C27">
            <w:pPr>
              <w:pStyle w:val="NoSpacing"/>
              <w:jc w:val="right"/>
              <w:rPr>
                <w:rFonts w:ascii="Arial" w:hAnsi="Arial" w:cs="Arial"/>
                <w:bCs/>
                <w:sz w:val="20"/>
                <w:lang w:val="en-IN" w:bidi="ar-SA"/>
              </w:rPr>
            </w:pPr>
            <w:r w:rsidRPr="00875E97">
              <w:rPr>
                <w:rFonts w:ascii="Arial" w:hAnsi="Arial" w:cs="Arial"/>
                <w:bCs/>
                <w:sz w:val="20"/>
                <w:lang w:val="en-IN" w:bidi="ar-SA"/>
              </w:rPr>
              <w:t>-0.030</w:t>
            </w:r>
          </w:p>
        </w:tc>
      </w:tr>
      <w:tr w:rsidR="000D6A12" w:rsidRPr="00875E97" w14:paraId="191D56AE" w14:textId="77777777" w:rsidTr="004D1865">
        <w:trPr>
          <w:jc w:val="center"/>
        </w:trPr>
        <w:tc>
          <w:tcPr>
            <w:tcW w:w="2747" w:type="pct"/>
            <w:vAlign w:val="center"/>
            <w:hideMark/>
          </w:tcPr>
          <w:p w14:paraId="179CA1E4" w14:textId="77777777" w:rsidR="000D6A12" w:rsidRPr="00875E97" w:rsidRDefault="000D6A12" w:rsidP="00751C27">
            <w:pPr>
              <w:pStyle w:val="NoSpacing"/>
              <w:rPr>
                <w:rFonts w:ascii="Arial" w:hAnsi="Arial" w:cs="Arial"/>
                <w:bCs/>
                <w:sz w:val="20"/>
                <w:lang w:val="en-IN" w:bidi="ar-SA"/>
              </w:rPr>
            </w:pPr>
            <w:r w:rsidRPr="00875E97">
              <w:rPr>
                <w:rFonts w:ascii="Arial" w:hAnsi="Arial" w:cs="Arial"/>
                <w:bCs/>
                <w:sz w:val="20"/>
                <w:lang w:val="en-IN" w:bidi="ar-SA"/>
              </w:rPr>
              <w:t>Waste collection charge</w:t>
            </w:r>
          </w:p>
        </w:tc>
        <w:tc>
          <w:tcPr>
            <w:tcW w:w="1280" w:type="pct"/>
            <w:vAlign w:val="center"/>
            <w:hideMark/>
          </w:tcPr>
          <w:p w14:paraId="6EFB5D06" w14:textId="77777777" w:rsidR="000D6A12" w:rsidRPr="00875E97" w:rsidRDefault="000D6A12" w:rsidP="00751C27">
            <w:pPr>
              <w:pStyle w:val="NoSpacing"/>
              <w:jc w:val="center"/>
              <w:rPr>
                <w:rFonts w:ascii="Arial" w:hAnsi="Arial" w:cs="Arial"/>
                <w:b/>
                <w:bCs/>
                <w:sz w:val="20"/>
                <w:lang w:val="en-IN" w:bidi="ar-SA"/>
              </w:rPr>
            </w:pPr>
            <w:r w:rsidRPr="00875E97">
              <w:rPr>
                <w:rFonts w:ascii="Arial" w:hAnsi="Arial" w:cs="Arial"/>
                <w:b/>
                <w:bCs/>
                <w:sz w:val="20"/>
                <w:lang w:val="en-IN" w:bidi="ar-SA"/>
              </w:rPr>
              <w:t>0.785</w:t>
            </w:r>
          </w:p>
        </w:tc>
        <w:tc>
          <w:tcPr>
            <w:tcW w:w="973" w:type="pct"/>
            <w:vAlign w:val="center"/>
            <w:hideMark/>
          </w:tcPr>
          <w:p w14:paraId="3C2CAE09" w14:textId="77777777" w:rsidR="000D6A12" w:rsidRPr="00875E97" w:rsidRDefault="000D6A12" w:rsidP="00751C27">
            <w:pPr>
              <w:pStyle w:val="NoSpacing"/>
              <w:jc w:val="right"/>
              <w:rPr>
                <w:rFonts w:ascii="Arial" w:hAnsi="Arial" w:cs="Arial"/>
                <w:bCs/>
                <w:sz w:val="20"/>
                <w:lang w:val="en-IN" w:bidi="ar-SA"/>
              </w:rPr>
            </w:pPr>
            <w:r w:rsidRPr="00875E97">
              <w:rPr>
                <w:rFonts w:ascii="Arial" w:hAnsi="Arial" w:cs="Arial"/>
                <w:bCs/>
                <w:sz w:val="20"/>
                <w:lang w:val="en-IN" w:bidi="ar-SA"/>
              </w:rPr>
              <w:t>0.330</w:t>
            </w:r>
          </w:p>
        </w:tc>
      </w:tr>
      <w:tr w:rsidR="000D6A12" w:rsidRPr="00875E97" w14:paraId="69926DC8" w14:textId="77777777" w:rsidTr="004D1865">
        <w:trPr>
          <w:jc w:val="center"/>
        </w:trPr>
        <w:tc>
          <w:tcPr>
            <w:tcW w:w="2747" w:type="pct"/>
            <w:vAlign w:val="center"/>
            <w:hideMark/>
          </w:tcPr>
          <w:p w14:paraId="159308A9" w14:textId="77777777" w:rsidR="000D6A12" w:rsidRPr="00875E97" w:rsidRDefault="000D6A12" w:rsidP="00751C27">
            <w:pPr>
              <w:pStyle w:val="NoSpacing"/>
              <w:rPr>
                <w:rFonts w:ascii="Arial" w:hAnsi="Arial" w:cs="Arial"/>
                <w:bCs/>
                <w:sz w:val="20"/>
                <w:lang w:val="en-IN" w:bidi="ar-SA"/>
              </w:rPr>
            </w:pPr>
            <w:r w:rsidRPr="00875E97">
              <w:rPr>
                <w:rFonts w:ascii="Arial" w:hAnsi="Arial" w:cs="Arial"/>
                <w:bCs/>
                <w:sz w:val="20"/>
                <w:lang w:val="en-IN" w:bidi="ar-SA"/>
              </w:rPr>
              <w:t>Efficiency in collection</w:t>
            </w:r>
          </w:p>
        </w:tc>
        <w:tc>
          <w:tcPr>
            <w:tcW w:w="1280" w:type="pct"/>
            <w:vAlign w:val="center"/>
            <w:hideMark/>
          </w:tcPr>
          <w:p w14:paraId="44BFFEC1" w14:textId="77777777" w:rsidR="000D6A12" w:rsidRPr="00875E97" w:rsidRDefault="000D6A12" w:rsidP="00751C27">
            <w:pPr>
              <w:pStyle w:val="NoSpacing"/>
              <w:jc w:val="center"/>
              <w:rPr>
                <w:rFonts w:ascii="Arial" w:hAnsi="Arial" w:cs="Arial"/>
                <w:b/>
                <w:bCs/>
                <w:sz w:val="20"/>
                <w:lang w:val="en-IN" w:bidi="ar-SA"/>
              </w:rPr>
            </w:pPr>
            <w:r w:rsidRPr="00875E97">
              <w:rPr>
                <w:rFonts w:ascii="Arial" w:hAnsi="Arial" w:cs="Arial"/>
                <w:b/>
                <w:bCs/>
                <w:sz w:val="20"/>
                <w:lang w:val="en-IN" w:bidi="ar-SA"/>
              </w:rPr>
              <w:t>0.748</w:t>
            </w:r>
          </w:p>
        </w:tc>
        <w:tc>
          <w:tcPr>
            <w:tcW w:w="973" w:type="pct"/>
            <w:vAlign w:val="center"/>
            <w:hideMark/>
          </w:tcPr>
          <w:p w14:paraId="149D1745" w14:textId="77777777" w:rsidR="000D6A12" w:rsidRPr="00875E97" w:rsidRDefault="000D6A12" w:rsidP="00751C27">
            <w:pPr>
              <w:pStyle w:val="NoSpacing"/>
              <w:jc w:val="right"/>
              <w:rPr>
                <w:rFonts w:ascii="Arial" w:hAnsi="Arial" w:cs="Arial"/>
                <w:bCs/>
                <w:sz w:val="20"/>
                <w:lang w:val="en-IN" w:bidi="ar-SA"/>
              </w:rPr>
            </w:pPr>
            <w:r w:rsidRPr="00875E97">
              <w:rPr>
                <w:rFonts w:ascii="Arial" w:hAnsi="Arial" w:cs="Arial"/>
                <w:bCs/>
                <w:sz w:val="20"/>
                <w:lang w:val="en-IN" w:bidi="ar-SA"/>
              </w:rPr>
              <w:t>0.502</w:t>
            </w:r>
          </w:p>
        </w:tc>
      </w:tr>
      <w:tr w:rsidR="000D6A12" w:rsidRPr="00875E97" w14:paraId="0FB0ACC5" w14:textId="77777777" w:rsidTr="00875E97">
        <w:trPr>
          <w:jc w:val="center"/>
        </w:trPr>
        <w:tc>
          <w:tcPr>
            <w:tcW w:w="2747" w:type="pct"/>
            <w:vAlign w:val="center"/>
            <w:hideMark/>
          </w:tcPr>
          <w:p w14:paraId="318A88F1" w14:textId="77777777" w:rsidR="000D6A12" w:rsidRPr="00875E97" w:rsidRDefault="000D6A12" w:rsidP="00751C27">
            <w:pPr>
              <w:pStyle w:val="NoSpacing"/>
              <w:rPr>
                <w:rFonts w:ascii="Arial" w:hAnsi="Arial" w:cs="Arial"/>
                <w:bCs/>
                <w:sz w:val="20"/>
                <w:lang w:val="en-IN" w:bidi="ar-SA"/>
              </w:rPr>
            </w:pPr>
            <w:r w:rsidRPr="00875E97">
              <w:rPr>
                <w:rFonts w:ascii="Arial" w:hAnsi="Arial" w:cs="Arial"/>
                <w:bCs/>
                <w:sz w:val="20"/>
                <w:lang w:val="en-IN" w:bidi="ar-SA"/>
              </w:rPr>
              <w:t>Attitude of the collector</w:t>
            </w:r>
          </w:p>
        </w:tc>
        <w:tc>
          <w:tcPr>
            <w:tcW w:w="1280" w:type="pct"/>
            <w:vAlign w:val="center"/>
            <w:hideMark/>
          </w:tcPr>
          <w:p w14:paraId="2AB465FC" w14:textId="77777777" w:rsidR="000D6A12" w:rsidRPr="00875E97" w:rsidRDefault="000D6A12" w:rsidP="00751C27">
            <w:pPr>
              <w:pStyle w:val="NoSpacing"/>
              <w:jc w:val="center"/>
              <w:rPr>
                <w:rFonts w:ascii="Arial" w:hAnsi="Arial" w:cs="Arial"/>
                <w:b/>
                <w:bCs/>
                <w:sz w:val="20"/>
                <w:lang w:val="en-IN" w:bidi="ar-SA"/>
              </w:rPr>
            </w:pPr>
            <w:r w:rsidRPr="00875E97">
              <w:rPr>
                <w:rFonts w:ascii="Arial" w:hAnsi="Arial" w:cs="Arial"/>
                <w:b/>
                <w:bCs/>
                <w:sz w:val="20"/>
                <w:lang w:val="en-IN" w:bidi="ar-SA"/>
              </w:rPr>
              <w:t>0.863</w:t>
            </w:r>
          </w:p>
        </w:tc>
        <w:tc>
          <w:tcPr>
            <w:tcW w:w="973" w:type="pct"/>
            <w:vAlign w:val="center"/>
            <w:hideMark/>
          </w:tcPr>
          <w:p w14:paraId="65B9459E" w14:textId="77777777" w:rsidR="000D6A12" w:rsidRPr="00875E97" w:rsidRDefault="000D6A12" w:rsidP="00751C27">
            <w:pPr>
              <w:pStyle w:val="NoSpacing"/>
              <w:jc w:val="right"/>
              <w:rPr>
                <w:rFonts w:ascii="Arial" w:hAnsi="Arial" w:cs="Arial"/>
                <w:bCs/>
                <w:sz w:val="20"/>
                <w:lang w:val="en-IN" w:bidi="ar-SA"/>
              </w:rPr>
            </w:pPr>
            <w:r w:rsidRPr="00875E97">
              <w:rPr>
                <w:rFonts w:ascii="Arial" w:hAnsi="Arial" w:cs="Arial"/>
                <w:bCs/>
                <w:sz w:val="20"/>
                <w:lang w:val="en-IN" w:bidi="ar-SA"/>
              </w:rPr>
              <w:t>0.197</w:t>
            </w:r>
          </w:p>
        </w:tc>
      </w:tr>
      <w:tr w:rsidR="000D6A12" w:rsidRPr="00875E97" w14:paraId="7307A69A" w14:textId="77777777" w:rsidTr="00875E97">
        <w:trPr>
          <w:jc w:val="center"/>
        </w:trPr>
        <w:tc>
          <w:tcPr>
            <w:tcW w:w="2747" w:type="pct"/>
            <w:tcBorders>
              <w:bottom w:val="single" w:sz="4" w:space="0" w:color="auto"/>
            </w:tcBorders>
            <w:vAlign w:val="center"/>
            <w:hideMark/>
          </w:tcPr>
          <w:p w14:paraId="07E0CA67" w14:textId="77777777" w:rsidR="000D6A12" w:rsidRPr="00875E97" w:rsidRDefault="000D6A12" w:rsidP="00751C27">
            <w:pPr>
              <w:pStyle w:val="NoSpacing"/>
              <w:rPr>
                <w:rFonts w:ascii="Arial" w:hAnsi="Arial" w:cs="Arial"/>
                <w:bCs/>
                <w:sz w:val="20"/>
                <w:lang w:val="en-IN" w:bidi="ar-SA"/>
              </w:rPr>
            </w:pPr>
            <w:r w:rsidRPr="00875E97">
              <w:rPr>
                <w:rFonts w:ascii="Arial" w:hAnsi="Arial" w:cs="Arial"/>
                <w:bCs/>
                <w:sz w:val="20"/>
                <w:lang w:val="en-IN" w:bidi="ar-SA"/>
              </w:rPr>
              <w:t>Feasibility in collection</w:t>
            </w:r>
          </w:p>
        </w:tc>
        <w:tc>
          <w:tcPr>
            <w:tcW w:w="1280" w:type="pct"/>
            <w:tcBorders>
              <w:bottom w:val="single" w:sz="4" w:space="0" w:color="auto"/>
            </w:tcBorders>
            <w:vAlign w:val="center"/>
            <w:hideMark/>
          </w:tcPr>
          <w:p w14:paraId="55C173CF" w14:textId="77777777" w:rsidR="000D6A12" w:rsidRPr="00875E97" w:rsidRDefault="000D6A12" w:rsidP="00751C27">
            <w:pPr>
              <w:pStyle w:val="NoSpacing"/>
              <w:jc w:val="center"/>
              <w:rPr>
                <w:rFonts w:ascii="Arial" w:hAnsi="Arial" w:cs="Arial"/>
                <w:bCs/>
                <w:sz w:val="20"/>
                <w:lang w:val="en-IN" w:bidi="ar-SA"/>
              </w:rPr>
            </w:pPr>
            <w:r w:rsidRPr="00875E97">
              <w:rPr>
                <w:rFonts w:ascii="Arial" w:hAnsi="Arial" w:cs="Arial"/>
                <w:bCs/>
                <w:sz w:val="20"/>
                <w:lang w:val="en-IN" w:bidi="ar-SA"/>
              </w:rPr>
              <w:t>0.043</w:t>
            </w:r>
          </w:p>
        </w:tc>
        <w:tc>
          <w:tcPr>
            <w:tcW w:w="973" w:type="pct"/>
            <w:tcBorders>
              <w:bottom w:val="single" w:sz="4" w:space="0" w:color="auto"/>
            </w:tcBorders>
            <w:vAlign w:val="center"/>
            <w:hideMark/>
          </w:tcPr>
          <w:p w14:paraId="7984B459" w14:textId="77777777" w:rsidR="000D6A12" w:rsidRPr="00875E97" w:rsidRDefault="000D6A12" w:rsidP="00751C27">
            <w:pPr>
              <w:pStyle w:val="NoSpacing"/>
              <w:jc w:val="right"/>
              <w:rPr>
                <w:rFonts w:ascii="Arial" w:hAnsi="Arial" w:cs="Arial"/>
                <w:b/>
                <w:bCs/>
                <w:sz w:val="20"/>
                <w:lang w:val="en-IN" w:bidi="ar-SA"/>
              </w:rPr>
            </w:pPr>
            <w:r w:rsidRPr="00875E97">
              <w:rPr>
                <w:rFonts w:ascii="Arial" w:hAnsi="Arial" w:cs="Arial"/>
                <w:b/>
                <w:bCs/>
                <w:sz w:val="20"/>
                <w:lang w:val="en-IN" w:bidi="ar-SA"/>
              </w:rPr>
              <w:t>0.935</w:t>
            </w:r>
          </w:p>
        </w:tc>
      </w:tr>
    </w:tbl>
    <w:p w14:paraId="078F4DEC" w14:textId="77777777" w:rsidR="000D6A12" w:rsidRPr="00875E97" w:rsidRDefault="000D6A12" w:rsidP="00751C27">
      <w:pPr>
        <w:autoSpaceDE w:val="0"/>
        <w:autoSpaceDN w:val="0"/>
        <w:adjustRightInd w:val="0"/>
        <w:spacing w:line="240" w:lineRule="auto"/>
        <w:jc w:val="both"/>
        <w:rPr>
          <w:rFonts w:ascii="Arial" w:hAnsi="Arial" w:cs="Arial"/>
          <w:i/>
          <w:iCs/>
          <w:sz w:val="20"/>
          <w:lang w:val="en-IN" w:bidi="ar-SA"/>
        </w:rPr>
      </w:pPr>
      <w:r w:rsidRPr="00875E97">
        <w:rPr>
          <w:rFonts w:ascii="Arial" w:hAnsi="Arial" w:cs="Arial"/>
          <w:i/>
          <w:iCs/>
          <w:sz w:val="20"/>
          <w:lang w:val="en-IN" w:bidi="ar-SA"/>
        </w:rPr>
        <w:t xml:space="preserve">                             Source: Estimated from primary data</w:t>
      </w:r>
    </w:p>
    <w:p w14:paraId="1FAD0079" w14:textId="77777777" w:rsidR="000D6A12" w:rsidRPr="000E3C28" w:rsidRDefault="000D6A12" w:rsidP="00875E97">
      <w:pPr>
        <w:autoSpaceDE w:val="0"/>
        <w:autoSpaceDN w:val="0"/>
        <w:adjustRightInd w:val="0"/>
        <w:spacing w:line="240" w:lineRule="auto"/>
        <w:jc w:val="both"/>
        <w:rPr>
          <w:rFonts w:ascii="Arial" w:hAnsi="Arial" w:cs="Arial"/>
          <w:sz w:val="24"/>
          <w:szCs w:val="24"/>
          <w:lang w:val="en-IN" w:bidi="ar-SA"/>
        </w:rPr>
      </w:pPr>
      <w:r w:rsidRPr="00875E97">
        <w:rPr>
          <w:rFonts w:ascii="Arial" w:hAnsi="Arial" w:cs="Arial"/>
          <w:sz w:val="20"/>
          <w:lang w:val="en-IN" w:bidi="ar-SA"/>
        </w:rPr>
        <w:t xml:space="preserve">Table 5 provides the factor loadings for each of the five components that were extracted and rotated using the Varimax Rotation method. Each factor's dominant loadings are displayed in bold letters. It shows the rotated component matrix which is the rotated loadings of each </w:t>
      </w:r>
      <w:r w:rsidRPr="00875E97">
        <w:rPr>
          <w:rFonts w:ascii="Arial" w:hAnsi="Arial" w:cs="Arial"/>
          <w:noProof/>
          <w:sz w:val="20"/>
          <w:lang w:val="en-IN" w:bidi="ar-SA"/>
        </w:rPr>
        <w:t>dimension</w:t>
      </w:r>
      <w:r w:rsidRPr="00875E97">
        <w:rPr>
          <w:rFonts w:ascii="Arial" w:hAnsi="Arial" w:cs="Arial"/>
          <w:sz w:val="20"/>
          <w:lang w:val="en-IN" w:bidi="ar-SA"/>
        </w:rPr>
        <w:t xml:space="preserve"> on to factor 1 and factor 2. Factor 1 denoting preference towards public service providers has significant loadings of four dimensions namely regularity in collection, waste collection charge, efficiency in collection and attitude of the collector. Factor 2 denoting preference towards private</w:t>
      </w:r>
      <w:r w:rsidRPr="000E3C28">
        <w:rPr>
          <w:rFonts w:ascii="Arial" w:hAnsi="Arial" w:cs="Arial"/>
          <w:sz w:val="24"/>
          <w:szCs w:val="24"/>
          <w:lang w:val="en-IN" w:bidi="ar-SA"/>
        </w:rPr>
        <w:t xml:space="preserve"> service providers has significant loadings of dimension namely feasibility in the </w:t>
      </w:r>
      <w:r w:rsidRPr="000E3C28">
        <w:rPr>
          <w:rFonts w:ascii="Arial" w:hAnsi="Arial" w:cs="Arial"/>
          <w:noProof/>
          <w:sz w:val="24"/>
          <w:szCs w:val="24"/>
          <w:lang w:val="en-IN" w:bidi="ar-SA"/>
        </w:rPr>
        <w:t>collection</w:t>
      </w:r>
      <w:r w:rsidRPr="000E3C28">
        <w:rPr>
          <w:rFonts w:ascii="Arial" w:hAnsi="Arial" w:cs="Arial"/>
          <w:sz w:val="24"/>
          <w:szCs w:val="24"/>
          <w:lang w:val="en-IN" w:bidi="ar-SA"/>
        </w:rPr>
        <w:t xml:space="preserve">. </w:t>
      </w:r>
    </w:p>
    <w:p w14:paraId="4AF7DC1A" w14:textId="77777777" w:rsidR="000D6A12" w:rsidRPr="00875E97" w:rsidRDefault="000D6A12" w:rsidP="00875E97">
      <w:pPr>
        <w:autoSpaceDE w:val="0"/>
        <w:autoSpaceDN w:val="0"/>
        <w:adjustRightInd w:val="0"/>
        <w:spacing w:line="240" w:lineRule="auto"/>
        <w:jc w:val="both"/>
        <w:rPr>
          <w:rFonts w:ascii="Arial" w:hAnsi="Arial" w:cs="Arial"/>
          <w:sz w:val="20"/>
          <w:lang w:val="en-IN" w:bidi="ar-SA"/>
        </w:rPr>
      </w:pPr>
      <w:r w:rsidRPr="00875E97">
        <w:rPr>
          <w:rFonts w:ascii="Arial" w:hAnsi="Arial" w:cs="Arial"/>
          <w:sz w:val="20"/>
          <w:lang w:val="en-IN" w:bidi="ar-SA"/>
        </w:rPr>
        <w:lastRenderedPageBreak/>
        <w:t xml:space="preserve">From factor analysis it can be inferred that regularity in collection, waste collection charge, efficiency in collection and attitude of the collector forms the major factor that </w:t>
      </w:r>
      <w:r w:rsidRPr="00875E97">
        <w:rPr>
          <w:rFonts w:ascii="Arial" w:hAnsi="Arial" w:cs="Arial"/>
          <w:noProof/>
          <w:sz w:val="20"/>
          <w:lang w:val="en-IN" w:bidi="ar-SA"/>
        </w:rPr>
        <w:t>contributes</w:t>
      </w:r>
      <w:r w:rsidRPr="00875E97">
        <w:rPr>
          <w:rFonts w:ascii="Arial" w:hAnsi="Arial" w:cs="Arial"/>
          <w:sz w:val="20"/>
          <w:lang w:val="en-IN" w:bidi="ar-SA"/>
        </w:rPr>
        <w:t xml:space="preserve"> to the preference of the people towards public service providers while dimension like feasibility in collection contribute to the preference of the people towards private service providers. </w:t>
      </w:r>
      <w:r w:rsidRPr="00875E97">
        <w:rPr>
          <w:rFonts w:ascii="Arial" w:hAnsi="Arial" w:cs="Arial"/>
          <w:noProof/>
          <w:sz w:val="20"/>
          <w:lang w:val="en-IN" w:bidi="ar-SA"/>
        </w:rPr>
        <w:t>This</w:t>
      </w:r>
      <w:r w:rsidRPr="00875E97">
        <w:rPr>
          <w:rFonts w:ascii="Arial" w:hAnsi="Arial" w:cs="Arial"/>
          <w:sz w:val="20"/>
          <w:lang w:val="en-IN" w:bidi="ar-SA"/>
        </w:rPr>
        <w:t xml:space="preserve"> suggests indirect validation of the theoretical construct.</w:t>
      </w:r>
    </w:p>
    <w:p w14:paraId="21C3A97D" w14:textId="77777777" w:rsidR="000D6A12" w:rsidRPr="00875E97" w:rsidRDefault="000D6A12" w:rsidP="00875E97">
      <w:pPr>
        <w:autoSpaceDE w:val="0"/>
        <w:autoSpaceDN w:val="0"/>
        <w:adjustRightInd w:val="0"/>
        <w:spacing w:line="240" w:lineRule="auto"/>
        <w:jc w:val="both"/>
        <w:rPr>
          <w:rFonts w:ascii="Arial" w:hAnsi="Arial" w:cs="Arial"/>
          <w:sz w:val="20"/>
          <w:lang w:val="en-IN" w:bidi="ar-SA"/>
        </w:rPr>
      </w:pPr>
      <w:r w:rsidRPr="00875E97">
        <w:rPr>
          <w:rFonts w:ascii="Arial" w:hAnsi="Arial" w:cs="Arial"/>
          <w:sz w:val="20"/>
          <w:lang w:val="en-IN" w:bidi="ar-SA"/>
        </w:rPr>
        <w:t xml:space="preserve">The results of service quality dimensions of both public and private service providers show that households </w:t>
      </w:r>
      <w:r w:rsidRPr="00875E97">
        <w:rPr>
          <w:rFonts w:ascii="Arial" w:hAnsi="Arial" w:cs="Arial"/>
          <w:noProof/>
          <w:sz w:val="20"/>
          <w:lang w:val="en-IN" w:bidi="ar-SA"/>
        </w:rPr>
        <w:t>strongly prefer</w:t>
      </w:r>
      <w:r w:rsidRPr="00875E97">
        <w:rPr>
          <w:rFonts w:ascii="Arial" w:hAnsi="Arial" w:cs="Arial"/>
          <w:sz w:val="20"/>
          <w:lang w:val="en-IN" w:bidi="ar-SA"/>
        </w:rPr>
        <w:t xml:space="preserve"> </w:t>
      </w:r>
      <w:r w:rsidRPr="00875E97">
        <w:rPr>
          <w:rFonts w:ascii="Arial" w:hAnsi="Arial" w:cs="Arial"/>
          <w:noProof/>
          <w:sz w:val="20"/>
          <w:lang w:val="en-IN" w:bidi="ar-SA"/>
        </w:rPr>
        <w:t>public</w:t>
      </w:r>
      <w:r w:rsidRPr="00875E97">
        <w:rPr>
          <w:rFonts w:ascii="Arial" w:hAnsi="Arial" w:cs="Arial"/>
          <w:sz w:val="20"/>
          <w:lang w:val="en-IN" w:bidi="ar-SA"/>
        </w:rPr>
        <w:t xml:space="preserve"> service provider in regularity in the </w:t>
      </w:r>
      <w:r w:rsidRPr="00875E97">
        <w:rPr>
          <w:rFonts w:ascii="Arial" w:hAnsi="Arial" w:cs="Arial"/>
          <w:noProof/>
          <w:sz w:val="20"/>
          <w:lang w:val="en-IN" w:bidi="ar-SA"/>
        </w:rPr>
        <w:t>collection</w:t>
      </w:r>
      <w:r w:rsidRPr="00875E97">
        <w:rPr>
          <w:rFonts w:ascii="Arial" w:hAnsi="Arial" w:cs="Arial"/>
          <w:sz w:val="20"/>
          <w:lang w:val="en-IN" w:bidi="ar-SA"/>
        </w:rPr>
        <w:t xml:space="preserve"> since </w:t>
      </w:r>
      <w:proofErr w:type="spellStart"/>
      <w:r w:rsidRPr="00875E97">
        <w:rPr>
          <w:rFonts w:ascii="Arial" w:hAnsi="Arial" w:cs="Arial"/>
          <w:sz w:val="20"/>
          <w:lang w:val="en-IN" w:bidi="ar-SA"/>
        </w:rPr>
        <w:t>Kudumbasree</w:t>
      </w:r>
      <w:proofErr w:type="spellEnd"/>
      <w:r w:rsidRPr="00875E97">
        <w:rPr>
          <w:rFonts w:ascii="Arial" w:hAnsi="Arial" w:cs="Arial"/>
          <w:sz w:val="20"/>
          <w:lang w:val="en-IN" w:bidi="ar-SA"/>
        </w:rPr>
        <w:t xml:space="preserve"> volunteers and Corporation sanitary workers </w:t>
      </w:r>
      <w:r w:rsidRPr="00875E97">
        <w:rPr>
          <w:rFonts w:ascii="Arial" w:hAnsi="Arial" w:cs="Arial"/>
          <w:noProof/>
          <w:sz w:val="20"/>
          <w:lang w:val="en-IN" w:bidi="ar-SA"/>
        </w:rPr>
        <w:t>collect</w:t>
      </w:r>
      <w:r w:rsidRPr="00875E97">
        <w:rPr>
          <w:rFonts w:ascii="Arial" w:hAnsi="Arial" w:cs="Arial"/>
          <w:sz w:val="20"/>
          <w:lang w:val="en-IN" w:bidi="ar-SA"/>
        </w:rPr>
        <w:t xml:space="preserve"> solid waste from household every day except Sunday. Public service providers are highly successful in this dimension but failed in ensuring feasibility in the </w:t>
      </w:r>
      <w:r w:rsidRPr="00875E97">
        <w:rPr>
          <w:rFonts w:ascii="Arial" w:hAnsi="Arial" w:cs="Arial"/>
          <w:noProof/>
          <w:sz w:val="20"/>
          <w:lang w:val="en-IN" w:bidi="ar-SA"/>
        </w:rPr>
        <w:t>collection</w:t>
      </w:r>
      <w:r w:rsidRPr="00875E97">
        <w:rPr>
          <w:rFonts w:ascii="Arial" w:hAnsi="Arial" w:cs="Arial"/>
          <w:sz w:val="20"/>
          <w:lang w:val="en-IN" w:bidi="ar-SA"/>
        </w:rPr>
        <w:t xml:space="preserve">. Government failure has paved the way for private service providers to enter the market and ensure feasibility in the </w:t>
      </w:r>
      <w:r w:rsidRPr="00875E97">
        <w:rPr>
          <w:rFonts w:ascii="Arial" w:hAnsi="Arial" w:cs="Arial"/>
          <w:noProof/>
          <w:sz w:val="20"/>
          <w:lang w:val="en-IN" w:bidi="ar-SA"/>
        </w:rPr>
        <w:t>collection</w:t>
      </w:r>
      <w:r w:rsidRPr="00875E97">
        <w:rPr>
          <w:rFonts w:ascii="Arial" w:hAnsi="Arial" w:cs="Arial"/>
          <w:sz w:val="20"/>
          <w:lang w:val="en-IN" w:bidi="ar-SA"/>
        </w:rPr>
        <w:t>. They collect all types of plastic (recyclable and non-recyclable) waste from households but fail in keeping regularity.</w:t>
      </w:r>
    </w:p>
    <w:p w14:paraId="6A49E44B" w14:textId="77777777" w:rsidR="000D6A12" w:rsidRPr="00875E97" w:rsidRDefault="000D6A12" w:rsidP="00875E97">
      <w:pPr>
        <w:autoSpaceDE w:val="0"/>
        <w:autoSpaceDN w:val="0"/>
        <w:adjustRightInd w:val="0"/>
        <w:spacing w:line="240" w:lineRule="auto"/>
        <w:jc w:val="both"/>
        <w:rPr>
          <w:rFonts w:ascii="Arial" w:hAnsi="Arial" w:cs="Arial"/>
          <w:sz w:val="20"/>
        </w:rPr>
      </w:pPr>
      <w:r w:rsidRPr="00875E97">
        <w:rPr>
          <w:rFonts w:ascii="Arial" w:hAnsi="Arial" w:cs="Arial"/>
          <w:sz w:val="20"/>
        </w:rPr>
        <w:t>Comparative analysis revealed that the public sector demonstrated commendable performance in certain aspects, while the private sector exhibited competitive advantages in specific areas. Notably, the private sector demonstrated more feasible in collection, whereas the public sector exhibited regularity. The study suggests that formal private sector involvement in waste collection, while contributing positively to service feasibility, should be augmented by reinforcing informational capabilities within the public sector concerning contracted services and performance evaluation criteria throughout the contracting process.</w:t>
      </w:r>
    </w:p>
    <w:p w14:paraId="2FC800D1" w14:textId="77777777" w:rsidR="000D6A12" w:rsidRPr="00875E97" w:rsidRDefault="000D6A12" w:rsidP="00875E97">
      <w:pPr>
        <w:autoSpaceDE w:val="0"/>
        <w:autoSpaceDN w:val="0"/>
        <w:adjustRightInd w:val="0"/>
        <w:spacing w:line="240" w:lineRule="auto"/>
        <w:jc w:val="both"/>
        <w:rPr>
          <w:rFonts w:ascii="Arial" w:hAnsi="Arial" w:cs="Arial"/>
          <w:sz w:val="20"/>
        </w:rPr>
      </w:pPr>
      <w:r w:rsidRPr="00875E97">
        <w:rPr>
          <w:rFonts w:ascii="Arial" w:hAnsi="Arial" w:cs="Arial"/>
          <w:sz w:val="20"/>
        </w:rPr>
        <w:t>Solid waste management services are non-excludable, showing that when provided to a particular community, they contribute to the general public welfare rather than exclusively benefiting the residents who directly receive the service. Additionally, these services are non-rivalry, permitting any person to enjoy the benefits without reducing the benefits for others. The responsibility for urban solid waste management typically lies with local or metropolitan authorities, although this does not imply that these entities are solely responsible for service delivery, as the private sector often plays a pivotal role in contributing staff, equipment, and funding (World Bank, 1994).</w:t>
      </w:r>
    </w:p>
    <w:p w14:paraId="26D41729" w14:textId="77777777" w:rsidR="000D6A12" w:rsidRPr="00875E97" w:rsidRDefault="00E664B7" w:rsidP="00875E97">
      <w:pPr>
        <w:autoSpaceDE w:val="0"/>
        <w:autoSpaceDN w:val="0"/>
        <w:adjustRightInd w:val="0"/>
        <w:spacing w:line="240" w:lineRule="auto"/>
        <w:rPr>
          <w:rFonts w:ascii="Arial" w:hAnsi="Arial" w:cs="Arial"/>
          <w:b/>
          <w:szCs w:val="22"/>
          <w:lang w:val="en-IN" w:bidi="ar-SA"/>
        </w:rPr>
      </w:pPr>
      <w:r w:rsidRPr="00875E97">
        <w:rPr>
          <w:rFonts w:ascii="Arial" w:hAnsi="Arial" w:cs="Arial"/>
          <w:b/>
          <w:szCs w:val="22"/>
          <w:lang w:val="en-IN" w:bidi="ar-SA"/>
        </w:rPr>
        <w:t>5. CONCLUSION</w:t>
      </w:r>
    </w:p>
    <w:p w14:paraId="31895371" w14:textId="77777777" w:rsidR="000D6A12" w:rsidRPr="00875E97" w:rsidRDefault="000D6A12" w:rsidP="00875E97">
      <w:pPr>
        <w:autoSpaceDE w:val="0"/>
        <w:autoSpaceDN w:val="0"/>
        <w:adjustRightInd w:val="0"/>
        <w:spacing w:line="240" w:lineRule="auto"/>
        <w:jc w:val="both"/>
        <w:rPr>
          <w:rFonts w:ascii="Arial" w:hAnsi="Arial" w:cs="Arial"/>
          <w:sz w:val="20"/>
        </w:rPr>
      </w:pPr>
      <w:r w:rsidRPr="00875E97">
        <w:rPr>
          <w:rFonts w:ascii="Arial" w:hAnsi="Arial" w:cs="Arial"/>
          <w:sz w:val="20"/>
        </w:rPr>
        <w:t xml:space="preserve">The discussion on service quality dimensions of public and private service providers in waste management </w:t>
      </w:r>
      <w:proofErr w:type="gramStart"/>
      <w:r w:rsidRPr="00875E97">
        <w:rPr>
          <w:rFonts w:ascii="Arial" w:hAnsi="Arial" w:cs="Arial"/>
          <w:sz w:val="20"/>
        </w:rPr>
        <w:t>in  Kerala</w:t>
      </w:r>
      <w:proofErr w:type="gramEnd"/>
      <w:r w:rsidRPr="00875E97">
        <w:rPr>
          <w:rFonts w:ascii="Arial" w:hAnsi="Arial" w:cs="Arial"/>
          <w:sz w:val="20"/>
        </w:rPr>
        <w:t xml:space="preserve"> show that</w:t>
      </w:r>
      <w:r w:rsidRPr="00875E97">
        <w:rPr>
          <w:rFonts w:ascii="Arial" w:hAnsi="Arial" w:cs="Arial"/>
          <w:sz w:val="20"/>
          <w:lang w:val="en-IN" w:bidi="ar-SA"/>
        </w:rPr>
        <w:t xml:space="preserve"> public service provider ensure regularity in </w:t>
      </w:r>
      <w:r w:rsidRPr="00875E97">
        <w:rPr>
          <w:rFonts w:ascii="Arial" w:hAnsi="Arial" w:cs="Arial"/>
          <w:noProof/>
          <w:sz w:val="20"/>
          <w:lang w:val="en-IN" w:bidi="ar-SA"/>
        </w:rPr>
        <w:t>collection</w:t>
      </w:r>
      <w:r w:rsidRPr="00875E97">
        <w:rPr>
          <w:rFonts w:ascii="Arial" w:hAnsi="Arial" w:cs="Arial"/>
          <w:sz w:val="20"/>
          <w:lang w:val="en-IN" w:bidi="ar-SA"/>
        </w:rPr>
        <w:t xml:space="preserve"> by collecting day to day organic waste from households, but failure in collecting inorganic waste. On the other private service provider collect all types of inorganic waste from households thereby ensure feasibility in </w:t>
      </w:r>
      <w:r w:rsidRPr="00875E97">
        <w:rPr>
          <w:rFonts w:ascii="Arial" w:hAnsi="Arial" w:cs="Arial"/>
          <w:noProof/>
          <w:sz w:val="20"/>
          <w:lang w:val="en-IN" w:bidi="ar-SA"/>
        </w:rPr>
        <w:t>collection</w:t>
      </w:r>
      <w:r w:rsidRPr="00875E97">
        <w:rPr>
          <w:rFonts w:ascii="Arial" w:hAnsi="Arial" w:cs="Arial"/>
          <w:sz w:val="20"/>
          <w:lang w:val="en-IN" w:bidi="ar-SA"/>
        </w:rPr>
        <w:t xml:space="preserve">, but failure in ensuring regularity. </w:t>
      </w:r>
      <w:r w:rsidRPr="00875E97">
        <w:rPr>
          <w:rFonts w:ascii="Arial" w:hAnsi="Arial" w:cs="Arial"/>
          <w:noProof/>
          <w:sz w:val="20"/>
          <w:lang w:val="en-IN" w:bidi="ar-SA"/>
        </w:rPr>
        <w:t>Not</w:t>
      </w:r>
      <w:r w:rsidRPr="00875E97">
        <w:rPr>
          <w:rFonts w:ascii="Arial" w:hAnsi="Arial" w:cs="Arial"/>
          <w:sz w:val="20"/>
          <w:lang w:val="en-IN" w:bidi="ar-SA"/>
        </w:rPr>
        <w:t xml:space="preserve"> much significant difference can </w:t>
      </w:r>
      <w:r w:rsidRPr="00875E97">
        <w:rPr>
          <w:rFonts w:ascii="Arial" w:hAnsi="Arial" w:cs="Arial"/>
          <w:noProof/>
          <w:sz w:val="20"/>
          <w:lang w:val="en-IN" w:bidi="ar-SA"/>
        </w:rPr>
        <w:t>be seen</w:t>
      </w:r>
      <w:r w:rsidRPr="00875E97">
        <w:rPr>
          <w:rFonts w:ascii="Arial" w:hAnsi="Arial" w:cs="Arial"/>
          <w:sz w:val="20"/>
          <w:lang w:val="en-IN" w:bidi="ar-SA"/>
        </w:rPr>
        <w:t xml:space="preserve"> in the other three dimensions that </w:t>
      </w:r>
      <w:r w:rsidRPr="00875E97">
        <w:rPr>
          <w:rFonts w:ascii="Arial" w:hAnsi="Arial" w:cs="Arial"/>
          <w:noProof/>
          <w:sz w:val="20"/>
          <w:lang w:val="en-IN" w:bidi="ar-SA"/>
        </w:rPr>
        <w:t>are</w:t>
      </w:r>
      <w:r w:rsidRPr="00875E97">
        <w:rPr>
          <w:rFonts w:ascii="Arial" w:hAnsi="Arial" w:cs="Arial"/>
          <w:sz w:val="20"/>
          <w:lang w:val="en-IN" w:bidi="ar-SA"/>
        </w:rPr>
        <w:t xml:space="preserve"> collection charge, efficiency, attitude and total performance of public and private service. </w:t>
      </w:r>
    </w:p>
    <w:p w14:paraId="7C52DDD4" w14:textId="77777777" w:rsidR="00751C27" w:rsidRPr="00875E97" w:rsidRDefault="000D6A12" w:rsidP="00875E97">
      <w:pPr>
        <w:spacing w:line="240" w:lineRule="auto"/>
        <w:jc w:val="both"/>
        <w:rPr>
          <w:rFonts w:ascii="Arial" w:hAnsi="Arial" w:cs="Arial"/>
          <w:sz w:val="20"/>
        </w:rPr>
      </w:pPr>
      <w:r w:rsidRPr="00875E97">
        <w:rPr>
          <w:rFonts w:ascii="Arial" w:hAnsi="Arial" w:cs="Arial"/>
          <w:sz w:val="20"/>
          <w:lang w:val="en-IN"/>
        </w:rPr>
        <w:t xml:space="preserve">In conclusion, the examination of solid waste management reveals a dual challenge marked by market failure, due to negative externalities, and government failure in ensuring feasibility in waste collection efforts. Government interventions, incorporating sanitary and </w:t>
      </w:r>
      <w:proofErr w:type="spellStart"/>
      <w:r w:rsidRPr="00875E97">
        <w:rPr>
          <w:rFonts w:ascii="Arial" w:hAnsi="Arial" w:cs="Arial"/>
          <w:sz w:val="20"/>
          <w:lang w:val="en-IN"/>
        </w:rPr>
        <w:t>Kudumbasree</w:t>
      </w:r>
      <w:proofErr w:type="spellEnd"/>
      <w:r w:rsidRPr="00875E97">
        <w:rPr>
          <w:rFonts w:ascii="Arial" w:hAnsi="Arial" w:cs="Arial"/>
          <w:sz w:val="20"/>
          <w:lang w:val="en-IN"/>
        </w:rPr>
        <w:t xml:space="preserve"> workers, though well-intentioned, encountered feasibility challenges. Recognizing the limitations, the private sector stepped in to address these issues, demonstrating a capacity for feasibility in collection. This study posits that the confluence of market and government failures necessitates an innovative solution, namely, collaborative approach of public and private participation which harmonizes the strengths of both sectors. Public services ensure regular waste collection, upholding a sense of order, while private entities contribute their efficiency, particularly in addressing feasibility concerns. This synthesis not only rectifies the shortcomings of market and government interventions but also emerges as a practical and sustainable solution for ensuring environmental quality and fostering long-term sustainable development. Therefore, the findings of this research advocate for the adoption of private public participation as a promising strategy to address the complexities of solid waste management, presenting a harmonious blend of market forces and governmental oversight for a more effective and sustainable future. </w:t>
      </w:r>
      <w:r w:rsidRPr="00875E97">
        <w:rPr>
          <w:rFonts w:ascii="Arial" w:hAnsi="Arial" w:cs="Arial"/>
          <w:noProof/>
          <w:sz w:val="20"/>
        </w:rPr>
        <w:t>The privatisation</w:t>
      </w:r>
      <w:r w:rsidRPr="00875E97">
        <w:rPr>
          <w:rFonts w:ascii="Arial" w:hAnsi="Arial" w:cs="Arial"/>
          <w:sz w:val="20"/>
        </w:rPr>
        <w:t xml:space="preserve"> of solid waste collection activities </w:t>
      </w:r>
      <w:r w:rsidRPr="00875E97">
        <w:rPr>
          <w:rFonts w:ascii="Arial" w:hAnsi="Arial" w:cs="Arial"/>
          <w:noProof/>
          <w:sz w:val="20"/>
        </w:rPr>
        <w:t xml:space="preserve">has </w:t>
      </w:r>
      <w:r w:rsidRPr="00875E97">
        <w:rPr>
          <w:rFonts w:ascii="Arial" w:hAnsi="Arial" w:cs="Arial"/>
          <w:sz w:val="20"/>
        </w:rPr>
        <w:t xml:space="preserve">often </w:t>
      </w:r>
      <w:r w:rsidRPr="00875E97">
        <w:rPr>
          <w:rFonts w:ascii="Arial" w:hAnsi="Arial" w:cs="Arial"/>
          <w:noProof/>
          <w:sz w:val="20"/>
        </w:rPr>
        <w:t>been flagged</w:t>
      </w:r>
      <w:r w:rsidRPr="00875E97">
        <w:rPr>
          <w:rFonts w:ascii="Arial" w:hAnsi="Arial" w:cs="Arial"/>
          <w:sz w:val="20"/>
        </w:rPr>
        <w:t xml:space="preserve"> as a suitable intervention to overcome some of the challenges of solid waste management experienced by Kerala.</w:t>
      </w:r>
    </w:p>
    <w:p w14:paraId="12150EAC" w14:textId="77777777" w:rsidR="00751C27" w:rsidRPr="00875E97" w:rsidRDefault="00E707A8" w:rsidP="00E707A8">
      <w:pPr>
        <w:spacing w:line="240" w:lineRule="auto"/>
        <w:ind w:firstLine="720"/>
        <w:jc w:val="both"/>
        <w:rPr>
          <w:rFonts w:ascii="Arial" w:hAnsi="Arial" w:cs="Arial"/>
          <w:b/>
          <w:sz w:val="20"/>
        </w:rPr>
      </w:pPr>
      <w:r w:rsidRPr="00875E97">
        <w:rPr>
          <w:rFonts w:ascii="Arial" w:eastAsia="Times New Roman" w:hAnsi="Arial" w:cs="Arial"/>
          <w:color w:val="222222"/>
          <w:spacing w:val="-3"/>
          <w:sz w:val="20"/>
          <w:lang w:eastAsia="en-IN"/>
        </w:rPr>
        <w:tab/>
      </w:r>
      <w:r w:rsidRPr="00875E97">
        <w:rPr>
          <w:rFonts w:ascii="Arial" w:eastAsia="Times New Roman" w:hAnsi="Arial" w:cs="Arial"/>
          <w:color w:val="222222"/>
          <w:spacing w:val="-3"/>
          <w:sz w:val="20"/>
          <w:lang w:eastAsia="en-IN"/>
        </w:rPr>
        <w:tab/>
      </w:r>
      <w:r w:rsidRPr="00875E97">
        <w:rPr>
          <w:rFonts w:ascii="Arial" w:eastAsia="Times New Roman" w:hAnsi="Arial" w:cs="Arial"/>
          <w:color w:val="222222"/>
          <w:spacing w:val="-3"/>
          <w:sz w:val="20"/>
          <w:lang w:eastAsia="en-IN"/>
        </w:rPr>
        <w:tab/>
      </w:r>
      <w:r w:rsidRPr="00875E97">
        <w:rPr>
          <w:rFonts w:ascii="Arial" w:eastAsia="Times New Roman" w:hAnsi="Arial" w:cs="Arial"/>
          <w:color w:val="222222"/>
          <w:spacing w:val="-3"/>
          <w:sz w:val="20"/>
          <w:lang w:eastAsia="en-IN"/>
        </w:rPr>
        <w:tab/>
      </w:r>
      <w:r w:rsidRPr="00875E97">
        <w:rPr>
          <w:rFonts w:ascii="Arial" w:eastAsia="Times New Roman" w:hAnsi="Arial" w:cs="Arial"/>
          <w:color w:val="222222"/>
          <w:spacing w:val="-3"/>
          <w:sz w:val="20"/>
          <w:lang w:eastAsia="en-IN"/>
        </w:rPr>
        <w:tab/>
      </w:r>
      <w:r w:rsidRPr="00875E97">
        <w:rPr>
          <w:rFonts w:ascii="Arial" w:eastAsia="Times New Roman" w:hAnsi="Arial" w:cs="Arial"/>
          <w:color w:val="222222"/>
          <w:spacing w:val="-3"/>
          <w:sz w:val="20"/>
          <w:lang w:eastAsia="en-IN"/>
        </w:rPr>
        <w:tab/>
      </w:r>
      <w:r w:rsidRPr="00875E97">
        <w:rPr>
          <w:rFonts w:ascii="Arial" w:eastAsia="Times New Roman" w:hAnsi="Arial" w:cs="Arial"/>
          <w:color w:val="222222"/>
          <w:spacing w:val="-3"/>
          <w:sz w:val="20"/>
          <w:lang w:eastAsia="en-IN"/>
        </w:rPr>
        <w:tab/>
      </w:r>
      <w:r w:rsidR="00751C27" w:rsidRPr="00875E97">
        <w:rPr>
          <w:rFonts w:ascii="Arial" w:eastAsia="Times New Roman" w:hAnsi="Arial" w:cs="Arial"/>
          <w:color w:val="222222"/>
          <w:spacing w:val="-3"/>
          <w:sz w:val="20"/>
          <w:lang w:eastAsia="en-IN"/>
        </w:rPr>
        <w:tab/>
      </w:r>
      <w:r w:rsidR="00751C27" w:rsidRPr="00875E97">
        <w:rPr>
          <w:rFonts w:ascii="Arial" w:eastAsia="Times New Roman" w:hAnsi="Arial" w:cs="Arial"/>
          <w:color w:val="222222"/>
          <w:spacing w:val="-3"/>
          <w:sz w:val="20"/>
          <w:lang w:eastAsia="en-IN"/>
        </w:rPr>
        <w:tab/>
      </w:r>
      <w:r w:rsidR="00751C27" w:rsidRPr="00875E97">
        <w:rPr>
          <w:rFonts w:ascii="Arial" w:eastAsia="Times New Roman" w:hAnsi="Arial" w:cs="Arial"/>
          <w:color w:val="222222"/>
          <w:spacing w:val="-3"/>
          <w:sz w:val="20"/>
          <w:lang w:eastAsia="en-IN"/>
        </w:rPr>
        <w:tab/>
      </w:r>
      <w:r w:rsidR="00751C27" w:rsidRPr="00875E97">
        <w:rPr>
          <w:rFonts w:ascii="Arial" w:eastAsia="Times New Roman" w:hAnsi="Arial" w:cs="Arial"/>
          <w:color w:val="222222"/>
          <w:spacing w:val="-3"/>
          <w:sz w:val="20"/>
          <w:lang w:eastAsia="en-IN"/>
        </w:rPr>
        <w:tab/>
      </w:r>
      <w:r w:rsidR="00751C27" w:rsidRPr="00875E97">
        <w:rPr>
          <w:rFonts w:ascii="Arial" w:eastAsia="Times New Roman" w:hAnsi="Arial" w:cs="Arial"/>
          <w:color w:val="222222"/>
          <w:spacing w:val="-3"/>
          <w:sz w:val="20"/>
          <w:lang w:eastAsia="en-IN"/>
        </w:rPr>
        <w:tab/>
      </w:r>
      <w:r w:rsidR="00751C27" w:rsidRPr="00875E97">
        <w:rPr>
          <w:rFonts w:ascii="Arial" w:eastAsia="Times New Roman" w:hAnsi="Arial" w:cs="Arial"/>
          <w:color w:val="222222"/>
          <w:spacing w:val="-3"/>
          <w:sz w:val="20"/>
          <w:lang w:eastAsia="en-IN"/>
        </w:rPr>
        <w:tab/>
      </w:r>
      <w:r w:rsidR="00751C27" w:rsidRPr="00875E97">
        <w:rPr>
          <w:rFonts w:ascii="Arial" w:eastAsia="Times New Roman" w:hAnsi="Arial" w:cs="Arial"/>
          <w:color w:val="222222"/>
          <w:spacing w:val="-3"/>
          <w:sz w:val="20"/>
          <w:lang w:eastAsia="en-IN"/>
        </w:rPr>
        <w:tab/>
      </w:r>
      <w:r w:rsidR="00751C27" w:rsidRPr="00875E97">
        <w:rPr>
          <w:rFonts w:ascii="Arial" w:eastAsia="Times New Roman" w:hAnsi="Arial" w:cs="Arial"/>
          <w:color w:val="222222"/>
          <w:spacing w:val="-3"/>
          <w:sz w:val="20"/>
          <w:lang w:eastAsia="en-IN"/>
        </w:rPr>
        <w:tab/>
      </w:r>
    </w:p>
    <w:p w14:paraId="4CE08B50" w14:textId="77777777" w:rsidR="000D6A12" w:rsidRPr="00875E97" w:rsidRDefault="00E664B7" w:rsidP="00751C27">
      <w:pPr>
        <w:spacing w:line="240" w:lineRule="auto"/>
        <w:ind w:left="720" w:hanging="720"/>
        <w:jc w:val="both"/>
        <w:rPr>
          <w:rFonts w:ascii="Arial" w:hAnsi="Arial" w:cs="Arial"/>
          <w:b/>
          <w:color w:val="222222"/>
          <w:sz w:val="20"/>
          <w:shd w:val="clear" w:color="auto" w:fill="FFFFFF"/>
        </w:rPr>
      </w:pPr>
      <w:r w:rsidRPr="00875E97">
        <w:rPr>
          <w:rFonts w:ascii="Arial" w:hAnsi="Arial" w:cs="Arial"/>
          <w:b/>
          <w:color w:val="222222"/>
          <w:sz w:val="20"/>
          <w:shd w:val="clear" w:color="auto" w:fill="FFFFFF"/>
        </w:rPr>
        <w:lastRenderedPageBreak/>
        <w:t>REFERENCES</w:t>
      </w:r>
    </w:p>
    <w:p w14:paraId="5D4D6A0E" w14:textId="77777777" w:rsidR="000D6A12" w:rsidRPr="00875E97" w:rsidRDefault="000D6A12" w:rsidP="00751C27">
      <w:pPr>
        <w:spacing w:line="240" w:lineRule="auto"/>
        <w:ind w:left="720" w:hanging="720"/>
        <w:jc w:val="both"/>
        <w:rPr>
          <w:rFonts w:ascii="Arial" w:hAnsi="Arial" w:cs="Arial"/>
          <w:noProof/>
          <w:sz w:val="20"/>
        </w:rPr>
      </w:pPr>
      <w:r w:rsidRPr="00875E97">
        <w:rPr>
          <w:rFonts w:ascii="Arial" w:hAnsi="Arial" w:cs="Arial"/>
          <w:color w:val="222222"/>
          <w:sz w:val="20"/>
          <w:shd w:val="clear" w:color="auto" w:fill="FFFFFF"/>
        </w:rPr>
        <w:t>Ahmed, S. A., &amp;</w:t>
      </w:r>
      <w:r w:rsidR="00784562" w:rsidRPr="00875E97">
        <w:rPr>
          <w:rFonts w:ascii="Arial" w:hAnsi="Arial" w:cs="Arial"/>
          <w:color w:val="222222"/>
          <w:sz w:val="20"/>
          <w:shd w:val="clear" w:color="auto" w:fill="FFFFFF"/>
        </w:rPr>
        <w:t xml:space="preserve"> Ali, </w:t>
      </w:r>
      <w:proofErr w:type="gramStart"/>
      <w:r w:rsidR="00784562" w:rsidRPr="00875E97">
        <w:rPr>
          <w:rFonts w:ascii="Arial" w:hAnsi="Arial" w:cs="Arial"/>
          <w:color w:val="222222"/>
          <w:sz w:val="20"/>
          <w:shd w:val="clear" w:color="auto" w:fill="FFFFFF"/>
        </w:rPr>
        <w:t>S.M.</w:t>
      </w:r>
      <w:r w:rsidRPr="00875E97">
        <w:rPr>
          <w:rFonts w:ascii="Arial" w:hAnsi="Arial" w:cs="Arial"/>
          <w:color w:val="222222"/>
          <w:sz w:val="20"/>
          <w:shd w:val="clear" w:color="auto" w:fill="FFFFFF"/>
        </w:rPr>
        <w:t>(</w:t>
      </w:r>
      <w:proofErr w:type="gramEnd"/>
      <w:r w:rsidRPr="00875E97">
        <w:rPr>
          <w:rFonts w:ascii="Arial" w:hAnsi="Arial" w:cs="Arial"/>
          <w:color w:val="222222"/>
          <w:sz w:val="20"/>
          <w:shd w:val="clear" w:color="auto" w:fill="FFFFFF"/>
        </w:rPr>
        <w:t>2006). People as partners: Facilitating people's participation in public–private partnerships for solid waste management. </w:t>
      </w:r>
      <w:r w:rsidRPr="00875E97">
        <w:rPr>
          <w:rFonts w:ascii="Arial" w:hAnsi="Arial" w:cs="Arial"/>
          <w:i/>
          <w:iCs/>
          <w:color w:val="222222"/>
          <w:sz w:val="20"/>
          <w:shd w:val="clear" w:color="auto" w:fill="FFFFFF"/>
        </w:rPr>
        <w:t>Habitat International</w:t>
      </w:r>
      <w:r w:rsidRPr="00875E97">
        <w:rPr>
          <w:rFonts w:ascii="Arial" w:hAnsi="Arial" w:cs="Arial"/>
          <w:color w:val="222222"/>
          <w:sz w:val="20"/>
          <w:shd w:val="clear" w:color="auto" w:fill="FFFFFF"/>
        </w:rPr>
        <w:t>, </w:t>
      </w:r>
      <w:r w:rsidRPr="00875E97">
        <w:rPr>
          <w:rFonts w:ascii="Arial" w:hAnsi="Arial" w:cs="Arial"/>
          <w:i/>
          <w:iCs/>
          <w:color w:val="222222"/>
          <w:sz w:val="20"/>
          <w:shd w:val="clear" w:color="auto" w:fill="FFFFFF"/>
        </w:rPr>
        <w:t>30</w:t>
      </w:r>
      <w:r w:rsidRPr="00875E97">
        <w:rPr>
          <w:rFonts w:ascii="Arial" w:hAnsi="Arial" w:cs="Arial"/>
          <w:color w:val="222222"/>
          <w:sz w:val="20"/>
          <w:shd w:val="clear" w:color="auto" w:fill="FFFFFF"/>
        </w:rPr>
        <w:t>(4), 781-796.</w:t>
      </w:r>
      <w:r w:rsidRPr="00875E97">
        <w:rPr>
          <w:rFonts w:ascii="Arial" w:hAnsi="Arial" w:cs="Arial"/>
          <w:noProof/>
          <w:sz w:val="20"/>
        </w:rPr>
        <w:t xml:space="preserve"> </w:t>
      </w:r>
    </w:p>
    <w:p w14:paraId="7DEA8DCC" w14:textId="77777777" w:rsidR="000D6A12" w:rsidRPr="00875E97" w:rsidRDefault="00784562" w:rsidP="00751C27">
      <w:pPr>
        <w:spacing w:after="120" w:line="240" w:lineRule="auto"/>
        <w:ind w:left="720" w:hanging="720"/>
        <w:jc w:val="both"/>
        <w:rPr>
          <w:rFonts w:ascii="Arial" w:hAnsi="Arial" w:cs="Arial"/>
          <w:color w:val="222222"/>
          <w:sz w:val="20"/>
          <w:shd w:val="clear" w:color="auto" w:fill="FFFFFF"/>
        </w:rPr>
      </w:pPr>
      <w:r w:rsidRPr="00875E97">
        <w:rPr>
          <w:rFonts w:ascii="Arial" w:hAnsi="Arial" w:cs="Arial"/>
          <w:color w:val="222222"/>
          <w:sz w:val="20"/>
          <w:shd w:val="clear" w:color="auto" w:fill="FFFFFF"/>
        </w:rPr>
        <w:t xml:space="preserve">Ayalon, O. </w:t>
      </w:r>
      <w:proofErr w:type="spellStart"/>
      <w:r w:rsidRPr="00875E97">
        <w:rPr>
          <w:rFonts w:ascii="Arial" w:hAnsi="Arial" w:cs="Arial"/>
          <w:color w:val="222222"/>
          <w:sz w:val="20"/>
          <w:shd w:val="clear" w:color="auto" w:fill="FFFFFF"/>
        </w:rPr>
        <w:t>Avnimelech</w:t>
      </w:r>
      <w:proofErr w:type="spellEnd"/>
      <w:r w:rsidRPr="00875E97">
        <w:rPr>
          <w:rFonts w:ascii="Arial" w:hAnsi="Arial" w:cs="Arial"/>
          <w:color w:val="222222"/>
          <w:sz w:val="20"/>
          <w:shd w:val="clear" w:color="auto" w:fill="FFFFFF"/>
        </w:rPr>
        <w:t xml:space="preserve">, Y., &amp; Shechter, M. </w:t>
      </w:r>
      <w:r w:rsidR="000D6A12" w:rsidRPr="00875E97">
        <w:rPr>
          <w:rFonts w:ascii="Arial" w:hAnsi="Arial" w:cs="Arial"/>
          <w:color w:val="222222"/>
          <w:sz w:val="20"/>
          <w:shd w:val="clear" w:color="auto" w:fill="FFFFFF"/>
        </w:rPr>
        <w:t>(1999). Issues in designing an effective solid waste policy: the Israeli experience. </w:t>
      </w:r>
      <w:r w:rsidR="000D6A12" w:rsidRPr="00875E97">
        <w:rPr>
          <w:rFonts w:ascii="Arial" w:hAnsi="Arial" w:cs="Arial"/>
          <w:i/>
          <w:iCs/>
          <w:color w:val="222222"/>
          <w:sz w:val="20"/>
          <w:shd w:val="clear" w:color="auto" w:fill="FFFFFF"/>
        </w:rPr>
        <w:t xml:space="preserve">The market and the environment: the effectiveness of </w:t>
      </w:r>
      <w:proofErr w:type="gramStart"/>
      <w:r w:rsidR="000D6A12" w:rsidRPr="00875E97">
        <w:rPr>
          <w:rFonts w:ascii="Arial" w:hAnsi="Arial" w:cs="Arial"/>
          <w:i/>
          <w:iCs/>
          <w:color w:val="222222"/>
          <w:sz w:val="20"/>
          <w:shd w:val="clear" w:color="auto" w:fill="FFFFFF"/>
        </w:rPr>
        <w:t>market based</w:t>
      </w:r>
      <w:proofErr w:type="gramEnd"/>
      <w:r w:rsidR="000D6A12" w:rsidRPr="00875E97">
        <w:rPr>
          <w:rFonts w:ascii="Arial" w:hAnsi="Arial" w:cs="Arial"/>
          <w:i/>
          <w:iCs/>
          <w:color w:val="222222"/>
          <w:sz w:val="20"/>
          <w:shd w:val="clear" w:color="auto" w:fill="FFFFFF"/>
        </w:rPr>
        <w:t xml:space="preserve"> instruments for environmental reform. UK: Edward Elgar</w:t>
      </w:r>
      <w:r w:rsidR="000D6A12" w:rsidRPr="00875E97">
        <w:rPr>
          <w:rFonts w:ascii="Arial" w:hAnsi="Arial" w:cs="Arial"/>
          <w:color w:val="222222"/>
          <w:sz w:val="20"/>
          <w:shd w:val="clear" w:color="auto" w:fill="FFFFFF"/>
        </w:rPr>
        <w:t xml:space="preserve">, 389-406. </w:t>
      </w:r>
    </w:p>
    <w:p w14:paraId="2A4ECED6" w14:textId="77777777" w:rsidR="000D6A12" w:rsidRPr="00875E97" w:rsidRDefault="00784562" w:rsidP="00751C27">
      <w:pPr>
        <w:spacing w:after="120" w:line="240" w:lineRule="auto"/>
        <w:ind w:left="720" w:hanging="720"/>
        <w:jc w:val="both"/>
        <w:rPr>
          <w:rFonts w:ascii="Arial" w:eastAsia="Times New Roman" w:hAnsi="Arial" w:cs="Arial"/>
          <w:sz w:val="20"/>
          <w:lang w:eastAsia="en-IN"/>
        </w:rPr>
      </w:pPr>
      <w:r w:rsidRPr="00875E97">
        <w:rPr>
          <w:rFonts w:ascii="Arial" w:hAnsi="Arial" w:cs="Arial"/>
          <w:color w:val="222222"/>
          <w:sz w:val="20"/>
          <w:shd w:val="clear" w:color="auto" w:fill="FFFFFF"/>
        </w:rPr>
        <w:t xml:space="preserve">Cropper, M. L., &amp; Oates, W. E. (1992). </w:t>
      </w:r>
      <w:r w:rsidR="000D6A12" w:rsidRPr="00875E97">
        <w:rPr>
          <w:rFonts w:ascii="Arial" w:hAnsi="Arial" w:cs="Arial"/>
          <w:color w:val="222222"/>
          <w:sz w:val="20"/>
          <w:shd w:val="clear" w:color="auto" w:fill="FFFFFF"/>
        </w:rPr>
        <w:t>Environmental economics: a survey. </w:t>
      </w:r>
      <w:r w:rsidRPr="00875E97">
        <w:rPr>
          <w:rFonts w:ascii="Arial" w:hAnsi="Arial" w:cs="Arial"/>
          <w:i/>
          <w:iCs/>
          <w:color w:val="222222"/>
          <w:sz w:val="20"/>
          <w:shd w:val="clear" w:color="auto" w:fill="FFFFFF"/>
        </w:rPr>
        <w:t xml:space="preserve">Journal </w:t>
      </w:r>
      <w:r w:rsidR="000D6A12" w:rsidRPr="00875E97">
        <w:rPr>
          <w:rFonts w:ascii="Arial" w:hAnsi="Arial" w:cs="Arial"/>
          <w:i/>
          <w:iCs/>
          <w:color w:val="222222"/>
          <w:sz w:val="20"/>
          <w:shd w:val="clear" w:color="auto" w:fill="FFFFFF"/>
        </w:rPr>
        <w:t>of economic literature</w:t>
      </w:r>
      <w:r w:rsidR="000D6A12" w:rsidRPr="00875E97">
        <w:rPr>
          <w:rFonts w:ascii="Arial" w:hAnsi="Arial" w:cs="Arial"/>
          <w:color w:val="222222"/>
          <w:sz w:val="20"/>
          <w:shd w:val="clear" w:color="auto" w:fill="FFFFFF"/>
        </w:rPr>
        <w:t>, </w:t>
      </w:r>
      <w:r w:rsidR="000D6A12" w:rsidRPr="00875E97">
        <w:rPr>
          <w:rFonts w:ascii="Arial" w:hAnsi="Arial" w:cs="Arial"/>
          <w:i/>
          <w:iCs/>
          <w:color w:val="222222"/>
          <w:sz w:val="20"/>
          <w:shd w:val="clear" w:color="auto" w:fill="FFFFFF"/>
        </w:rPr>
        <w:t>30</w:t>
      </w:r>
      <w:r w:rsidR="000D6A12" w:rsidRPr="00875E97">
        <w:rPr>
          <w:rFonts w:ascii="Arial" w:hAnsi="Arial" w:cs="Arial"/>
          <w:color w:val="222222"/>
          <w:sz w:val="20"/>
          <w:shd w:val="clear" w:color="auto" w:fill="FFFFFF"/>
        </w:rPr>
        <w:t>(2), 675-740.</w:t>
      </w:r>
    </w:p>
    <w:p w14:paraId="2C61A7CF" w14:textId="77777777" w:rsidR="000D6A12" w:rsidRPr="00875E97" w:rsidRDefault="000D6A12" w:rsidP="00751C27">
      <w:pPr>
        <w:autoSpaceDE w:val="0"/>
        <w:autoSpaceDN w:val="0"/>
        <w:adjustRightInd w:val="0"/>
        <w:spacing w:after="120" w:line="240" w:lineRule="auto"/>
        <w:ind w:left="720" w:hanging="720"/>
        <w:jc w:val="both"/>
        <w:rPr>
          <w:rFonts w:ascii="Arial" w:hAnsi="Arial" w:cs="Arial"/>
          <w:sz w:val="20"/>
          <w:shd w:val="clear" w:color="auto" w:fill="FFFFFF"/>
        </w:rPr>
      </w:pPr>
      <w:r w:rsidRPr="00875E97">
        <w:rPr>
          <w:rFonts w:ascii="Arial" w:hAnsi="Arial" w:cs="Arial"/>
          <w:noProof/>
          <w:sz w:val="20"/>
        </w:rPr>
        <w:t>Ecott</w:t>
      </w:r>
      <w:r w:rsidRPr="00875E97">
        <w:rPr>
          <w:rFonts w:ascii="Arial" w:hAnsi="Arial" w:cs="Arial"/>
          <w:sz w:val="20"/>
        </w:rPr>
        <w:t xml:space="preserve"> J. Callan and </w:t>
      </w:r>
      <w:r w:rsidRPr="00875E97">
        <w:rPr>
          <w:rFonts w:ascii="Arial" w:hAnsi="Arial" w:cs="Arial"/>
          <w:noProof/>
          <w:sz w:val="20"/>
        </w:rPr>
        <w:t>Janet</w:t>
      </w:r>
      <w:r w:rsidRPr="00875E97">
        <w:rPr>
          <w:rFonts w:ascii="Arial" w:hAnsi="Arial" w:cs="Arial"/>
          <w:sz w:val="20"/>
        </w:rPr>
        <w:t xml:space="preserve"> M. Thomas, Environmental economics &amp; management-theory policy and applications- Cengage learning Canada (2015)</w:t>
      </w:r>
      <w:r w:rsidRPr="00875E97">
        <w:rPr>
          <w:rFonts w:ascii="Arial" w:hAnsi="Arial" w:cs="Arial"/>
          <w:sz w:val="20"/>
          <w:shd w:val="clear" w:color="auto" w:fill="FFFFFF"/>
        </w:rPr>
        <w:t xml:space="preserve"> </w:t>
      </w:r>
    </w:p>
    <w:p w14:paraId="396F6F4A" w14:textId="77777777" w:rsidR="000D6A12" w:rsidRPr="00875E97" w:rsidRDefault="000D6A12" w:rsidP="00751C27">
      <w:pPr>
        <w:autoSpaceDE w:val="0"/>
        <w:autoSpaceDN w:val="0"/>
        <w:adjustRightInd w:val="0"/>
        <w:spacing w:after="120" w:line="240" w:lineRule="auto"/>
        <w:ind w:left="720" w:hanging="720"/>
        <w:jc w:val="both"/>
        <w:rPr>
          <w:rFonts w:ascii="Arial" w:hAnsi="Arial" w:cs="Arial"/>
          <w:sz w:val="20"/>
          <w:shd w:val="clear" w:color="auto" w:fill="FFFFFF"/>
        </w:rPr>
      </w:pPr>
      <w:proofErr w:type="spellStart"/>
      <w:r w:rsidRPr="00875E97">
        <w:rPr>
          <w:rFonts w:ascii="Arial" w:hAnsi="Arial" w:cs="Arial"/>
          <w:color w:val="222222"/>
          <w:sz w:val="20"/>
          <w:shd w:val="clear" w:color="auto" w:fill="FFFFFF"/>
        </w:rPr>
        <w:t>Eshet</w:t>
      </w:r>
      <w:proofErr w:type="spellEnd"/>
      <w:r w:rsidRPr="00875E97">
        <w:rPr>
          <w:rFonts w:ascii="Arial" w:hAnsi="Arial" w:cs="Arial"/>
          <w:color w:val="222222"/>
          <w:sz w:val="20"/>
          <w:shd w:val="clear" w:color="auto" w:fill="FFFFFF"/>
        </w:rPr>
        <w:t>, T., Ayalon, O., &amp; Shechter, M. (2006). Valuation of externalities of selected waste management alternatives: A comparative review and analysis. </w:t>
      </w:r>
      <w:r w:rsidRPr="00875E97">
        <w:rPr>
          <w:rFonts w:ascii="Arial" w:hAnsi="Arial" w:cs="Arial"/>
          <w:i/>
          <w:iCs/>
          <w:color w:val="222222"/>
          <w:sz w:val="20"/>
          <w:shd w:val="clear" w:color="auto" w:fill="FFFFFF"/>
        </w:rPr>
        <w:t>Resources, Conservation and Recycling</w:t>
      </w:r>
      <w:r w:rsidRPr="00875E97">
        <w:rPr>
          <w:rFonts w:ascii="Arial" w:hAnsi="Arial" w:cs="Arial"/>
          <w:color w:val="222222"/>
          <w:sz w:val="20"/>
          <w:shd w:val="clear" w:color="auto" w:fill="FFFFFF"/>
        </w:rPr>
        <w:t>, </w:t>
      </w:r>
      <w:r w:rsidRPr="00875E97">
        <w:rPr>
          <w:rFonts w:ascii="Arial" w:hAnsi="Arial" w:cs="Arial"/>
          <w:i/>
          <w:iCs/>
          <w:color w:val="222222"/>
          <w:sz w:val="20"/>
          <w:shd w:val="clear" w:color="auto" w:fill="FFFFFF"/>
        </w:rPr>
        <w:t>46</w:t>
      </w:r>
      <w:r w:rsidRPr="00875E97">
        <w:rPr>
          <w:rFonts w:ascii="Arial" w:hAnsi="Arial" w:cs="Arial"/>
          <w:color w:val="222222"/>
          <w:sz w:val="20"/>
          <w:shd w:val="clear" w:color="auto" w:fill="FFFFFF"/>
        </w:rPr>
        <w:t>(4), 335-364.</w:t>
      </w:r>
    </w:p>
    <w:p w14:paraId="030D417A" w14:textId="77777777" w:rsidR="000D6A12" w:rsidRPr="00875E97" w:rsidRDefault="000D6A12" w:rsidP="00751C27">
      <w:pPr>
        <w:autoSpaceDE w:val="0"/>
        <w:autoSpaceDN w:val="0"/>
        <w:adjustRightInd w:val="0"/>
        <w:spacing w:after="0" w:line="240" w:lineRule="auto"/>
        <w:ind w:left="720" w:hanging="720"/>
        <w:jc w:val="both"/>
        <w:rPr>
          <w:rFonts w:ascii="Arial" w:hAnsi="Arial" w:cs="Arial"/>
          <w:color w:val="222222"/>
          <w:sz w:val="20"/>
          <w:shd w:val="clear" w:color="auto" w:fill="FFFFFF"/>
        </w:rPr>
      </w:pPr>
      <w:proofErr w:type="spellStart"/>
      <w:r w:rsidRPr="00875E97">
        <w:rPr>
          <w:rFonts w:ascii="Arial" w:hAnsi="Arial" w:cs="Arial"/>
          <w:color w:val="222222"/>
          <w:sz w:val="20"/>
          <w:shd w:val="clear" w:color="auto" w:fill="FFFFFF"/>
        </w:rPr>
        <w:t>Ezebilo</w:t>
      </w:r>
      <w:proofErr w:type="spellEnd"/>
      <w:r w:rsidRPr="00875E97">
        <w:rPr>
          <w:rFonts w:ascii="Arial" w:hAnsi="Arial" w:cs="Arial"/>
          <w:color w:val="222222"/>
          <w:sz w:val="20"/>
          <w:shd w:val="clear" w:color="auto" w:fill="FFFFFF"/>
        </w:rPr>
        <w:t xml:space="preserve">, E. E., &amp; </w:t>
      </w:r>
      <w:proofErr w:type="spellStart"/>
      <w:r w:rsidRPr="00875E97">
        <w:rPr>
          <w:rFonts w:ascii="Arial" w:hAnsi="Arial" w:cs="Arial"/>
          <w:color w:val="222222"/>
          <w:sz w:val="20"/>
          <w:shd w:val="clear" w:color="auto" w:fill="FFFFFF"/>
        </w:rPr>
        <w:t>Animasaun</w:t>
      </w:r>
      <w:proofErr w:type="spellEnd"/>
      <w:r w:rsidRPr="00875E97">
        <w:rPr>
          <w:rFonts w:ascii="Arial" w:hAnsi="Arial" w:cs="Arial"/>
          <w:color w:val="222222"/>
          <w:sz w:val="20"/>
          <w:shd w:val="clear" w:color="auto" w:fill="FFFFFF"/>
        </w:rPr>
        <w:t>, E. D. (2012). Public–private sector</w:t>
      </w:r>
      <w:r w:rsidR="00784562" w:rsidRPr="00875E97">
        <w:rPr>
          <w:rFonts w:ascii="Arial" w:hAnsi="Arial" w:cs="Arial"/>
          <w:color w:val="222222"/>
          <w:sz w:val="20"/>
          <w:shd w:val="clear" w:color="auto" w:fill="FFFFFF"/>
        </w:rPr>
        <w:t xml:space="preserve"> partnership in household waste </w:t>
      </w:r>
      <w:r w:rsidRPr="00875E97">
        <w:rPr>
          <w:rFonts w:ascii="Arial" w:hAnsi="Arial" w:cs="Arial"/>
          <w:color w:val="222222"/>
          <w:sz w:val="20"/>
          <w:shd w:val="clear" w:color="auto" w:fill="FFFFFF"/>
        </w:rPr>
        <w:t>management as perceived by residents in south-west Nigeria. </w:t>
      </w:r>
      <w:r w:rsidRPr="00875E97">
        <w:rPr>
          <w:rFonts w:ascii="Arial" w:hAnsi="Arial" w:cs="Arial"/>
          <w:i/>
          <w:iCs/>
          <w:color w:val="222222"/>
          <w:sz w:val="20"/>
          <w:shd w:val="clear" w:color="auto" w:fill="FFFFFF"/>
        </w:rPr>
        <w:t xml:space="preserve">Waste </w:t>
      </w:r>
      <w:proofErr w:type="gramStart"/>
      <w:r w:rsidRPr="00875E97">
        <w:rPr>
          <w:rFonts w:ascii="Arial" w:hAnsi="Arial" w:cs="Arial"/>
          <w:i/>
          <w:iCs/>
          <w:color w:val="222222"/>
          <w:sz w:val="20"/>
          <w:shd w:val="clear" w:color="auto" w:fill="FFFFFF"/>
        </w:rPr>
        <w:t>management  &amp;</w:t>
      </w:r>
      <w:proofErr w:type="gramEnd"/>
      <w:r w:rsidRPr="00875E97">
        <w:rPr>
          <w:rFonts w:ascii="Arial" w:hAnsi="Arial" w:cs="Arial"/>
          <w:i/>
          <w:iCs/>
          <w:color w:val="222222"/>
          <w:sz w:val="20"/>
          <w:shd w:val="clear" w:color="auto" w:fill="FFFFFF"/>
        </w:rPr>
        <w:t xml:space="preserve"> research</w:t>
      </w:r>
      <w:r w:rsidRPr="00875E97">
        <w:rPr>
          <w:rFonts w:ascii="Arial" w:hAnsi="Arial" w:cs="Arial"/>
          <w:color w:val="222222"/>
          <w:sz w:val="20"/>
          <w:shd w:val="clear" w:color="auto" w:fill="FFFFFF"/>
        </w:rPr>
        <w:t>, </w:t>
      </w:r>
      <w:r w:rsidRPr="00875E97">
        <w:rPr>
          <w:rFonts w:ascii="Arial" w:hAnsi="Arial" w:cs="Arial"/>
          <w:i/>
          <w:iCs/>
          <w:color w:val="222222"/>
          <w:sz w:val="20"/>
          <w:shd w:val="clear" w:color="auto" w:fill="FFFFFF"/>
        </w:rPr>
        <w:t>30</w:t>
      </w:r>
      <w:r w:rsidRPr="00875E97">
        <w:rPr>
          <w:rFonts w:ascii="Arial" w:hAnsi="Arial" w:cs="Arial"/>
          <w:color w:val="222222"/>
          <w:sz w:val="20"/>
          <w:shd w:val="clear" w:color="auto" w:fill="FFFFFF"/>
        </w:rPr>
        <w:t>(8), 781-788.</w:t>
      </w:r>
    </w:p>
    <w:p w14:paraId="2E95A5C3" w14:textId="77777777" w:rsidR="00A209C2" w:rsidRPr="00875E97" w:rsidRDefault="000D6A12" w:rsidP="00751C27">
      <w:pPr>
        <w:autoSpaceDE w:val="0"/>
        <w:autoSpaceDN w:val="0"/>
        <w:adjustRightInd w:val="0"/>
        <w:spacing w:after="0" w:line="240" w:lineRule="auto"/>
        <w:ind w:left="720" w:hanging="720"/>
        <w:jc w:val="both"/>
        <w:rPr>
          <w:rFonts w:ascii="Arial" w:hAnsi="Arial" w:cs="Arial"/>
          <w:color w:val="222222"/>
          <w:sz w:val="20"/>
          <w:shd w:val="clear" w:color="auto" w:fill="FFFFFF"/>
        </w:rPr>
      </w:pPr>
      <w:r w:rsidRPr="00875E97">
        <w:rPr>
          <w:rFonts w:ascii="Arial" w:hAnsi="Arial" w:cs="Arial"/>
          <w:color w:val="222222"/>
          <w:sz w:val="20"/>
          <w:shd w:val="clear" w:color="auto" w:fill="FFFFFF"/>
        </w:rPr>
        <w:t>Forsyth, T. (2005). Building deliberative public–private partnerships for waste management in Asia. </w:t>
      </w:r>
      <w:proofErr w:type="spellStart"/>
      <w:r w:rsidRPr="00875E97">
        <w:rPr>
          <w:rFonts w:ascii="Arial" w:hAnsi="Arial" w:cs="Arial"/>
          <w:i/>
          <w:iCs/>
          <w:color w:val="222222"/>
          <w:sz w:val="20"/>
          <w:shd w:val="clear" w:color="auto" w:fill="FFFFFF"/>
        </w:rPr>
        <w:t>Geoforum</w:t>
      </w:r>
      <w:proofErr w:type="spellEnd"/>
      <w:r w:rsidRPr="00875E97">
        <w:rPr>
          <w:rFonts w:ascii="Arial" w:hAnsi="Arial" w:cs="Arial"/>
          <w:color w:val="222222"/>
          <w:sz w:val="20"/>
          <w:shd w:val="clear" w:color="auto" w:fill="FFFFFF"/>
        </w:rPr>
        <w:t>, </w:t>
      </w:r>
      <w:r w:rsidRPr="00875E97">
        <w:rPr>
          <w:rFonts w:ascii="Arial" w:hAnsi="Arial" w:cs="Arial"/>
          <w:i/>
          <w:iCs/>
          <w:color w:val="222222"/>
          <w:sz w:val="20"/>
          <w:shd w:val="clear" w:color="auto" w:fill="FFFFFF"/>
        </w:rPr>
        <w:t>36</w:t>
      </w:r>
      <w:r w:rsidRPr="00875E97">
        <w:rPr>
          <w:rFonts w:ascii="Arial" w:hAnsi="Arial" w:cs="Arial"/>
          <w:color w:val="222222"/>
          <w:sz w:val="20"/>
          <w:shd w:val="clear" w:color="auto" w:fill="FFFFFF"/>
        </w:rPr>
        <w:t>(4), 429-439.</w:t>
      </w:r>
      <w:r w:rsidR="00A209C2" w:rsidRPr="00875E97">
        <w:rPr>
          <w:rFonts w:ascii="Arial" w:hAnsi="Arial" w:cs="Arial"/>
          <w:color w:val="222222"/>
          <w:sz w:val="20"/>
          <w:shd w:val="clear" w:color="auto" w:fill="FFFFFF"/>
        </w:rPr>
        <w:t xml:space="preserve"> </w:t>
      </w:r>
    </w:p>
    <w:p w14:paraId="3E04E569" w14:textId="77777777" w:rsidR="000D6A12" w:rsidRPr="00875E97" w:rsidRDefault="00A209C2" w:rsidP="00751C27">
      <w:pPr>
        <w:autoSpaceDE w:val="0"/>
        <w:autoSpaceDN w:val="0"/>
        <w:adjustRightInd w:val="0"/>
        <w:spacing w:after="0" w:line="240" w:lineRule="auto"/>
        <w:ind w:left="720" w:hanging="720"/>
        <w:jc w:val="both"/>
        <w:rPr>
          <w:rFonts w:ascii="Arial" w:hAnsi="Arial" w:cs="Arial"/>
          <w:color w:val="222222"/>
          <w:sz w:val="20"/>
          <w:shd w:val="clear" w:color="auto" w:fill="FFFFFF"/>
        </w:rPr>
      </w:pPr>
      <w:r w:rsidRPr="00875E97">
        <w:rPr>
          <w:rFonts w:ascii="Arial" w:hAnsi="Arial" w:cs="Arial"/>
          <w:color w:val="222222"/>
          <w:sz w:val="20"/>
          <w:shd w:val="clear" w:color="auto" w:fill="FFFFFF"/>
        </w:rPr>
        <w:t xml:space="preserve">Ganesh, S. V., Suresh, V., Barnabas, S. G., &amp; </w:t>
      </w:r>
      <w:proofErr w:type="spellStart"/>
      <w:r w:rsidRPr="00875E97">
        <w:rPr>
          <w:rFonts w:ascii="Arial" w:hAnsi="Arial" w:cs="Arial"/>
          <w:color w:val="222222"/>
          <w:sz w:val="20"/>
          <w:shd w:val="clear" w:color="auto" w:fill="FFFFFF"/>
        </w:rPr>
        <w:t>Rajakarunakaran</w:t>
      </w:r>
      <w:proofErr w:type="spellEnd"/>
      <w:r w:rsidRPr="00875E97">
        <w:rPr>
          <w:rFonts w:ascii="Arial" w:hAnsi="Arial" w:cs="Arial"/>
          <w:color w:val="222222"/>
          <w:sz w:val="20"/>
          <w:shd w:val="clear" w:color="auto" w:fill="FFFFFF"/>
        </w:rPr>
        <w:t>, S. (2024). Innovative solid waste management strategies for smart cities in Tamil Nadu: challenges, technological solutions, and sustainable prospects. </w:t>
      </w:r>
      <w:r w:rsidRPr="00875E97">
        <w:rPr>
          <w:rFonts w:ascii="Arial" w:hAnsi="Arial" w:cs="Arial"/>
          <w:i/>
          <w:iCs/>
          <w:color w:val="222222"/>
          <w:sz w:val="20"/>
          <w:shd w:val="clear" w:color="auto" w:fill="FFFFFF"/>
        </w:rPr>
        <w:t>Discover Applied Sciences</w:t>
      </w:r>
      <w:r w:rsidRPr="00875E97">
        <w:rPr>
          <w:rFonts w:ascii="Arial" w:hAnsi="Arial" w:cs="Arial"/>
          <w:color w:val="222222"/>
          <w:sz w:val="20"/>
          <w:shd w:val="clear" w:color="auto" w:fill="FFFFFF"/>
        </w:rPr>
        <w:t>, </w:t>
      </w:r>
      <w:r w:rsidRPr="00875E97">
        <w:rPr>
          <w:rFonts w:ascii="Arial" w:hAnsi="Arial" w:cs="Arial"/>
          <w:i/>
          <w:iCs/>
          <w:color w:val="222222"/>
          <w:sz w:val="20"/>
          <w:shd w:val="clear" w:color="auto" w:fill="FFFFFF"/>
        </w:rPr>
        <w:t>6</w:t>
      </w:r>
      <w:r w:rsidRPr="00875E97">
        <w:rPr>
          <w:rFonts w:ascii="Arial" w:hAnsi="Arial" w:cs="Arial"/>
          <w:color w:val="222222"/>
          <w:sz w:val="20"/>
          <w:shd w:val="clear" w:color="auto" w:fill="FFFFFF"/>
        </w:rPr>
        <w:t>(12), 1-18.</w:t>
      </w:r>
    </w:p>
    <w:p w14:paraId="5CE1C722" w14:textId="77777777" w:rsidR="000D6A12" w:rsidRPr="00875E97" w:rsidRDefault="000D6A12" w:rsidP="00751C27">
      <w:pPr>
        <w:autoSpaceDE w:val="0"/>
        <w:autoSpaceDN w:val="0"/>
        <w:adjustRightInd w:val="0"/>
        <w:spacing w:after="0" w:line="240" w:lineRule="auto"/>
        <w:ind w:left="720" w:hanging="720"/>
        <w:jc w:val="both"/>
        <w:rPr>
          <w:rFonts w:ascii="Arial" w:hAnsi="Arial" w:cs="Arial"/>
          <w:color w:val="222222"/>
          <w:sz w:val="20"/>
          <w:shd w:val="clear" w:color="auto" w:fill="FFFFFF"/>
        </w:rPr>
      </w:pPr>
      <w:r w:rsidRPr="00875E97">
        <w:rPr>
          <w:rFonts w:ascii="Arial" w:hAnsi="Arial" w:cs="Arial"/>
          <w:color w:val="222222"/>
          <w:sz w:val="20"/>
          <w:shd w:val="clear" w:color="auto" w:fill="FFFFFF"/>
        </w:rPr>
        <w:t xml:space="preserve"> Hardin, G. (1968). The tragedy of the Commons</w:t>
      </w:r>
      <w:proofErr w:type="gramStart"/>
      <w:r w:rsidRPr="00875E97">
        <w:rPr>
          <w:rFonts w:ascii="Arial" w:hAnsi="Arial" w:cs="Arial"/>
          <w:color w:val="222222"/>
          <w:sz w:val="20"/>
          <w:shd w:val="clear" w:color="auto" w:fill="FFFFFF"/>
        </w:rPr>
        <w:t xml:space="preserve">", </w:t>
      </w:r>
      <w:r w:rsidR="00784562" w:rsidRPr="00875E97">
        <w:rPr>
          <w:rFonts w:ascii="Arial" w:hAnsi="Arial" w:cs="Arial"/>
          <w:color w:val="222222"/>
          <w:sz w:val="20"/>
          <w:shd w:val="clear" w:color="auto" w:fill="FFFFFF"/>
        </w:rPr>
        <w:t xml:space="preserve"> </w:t>
      </w:r>
      <w:r w:rsidRPr="00875E97">
        <w:rPr>
          <w:rFonts w:ascii="Arial" w:hAnsi="Arial" w:cs="Arial"/>
          <w:color w:val="222222"/>
          <w:sz w:val="20"/>
          <w:shd w:val="clear" w:color="auto" w:fill="FFFFFF"/>
        </w:rPr>
        <w:t>Science</w:t>
      </w:r>
      <w:proofErr w:type="gramEnd"/>
      <w:r w:rsidRPr="00875E97">
        <w:rPr>
          <w:rFonts w:ascii="Arial" w:hAnsi="Arial" w:cs="Arial"/>
          <w:color w:val="222222"/>
          <w:sz w:val="20"/>
          <w:shd w:val="clear" w:color="auto" w:fill="FFFFFF"/>
        </w:rPr>
        <w:t>, N 162. </w:t>
      </w:r>
      <w:r w:rsidRPr="00875E97">
        <w:rPr>
          <w:rFonts w:ascii="Arial" w:hAnsi="Arial" w:cs="Arial"/>
          <w:i/>
          <w:iCs/>
          <w:color w:val="222222"/>
          <w:sz w:val="20"/>
          <w:shd w:val="clear" w:color="auto" w:fill="FFFFFF"/>
        </w:rPr>
        <w:t xml:space="preserve">WWW </w:t>
      </w:r>
      <w:proofErr w:type="spellStart"/>
      <w:r w:rsidRPr="00875E97">
        <w:rPr>
          <w:rFonts w:ascii="Arial" w:hAnsi="Arial" w:cs="Arial"/>
          <w:i/>
          <w:iCs/>
          <w:color w:val="222222"/>
          <w:sz w:val="20"/>
          <w:shd w:val="clear" w:color="auto" w:fill="FFFFFF"/>
        </w:rPr>
        <w:t>Cormas</w:t>
      </w:r>
      <w:proofErr w:type="spellEnd"/>
      <w:r w:rsidRPr="00875E97">
        <w:rPr>
          <w:rFonts w:ascii="Arial" w:hAnsi="Arial" w:cs="Arial"/>
          <w:i/>
          <w:iCs/>
          <w:color w:val="222222"/>
          <w:sz w:val="20"/>
          <w:shd w:val="clear" w:color="auto" w:fill="FFFFFF"/>
        </w:rPr>
        <w:t xml:space="preserve">. </w:t>
      </w:r>
      <w:proofErr w:type="spellStart"/>
      <w:r w:rsidRPr="00875E97">
        <w:rPr>
          <w:rFonts w:ascii="Arial" w:hAnsi="Arial" w:cs="Arial"/>
          <w:i/>
          <w:iCs/>
          <w:color w:val="222222"/>
          <w:sz w:val="20"/>
          <w:shd w:val="clear" w:color="auto" w:fill="FFFFFF"/>
        </w:rPr>
        <w:t>cirad</w:t>
      </w:r>
      <w:proofErr w:type="spellEnd"/>
      <w:r w:rsidRPr="00875E97">
        <w:rPr>
          <w:rFonts w:ascii="Arial" w:hAnsi="Arial" w:cs="Arial"/>
          <w:i/>
          <w:iCs/>
          <w:color w:val="222222"/>
          <w:sz w:val="20"/>
          <w:shd w:val="clear" w:color="auto" w:fill="FFFFFF"/>
        </w:rPr>
        <w:t xml:space="preserve">. </w:t>
      </w:r>
      <w:proofErr w:type="spellStart"/>
      <w:r w:rsidRPr="00875E97">
        <w:rPr>
          <w:rFonts w:ascii="Arial" w:hAnsi="Arial" w:cs="Arial"/>
          <w:i/>
          <w:iCs/>
          <w:color w:val="222222"/>
          <w:sz w:val="20"/>
          <w:shd w:val="clear" w:color="auto" w:fill="FFFFFF"/>
        </w:rPr>
        <w:t>fr</w:t>
      </w:r>
      <w:proofErr w:type="spellEnd"/>
      <w:r w:rsidRPr="00875E97">
        <w:rPr>
          <w:rFonts w:ascii="Arial" w:hAnsi="Arial" w:cs="Arial"/>
          <w:i/>
          <w:iCs/>
          <w:color w:val="222222"/>
          <w:sz w:val="20"/>
          <w:shd w:val="clear" w:color="auto" w:fill="FFFFFF"/>
        </w:rPr>
        <w:t>/</w:t>
      </w:r>
      <w:proofErr w:type="spellStart"/>
      <w:r w:rsidRPr="00875E97">
        <w:rPr>
          <w:rFonts w:ascii="Arial" w:hAnsi="Arial" w:cs="Arial"/>
          <w:i/>
          <w:iCs/>
          <w:color w:val="222222"/>
          <w:sz w:val="20"/>
          <w:shd w:val="clear" w:color="auto" w:fill="FFFFFF"/>
        </w:rPr>
        <w:t>demarch</w:t>
      </w:r>
      <w:proofErr w:type="spellEnd"/>
      <w:r w:rsidRPr="00875E97">
        <w:rPr>
          <w:rFonts w:ascii="Arial" w:hAnsi="Arial" w:cs="Arial"/>
          <w:i/>
          <w:iCs/>
          <w:color w:val="222222"/>
          <w:sz w:val="20"/>
          <w:shd w:val="clear" w:color="auto" w:fill="FFFFFF"/>
        </w:rPr>
        <w:t>/gestion. htm</w:t>
      </w:r>
      <w:r w:rsidRPr="00875E97">
        <w:rPr>
          <w:rFonts w:ascii="Arial" w:hAnsi="Arial" w:cs="Arial"/>
          <w:color w:val="222222"/>
          <w:sz w:val="20"/>
          <w:shd w:val="clear" w:color="auto" w:fill="FFFFFF"/>
        </w:rPr>
        <w:t>.</w:t>
      </w:r>
    </w:p>
    <w:p w14:paraId="5CA142F5" w14:textId="77777777" w:rsidR="000D6A12" w:rsidRPr="00875E97" w:rsidRDefault="000D6A12" w:rsidP="00751C27">
      <w:pPr>
        <w:autoSpaceDE w:val="0"/>
        <w:autoSpaceDN w:val="0"/>
        <w:adjustRightInd w:val="0"/>
        <w:spacing w:after="0" w:line="240" w:lineRule="auto"/>
        <w:ind w:left="720" w:hanging="720"/>
        <w:jc w:val="both"/>
        <w:rPr>
          <w:rFonts w:ascii="Arial" w:hAnsi="Arial" w:cs="Arial"/>
          <w:i/>
          <w:iCs/>
          <w:color w:val="222222"/>
          <w:sz w:val="20"/>
          <w:shd w:val="clear" w:color="auto" w:fill="FFFFFF"/>
        </w:rPr>
      </w:pPr>
      <w:r w:rsidRPr="00875E97">
        <w:rPr>
          <w:rFonts w:ascii="Arial" w:hAnsi="Arial" w:cs="Arial"/>
          <w:color w:val="222222"/>
          <w:sz w:val="20"/>
          <w:shd w:val="clear" w:color="auto" w:fill="FFFFFF"/>
        </w:rPr>
        <w:t xml:space="preserve"> Hoang, A. T., </w:t>
      </w:r>
      <w:proofErr w:type="spellStart"/>
      <w:r w:rsidRPr="00875E97">
        <w:rPr>
          <w:rFonts w:ascii="Arial" w:hAnsi="Arial" w:cs="Arial"/>
          <w:color w:val="222222"/>
          <w:sz w:val="20"/>
          <w:shd w:val="clear" w:color="auto" w:fill="FFFFFF"/>
        </w:rPr>
        <w:t>Varbanov</w:t>
      </w:r>
      <w:proofErr w:type="spellEnd"/>
      <w:r w:rsidRPr="00875E97">
        <w:rPr>
          <w:rFonts w:ascii="Arial" w:hAnsi="Arial" w:cs="Arial"/>
          <w:color w:val="222222"/>
          <w:sz w:val="20"/>
          <w:shd w:val="clear" w:color="auto" w:fill="FFFFFF"/>
        </w:rPr>
        <w:t xml:space="preserve">, P. S., </w:t>
      </w:r>
      <w:proofErr w:type="spellStart"/>
      <w:r w:rsidRPr="00875E97">
        <w:rPr>
          <w:rFonts w:ascii="Arial" w:hAnsi="Arial" w:cs="Arial"/>
          <w:color w:val="222222"/>
          <w:sz w:val="20"/>
          <w:shd w:val="clear" w:color="auto" w:fill="FFFFFF"/>
        </w:rPr>
        <w:t>Nižetić</w:t>
      </w:r>
      <w:proofErr w:type="spellEnd"/>
      <w:r w:rsidRPr="00875E97">
        <w:rPr>
          <w:rFonts w:ascii="Arial" w:hAnsi="Arial" w:cs="Arial"/>
          <w:color w:val="222222"/>
          <w:sz w:val="20"/>
          <w:shd w:val="clear" w:color="auto" w:fill="FFFFFF"/>
        </w:rPr>
        <w:t xml:space="preserve">, S., </w:t>
      </w:r>
      <w:proofErr w:type="spellStart"/>
      <w:r w:rsidRPr="00875E97">
        <w:rPr>
          <w:rFonts w:ascii="Arial" w:hAnsi="Arial" w:cs="Arial"/>
          <w:color w:val="222222"/>
          <w:sz w:val="20"/>
          <w:shd w:val="clear" w:color="auto" w:fill="FFFFFF"/>
        </w:rPr>
        <w:t>Sirohi</w:t>
      </w:r>
      <w:proofErr w:type="spellEnd"/>
      <w:r w:rsidRPr="00875E97">
        <w:rPr>
          <w:rFonts w:ascii="Arial" w:hAnsi="Arial" w:cs="Arial"/>
          <w:color w:val="222222"/>
          <w:sz w:val="20"/>
          <w:shd w:val="clear" w:color="auto" w:fill="FFFFFF"/>
        </w:rPr>
        <w:t xml:space="preserve">, R., Pandey, A., </w:t>
      </w:r>
      <w:proofErr w:type="spellStart"/>
      <w:r w:rsidRPr="00875E97">
        <w:rPr>
          <w:rFonts w:ascii="Arial" w:hAnsi="Arial" w:cs="Arial"/>
          <w:color w:val="222222"/>
          <w:sz w:val="20"/>
          <w:shd w:val="clear" w:color="auto" w:fill="FFFFFF"/>
        </w:rPr>
        <w:t>Luque</w:t>
      </w:r>
      <w:proofErr w:type="spellEnd"/>
      <w:r w:rsidRPr="00875E97">
        <w:rPr>
          <w:rFonts w:ascii="Arial" w:hAnsi="Arial" w:cs="Arial"/>
          <w:color w:val="222222"/>
          <w:sz w:val="20"/>
          <w:shd w:val="clear" w:color="auto" w:fill="FFFFFF"/>
        </w:rPr>
        <w:t>, R., &amp; Ng, K. H. (2022). Perspective review on Municipal Solid Waste-to-energy route: Characteristics, management strategy, and role in circular economy. </w:t>
      </w:r>
      <w:r w:rsidRPr="00875E97">
        <w:rPr>
          <w:rFonts w:ascii="Arial" w:hAnsi="Arial" w:cs="Arial"/>
          <w:i/>
          <w:iCs/>
          <w:color w:val="222222"/>
          <w:sz w:val="20"/>
          <w:shd w:val="clear" w:color="auto" w:fill="FFFFFF"/>
        </w:rPr>
        <w:t xml:space="preserve">Journal of </w:t>
      </w:r>
      <w:proofErr w:type="gramStart"/>
      <w:r w:rsidRPr="00875E97">
        <w:rPr>
          <w:rFonts w:ascii="Arial" w:hAnsi="Arial" w:cs="Arial"/>
          <w:i/>
          <w:iCs/>
          <w:color w:val="222222"/>
          <w:sz w:val="20"/>
          <w:shd w:val="clear" w:color="auto" w:fill="FFFFFF"/>
        </w:rPr>
        <w:t xml:space="preserve">cleaner </w:t>
      </w:r>
      <w:r w:rsidR="00784562" w:rsidRPr="00875E97">
        <w:rPr>
          <w:rFonts w:ascii="Arial" w:hAnsi="Arial" w:cs="Arial"/>
          <w:i/>
          <w:iCs/>
          <w:color w:val="222222"/>
          <w:sz w:val="20"/>
          <w:shd w:val="clear" w:color="auto" w:fill="FFFFFF"/>
        </w:rPr>
        <w:t xml:space="preserve"> </w:t>
      </w:r>
      <w:r w:rsidRPr="00875E97">
        <w:rPr>
          <w:rFonts w:ascii="Arial" w:hAnsi="Arial" w:cs="Arial"/>
          <w:i/>
          <w:iCs/>
          <w:color w:val="222222"/>
          <w:sz w:val="20"/>
          <w:shd w:val="clear" w:color="auto" w:fill="FFFFFF"/>
        </w:rPr>
        <w:t>production</w:t>
      </w:r>
      <w:proofErr w:type="gramEnd"/>
      <w:r w:rsidRPr="00875E97">
        <w:rPr>
          <w:rFonts w:ascii="Arial" w:hAnsi="Arial" w:cs="Arial"/>
          <w:color w:val="222222"/>
          <w:sz w:val="20"/>
          <w:shd w:val="clear" w:color="auto" w:fill="FFFFFF"/>
        </w:rPr>
        <w:t>, </w:t>
      </w:r>
      <w:r w:rsidRPr="00875E97">
        <w:rPr>
          <w:rFonts w:ascii="Arial" w:hAnsi="Arial" w:cs="Arial"/>
          <w:i/>
          <w:iCs/>
          <w:color w:val="222222"/>
          <w:sz w:val="20"/>
          <w:shd w:val="clear" w:color="auto" w:fill="FFFFFF"/>
        </w:rPr>
        <w:t>359</w:t>
      </w:r>
      <w:r w:rsidRPr="00875E97">
        <w:rPr>
          <w:rFonts w:ascii="Arial" w:hAnsi="Arial" w:cs="Arial"/>
          <w:color w:val="222222"/>
          <w:sz w:val="20"/>
          <w:shd w:val="clear" w:color="auto" w:fill="FFFFFF"/>
        </w:rPr>
        <w:t>, 131897.</w:t>
      </w:r>
    </w:p>
    <w:p w14:paraId="3192A884" w14:textId="77777777" w:rsidR="000D6A12" w:rsidRPr="00875E97" w:rsidRDefault="000D6A12" w:rsidP="00751C27">
      <w:pPr>
        <w:autoSpaceDE w:val="0"/>
        <w:autoSpaceDN w:val="0"/>
        <w:adjustRightInd w:val="0"/>
        <w:spacing w:after="0" w:line="240" w:lineRule="auto"/>
        <w:ind w:left="720" w:hanging="720"/>
        <w:jc w:val="both"/>
        <w:rPr>
          <w:rFonts w:ascii="Arial" w:hAnsi="Arial" w:cs="Arial"/>
          <w:color w:val="222222"/>
          <w:sz w:val="20"/>
          <w:shd w:val="clear" w:color="auto" w:fill="FFFFFF"/>
        </w:rPr>
      </w:pPr>
      <w:r w:rsidRPr="00875E97">
        <w:rPr>
          <w:rFonts w:ascii="Arial" w:hAnsi="Arial" w:cs="Arial"/>
          <w:color w:val="222222"/>
          <w:sz w:val="20"/>
          <w:shd w:val="clear" w:color="auto" w:fill="FFFFFF"/>
        </w:rPr>
        <w:t xml:space="preserve">Khan, A. H., López-Maldonado, E. A., Khan, N. A., Villarreal-Gómez, L. J., Munshi, F. M., </w:t>
      </w:r>
      <w:proofErr w:type="spellStart"/>
      <w:r w:rsidRPr="00875E97">
        <w:rPr>
          <w:rFonts w:ascii="Arial" w:hAnsi="Arial" w:cs="Arial"/>
          <w:color w:val="222222"/>
          <w:sz w:val="20"/>
          <w:shd w:val="clear" w:color="auto" w:fill="FFFFFF"/>
        </w:rPr>
        <w:t>Alsabhan</w:t>
      </w:r>
      <w:proofErr w:type="spellEnd"/>
      <w:r w:rsidRPr="00875E97">
        <w:rPr>
          <w:rFonts w:ascii="Arial" w:hAnsi="Arial" w:cs="Arial"/>
          <w:color w:val="222222"/>
          <w:sz w:val="20"/>
          <w:shd w:val="clear" w:color="auto" w:fill="FFFFFF"/>
        </w:rPr>
        <w:t xml:space="preserve">, A. H., &amp; </w:t>
      </w:r>
      <w:proofErr w:type="spellStart"/>
      <w:r w:rsidRPr="00875E97">
        <w:rPr>
          <w:rFonts w:ascii="Arial" w:hAnsi="Arial" w:cs="Arial"/>
          <w:color w:val="222222"/>
          <w:sz w:val="20"/>
          <w:shd w:val="clear" w:color="auto" w:fill="FFFFFF"/>
        </w:rPr>
        <w:t>Perveen</w:t>
      </w:r>
      <w:proofErr w:type="spellEnd"/>
      <w:r w:rsidRPr="00875E97">
        <w:rPr>
          <w:rFonts w:ascii="Arial" w:hAnsi="Arial" w:cs="Arial"/>
          <w:color w:val="222222"/>
          <w:sz w:val="20"/>
          <w:shd w:val="clear" w:color="auto" w:fill="FFFFFF"/>
        </w:rPr>
        <w:t>, K. (2022). Current solid waste management strategies and energy recovery in developing countries-State of art review. </w:t>
      </w:r>
      <w:proofErr w:type="gramStart"/>
      <w:r w:rsidRPr="00875E97">
        <w:rPr>
          <w:rFonts w:ascii="Arial" w:hAnsi="Arial" w:cs="Arial"/>
          <w:i/>
          <w:iCs/>
          <w:color w:val="222222"/>
          <w:sz w:val="20"/>
          <w:shd w:val="clear" w:color="auto" w:fill="FFFFFF"/>
        </w:rPr>
        <w:t>Chemosphere</w:t>
      </w:r>
      <w:r w:rsidRPr="00875E97">
        <w:rPr>
          <w:rFonts w:ascii="Arial" w:hAnsi="Arial" w:cs="Arial"/>
          <w:color w:val="222222"/>
          <w:sz w:val="20"/>
          <w:shd w:val="clear" w:color="auto" w:fill="FFFFFF"/>
        </w:rPr>
        <w:t>, </w:t>
      </w:r>
      <w:r w:rsidR="00784562" w:rsidRPr="00875E97">
        <w:rPr>
          <w:rFonts w:ascii="Arial" w:hAnsi="Arial" w:cs="Arial"/>
          <w:color w:val="222222"/>
          <w:sz w:val="20"/>
          <w:shd w:val="clear" w:color="auto" w:fill="FFFFFF"/>
        </w:rPr>
        <w:t xml:space="preserve"> </w:t>
      </w:r>
      <w:r w:rsidRPr="00875E97">
        <w:rPr>
          <w:rFonts w:ascii="Arial" w:hAnsi="Arial" w:cs="Arial"/>
          <w:i/>
          <w:iCs/>
          <w:color w:val="222222"/>
          <w:sz w:val="20"/>
          <w:shd w:val="clear" w:color="auto" w:fill="FFFFFF"/>
        </w:rPr>
        <w:t>291</w:t>
      </w:r>
      <w:proofErr w:type="gramEnd"/>
      <w:r w:rsidRPr="00875E97">
        <w:rPr>
          <w:rFonts w:ascii="Arial" w:hAnsi="Arial" w:cs="Arial"/>
          <w:color w:val="222222"/>
          <w:sz w:val="20"/>
          <w:shd w:val="clear" w:color="auto" w:fill="FFFFFF"/>
        </w:rPr>
        <w:t>, 133088.</w:t>
      </w:r>
    </w:p>
    <w:p w14:paraId="62579EED" w14:textId="77777777" w:rsidR="000D6A12" w:rsidRPr="00875E97" w:rsidRDefault="000D6A12" w:rsidP="00751C27">
      <w:pPr>
        <w:spacing w:line="240" w:lineRule="auto"/>
        <w:ind w:left="720" w:hanging="720"/>
        <w:jc w:val="both"/>
        <w:rPr>
          <w:rFonts w:ascii="Arial" w:hAnsi="Arial" w:cs="Arial"/>
          <w:color w:val="222222"/>
          <w:sz w:val="20"/>
          <w:shd w:val="clear" w:color="auto" w:fill="FFFFFF"/>
        </w:rPr>
      </w:pPr>
      <w:proofErr w:type="spellStart"/>
      <w:r w:rsidRPr="00875E97">
        <w:rPr>
          <w:rFonts w:ascii="Arial" w:hAnsi="Arial" w:cs="Arial"/>
          <w:color w:val="222222"/>
          <w:sz w:val="20"/>
          <w:shd w:val="clear" w:color="auto" w:fill="FFFFFF"/>
        </w:rPr>
        <w:t>Krewitt</w:t>
      </w:r>
      <w:proofErr w:type="spellEnd"/>
      <w:r w:rsidRPr="00875E97">
        <w:rPr>
          <w:rFonts w:ascii="Arial" w:hAnsi="Arial" w:cs="Arial"/>
          <w:color w:val="222222"/>
          <w:sz w:val="20"/>
          <w:shd w:val="clear" w:color="auto" w:fill="FFFFFF"/>
        </w:rPr>
        <w:t xml:space="preserve">, W., Friedrich, R., Heck, T., &amp; </w:t>
      </w:r>
      <w:proofErr w:type="spellStart"/>
      <w:r w:rsidRPr="00875E97">
        <w:rPr>
          <w:rFonts w:ascii="Arial" w:hAnsi="Arial" w:cs="Arial"/>
          <w:color w:val="222222"/>
          <w:sz w:val="20"/>
          <w:shd w:val="clear" w:color="auto" w:fill="FFFFFF"/>
        </w:rPr>
        <w:t>Mayerhofer</w:t>
      </w:r>
      <w:proofErr w:type="spellEnd"/>
      <w:r w:rsidRPr="00875E97">
        <w:rPr>
          <w:rFonts w:ascii="Arial" w:hAnsi="Arial" w:cs="Arial"/>
          <w:color w:val="222222"/>
          <w:sz w:val="20"/>
          <w:shd w:val="clear" w:color="auto" w:fill="FFFFFF"/>
        </w:rPr>
        <w:t>, P. (1998). Assessment of environmental and health benefits from the implementation of the UN-ECE protocols on long range transboundary air pollution. </w:t>
      </w:r>
      <w:r w:rsidRPr="00875E97">
        <w:rPr>
          <w:rFonts w:ascii="Arial" w:hAnsi="Arial" w:cs="Arial"/>
          <w:i/>
          <w:iCs/>
          <w:color w:val="222222"/>
          <w:sz w:val="20"/>
          <w:shd w:val="clear" w:color="auto" w:fill="FFFFFF"/>
        </w:rPr>
        <w:t>Journal of hazardous materials</w:t>
      </w:r>
      <w:r w:rsidRPr="00875E97">
        <w:rPr>
          <w:rFonts w:ascii="Arial" w:hAnsi="Arial" w:cs="Arial"/>
          <w:color w:val="222222"/>
          <w:sz w:val="20"/>
          <w:shd w:val="clear" w:color="auto" w:fill="FFFFFF"/>
        </w:rPr>
        <w:t>, </w:t>
      </w:r>
      <w:r w:rsidRPr="00875E97">
        <w:rPr>
          <w:rFonts w:ascii="Arial" w:hAnsi="Arial" w:cs="Arial"/>
          <w:i/>
          <w:iCs/>
          <w:color w:val="222222"/>
          <w:sz w:val="20"/>
          <w:shd w:val="clear" w:color="auto" w:fill="FFFFFF"/>
        </w:rPr>
        <w:t>61</w:t>
      </w:r>
      <w:r w:rsidRPr="00875E97">
        <w:rPr>
          <w:rFonts w:ascii="Arial" w:hAnsi="Arial" w:cs="Arial"/>
          <w:color w:val="222222"/>
          <w:sz w:val="20"/>
          <w:shd w:val="clear" w:color="auto" w:fill="FFFFFF"/>
        </w:rPr>
        <w:t>(1-3), 239-247.</w:t>
      </w:r>
    </w:p>
    <w:p w14:paraId="5678D52B" w14:textId="77777777" w:rsidR="000D6A12" w:rsidRPr="00875E97" w:rsidRDefault="000D6A12" w:rsidP="00751C27">
      <w:pPr>
        <w:autoSpaceDE w:val="0"/>
        <w:autoSpaceDN w:val="0"/>
        <w:adjustRightInd w:val="0"/>
        <w:spacing w:after="0" w:line="240" w:lineRule="auto"/>
        <w:ind w:left="720" w:hanging="720"/>
        <w:jc w:val="both"/>
        <w:rPr>
          <w:rFonts w:ascii="Arial" w:hAnsi="Arial" w:cs="Arial"/>
          <w:color w:val="222222"/>
          <w:sz w:val="20"/>
          <w:shd w:val="clear" w:color="auto" w:fill="FFFFFF"/>
        </w:rPr>
      </w:pPr>
      <w:proofErr w:type="spellStart"/>
      <w:r w:rsidRPr="00875E97">
        <w:rPr>
          <w:rFonts w:ascii="Arial" w:hAnsi="Arial" w:cs="Arial"/>
          <w:color w:val="222222"/>
          <w:sz w:val="20"/>
          <w:shd w:val="clear" w:color="auto" w:fill="FFFFFF"/>
        </w:rPr>
        <w:t>Obirih-Opareh</w:t>
      </w:r>
      <w:proofErr w:type="spellEnd"/>
      <w:r w:rsidRPr="00875E97">
        <w:rPr>
          <w:rFonts w:ascii="Arial" w:hAnsi="Arial" w:cs="Arial"/>
          <w:color w:val="222222"/>
          <w:sz w:val="20"/>
          <w:shd w:val="clear" w:color="auto" w:fill="FFFFFF"/>
        </w:rPr>
        <w:t xml:space="preserve">, N., &amp; Post, J. (2002). Quality assessment of public and private modes of solid waste collection in </w:t>
      </w:r>
      <w:proofErr w:type="gramStart"/>
      <w:r w:rsidRPr="00875E97">
        <w:rPr>
          <w:rFonts w:ascii="Arial" w:hAnsi="Arial" w:cs="Arial"/>
          <w:color w:val="222222"/>
          <w:sz w:val="20"/>
          <w:shd w:val="clear" w:color="auto" w:fill="FFFFFF"/>
        </w:rPr>
        <w:t xml:space="preserve">Accra, </w:t>
      </w:r>
      <w:r w:rsidR="00784562" w:rsidRPr="00875E97">
        <w:rPr>
          <w:rFonts w:ascii="Arial" w:hAnsi="Arial" w:cs="Arial"/>
          <w:color w:val="222222"/>
          <w:sz w:val="20"/>
          <w:shd w:val="clear" w:color="auto" w:fill="FFFFFF"/>
        </w:rPr>
        <w:t xml:space="preserve"> </w:t>
      </w:r>
      <w:r w:rsidRPr="00875E97">
        <w:rPr>
          <w:rFonts w:ascii="Arial" w:hAnsi="Arial" w:cs="Arial"/>
          <w:color w:val="222222"/>
          <w:sz w:val="20"/>
          <w:shd w:val="clear" w:color="auto" w:fill="FFFFFF"/>
        </w:rPr>
        <w:t>Ghana</w:t>
      </w:r>
      <w:proofErr w:type="gramEnd"/>
      <w:r w:rsidRPr="00875E97">
        <w:rPr>
          <w:rFonts w:ascii="Arial" w:hAnsi="Arial" w:cs="Arial"/>
          <w:color w:val="222222"/>
          <w:sz w:val="20"/>
          <w:shd w:val="clear" w:color="auto" w:fill="FFFFFF"/>
        </w:rPr>
        <w:t>. </w:t>
      </w:r>
      <w:r w:rsidRPr="00875E97">
        <w:rPr>
          <w:rFonts w:ascii="Arial" w:hAnsi="Arial" w:cs="Arial"/>
          <w:i/>
          <w:iCs/>
          <w:color w:val="222222"/>
          <w:sz w:val="20"/>
          <w:shd w:val="clear" w:color="auto" w:fill="FFFFFF"/>
        </w:rPr>
        <w:t>Habitat International</w:t>
      </w:r>
      <w:r w:rsidRPr="00875E97">
        <w:rPr>
          <w:rFonts w:ascii="Arial" w:hAnsi="Arial" w:cs="Arial"/>
          <w:color w:val="222222"/>
          <w:sz w:val="20"/>
          <w:shd w:val="clear" w:color="auto" w:fill="FFFFFF"/>
        </w:rPr>
        <w:t>, </w:t>
      </w:r>
      <w:r w:rsidRPr="00875E97">
        <w:rPr>
          <w:rFonts w:ascii="Arial" w:hAnsi="Arial" w:cs="Arial"/>
          <w:i/>
          <w:iCs/>
          <w:color w:val="222222"/>
          <w:sz w:val="20"/>
          <w:shd w:val="clear" w:color="auto" w:fill="FFFFFF"/>
        </w:rPr>
        <w:t>26</w:t>
      </w:r>
      <w:r w:rsidRPr="00875E97">
        <w:rPr>
          <w:rFonts w:ascii="Arial" w:hAnsi="Arial" w:cs="Arial"/>
          <w:color w:val="222222"/>
          <w:sz w:val="20"/>
          <w:shd w:val="clear" w:color="auto" w:fill="FFFFFF"/>
        </w:rPr>
        <w:t>(1), 95-112.</w:t>
      </w:r>
    </w:p>
    <w:p w14:paraId="7496C21D" w14:textId="77777777" w:rsidR="000D6A12" w:rsidRPr="00875E97" w:rsidRDefault="000D6A12" w:rsidP="00751C27">
      <w:pPr>
        <w:autoSpaceDE w:val="0"/>
        <w:autoSpaceDN w:val="0"/>
        <w:adjustRightInd w:val="0"/>
        <w:spacing w:after="0" w:line="240" w:lineRule="auto"/>
        <w:ind w:left="720" w:hanging="720"/>
        <w:jc w:val="both"/>
        <w:rPr>
          <w:rFonts w:ascii="Arial" w:hAnsi="Arial" w:cs="Arial"/>
          <w:color w:val="222222"/>
          <w:sz w:val="20"/>
          <w:shd w:val="clear" w:color="auto" w:fill="FFFFFF"/>
        </w:rPr>
      </w:pPr>
      <w:proofErr w:type="spellStart"/>
      <w:r w:rsidRPr="00875E97">
        <w:rPr>
          <w:rFonts w:ascii="Arial" w:hAnsi="Arial" w:cs="Arial"/>
          <w:color w:val="222222"/>
          <w:sz w:val="20"/>
          <w:shd w:val="clear" w:color="auto" w:fill="FFFFFF"/>
        </w:rPr>
        <w:t>Olukanni</w:t>
      </w:r>
      <w:proofErr w:type="spellEnd"/>
      <w:r w:rsidRPr="00875E97">
        <w:rPr>
          <w:rFonts w:ascii="Arial" w:hAnsi="Arial" w:cs="Arial"/>
          <w:color w:val="222222"/>
          <w:sz w:val="20"/>
          <w:shd w:val="clear" w:color="auto" w:fill="FFFFFF"/>
        </w:rPr>
        <w:t xml:space="preserve">, D. O., &amp; </w:t>
      </w:r>
      <w:proofErr w:type="spellStart"/>
      <w:r w:rsidRPr="00875E97">
        <w:rPr>
          <w:rFonts w:ascii="Arial" w:hAnsi="Arial" w:cs="Arial"/>
          <w:color w:val="222222"/>
          <w:sz w:val="20"/>
          <w:shd w:val="clear" w:color="auto" w:fill="FFFFFF"/>
        </w:rPr>
        <w:t>Nwafor</w:t>
      </w:r>
      <w:proofErr w:type="spellEnd"/>
      <w:r w:rsidRPr="00875E97">
        <w:rPr>
          <w:rFonts w:ascii="Arial" w:hAnsi="Arial" w:cs="Arial"/>
          <w:color w:val="222222"/>
          <w:sz w:val="20"/>
          <w:shd w:val="clear" w:color="auto" w:fill="FFFFFF"/>
        </w:rPr>
        <w:t xml:space="preserve">, C. O. (2019). Public-private sector involvement in providing efficient solid waste management services in Nigeria. </w:t>
      </w:r>
      <w:r w:rsidRPr="00875E97">
        <w:rPr>
          <w:rFonts w:ascii="Arial" w:hAnsi="Arial" w:cs="Arial"/>
          <w:i/>
          <w:color w:val="222222"/>
          <w:sz w:val="20"/>
          <w:shd w:val="clear" w:color="auto" w:fill="FFFFFF"/>
        </w:rPr>
        <w:t>Recycling</w:t>
      </w:r>
      <w:r w:rsidRPr="00875E97">
        <w:rPr>
          <w:rFonts w:ascii="Arial" w:hAnsi="Arial" w:cs="Arial"/>
          <w:color w:val="222222"/>
          <w:sz w:val="20"/>
          <w:shd w:val="clear" w:color="auto" w:fill="FFFFFF"/>
        </w:rPr>
        <w:t>, 4(2), 19 M. (2010).</w:t>
      </w:r>
    </w:p>
    <w:p w14:paraId="56A1B72A" w14:textId="77777777" w:rsidR="000D6A12" w:rsidRPr="00875E97" w:rsidRDefault="000D6A12" w:rsidP="00751C27">
      <w:pPr>
        <w:autoSpaceDE w:val="0"/>
        <w:autoSpaceDN w:val="0"/>
        <w:adjustRightInd w:val="0"/>
        <w:spacing w:after="0" w:line="240" w:lineRule="auto"/>
        <w:ind w:left="720" w:hanging="720"/>
        <w:jc w:val="both"/>
        <w:rPr>
          <w:rFonts w:ascii="Arial" w:hAnsi="Arial" w:cs="Arial"/>
          <w:color w:val="222222"/>
          <w:sz w:val="20"/>
          <w:shd w:val="clear" w:color="auto" w:fill="FFFFFF"/>
        </w:rPr>
      </w:pPr>
      <w:proofErr w:type="spellStart"/>
      <w:r w:rsidRPr="00875E97">
        <w:rPr>
          <w:rFonts w:ascii="Arial" w:hAnsi="Arial" w:cs="Arial"/>
          <w:color w:val="222222"/>
          <w:sz w:val="20"/>
          <w:shd w:val="clear" w:color="auto" w:fill="FFFFFF"/>
        </w:rPr>
        <w:t>Oteng-Ababio</w:t>
      </w:r>
      <w:proofErr w:type="spellEnd"/>
      <w:r w:rsidRPr="00875E97">
        <w:rPr>
          <w:rFonts w:ascii="Arial" w:hAnsi="Arial" w:cs="Arial"/>
          <w:color w:val="222222"/>
          <w:sz w:val="20"/>
          <w:shd w:val="clear" w:color="auto" w:fill="FFFFFF"/>
        </w:rPr>
        <w:t>, M (2010). Private sector involvement in solid waste management in the Greater Accra Metropolitan Area in Ghana. </w:t>
      </w:r>
      <w:r w:rsidRPr="00875E97">
        <w:rPr>
          <w:rFonts w:ascii="Arial" w:hAnsi="Arial" w:cs="Arial"/>
          <w:i/>
          <w:iCs/>
          <w:color w:val="222222"/>
          <w:sz w:val="20"/>
          <w:shd w:val="clear" w:color="auto" w:fill="FFFFFF"/>
        </w:rPr>
        <w:t>Waste Management &amp; Research</w:t>
      </w:r>
      <w:r w:rsidRPr="00875E97">
        <w:rPr>
          <w:rFonts w:ascii="Arial" w:hAnsi="Arial" w:cs="Arial"/>
          <w:color w:val="222222"/>
          <w:sz w:val="20"/>
          <w:shd w:val="clear" w:color="auto" w:fill="FFFFFF"/>
        </w:rPr>
        <w:t>, </w:t>
      </w:r>
      <w:r w:rsidRPr="00875E97">
        <w:rPr>
          <w:rFonts w:ascii="Arial" w:hAnsi="Arial" w:cs="Arial"/>
          <w:i/>
          <w:iCs/>
          <w:color w:val="222222"/>
          <w:sz w:val="20"/>
          <w:shd w:val="clear" w:color="auto" w:fill="FFFFFF"/>
        </w:rPr>
        <w:t>28</w:t>
      </w:r>
      <w:r w:rsidRPr="00875E97">
        <w:rPr>
          <w:rFonts w:ascii="Arial" w:hAnsi="Arial" w:cs="Arial"/>
          <w:color w:val="222222"/>
          <w:sz w:val="20"/>
          <w:shd w:val="clear" w:color="auto" w:fill="FFFFFF"/>
        </w:rPr>
        <w:t>(4), 322-329.</w:t>
      </w:r>
    </w:p>
    <w:p w14:paraId="14FC9E00" w14:textId="77777777" w:rsidR="004D1865" w:rsidRPr="00875E97" w:rsidRDefault="000D6A12" w:rsidP="00751C27">
      <w:pPr>
        <w:autoSpaceDE w:val="0"/>
        <w:autoSpaceDN w:val="0"/>
        <w:adjustRightInd w:val="0"/>
        <w:spacing w:after="0" w:line="240" w:lineRule="auto"/>
        <w:ind w:left="720" w:hanging="720"/>
        <w:jc w:val="both"/>
        <w:rPr>
          <w:rFonts w:ascii="Arial" w:hAnsi="Arial" w:cs="Arial"/>
          <w:color w:val="222222"/>
          <w:sz w:val="20"/>
          <w:shd w:val="clear" w:color="auto" w:fill="FFFFFF"/>
        </w:rPr>
      </w:pPr>
      <w:proofErr w:type="spellStart"/>
      <w:r w:rsidRPr="00875E97">
        <w:rPr>
          <w:rFonts w:ascii="Arial" w:hAnsi="Arial" w:cs="Arial"/>
          <w:color w:val="222222"/>
          <w:sz w:val="20"/>
          <w:shd w:val="clear" w:color="auto" w:fill="FFFFFF"/>
        </w:rPr>
        <w:t>Phonchi-Tshekiso</w:t>
      </w:r>
      <w:proofErr w:type="spellEnd"/>
      <w:r w:rsidRPr="00875E97">
        <w:rPr>
          <w:rFonts w:ascii="Arial" w:hAnsi="Arial" w:cs="Arial"/>
          <w:color w:val="222222"/>
          <w:sz w:val="20"/>
          <w:shd w:val="clear" w:color="auto" w:fill="FFFFFF"/>
        </w:rPr>
        <w:t xml:space="preserve">, N. D., </w:t>
      </w:r>
      <w:proofErr w:type="spellStart"/>
      <w:r w:rsidRPr="00875E97">
        <w:rPr>
          <w:rFonts w:ascii="Arial" w:hAnsi="Arial" w:cs="Arial"/>
          <w:color w:val="222222"/>
          <w:sz w:val="20"/>
          <w:shd w:val="clear" w:color="auto" w:fill="FFFFFF"/>
        </w:rPr>
        <w:t>Mmopelwa</w:t>
      </w:r>
      <w:proofErr w:type="spellEnd"/>
      <w:r w:rsidRPr="00875E97">
        <w:rPr>
          <w:rFonts w:ascii="Arial" w:hAnsi="Arial" w:cs="Arial"/>
          <w:color w:val="222222"/>
          <w:sz w:val="20"/>
          <w:shd w:val="clear" w:color="auto" w:fill="FFFFFF"/>
        </w:rPr>
        <w:t>, G., &amp; Chanda, R. (2020). From public to private solid waste management: Stakeholders’ perspectives on private-public solid waste management in Lobatse, Botswana. </w:t>
      </w:r>
      <w:r w:rsidRPr="00875E97">
        <w:rPr>
          <w:rFonts w:ascii="Arial" w:hAnsi="Arial" w:cs="Arial"/>
          <w:i/>
          <w:iCs/>
          <w:color w:val="222222"/>
          <w:sz w:val="20"/>
          <w:shd w:val="clear" w:color="auto" w:fill="FFFFFF"/>
        </w:rPr>
        <w:t>Chinese Journal of Population, Resources and Environment</w:t>
      </w:r>
      <w:r w:rsidRPr="00875E97">
        <w:rPr>
          <w:rFonts w:ascii="Arial" w:hAnsi="Arial" w:cs="Arial"/>
          <w:color w:val="222222"/>
          <w:sz w:val="20"/>
          <w:shd w:val="clear" w:color="auto" w:fill="FFFFFF"/>
        </w:rPr>
        <w:t>, </w:t>
      </w:r>
      <w:r w:rsidRPr="00875E97">
        <w:rPr>
          <w:rFonts w:ascii="Arial" w:hAnsi="Arial" w:cs="Arial"/>
          <w:i/>
          <w:iCs/>
          <w:color w:val="222222"/>
          <w:sz w:val="20"/>
          <w:shd w:val="clear" w:color="auto" w:fill="FFFFFF"/>
        </w:rPr>
        <w:t>18</w:t>
      </w:r>
      <w:r w:rsidRPr="00875E97">
        <w:rPr>
          <w:rFonts w:ascii="Arial" w:hAnsi="Arial" w:cs="Arial"/>
          <w:color w:val="222222"/>
          <w:sz w:val="20"/>
          <w:shd w:val="clear" w:color="auto" w:fill="FFFFFF"/>
        </w:rPr>
        <w:t>(1), 42-48.</w:t>
      </w:r>
    </w:p>
    <w:p w14:paraId="3A463460" w14:textId="77777777" w:rsidR="000D6A12" w:rsidRPr="00875E97" w:rsidRDefault="000D6A12" w:rsidP="00751C27">
      <w:pPr>
        <w:autoSpaceDE w:val="0"/>
        <w:autoSpaceDN w:val="0"/>
        <w:adjustRightInd w:val="0"/>
        <w:spacing w:after="0" w:line="240" w:lineRule="auto"/>
        <w:ind w:left="720" w:hanging="720"/>
        <w:jc w:val="both"/>
        <w:rPr>
          <w:rFonts w:ascii="Arial" w:hAnsi="Arial" w:cs="Arial"/>
          <w:color w:val="222222"/>
          <w:sz w:val="20"/>
          <w:shd w:val="clear" w:color="auto" w:fill="FFFFFF"/>
        </w:rPr>
      </w:pPr>
      <w:proofErr w:type="spellStart"/>
      <w:proofErr w:type="gramStart"/>
      <w:r w:rsidRPr="00875E97">
        <w:rPr>
          <w:rFonts w:ascii="Arial" w:hAnsi="Arial" w:cs="Arial"/>
          <w:color w:val="222222"/>
          <w:sz w:val="20"/>
          <w:shd w:val="clear" w:color="auto" w:fill="FFFFFF"/>
        </w:rPr>
        <w:t>Rabl</w:t>
      </w:r>
      <w:proofErr w:type="spellEnd"/>
      <w:r w:rsidRPr="00875E97">
        <w:rPr>
          <w:rFonts w:ascii="Arial" w:hAnsi="Arial" w:cs="Arial"/>
          <w:color w:val="222222"/>
          <w:sz w:val="20"/>
          <w:shd w:val="clear" w:color="auto" w:fill="FFFFFF"/>
        </w:rPr>
        <w:t xml:space="preserve">, </w:t>
      </w:r>
      <w:r w:rsidR="00784562" w:rsidRPr="00875E97">
        <w:rPr>
          <w:rFonts w:ascii="Arial" w:hAnsi="Arial" w:cs="Arial"/>
          <w:color w:val="222222"/>
          <w:sz w:val="20"/>
          <w:shd w:val="clear" w:color="auto" w:fill="FFFFFF"/>
        </w:rPr>
        <w:t xml:space="preserve"> </w:t>
      </w:r>
      <w:r w:rsidRPr="00875E97">
        <w:rPr>
          <w:rFonts w:ascii="Arial" w:hAnsi="Arial" w:cs="Arial"/>
          <w:color w:val="222222"/>
          <w:sz w:val="20"/>
          <w:shd w:val="clear" w:color="auto" w:fill="FFFFFF"/>
        </w:rPr>
        <w:t>A.</w:t>
      </w:r>
      <w:proofErr w:type="gramEnd"/>
      <w:r w:rsidRPr="00875E97">
        <w:rPr>
          <w:rFonts w:ascii="Arial" w:hAnsi="Arial" w:cs="Arial"/>
          <w:color w:val="222222"/>
          <w:sz w:val="20"/>
          <w:shd w:val="clear" w:color="auto" w:fill="FFFFFF"/>
        </w:rPr>
        <w:t>, &amp;</w:t>
      </w:r>
      <w:r w:rsidR="00784562" w:rsidRPr="00875E97">
        <w:rPr>
          <w:rFonts w:ascii="Arial" w:hAnsi="Arial" w:cs="Arial"/>
          <w:color w:val="222222"/>
          <w:sz w:val="20"/>
          <w:shd w:val="clear" w:color="auto" w:fill="FFFFFF"/>
        </w:rPr>
        <w:t xml:space="preserve"> </w:t>
      </w:r>
      <w:r w:rsidRPr="00875E97">
        <w:rPr>
          <w:rFonts w:ascii="Arial" w:hAnsi="Arial" w:cs="Arial"/>
          <w:color w:val="222222"/>
          <w:sz w:val="20"/>
          <w:shd w:val="clear" w:color="auto" w:fill="FFFFFF"/>
        </w:rPr>
        <w:t xml:space="preserve">Eyre, N. </w:t>
      </w:r>
      <w:r w:rsidR="00784562" w:rsidRPr="00875E97">
        <w:rPr>
          <w:rFonts w:ascii="Arial" w:hAnsi="Arial" w:cs="Arial"/>
          <w:color w:val="222222"/>
          <w:sz w:val="20"/>
          <w:shd w:val="clear" w:color="auto" w:fill="FFFFFF"/>
        </w:rPr>
        <w:t xml:space="preserve"> </w:t>
      </w:r>
      <w:r w:rsidRPr="00875E97">
        <w:rPr>
          <w:rFonts w:ascii="Arial" w:hAnsi="Arial" w:cs="Arial"/>
          <w:color w:val="222222"/>
          <w:sz w:val="20"/>
          <w:shd w:val="clear" w:color="auto" w:fill="FFFFFF"/>
        </w:rPr>
        <w:t>(1998). An estimate of regional and global O3 damage from precursor NOx and VOC emissions. </w:t>
      </w:r>
      <w:r w:rsidRPr="00875E97">
        <w:rPr>
          <w:rFonts w:ascii="Arial" w:hAnsi="Arial" w:cs="Arial"/>
          <w:i/>
          <w:iCs/>
          <w:color w:val="222222"/>
          <w:sz w:val="20"/>
          <w:shd w:val="clear" w:color="auto" w:fill="FFFFFF"/>
        </w:rPr>
        <w:t>Environment International</w:t>
      </w:r>
      <w:r w:rsidRPr="00875E97">
        <w:rPr>
          <w:rFonts w:ascii="Arial" w:hAnsi="Arial" w:cs="Arial"/>
          <w:color w:val="222222"/>
          <w:sz w:val="20"/>
          <w:shd w:val="clear" w:color="auto" w:fill="FFFFFF"/>
        </w:rPr>
        <w:t>, </w:t>
      </w:r>
      <w:r w:rsidRPr="00875E97">
        <w:rPr>
          <w:rFonts w:ascii="Arial" w:hAnsi="Arial" w:cs="Arial"/>
          <w:i/>
          <w:iCs/>
          <w:color w:val="222222"/>
          <w:sz w:val="20"/>
          <w:shd w:val="clear" w:color="auto" w:fill="FFFFFF"/>
        </w:rPr>
        <w:t>24</w:t>
      </w:r>
      <w:r w:rsidRPr="00875E97">
        <w:rPr>
          <w:rFonts w:ascii="Arial" w:hAnsi="Arial" w:cs="Arial"/>
          <w:color w:val="222222"/>
          <w:sz w:val="20"/>
          <w:shd w:val="clear" w:color="auto" w:fill="FFFFFF"/>
        </w:rPr>
        <w:t xml:space="preserve">(8), 835-850. </w:t>
      </w:r>
    </w:p>
    <w:p w14:paraId="32542091" w14:textId="77777777" w:rsidR="000D6A12" w:rsidRPr="00875E97" w:rsidRDefault="000D6A12" w:rsidP="00751C27">
      <w:pPr>
        <w:autoSpaceDE w:val="0"/>
        <w:autoSpaceDN w:val="0"/>
        <w:adjustRightInd w:val="0"/>
        <w:spacing w:after="0" w:line="240" w:lineRule="auto"/>
        <w:ind w:left="720" w:hanging="720"/>
        <w:jc w:val="both"/>
        <w:rPr>
          <w:rFonts w:ascii="Arial" w:hAnsi="Arial" w:cs="Arial"/>
          <w:b/>
          <w:color w:val="222222"/>
          <w:sz w:val="20"/>
          <w:shd w:val="clear" w:color="auto" w:fill="FFFFFF"/>
        </w:rPr>
      </w:pPr>
      <w:r w:rsidRPr="00875E97">
        <w:rPr>
          <w:rFonts w:ascii="Arial" w:hAnsi="Arial" w:cs="Arial"/>
          <w:color w:val="222222"/>
          <w:sz w:val="20"/>
          <w:shd w:val="clear" w:color="auto" w:fill="FFFFFF"/>
        </w:rPr>
        <w:t xml:space="preserve">Shah, A. V., Srivastava, V. K., Mohanty, S. S., &amp; </w:t>
      </w:r>
      <w:proofErr w:type="spellStart"/>
      <w:r w:rsidRPr="00875E97">
        <w:rPr>
          <w:rFonts w:ascii="Arial" w:hAnsi="Arial" w:cs="Arial"/>
          <w:color w:val="222222"/>
          <w:sz w:val="20"/>
          <w:shd w:val="clear" w:color="auto" w:fill="FFFFFF"/>
        </w:rPr>
        <w:t>Varjani</w:t>
      </w:r>
      <w:proofErr w:type="spellEnd"/>
      <w:r w:rsidRPr="00875E97">
        <w:rPr>
          <w:rFonts w:ascii="Arial" w:hAnsi="Arial" w:cs="Arial"/>
          <w:color w:val="222222"/>
          <w:sz w:val="20"/>
          <w:shd w:val="clear" w:color="auto" w:fill="FFFFFF"/>
        </w:rPr>
        <w:t>, S. (2021). Municipal solid waste as a sustainable resource for energy production: State-of-the-art review. </w:t>
      </w:r>
      <w:r w:rsidRPr="00875E97">
        <w:rPr>
          <w:rFonts w:ascii="Arial" w:hAnsi="Arial" w:cs="Arial"/>
          <w:i/>
          <w:iCs/>
          <w:color w:val="222222"/>
          <w:sz w:val="20"/>
          <w:shd w:val="clear" w:color="auto" w:fill="FFFFFF"/>
        </w:rPr>
        <w:t xml:space="preserve">Journal of Environmental Chemical </w:t>
      </w:r>
      <w:proofErr w:type="gramStart"/>
      <w:r w:rsidRPr="00875E97">
        <w:rPr>
          <w:rFonts w:ascii="Arial" w:hAnsi="Arial" w:cs="Arial"/>
          <w:i/>
          <w:iCs/>
          <w:color w:val="222222"/>
          <w:sz w:val="20"/>
          <w:shd w:val="clear" w:color="auto" w:fill="FFFFFF"/>
        </w:rPr>
        <w:t>Engineering</w:t>
      </w:r>
      <w:r w:rsidRPr="00875E97">
        <w:rPr>
          <w:rFonts w:ascii="Arial" w:hAnsi="Arial" w:cs="Arial"/>
          <w:color w:val="222222"/>
          <w:sz w:val="20"/>
          <w:shd w:val="clear" w:color="auto" w:fill="FFFFFF"/>
        </w:rPr>
        <w:t>, </w:t>
      </w:r>
      <w:r w:rsidR="00784562" w:rsidRPr="00875E97">
        <w:rPr>
          <w:rFonts w:ascii="Arial" w:hAnsi="Arial" w:cs="Arial"/>
          <w:color w:val="222222"/>
          <w:sz w:val="20"/>
          <w:shd w:val="clear" w:color="auto" w:fill="FFFFFF"/>
        </w:rPr>
        <w:t xml:space="preserve"> </w:t>
      </w:r>
      <w:r w:rsidRPr="00875E97">
        <w:rPr>
          <w:rFonts w:ascii="Arial" w:hAnsi="Arial" w:cs="Arial"/>
          <w:i/>
          <w:iCs/>
          <w:color w:val="222222"/>
          <w:sz w:val="20"/>
          <w:shd w:val="clear" w:color="auto" w:fill="FFFFFF"/>
        </w:rPr>
        <w:t>9</w:t>
      </w:r>
      <w:proofErr w:type="gramEnd"/>
      <w:r w:rsidRPr="00875E97">
        <w:rPr>
          <w:rFonts w:ascii="Arial" w:hAnsi="Arial" w:cs="Arial"/>
          <w:color w:val="222222"/>
          <w:sz w:val="20"/>
          <w:shd w:val="clear" w:color="auto" w:fill="FFFFFF"/>
        </w:rPr>
        <w:t>(4), 105717.</w:t>
      </w:r>
    </w:p>
    <w:p w14:paraId="60721E69" w14:textId="77777777" w:rsidR="005A3996" w:rsidRPr="00875E97" w:rsidRDefault="000D6A12" w:rsidP="00751C27">
      <w:pPr>
        <w:autoSpaceDE w:val="0"/>
        <w:autoSpaceDN w:val="0"/>
        <w:adjustRightInd w:val="0"/>
        <w:spacing w:after="0" w:line="240" w:lineRule="auto"/>
        <w:ind w:left="720" w:hanging="720"/>
        <w:jc w:val="both"/>
        <w:rPr>
          <w:rFonts w:ascii="Arial" w:hAnsi="Arial" w:cs="Arial"/>
          <w:color w:val="222222"/>
          <w:szCs w:val="22"/>
          <w:shd w:val="clear" w:color="auto" w:fill="FFFFFF"/>
        </w:rPr>
      </w:pPr>
      <w:r w:rsidRPr="00875E97">
        <w:rPr>
          <w:rFonts w:ascii="Arial" w:hAnsi="Arial" w:cs="Arial"/>
          <w:color w:val="222222"/>
          <w:sz w:val="20"/>
          <w:shd w:val="clear" w:color="auto" w:fill="FFFFFF"/>
        </w:rPr>
        <w:t>Sharma, K. D., &amp; Jain, S. (2020). Municipal solid waste generation, composition, and management: the global scenario. </w:t>
      </w:r>
      <w:r w:rsidRPr="00875E97">
        <w:rPr>
          <w:rFonts w:ascii="Arial" w:hAnsi="Arial" w:cs="Arial"/>
          <w:i/>
          <w:iCs/>
          <w:color w:val="222222"/>
          <w:sz w:val="20"/>
          <w:shd w:val="clear" w:color="auto" w:fill="FFFFFF"/>
        </w:rPr>
        <w:t xml:space="preserve">Social responsibility </w:t>
      </w:r>
      <w:proofErr w:type="gramStart"/>
      <w:r w:rsidRPr="00875E97">
        <w:rPr>
          <w:rFonts w:ascii="Arial" w:hAnsi="Arial" w:cs="Arial"/>
          <w:i/>
          <w:iCs/>
          <w:color w:val="222222"/>
          <w:sz w:val="20"/>
          <w:shd w:val="clear" w:color="auto" w:fill="FFFFFF"/>
        </w:rPr>
        <w:t>journal</w:t>
      </w:r>
      <w:r w:rsidRPr="00875E97">
        <w:rPr>
          <w:rFonts w:ascii="Arial" w:hAnsi="Arial" w:cs="Arial"/>
          <w:color w:val="222222"/>
          <w:sz w:val="20"/>
          <w:shd w:val="clear" w:color="auto" w:fill="FFFFFF"/>
        </w:rPr>
        <w:t>, </w:t>
      </w:r>
      <w:r w:rsidR="00784562" w:rsidRPr="00875E97">
        <w:rPr>
          <w:rFonts w:ascii="Arial" w:hAnsi="Arial" w:cs="Arial"/>
          <w:color w:val="222222"/>
          <w:sz w:val="20"/>
          <w:shd w:val="clear" w:color="auto" w:fill="FFFFFF"/>
        </w:rPr>
        <w:t xml:space="preserve"> </w:t>
      </w:r>
      <w:r w:rsidRPr="00875E97">
        <w:rPr>
          <w:rFonts w:ascii="Arial" w:hAnsi="Arial" w:cs="Arial"/>
          <w:i/>
          <w:iCs/>
          <w:color w:val="222222"/>
          <w:sz w:val="20"/>
          <w:shd w:val="clear" w:color="auto" w:fill="FFFFFF"/>
        </w:rPr>
        <w:t>16</w:t>
      </w:r>
      <w:proofErr w:type="gramEnd"/>
      <w:r w:rsidRPr="00875E97">
        <w:rPr>
          <w:rFonts w:ascii="Arial" w:hAnsi="Arial" w:cs="Arial"/>
          <w:color w:val="222222"/>
          <w:sz w:val="20"/>
          <w:shd w:val="clear" w:color="auto" w:fill="FFFFFF"/>
        </w:rPr>
        <w:t>(6), 917-948</w:t>
      </w:r>
      <w:r w:rsidRPr="00875E97">
        <w:rPr>
          <w:rFonts w:ascii="Arial" w:hAnsi="Arial" w:cs="Arial"/>
          <w:color w:val="222222"/>
          <w:szCs w:val="22"/>
          <w:shd w:val="clear" w:color="auto" w:fill="FFFFFF"/>
        </w:rPr>
        <w:t>.</w:t>
      </w:r>
    </w:p>
    <w:sectPr w:rsidR="005A3996" w:rsidRPr="00875E97" w:rsidSect="00F5266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86C7B" w14:textId="77777777" w:rsidR="00B83E5A" w:rsidRDefault="00B83E5A" w:rsidP="007A35EB">
      <w:pPr>
        <w:spacing w:after="0" w:line="240" w:lineRule="auto"/>
      </w:pPr>
      <w:r>
        <w:separator/>
      </w:r>
    </w:p>
  </w:endnote>
  <w:endnote w:type="continuationSeparator" w:id="0">
    <w:p w14:paraId="065B1A8F" w14:textId="77777777" w:rsidR="00B83E5A" w:rsidRDefault="00B83E5A" w:rsidP="007A3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2326C" w14:textId="77777777" w:rsidR="008A7A0E" w:rsidRDefault="008A7A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18"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7"/>
    </w:tblGrid>
    <w:tr w:rsidR="003F659B" w14:paraId="70F4BBC4" w14:textId="77777777" w:rsidTr="003F659B">
      <w:tc>
        <w:tcPr>
          <w:tcW w:w="958" w:type="dxa"/>
        </w:tcPr>
        <w:p w14:paraId="3188902B" w14:textId="77777777" w:rsidR="003F659B" w:rsidRDefault="003F659B">
          <w:pPr>
            <w:pStyle w:val="Footer"/>
            <w:jc w:val="right"/>
            <w:rPr>
              <w:b/>
              <w:bCs/>
              <w:color w:val="4F81BD" w:themeColor="accent1"/>
              <w:sz w:val="32"/>
              <w:szCs w:val="32"/>
              <w14:numForm w14:val="oldStyle"/>
            </w:rPr>
          </w:pPr>
          <w:r>
            <w:rPr>
              <w:szCs w:val="22"/>
              <w14:shadow w14:blurRad="50800" w14:dist="38100" w14:dir="2700000" w14:sx="100000" w14:sy="100000" w14:kx="0" w14:ky="0" w14:algn="tl">
                <w14:srgbClr w14:val="000000">
                  <w14:alpha w14:val="60000"/>
                </w14:srgbClr>
              </w14:shadow>
              <w14:numForm w14:val="oldStyle"/>
            </w:rPr>
            <w:t xml:space="preserve"> </w:t>
          </w:r>
          <w:r>
            <w:rPr>
              <w:szCs w:val="22"/>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szCs w:val="22"/>
              <w14:shadow w14:blurRad="50800" w14:dist="38100" w14:dir="2700000" w14:sx="100000" w14:sy="100000" w14:kx="0" w14:ky="0" w14:algn="tl">
                <w14:srgbClr w14:val="000000">
                  <w14:alpha w14:val="60000"/>
                </w14:srgbClr>
              </w14:shadow>
              <w14:numForm w14:val="oldStyle"/>
            </w:rPr>
            <w:fldChar w:fldCharType="separate"/>
          </w:r>
          <w:r w:rsidRPr="00F22F82">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9</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r>
  </w:tbl>
  <w:p w14:paraId="77D443EA" w14:textId="77777777" w:rsidR="00024A23" w:rsidRDefault="00024A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FFDEC" w14:textId="77777777" w:rsidR="008A7A0E" w:rsidRDefault="008A7A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BE2C9" w14:textId="77777777" w:rsidR="00B83E5A" w:rsidRDefault="00B83E5A" w:rsidP="007A35EB">
      <w:pPr>
        <w:spacing w:after="0" w:line="240" w:lineRule="auto"/>
      </w:pPr>
      <w:r>
        <w:separator/>
      </w:r>
    </w:p>
  </w:footnote>
  <w:footnote w:type="continuationSeparator" w:id="0">
    <w:p w14:paraId="7A4DB1E9" w14:textId="77777777" w:rsidR="00B83E5A" w:rsidRDefault="00B83E5A" w:rsidP="007A35EB">
      <w:pPr>
        <w:spacing w:after="0" w:line="240" w:lineRule="auto"/>
      </w:pPr>
      <w:r>
        <w:continuationSeparator/>
      </w:r>
    </w:p>
  </w:footnote>
  <w:footnote w:id="1">
    <w:p w14:paraId="2AD97102" w14:textId="77777777" w:rsidR="007A35EB" w:rsidRPr="000E3C28" w:rsidRDefault="007A35EB" w:rsidP="007A35EB">
      <w:pPr>
        <w:pStyle w:val="FootnoteText"/>
        <w:jc w:val="both"/>
        <w:rPr>
          <w:rFonts w:ascii="Times New Roman" w:hAnsi="Times New Roman"/>
          <w:szCs w:val="20"/>
        </w:rPr>
      </w:pPr>
      <w:r w:rsidRPr="000E3C28">
        <w:rPr>
          <w:rStyle w:val="FootnoteReference"/>
          <w:rFonts w:ascii="Times New Roman" w:hAnsi="Times New Roman"/>
          <w:szCs w:val="20"/>
        </w:rPr>
        <w:footnoteRef/>
      </w:r>
      <w:r w:rsidRPr="000E3C28">
        <w:rPr>
          <w:rFonts w:ascii="Times New Roman" w:hAnsi="Times New Roman"/>
          <w:szCs w:val="20"/>
        </w:rPr>
        <w:t xml:space="preserve">  </w:t>
      </w:r>
      <w:proofErr w:type="spellStart"/>
      <w:r w:rsidRPr="000E3C28">
        <w:rPr>
          <w:rFonts w:ascii="Times New Roman" w:hAnsi="Times New Roman"/>
          <w:szCs w:val="20"/>
        </w:rPr>
        <w:t>Kudumbasree</w:t>
      </w:r>
      <w:proofErr w:type="spellEnd"/>
      <w:r w:rsidRPr="000E3C28">
        <w:rPr>
          <w:rFonts w:ascii="Times New Roman" w:hAnsi="Times New Roman"/>
          <w:szCs w:val="20"/>
        </w:rPr>
        <w:t xml:space="preserve"> is the poverty eradication and women empowerment   </w:t>
      </w:r>
      <w:proofErr w:type="spellStart"/>
      <w:r w:rsidRPr="000E3C28">
        <w:rPr>
          <w:rFonts w:ascii="Times New Roman" w:hAnsi="Times New Roman"/>
          <w:szCs w:val="20"/>
        </w:rPr>
        <w:t>programme</w:t>
      </w:r>
      <w:proofErr w:type="spellEnd"/>
      <w:r w:rsidRPr="000E3C28">
        <w:rPr>
          <w:rFonts w:ascii="Times New Roman" w:hAnsi="Times New Roman"/>
          <w:szCs w:val="20"/>
        </w:rPr>
        <w:t xml:space="preserve"> implemented by the Kerala State Poverty Eradication Mission of the Government of Kerala, launched on 1998. In Kozhikode Corporation, </w:t>
      </w:r>
      <w:proofErr w:type="spellStart"/>
      <w:r w:rsidRPr="000E3C28">
        <w:rPr>
          <w:rFonts w:ascii="Times New Roman" w:hAnsi="Times New Roman"/>
          <w:szCs w:val="20"/>
        </w:rPr>
        <w:t>Kudumbasree</w:t>
      </w:r>
      <w:proofErr w:type="spellEnd"/>
      <w:r w:rsidRPr="000E3C28">
        <w:rPr>
          <w:rFonts w:ascii="Times New Roman" w:hAnsi="Times New Roman"/>
          <w:szCs w:val="20"/>
        </w:rPr>
        <w:t xml:space="preserve"> actively involved in the household waste management as </w:t>
      </w:r>
      <w:proofErr w:type="gramStart"/>
      <w:r w:rsidRPr="000E3C28">
        <w:rPr>
          <w:rFonts w:ascii="Times New Roman" w:hAnsi="Times New Roman"/>
          <w:szCs w:val="20"/>
        </w:rPr>
        <w:t>a  self</w:t>
      </w:r>
      <w:proofErr w:type="gramEnd"/>
      <w:r w:rsidRPr="000E3C28">
        <w:rPr>
          <w:rFonts w:ascii="Times New Roman" w:hAnsi="Times New Roman"/>
          <w:szCs w:val="20"/>
        </w:rPr>
        <w:t xml:space="preserve">-employment </w:t>
      </w:r>
      <w:proofErr w:type="spellStart"/>
      <w:r w:rsidRPr="000E3C28">
        <w:rPr>
          <w:rFonts w:ascii="Times New Roman" w:hAnsi="Times New Roman"/>
          <w:szCs w:val="20"/>
        </w:rPr>
        <w:t>programme</w:t>
      </w:r>
      <w:proofErr w:type="spellEnd"/>
      <w:r w:rsidRPr="000E3C28">
        <w:rPr>
          <w:rFonts w:ascii="Times New Roman" w:hAnsi="Times New Roman"/>
          <w:szCs w:val="20"/>
        </w:rPr>
        <w:t xml:space="preserve"> with the support of government.</w:t>
      </w:r>
    </w:p>
    <w:p w14:paraId="72D11C09" w14:textId="77777777" w:rsidR="007A35EB" w:rsidRPr="000E3C28" w:rsidRDefault="007A35EB" w:rsidP="007A35EB">
      <w:pPr>
        <w:pStyle w:val="FootnoteText"/>
        <w:rPr>
          <w:rFonts w:ascii="Times New Roman" w:hAnsi="Times New Roman"/>
          <w:szCs w:val="20"/>
          <w:lang w:val="en-IN"/>
        </w:rPr>
      </w:pPr>
    </w:p>
  </w:footnote>
  <w:footnote w:id="2">
    <w:p w14:paraId="5B2D7BF4" w14:textId="77777777" w:rsidR="007A35EB" w:rsidRPr="00AF2A38" w:rsidRDefault="007A35EB" w:rsidP="007A35EB">
      <w:pPr>
        <w:pStyle w:val="NormalWeb"/>
        <w:shd w:val="clear" w:color="auto" w:fill="FFFFFF"/>
        <w:spacing w:before="0" w:beforeAutospacing="0" w:after="150" w:afterAutospacing="0"/>
        <w:jc w:val="both"/>
        <w:rPr>
          <w:b/>
          <w:color w:val="333333"/>
          <w:sz w:val="22"/>
          <w:szCs w:val="22"/>
        </w:rPr>
      </w:pPr>
      <w:r w:rsidRPr="00AF2A38">
        <w:rPr>
          <w:rStyle w:val="FootnoteReference"/>
          <w:rFonts w:eastAsia="Calibri"/>
          <w:sz w:val="22"/>
          <w:szCs w:val="22"/>
        </w:rPr>
        <w:footnoteRef/>
      </w:r>
      <w:r w:rsidRPr="00AF2A38">
        <w:rPr>
          <w:sz w:val="22"/>
          <w:szCs w:val="22"/>
        </w:rPr>
        <w:t xml:space="preserve"> </w:t>
      </w:r>
      <w:proofErr w:type="spellStart"/>
      <w:r w:rsidRPr="00AF2A38">
        <w:rPr>
          <w:sz w:val="22"/>
          <w:szCs w:val="22"/>
        </w:rPr>
        <w:t>Niravu</w:t>
      </w:r>
      <w:proofErr w:type="spellEnd"/>
      <w:r w:rsidRPr="00AF2A38">
        <w:rPr>
          <w:sz w:val="22"/>
          <w:szCs w:val="22"/>
        </w:rPr>
        <w:t xml:space="preserve"> started as a </w:t>
      </w:r>
      <w:proofErr w:type="gramStart"/>
      <w:r w:rsidRPr="00AF2A38">
        <w:rPr>
          <w:sz w:val="22"/>
          <w:szCs w:val="22"/>
        </w:rPr>
        <w:t>community based</w:t>
      </w:r>
      <w:proofErr w:type="gramEnd"/>
      <w:r w:rsidRPr="00AF2A38">
        <w:rPr>
          <w:sz w:val="22"/>
          <w:szCs w:val="22"/>
        </w:rPr>
        <w:t xml:space="preserve"> organization collectively engaged in promoting organic farming and zero waste management in </w:t>
      </w:r>
      <w:proofErr w:type="spellStart"/>
      <w:r w:rsidRPr="00AF2A38">
        <w:rPr>
          <w:sz w:val="22"/>
          <w:szCs w:val="22"/>
        </w:rPr>
        <w:t>Vengeri</w:t>
      </w:r>
      <w:proofErr w:type="spellEnd"/>
      <w:r w:rsidRPr="00AF2A38">
        <w:rPr>
          <w:sz w:val="22"/>
          <w:szCs w:val="22"/>
        </w:rPr>
        <w:t xml:space="preserve">, Kozhikode in 2006. Now, </w:t>
      </w:r>
      <w:proofErr w:type="gramStart"/>
      <w:r w:rsidRPr="00AF2A38">
        <w:rPr>
          <w:sz w:val="22"/>
          <w:szCs w:val="22"/>
        </w:rPr>
        <w:t>it</w:t>
      </w:r>
      <w:proofErr w:type="gramEnd"/>
      <w:r w:rsidRPr="00AF2A38">
        <w:rPr>
          <w:sz w:val="22"/>
          <w:szCs w:val="22"/>
        </w:rPr>
        <w:t xml:space="preserve"> extent its service as a private service provider in the collection of inorganic waste from different parts of the Corporation.</w:t>
      </w:r>
    </w:p>
    <w:p w14:paraId="7AF9350D" w14:textId="77777777" w:rsidR="007A35EB" w:rsidRPr="00601992" w:rsidRDefault="007A35EB" w:rsidP="007A35EB">
      <w:pPr>
        <w:pStyle w:val="FootnoteText"/>
        <w:rPr>
          <w:lang w:val="en-IN"/>
        </w:rPr>
      </w:pPr>
    </w:p>
  </w:footnote>
  <w:footnote w:id="3">
    <w:p w14:paraId="457525C3" w14:textId="77777777" w:rsidR="007A35EB" w:rsidRDefault="007A35EB" w:rsidP="00BB3F9B">
      <w:pPr>
        <w:pStyle w:val="FootnoteText"/>
        <w:spacing w:after="100" w:line="480" w:lineRule="auto"/>
        <w:ind w:left="360" w:hanging="360"/>
        <w:jc w:val="both"/>
        <w:rPr>
          <w:rFonts w:ascii="Times New Roman" w:hAnsi="Times New Roman"/>
          <w:sz w:val="19"/>
          <w:szCs w:val="19"/>
          <w:lang w:val="en-IN"/>
        </w:rPr>
      </w:pPr>
      <w:r>
        <w:rPr>
          <w:rStyle w:val="FootnoteReference"/>
          <w:rFonts w:ascii="Times New Roman" w:hAnsi="Times New Roman"/>
          <w:sz w:val="19"/>
          <w:szCs w:val="19"/>
        </w:rPr>
        <w:footnoteRef/>
      </w:r>
      <w:r>
        <w:rPr>
          <w:rFonts w:ascii="Times New Roman" w:hAnsi="Times New Roman"/>
          <w:color w:val="000000"/>
          <w:sz w:val="19"/>
          <w:szCs w:val="19"/>
          <w:lang w:val="en-IN"/>
        </w:rPr>
        <w:tab/>
        <w:t xml:space="preserve">Wilks </w:t>
      </w:r>
      <w:proofErr w:type="spellStart"/>
      <w:r>
        <w:rPr>
          <w:rFonts w:ascii="Times New Roman" w:hAnsi="Times New Roman"/>
          <w:color w:val="000000"/>
          <w:sz w:val="19"/>
          <w:szCs w:val="19"/>
          <w:lang w:val="en-IN"/>
        </w:rPr>
        <w:t>Lamda</w:t>
      </w:r>
      <w:proofErr w:type="spellEnd"/>
      <w:r>
        <w:rPr>
          <w:rFonts w:ascii="Times New Roman" w:hAnsi="Times New Roman"/>
          <w:color w:val="000000"/>
          <w:sz w:val="19"/>
          <w:szCs w:val="19"/>
          <w:lang w:val="en-IN"/>
        </w:rPr>
        <w:t xml:space="preserve"> is a test static used to test whether each dimension of service quality is significantly different in between public and private. </w:t>
      </w:r>
      <w:r>
        <w:rPr>
          <w:rFonts w:ascii="Times New Roman" w:hAnsi="Times New Roman"/>
          <w:sz w:val="19"/>
          <w:szCs w:val="19"/>
          <w:lang w:val="en-IN"/>
        </w:rPr>
        <w:t>The significance of Wilk’s Lambda is tested through F-test</w:t>
      </w:r>
    </w:p>
  </w:footnote>
  <w:footnote w:id="4">
    <w:p w14:paraId="3A36955D" w14:textId="77777777" w:rsidR="000D6A12" w:rsidRDefault="000D6A12" w:rsidP="000D6A12">
      <w:pPr>
        <w:pStyle w:val="FootnoteText"/>
        <w:spacing w:after="100"/>
        <w:ind w:left="360" w:hanging="360"/>
        <w:jc w:val="both"/>
        <w:rPr>
          <w:rFonts w:ascii="Times New Roman" w:hAnsi="Times New Roman"/>
          <w:sz w:val="19"/>
          <w:szCs w:val="19"/>
          <w:lang w:val="en-IN"/>
        </w:rPr>
      </w:pPr>
      <w:r>
        <w:rPr>
          <w:rStyle w:val="FootnoteReference"/>
          <w:rFonts w:ascii="Times New Roman" w:hAnsi="Times New Roman"/>
          <w:sz w:val="19"/>
          <w:szCs w:val="19"/>
        </w:rPr>
        <w:footnoteRef/>
      </w:r>
      <w:r>
        <w:rPr>
          <w:rFonts w:ascii="Times New Roman" w:hAnsi="Times New Roman"/>
          <w:sz w:val="19"/>
          <w:szCs w:val="19"/>
          <w:lang w:val="en-IN"/>
        </w:rPr>
        <w:tab/>
        <w:t>Varimax rotation is used to simplify the expression of a particular subspace in terms of a few major items each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9AA28" w14:textId="6F48F022" w:rsidR="008A7A0E" w:rsidRDefault="008A7A0E">
    <w:pPr>
      <w:pStyle w:val="Header"/>
    </w:pPr>
    <w:r>
      <w:rPr>
        <w:noProof/>
      </w:rPr>
      <w:pict w14:anchorId="478FB6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51536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B3F3E" w14:textId="4A28193B" w:rsidR="008A7A0E" w:rsidRDefault="008A7A0E">
    <w:pPr>
      <w:pStyle w:val="Header"/>
    </w:pPr>
    <w:r>
      <w:rPr>
        <w:noProof/>
      </w:rPr>
      <w:pict w14:anchorId="636238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51536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06A97" w14:textId="7A4D7F1E" w:rsidR="008A7A0E" w:rsidRDefault="008A7A0E">
    <w:pPr>
      <w:pStyle w:val="Header"/>
    </w:pPr>
    <w:r>
      <w:rPr>
        <w:noProof/>
      </w:rPr>
      <w:pict w14:anchorId="089FEC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51536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404A"/>
    <w:rsid w:val="00024A23"/>
    <w:rsid w:val="000C0135"/>
    <w:rsid w:val="000D6A12"/>
    <w:rsid w:val="000E3C28"/>
    <w:rsid w:val="0012478F"/>
    <w:rsid w:val="001D7B65"/>
    <w:rsid w:val="002F52A9"/>
    <w:rsid w:val="003036D3"/>
    <w:rsid w:val="003104C0"/>
    <w:rsid w:val="003F659B"/>
    <w:rsid w:val="00431A28"/>
    <w:rsid w:val="00435826"/>
    <w:rsid w:val="004D1865"/>
    <w:rsid w:val="005A3996"/>
    <w:rsid w:val="005C33EB"/>
    <w:rsid w:val="005C404A"/>
    <w:rsid w:val="005F290F"/>
    <w:rsid w:val="0060678B"/>
    <w:rsid w:val="006943C7"/>
    <w:rsid w:val="0075019E"/>
    <w:rsid w:val="00751C27"/>
    <w:rsid w:val="00775177"/>
    <w:rsid w:val="00784562"/>
    <w:rsid w:val="007A35EB"/>
    <w:rsid w:val="008140A6"/>
    <w:rsid w:val="00840EE3"/>
    <w:rsid w:val="00855419"/>
    <w:rsid w:val="00875E97"/>
    <w:rsid w:val="00897FE9"/>
    <w:rsid w:val="008A7A0E"/>
    <w:rsid w:val="008B1E65"/>
    <w:rsid w:val="009038A7"/>
    <w:rsid w:val="00924D9A"/>
    <w:rsid w:val="00961CE3"/>
    <w:rsid w:val="00967D42"/>
    <w:rsid w:val="00974DDD"/>
    <w:rsid w:val="009942D6"/>
    <w:rsid w:val="009A3F07"/>
    <w:rsid w:val="009A787F"/>
    <w:rsid w:val="009D6337"/>
    <w:rsid w:val="00A0147C"/>
    <w:rsid w:val="00A209C2"/>
    <w:rsid w:val="00A7754D"/>
    <w:rsid w:val="00A80DC1"/>
    <w:rsid w:val="00AD605F"/>
    <w:rsid w:val="00AE0024"/>
    <w:rsid w:val="00B7720E"/>
    <w:rsid w:val="00B83E5A"/>
    <w:rsid w:val="00BA4576"/>
    <w:rsid w:val="00BB3F9B"/>
    <w:rsid w:val="00C05858"/>
    <w:rsid w:val="00C5329B"/>
    <w:rsid w:val="00C94F36"/>
    <w:rsid w:val="00D40BE2"/>
    <w:rsid w:val="00D91AEB"/>
    <w:rsid w:val="00DB50CD"/>
    <w:rsid w:val="00E664B7"/>
    <w:rsid w:val="00E707A8"/>
    <w:rsid w:val="00F22F82"/>
    <w:rsid w:val="00F23FBF"/>
    <w:rsid w:val="00F5266A"/>
    <w:rsid w:val="00F81A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E1ADDA"/>
  <w15:docId w15:val="{C028B87E-275C-4B05-9253-101F07A8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0BE2"/>
    <w:rPr>
      <w:rFonts w:ascii="Calibri" w:eastAsia="Calibri" w:hAnsi="Calibri" w:cs="Times New Roman"/>
      <w:szCs w:val="20"/>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0BE2"/>
    <w:pPr>
      <w:spacing w:before="100" w:beforeAutospacing="1" w:after="100" w:afterAutospacing="1" w:line="240" w:lineRule="auto"/>
    </w:pPr>
    <w:rPr>
      <w:rFonts w:ascii="Times New Roman" w:eastAsia="Times New Roman" w:hAnsi="Times New Roman"/>
      <w:sz w:val="24"/>
      <w:szCs w:val="24"/>
      <w:lang w:val="en-IN" w:eastAsia="en-IN" w:bidi="ar-SA"/>
    </w:rPr>
  </w:style>
  <w:style w:type="character" w:styleId="Hyperlink">
    <w:name w:val="Hyperlink"/>
    <w:basedOn w:val="DefaultParagraphFont"/>
    <w:uiPriority w:val="99"/>
    <w:unhideWhenUsed/>
    <w:rsid w:val="00D40BE2"/>
    <w:rPr>
      <w:color w:val="0000FF"/>
      <w:u w:val="single"/>
    </w:rPr>
  </w:style>
  <w:style w:type="paragraph" w:styleId="FootnoteText">
    <w:name w:val="footnote text"/>
    <w:basedOn w:val="Normal"/>
    <w:link w:val="FootnoteTextChar"/>
    <w:uiPriority w:val="99"/>
    <w:semiHidden/>
    <w:unhideWhenUsed/>
    <w:rsid w:val="007A35EB"/>
    <w:pPr>
      <w:spacing w:after="0" w:line="240" w:lineRule="auto"/>
    </w:pPr>
    <w:rPr>
      <w:sz w:val="20"/>
      <w:szCs w:val="18"/>
      <w:lang w:bidi="ar-SA"/>
    </w:rPr>
  </w:style>
  <w:style w:type="character" w:customStyle="1" w:styleId="FootnoteTextChar">
    <w:name w:val="Footnote Text Char"/>
    <w:basedOn w:val="DefaultParagraphFont"/>
    <w:link w:val="FootnoteText"/>
    <w:uiPriority w:val="99"/>
    <w:semiHidden/>
    <w:rsid w:val="007A35EB"/>
    <w:rPr>
      <w:rFonts w:ascii="Calibri" w:eastAsia="Calibri" w:hAnsi="Calibri" w:cs="Times New Roman"/>
      <w:sz w:val="20"/>
      <w:szCs w:val="18"/>
      <w:lang w:val="en-US"/>
    </w:rPr>
  </w:style>
  <w:style w:type="character" w:styleId="FootnoteReference">
    <w:name w:val="footnote reference"/>
    <w:uiPriority w:val="99"/>
    <w:semiHidden/>
    <w:unhideWhenUsed/>
    <w:rsid w:val="007A35EB"/>
    <w:rPr>
      <w:vertAlign w:val="superscript"/>
    </w:rPr>
  </w:style>
  <w:style w:type="paragraph" w:styleId="NoSpacing">
    <w:name w:val="No Spacing"/>
    <w:uiPriority w:val="1"/>
    <w:qFormat/>
    <w:rsid w:val="007A35EB"/>
    <w:pPr>
      <w:spacing w:after="0" w:line="240" w:lineRule="auto"/>
    </w:pPr>
    <w:rPr>
      <w:rFonts w:ascii="Calibri" w:eastAsia="Calibri" w:hAnsi="Calibri" w:cs="Times New Roman"/>
      <w:szCs w:val="20"/>
      <w:lang w:val="en-US" w:bidi="hi-IN"/>
    </w:rPr>
  </w:style>
  <w:style w:type="character" w:styleId="LineNumber">
    <w:name w:val="line number"/>
    <w:basedOn w:val="DefaultParagraphFont"/>
    <w:uiPriority w:val="99"/>
    <w:semiHidden/>
    <w:unhideWhenUsed/>
    <w:rsid w:val="00E664B7"/>
  </w:style>
  <w:style w:type="paragraph" w:styleId="ListParagraph">
    <w:name w:val="List Paragraph"/>
    <w:basedOn w:val="Normal"/>
    <w:uiPriority w:val="34"/>
    <w:qFormat/>
    <w:rsid w:val="00B7720E"/>
    <w:pPr>
      <w:ind w:left="720"/>
      <w:contextualSpacing/>
    </w:pPr>
  </w:style>
  <w:style w:type="character" w:styleId="Emphasis">
    <w:name w:val="Emphasis"/>
    <w:uiPriority w:val="20"/>
    <w:qFormat/>
    <w:rsid w:val="00A209C2"/>
    <w:rPr>
      <w:i/>
      <w:iCs/>
    </w:rPr>
  </w:style>
  <w:style w:type="paragraph" w:styleId="Header">
    <w:name w:val="header"/>
    <w:basedOn w:val="Normal"/>
    <w:link w:val="HeaderChar"/>
    <w:uiPriority w:val="99"/>
    <w:unhideWhenUsed/>
    <w:rsid w:val="00024A23"/>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rsid w:val="00024A23"/>
    <w:rPr>
      <w:rFonts w:ascii="Calibri" w:eastAsia="Calibri" w:hAnsi="Calibri" w:cs="Mangal"/>
      <w:szCs w:val="20"/>
      <w:lang w:val="en-US" w:bidi="hi-IN"/>
    </w:rPr>
  </w:style>
  <w:style w:type="paragraph" w:styleId="Footer">
    <w:name w:val="footer"/>
    <w:basedOn w:val="Normal"/>
    <w:link w:val="FooterChar"/>
    <w:uiPriority w:val="99"/>
    <w:unhideWhenUsed/>
    <w:rsid w:val="00024A23"/>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rsid w:val="00024A23"/>
    <w:rPr>
      <w:rFonts w:ascii="Calibri" w:eastAsia="Calibri" w:hAnsi="Calibri" w:cs="Mangal"/>
      <w:szCs w:val="20"/>
      <w:lang w:val="en-US" w:bidi="hi-IN"/>
    </w:rPr>
  </w:style>
  <w:style w:type="paragraph" w:customStyle="1" w:styleId="Author">
    <w:name w:val="Author"/>
    <w:basedOn w:val="Normal"/>
    <w:rsid w:val="000E3C28"/>
    <w:pPr>
      <w:spacing w:after="0" w:line="280" w:lineRule="exact"/>
      <w:jc w:val="right"/>
    </w:pPr>
    <w:rPr>
      <w:rFonts w:ascii="Helvetica" w:eastAsia="Times New Roman" w:hAnsi="Helvetica"/>
      <w:b/>
      <w:sz w:val="24"/>
      <w:lang w:bidi="ar-SA"/>
    </w:rPr>
  </w:style>
  <w:style w:type="paragraph" w:styleId="BalloonText">
    <w:name w:val="Balloon Text"/>
    <w:basedOn w:val="Normal"/>
    <w:link w:val="BalloonTextChar"/>
    <w:uiPriority w:val="99"/>
    <w:semiHidden/>
    <w:unhideWhenUsed/>
    <w:rsid w:val="000E3C28"/>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E3C28"/>
    <w:rPr>
      <w:rFonts w:ascii="Tahoma" w:eastAsia="Calibri" w:hAnsi="Tahoma" w:cs="Mangal"/>
      <w:sz w:val="16"/>
      <w:szCs w:val="14"/>
      <w:lang w:val="en-US" w:bidi="hi-IN"/>
    </w:rPr>
  </w:style>
  <w:style w:type="table" w:styleId="TableGrid">
    <w:name w:val="Table Grid"/>
    <w:basedOn w:val="TableNormal"/>
    <w:uiPriority w:val="59"/>
    <w:rsid w:val="00A01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014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iencedirect.com/topics/social-sciences/private-secto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1198</TotalTime>
  <Pages>9</Pages>
  <Words>5701</Words>
  <Characters>32502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rejina</dc:creator>
  <cp:keywords/>
  <dc:description/>
  <cp:lastModifiedBy>SDI 1084</cp:lastModifiedBy>
  <cp:revision>25</cp:revision>
  <dcterms:created xsi:type="dcterms:W3CDTF">2025-02-05T02:38:00Z</dcterms:created>
  <dcterms:modified xsi:type="dcterms:W3CDTF">2026-02-27T12:55:00Z</dcterms:modified>
</cp:coreProperties>
</file>