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C845A" w14:textId="0FDC44BE" w:rsidR="00896056" w:rsidRPr="00F2707A" w:rsidRDefault="00496653" w:rsidP="00896056">
      <w:pPr>
        <w:spacing w:after="120" w:line="360" w:lineRule="auto"/>
        <w:jc w:val="center"/>
        <w:rPr>
          <w:rFonts w:ascii="Times New Roman" w:hAnsi="Times New Roman" w:cs="Times New Roman"/>
          <w:b/>
          <w:bCs/>
        </w:rPr>
      </w:pPr>
      <w:r w:rsidRPr="00496653">
        <w:rPr>
          <w:rFonts w:ascii="Times New Roman" w:hAnsi="Times New Roman" w:cs="Times New Roman"/>
          <w:b/>
          <w:bCs/>
          <w:sz w:val="28"/>
          <w:szCs w:val="28"/>
        </w:rPr>
        <w:t>An Empirical Study of Energy</w:t>
      </w:r>
      <w:r>
        <w:rPr>
          <w:rFonts w:ascii="Times New Roman" w:hAnsi="Times New Roman" w:cs="Times New Roman"/>
          <w:b/>
          <w:bCs/>
          <w:sz w:val="28"/>
          <w:szCs w:val="28"/>
        </w:rPr>
        <w:t>-</w:t>
      </w:r>
      <w:r w:rsidRPr="00496653">
        <w:rPr>
          <w:rFonts w:ascii="Times New Roman" w:hAnsi="Times New Roman" w:cs="Times New Roman"/>
          <w:b/>
          <w:bCs/>
          <w:sz w:val="28"/>
          <w:szCs w:val="28"/>
        </w:rPr>
        <w:t>Development Policy Trade-offs in the Indian Economy: Evidence from Dynamic and Fully Modified OLS Estimations</w:t>
      </w:r>
    </w:p>
    <w:p w14:paraId="64CDE1F3" w14:textId="77777777" w:rsidR="00AB5894" w:rsidRDefault="00AB5894" w:rsidP="00896056">
      <w:pPr>
        <w:spacing w:after="120" w:line="360" w:lineRule="auto"/>
        <w:rPr>
          <w:rFonts w:ascii="Times New Roman" w:hAnsi="Times New Roman" w:cs="Times New Roman"/>
          <w:b/>
          <w:bCs/>
        </w:rPr>
      </w:pPr>
    </w:p>
    <w:p w14:paraId="793E30AE" w14:textId="520D56F5" w:rsidR="00896056" w:rsidRDefault="00896056" w:rsidP="00896056">
      <w:pPr>
        <w:spacing w:after="120" w:line="360" w:lineRule="auto"/>
        <w:rPr>
          <w:rFonts w:ascii="Times New Roman" w:hAnsi="Times New Roman" w:cs="Times New Roman"/>
          <w:b/>
          <w:bCs/>
        </w:rPr>
      </w:pPr>
      <w:r>
        <w:rPr>
          <w:rFonts w:ascii="Times New Roman" w:hAnsi="Times New Roman" w:cs="Times New Roman"/>
          <w:b/>
          <w:bCs/>
        </w:rPr>
        <w:t>Abstract</w:t>
      </w:r>
    </w:p>
    <w:p w14:paraId="61DE880F" w14:textId="77777777" w:rsidR="00896056" w:rsidRPr="009070D3" w:rsidRDefault="00896056" w:rsidP="00896056">
      <w:pPr>
        <w:spacing w:after="120" w:line="360" w:lineRule="auto"/>
        <w:jc w:val="both"/>
        <w:rPr>
          <w:rFonts w:ascii="Times New Roman" w:hAnsi="Times New Roman" w:cs="Times New Roman"/>
        </w:rPr>
      </w:pPr>
      <w:r w:rsidRPr="009070D3">
        <w:rPr>
          <w:rFonts w:ascii="Times New Roman" w:hAnsi="Times New Roman" w:cs="Times New Roman"/>
        </w:rPr>
        <w:t xml:space="preserve">The paper explores the relationship between economic </w:t>
      </w:r>
      <w:r>
        <w:rPr>
          <w:rFonts w:ascii="Times New Roman" w:hAnsi="Times New Roman" w:cs="Times New Roman"/>
        </w:rPr>
        <w:t>size</w:t>
      </w:r>
      <w:r w:rsidRPr="009070D3">
        <w:rPr>
          <w:rFonts w:ascii="Times New Roman" w:hAnsi="Times New Roman" w:cs="Times New Roman"/>
        </w:rPr>
        <w:t xml:space="preserve">, </w:t>
      </w:r>
      <w:r>
        <w:rPr>
          <w:rFonts w:ascii="Times New Roman" w:hAnsi="Times New Roman" w:cs="Times New Roman"/>
        </w:rPr>
        <w:t>foreign investment</w:t>
      </w:r>
      <w:r w:rsidRPr="009070D3">
        <w:rPr>
          <w:rFonts w:ascii="Times New Roman" w:hAnsi="Times New Roman" w:cs="Times New Roman"/>
        </w:rPr>
        <w:t xml:space="preserve"> and urbanisation in </w:t>
      </w:r>
      <w:r>
        <w:rPr>
          <w:rFonts w:ascii="Times New Roman" w:hAnsi="Times New Roman" w:cs="Times New Roman"/>
        </w:rPr>
        <w:t xml:space="preserve">energy </w:t>
      </w:r>
      <w:r w:rsidRPr="009070D3">
        <w:rPr>
          <w:rFonts w:ascii="Times New Roman" w:hAnsi="Times New Roman" w:cs="Times New Roman"/>
        </w:rPr>
        <w:t xml:space="preserve">sustainable ecosystems. The investigation is based on the </w:t>
      </w:r>
      <w:r>
        <w:rPr>
          <w:rFonts w:ascii="Times New Roman" w:hAnsi="Times New Roman" w:cs="Times New Roman"/>
        </w:rPr>
        <w:t>time series</w:t>
      </w:r>
      <w:r w:rsidRPr="009070D3">
        <w:rPr>
          <w:rFonts w:ascii="Times New Roman" w:hAnsi="Times New Roman" w:cs="Times New Roman"/>
        </w:rPr>
        <w:t xml:space="preserve"> data for </w:t>
      </w:r>
      <w:r>
        <w:rPr>
          <w:rFonts w:ascii="Times New Roman" w:hAnsi="Times New Roman" w:cs="Times New Roman"/>
        </w:rPr>
        <w:t>India</w:t>
      </w:r>
      <w:r w:rsidRPr="009070D3">
        <w:rPr>
          <w:rFonts w:ascii="Times New Roman" w:hAnsi="Times New Roman" w:cs="Times New Roman"/>
        </w:rPr>
        <w:t xml:space="preserve"> from 1991 to 2019. By using </w:t>
      </w:r>
      <w:r>
        <w:rPr>
          <w:rFonts w:ascii="Times New Roman" w:hAnsi="Times New Roman" w:cs="Times New Roman"/>
        </w:rPr>
        <w:t>tools like Dynamic OLS, Fully Modified OLS and Integrated OLS</w:t>
      </w:r>
      <w:r w:rsidRPr="009070D3">
        <w:rPr>
          <w:rFonts w:ascii="Times New Roman" w:hAnsi="Times New Roman" w:cs="Times New Roman"/>
        </w:rPr>
        <w:t xml:space="preserve">, this paper follows affiliation amid sustainability and </w:t>
      </w:r>
      <w:r>
        <w:rPr>
          <w:rFonts w:ascii="Times New Roman" w:hAnsi="Times New Roman" w:cs="Times New Roman"/>
        </w:rPr>
        <w:t>economic development</w:t>
      </w:r>
      <w:r w:rsidRPr="009070D3">
        <w:rPr>
          <w:rFonts w:ascii="Times New Roman" w:hAnsi="Times New Roman" w:cs="Times New Roman"/>
        </w:rPr>
        <w:t xml:space="preserve">. The results reported indicate the existence of an association between </w:t>
      </w:r>
      <w:r>
        <w:rPr>
          <w:rFonts w:ascii="Times New Roman" w:hAnsi="Times New Roman" w:cs="Times New Roman"/>
        </w:rPr>
        <w:t xml:space="preserve">energy </w:t>
      </w:r>
      <w:r w:rsidRPr="009070D3">
        <w:rPr>
          <w:rFonts w:ascii="Times New Roman" w:hAnsi="Times New Roman" w:cs="Times New Roman"/>
        </w:rPr>
        <w:t>sustainability and urbanisation in the case of India</w:t>
      </w:r>
      <w:r>
        <w:rPr>
          <w:rFonts w:ascii="Times New Roman" w:hAnsi="Times New Roman" w:cs="Times New Roman"/>
        </w:rPr>
        <w:t xml:space="preserve"> showing a policy trade-off between urban development and energy sustainability</w:t>
      </w:r>
      <w:r w:rsidRPr="009070D3">
        <w:rPr>
          <w:rFonts w:ascii="Times New Roman" w:hAnsi="Times New Roman" w:cs="Times New Roman"/>
        </w:rPr>
        <w:t xml:space="preserve">. The granger causality analysis also reveals that in the case of India, there existed </w:t>
      </w:r>
      <w:r>
        <w:rPr>
          <w:rFonts w:ascii="Times New Roman" w:hAnsi="Times New Roman" w:cs="Times New Roman"/>
        </w:rPr>
        <w:t>uni</w:t>
      </w:r>
      <w:r w:rsidRPr="009070D3">
        <w:rPr>
          <w:rFonts w:ascii="Times New Roman" w:hAnsi="Times New Roman" w:cs="Times New Roman"/>
        </w:rPr>
        <w:t xml:space="preserve">directional causation amid </w:t>
      </w:r>
      <w:r>
        <w:rPr>
          <w:rFonts w:ascii="Times New Roman" w:hAnsi="Times New Roman" w:cs="Times New Roman"/>
        </w:rPr>
        <w:t xml:space="preserve">energy </w:t>
      </w:r>
      <w:r w:rsidRPr="009070D3">
        <w:rPr>
          <w:rFonts w:ascii="Times New Roman" w:hAnsi="Times New Roman" w:cs="Times New Roman"/>
        </w:rPr>
        <w:t>sustainability and urbanisation</w:t>
      </w:r>
      <w:r>
        <w:rPr>
          <w:rFonts w:ascii="Times New Roman" w:hAnsi="Times New Roman" w:cs="Times New Roman"/>
        </w:rPr>
        <w:t xml:space="preserve"> where urbanisation has a significant causation towards the energy sustainability</w:t>
      </w:r>
      <w:r w:rsidRPr="009070D3">
        <w:rPr>
          <w:rFonts w:ascii="Times New Roman" w:hAnsi="Times New Roman" w:cs="Times New Roman"/>
        </w:rPr>
        <w:t xml:space="preserve">. Knowing well that </w:t>
      </w:r>
      <w:r>
        <w:rPr>
          <w:rFonts w:ascii="Times New Roman" w:hAnsi="Times New Roman" w:cs="Times New Roman"/>
        </w:rPr>
        <w:t>India is a</w:t>
      </w:r>
      <w:r w:rsidRPr="009070D3">
        <w:rPr>
          <w:rFonts w:ascii="Times New Roman" w:hAnsi="Times New Roman" w:cs="Times New Roman"/>
        </w:rPr>
        <w:t xml:space="preserve"> party to the “Kyoto Protocol and Paris agreement”, but there is still a necessity to preserve and promote the impetus concerning </w:t>
      </w:r>
      <w:r>
        <w:rPr>
          <w:rFonts w:ascii="Times New Roman" w:hAnsi="Times New Roman" w:cs="Times New Roman"/>
        </w:rPr>
        <w:t xml:space="preserve">energy </w:t>
      </w:r>
      <w:r w:rsidRPr="009070D3">
        <w:rPr>
          <w:rFonts w:ascii="Times New Roman" w:hAnsi="Times New Roman" w:cs="Times New Roman"/>
        </w:rPr>
        <w:t>sustainability in arousing inclusive awareness concerning the realisation of sustainable ecosystems. More so, subsidising schemes and promoting awareness programmes are recommended, such as incentivising sustainable urban planning and green power purchase agreement and adoption of green bonds for energy infrastructure needs.</w:t>
      </w:r>
    </w:p>
    <w:p w14:paraId="3116833D" w14:textId="77777777" w:rsidR="00896056" w:rsidRPr="009070D3" w:rsidRDefault="00896056" w:rsidP="00896056">
      <w:pPr>
        <w:spacing w:after="120" w:line="360" w:lineRule="auto"/>
        <w:jc w:val="both"/>
        <w:rPr>
          <w:rFonts w:ascii="Times New Roman" w:hAnsi="Times New Roman" w:cs="Times New Roman"/>
        </w:rPr>
      </w:pPr>
      <w:r w:rsidRPr="008A50A5">
        <w:rPr>
          <w:rFonts w:ascii="Times New Roman" w:hAnsi="Times New Roman" w:cs="Times New Roman"/>
          <w:b/>
          <w:bCs/>
        </w:rPr>
        <w:t>Keywords:</w:t>
      </w:r>
      <w:r w:rsidRPr="009070D3">
        <w:rPr>
          <w:rFonts w:ascii="Times New Roman" w:hAnsi="Times New Roman" w:cs="Times New Roman"/>
        </w:rPr>
        <w:t xml:space="preserve"> </w:t>
      </w:r>
      <w:r>
        <w:rPr>
          <w:rFonts w:ascii="Times New Roman" w:hAnsi="Times New Roman" w:cs="Times New Roman"/>
        </w:rPr>
        <w:t>Energy</w:t>
      </w:r>
      <w:r w:rsidRPr="009070D3">
        <w:rPr>
          <w:rFonts w:ascii="Times New Roman" w:hAnsi="Times New Roman" w:cs="Times New Roman"/>
        </w:rPr>
        <w:t xml:space="preserve"> Sustainability; Urban Growth; Foreign Investment; </w:t>
      </w:r>
      <w:r>
        <w:rPr>
          <w:rFonts w:ascii="Times New Roman" w:hAnsi="Times New Roman" w:cs="Times New Roman"/>
        </w:rPr>
        <w:t xml:space="preserve">DOLS and FMOLS; </w:t>
      </w:r>
      <w:r w:rsidRPr="009070D3">
        <w:rPr>
          <w:rFonts w:ascii="Times New Roman" w:hAnsi="Times New Roman" w:cs="Times New Roman"/>
        </w:rPr>
        <w:t>Sustainable Ecosystems</w:t>
      </w:r>
      <w:r>
        <w:rPr>
          <w:rFonts w:ascii="Times New Roman" w:hAnsi="Times New Roman" w:cs="Times New Roman"/>
        </w:rPr>
        <w:t>.</w:t>
      </w:r>
    </w:p>
    <w:p w14:paraId="0CFCDE1E" w14:textId="77777777" w:rsidR="000A5D73" w:rsidRDefault="000A5D73" w:rsidP="000A5D73">
      <w:pPr>
        <w:spacing w:after="120" w:line="360" w:lineRule="auto"/>
        <w:rPr>
          <w:rFonts w:ascii="Times New Roman" w:hAnsi="Times New Roman" w:cs="Times New Roman"/>
          <w:b/>
          <w:bCs/>
        </w:rPr>
      </w:pPr>
      <w:r>
        <w:rPr>
          <w:rFonts w:ascii="Times New Roman" w:hAnsi="Times New Roman" w:cs="Times New Roman"/>
          <w:b/>
          <w:bCs/>
        </w:rPr>
        <w:t>Introduction</w:t>
      </w:r>
    </w:p>
    <w:p w14:paraId="5BE1EB08" w14:textId="77777777" w:rsidR="000A5D73" w:rsidRDefault="000A5D73" w:rsidP="000A5D73">
      <w:pPr>
        <w:spacing w:line="360" w:lineRule="auto"/>
        <w:jc w:val="both"/>
        <w:rPr>
          <w:rFonts w:ascii="Times New Roman" w:hAnsi="Times New Roman" w:cs="Times New Roman"/>
        </w:rPr>
      </w:pPr>
      <w:r>
        <w:rPr>
          <w:rFonts w:ascii="Times New Roman" w:hAnsi="Times New Roman" w:cs="Times New Roman"/>
        </w:rPr>
        <w:t xml:space="preserve">In changing global dynamics, every economy is facing a challenge of ensuring energy sustainability while attaining higher economic growth for creating a sustainable condition for future generations </w:t>
      </w:r>
      <w:r w:rsidRPr="00C55303">
        <w:rPr>
          <w:rFonts w:ascii="Times New Roman" w:hAnsi="Times New Roman" w:cs="Times New Roman"/>
        </w:rPr>
        <w:t>(Adedoyin et al., 2020).</w:t>
      </w:r>
      <w:r>
        <w:rPr>
          <w:rFonts w:ascii="Times New Roman" w:hAnsi="Times New Roman" w:cs="Times New Roman"/>
        </w:rPr>
        <w:t xml:space="preserve"> In this the major concern for modern society is that attaining economic development will lead towards the scarcity of natural resources </w:t>
      </w:r>
      <w:r w:rsidRPr="00C55303">
        <w:rPr>
          <w:rFonts w:ascii="Times New Roman" w:hAnsi="Times New Roman" w:cs="Times New Roman"/>
        </w:rPr>
        <w:t>(World Economic Forum, 2021)</w:t>
      </w:r>
      <w:r>
        <w:rPr>
          <w:rFonts w:ascii="Times New Roman" w:hAnsi="Times New Roman" w:cs="Times New Roman"/>
        </w:rPr>
        <w:t xml:space="preserve">. Developing economies, like India, are more prone to consequences of this development process. However, creating environmental strategy depends on various areas, like, businesses, industrial production, power generation and transportation </w:t>
      </w:r>
      <w:r w:rsidRPr="00855BCA">
        <w:rPr>
          <w:rFonts w:ascii="Times New Roman" w:hAnsi="Times New Roman" w:cs="Times New Roman"/>
        </w:rPr>
        <w:t>(Adedoyin et al., 2020)</w:t>
      </w:r>
      <w:r>
        <w:rPr>
          <w:rFonts w:ascii="Times New Roman" w:hAnsi="Times New Roman" w:cs="Times New Roman"/>
        </w:rPr>
        <w:t xml:space="preserve">; which cannot be achieved by one solution for correcting all the strategic areas. This creates an obligation for all the stakeholder, mainly policymakers, to create strategies </w:t>
      </w:r>
      <w:r>
        <w:rPr>
          <w:rFonts w:ascii="Times New Roman" w:hAnsi="Times New Roman" w:cs="Times New Roman"/>
        </w:rPr>
        <w:lastRenderedPageBreak/>
        <w:t xml:space="preserve">which helps in shaping the self-sustaining economy, without any disruption in the course of economic development </w:t>
      </w:r>
      <w:r w:rsidRPr="00855BCA">
        <w:rPr>
          <w:rFonts w:ascii="Times New Roman" w:hAnsi="Times New Roman" w:cs="Times New Roman"/>
        </w:rPr>
        <w:t>(Anbu, 2020)</w:t>
      </w:r>
      <w:r>
        <w:rPr>
          <w:rFonts w:ascii="Times New Roman" w:hAnsi="Times New Roman" w:cs="Times New Roman"/>
        </w:rPr>
        <w:t>.</w:t>
      </w:r>
    </w:p>
    <w:p w14:paraId="05026C59" w14:textId="77777777" w:rsidR="000A5D73" w:rsidRDefault="000A5D73" w:rsidP="000A5D73">
      <w:pPr>
        <w:spacing w:line="360" w:lineRule="auto"/>
        <w:jc w:val="both"/>
        <w:rPr>
          <w:rFonts w:ascii="Times New Roman" w:hAnsi="Times New Roman" w:cs="Times New Roman"/>
        </w:rPr>
      </w:pPr>
      <w:r>
        <w:rPr>
          <w:rFonts w:ascii="Times New Roman" w:hAnsi="Times New Roman" w:cs="Times New Roman"/>
        </w:rPr>
        <w:t xml:space="preserve">In the post-COVID 19 era, many economic hustles were formed which formed a new global value chain paradigm in production and consumption. International trade has emerged as key driver of the new world economic order </w:t>
      </w:r>
      <w:r w:rsidRPr="00855BCA">
        <w:rPr>
          <w:rFonts w:ascii="Times New Roman" w:hAnsi="Times New Roman" w:cs="Times New Roman"/>
        </w:rPr>
        <w:t>(Pahl &amp; Timmer, 2020)</w:t>
      </w:r>
      <w:r>
        <w:rPr>
          <w:rFonts w:ascii="Times New Roman" w:hAnsi="Times New Roman" w:cs="Times New Roman"/>
        </w:rPr>
        <w:t xml:space="preserve">. Therefore, during this economic turmoil the path to sustainability can be achieved with solving the development-environment dilemma </w:t>
      </w:r>
      <w:r w:rsidRPr="00855BCA">
        <w:rPr>
          <w:rFonts w:ascii="Times New Roman" w:hAnsi="Times New Roman" w:cs="Times New Roman"/>
        </w:rPr>
        <w:t>(Combes Motel et al.,</w:t>
      </w:r>
      <w:r>
        <w:rPr>
          <w:rFonts w:ascii="Times New Roman" w:hAnsi="Times New Roman" w:cs="Times New Roman"/>
        </w:rPr>
        <w:t xml:space="preserve"> </w:t>
      </w:r>
      <w:r w:rsidRPr="00855BCA">
        <w:rPr>
          <w:rFonts w:ascii="Times New Roman" w:hAnsi="Times New Roman" w:cs="Times New Roman"/>
        </w:rPr>
        <w:t xml:space="preserve">2014; </w:t>
      </w:r>
      <w:proofErr w:type="spellStart"/>
      <w:r w:rsidRPr="00855BCA">
        <w:rPr>
          <w:rFonts w:ascii="Times New Roman" w:hAnsi="Times New Roman" w:cs="Times New Roman"/>
        </w:rPr>
        <w:t>Piddington</w:t>
      </w:r>
      <w:proofErr w:type="spellEnd"/>
      <w:r w:rsidRPr="00855BCA">
        <w:rPr>
          <w:rFonts w:ascii="Times New Roman" w:hAnsi="Times New Roman" w:cs="Times New Roman"/>
        </w:rPr>
        <w:t xml:space="preserve">, 1990; </w:t>
      </w:r>
      <w:proofErr w:type="spellStart"/>
      <w:r w:rsidRPr="00855BCA">
        <w:rPr>
          <w:rFonts w:ascii="Times New Roman" w:hAnsi="Times New Roman" w:cs="Times New Roman"/>
        </w:rPr>
        <w:t>Staniškis</w:t>
      </w:r>
      <w:proofErr w:type="spellEnd"/>
      <w:r w:rsidRPr="00855BCA">
        <w:rPr>
          <w:rFonts w:ascii="Times New Roman" w:hAnsi="Times New Roman" w:cs="Times New Roman"/>
        </w:rPr>
        <w:t>, 2020).</w:t>
      </w:r>
      <w:r>
        <w:rPr>
          <w:rFonts w:ascii="Times New Roman" w:hAnsi="Times New Roman" w:cs="Times New Roman"/>
        </w:rPr>
        <w:t xml:space="preserve"> In the same way studies, like </w:t>
      </w:r>
      <w:proofErr w:type="spellStart"/>
      <w:r w:rsidRPr="001B79C8">
        <w:rPr>
          <w:rFonts w:ascii="Times New Roman" w:hAnsi="Times New Roman" w:cs="Times New Roman"/>
        </w:rPr>
        <w:t>Anser</w:t>
      </w:r>
      <w:proofErr w:type="spellEnd"/>
      <w:r w:rsidRPr="001B79C8">
        <w:rPr>
          <w:rFonts w:ascii="Times New Roman" w:hAnsi="Times New Roman" w:cs="Times New Roman"/>
        </w:rPr>
        <w:t xml:space="preserve"> et al., 2020; Behera &amp; Dash, 2017; </w:t>
      </w:r>
      <w:proofErr w:type="spellStart"/>
      <w:r w:rsidRPr="001B79C8">
        <w:rPr>
          <w:rFonts w:ascii="Times New Roman" w:hAnsi="Times New Roman" w:cs="Times New Roman"/>
        </w:rPr>
        <w:t>Iheonu</w:t>
      </w:r>
      <w:proofErr w:type="spellEnd"/>
      <w:r w:rsidRPr="001B79C8">
        <w:rPr>
          <w:rFonts w:ascii="Times New Roman" w:hAnsi="Times New Roman" w:cs="Times New Roman"/>
        </w:rPr>
        <w:t xml:space="preserve"> et al., 2021; </w:t>
      </w:r>
      <w:proofErr w:type="spellStart"/>
      <w:r w:rsidRPr="001B79C8">
        <w:rPr>
          <w:rFonts w:ascii="Times New Roman" w:hAnsi="Times New Roman" w:cs="Times New Roman"/>
        </w:rPr>
        <w:t>Nketiah</w:t>
      </w:r>
      <w:proofErr w:type="spellEnd"/>
      <w:r w:rsidRPr="001B79C8">
        <w:rPr>
          <w:rFonts w:ascii="Times New Roman" w:hAnsi="Times New Roman" w:cs="Times New Roman"/>
        </w:rPr>
        <w:t xml:space="preserve"> et al., 2020</w:t>
      </w:r>
      <w:r>
        <w:rPr>
          <w:rFonts w:ascii="Times New Roman" w:hAnsi="Times New Roman" w:cs="Times New Roman"/>
        </w:rPr>
        <w:t>, have incorporated additional variables like, urbanisation, foreign direct investment to counter the biasness involved while dealing with the economic development of an economy.</w:t>
      </w:r>
    </w:p>
    <w:p w14:paraId="49034F06" w14:textId="77777777" w:rsidR="000A5D73" w:rsidRDefault="000A5D73" w:rsidP="000A5D73">
      <w:pPr>
        <w:spacing w:line="360" w:lineRule="auto"/>
        <w:jc w:val="both"/>
        <w:rPr>
          <w:rFonts w:ascii="Times New Roman" w:hAnsi="Times New Roman" w:cs="Times New Roman"/>
        </w:rPr>
      </w:pPr>
      <w:r>
        <w:rPr>
          <w:rFonts w:ascii="Times New Roman" w:hAnsi="Times New Roman" w:cs="Times New Roman"/>
        </w:rPr>
        <w:t xml:space="preserve">Urbanisation is a major requirement for the economic growth as the increase in the urban population causes an upsurge in the energy consumption which plays a relevant role in the advancement of an economy. In spite of that it is observed that urbanisation leads </w:t>
      </w:r>
      <w:r w:rsidRPr="001B79C8">
        <w:rPr>
          <w:rFonts w:ascii="Times New Roman" w:hAnsi="Times New Roman" w:cs="Times New Roman"/>
        </w:rPr>
        <w:t xml:space="preserve">the way to bring social, economic, and sustainability into increasingly challenged surroundings (Bai et al., 2012; Douglas, 2012; Macomber, 2013) </w:t>
      </w:r>
      <w:r>
        <w:rPr>
          <w:rFonts w:ascii="Times New Roman" w:hAnsi="Times New Roman" w:cs="Times New Roman"/>
        </w:rPr>
        <w:t xml:space="preserve">because it starts to degrade both environment and human life, due to requirement of energy based on fossil fuels. To avoid these circumstances, an economy can invest in renewable energy sources and curb emission by reducing its reliance on fossil fuels. This can create a clean and sustainable economy while increasing the level of urbanisation. Here, it seems only option to bypass the dilemma is unconventional energy. Renewable energy reduces import dependence, provide sustainable growth, with high employment opportunities. According to the </w:t>
      </w:r>
      <w:r w:rsidRPr="005B0C2A">
        <w:rPr>
          <w:rFonts w:ascii="Times New Roman" w:hAnsi="Times New Roman" w:cs="Times New Roman"/>
        </w:rPr>
        <w:t>International Renewable Energy Agency (IRENA)</w:t>
      </w:r>
      <w:r>
        <w:rPr>
          <w:rFonts w:ascii="Times New Roman" w:hAnsi="Times New Roman" w:cs="Times New Roman"/>
        </w:rPr>
        <w:t xml:space="preserve"> </w:t>
      </w:r>
      <w:r w:rsidRPr="005B0C2A">
        <w:rPr>
          <w:rFonts w:ascii="Times New Roman" w:hAnsi="Times New Roman" w:cs="Times New Roman"/>
        </w:rPr>
        <w:t>ninety per cent of the world’s</w:t>
      </w:r>
      <w:r>
        <w:rPr>
          <w:rFonts w:ascii="Times New Roman" w:hAnsi="Times New Roman" w:cs="Times New Roman"/>
        </w:rPr>
        <w:t xml:space="preserve"> </w:t>
      </w:r>
      <w:r w:rsidRPr="005B0C2A">
        <w:rPr>
          <w:rFonts w:ascii="Times New Roman" w:hAnsi="Times New Roman" w:cs="Times New Roman"/>
        </w:rPr>
        <w:t>electricity will come from renewable energy by 2050.</w:t>
      </w:r>
      <w:r>
        <w:rPr>
          <w:rFonts w:ascii="Times New Roman" w:hAnsi="Times New Roman" w:cs="Times New Roman"/>
        </w:rPr>
        <w:t xml:space="preserve"> </w:t>
      </w:r>
      <w:r w:rsidRPr="003B4B72">
        <w:rPr>
          <w:rFonts w:ascii="Times New Roman" w:hAnsi="Times New Roman" w:cs="Times New Roman"/>
        </w:rPr>
        <w:t xml:space="preserve">India aims to increase renewable energy use and achieve zero </w:t>
      </w:r>
      <w:r>
        <w:rPr>
          <w:rFonts w:ascii="Times New Roman" w:hAnsi="Times New Roman" w:cs="Times New Roman"/>
        </w:rPr>
        <w:t>carbon emissions</w:t>
      </w:r>
      <w:r w:rsidRPr="003B4B72">
        <w:rPr>
          <w:rFonts w:ascii="Times New Roman" w:hAnsi="Times New Roman" w:cs="Times New Roman"/>
        </w:rPr>
        <w:t xml:space="preserve"> by 2070, with a 30% reduction by 2030.</w:t>
      </w:r>
      <w:r>
        <w:rPr>
          <w:rFonts w:ascii="Times New Roman" w:hAnsi="Times New Roman" w:cs="Times New Roman"/>
        </w:rPr>
        <w:t xml:space="preserve"> </w:t>
      </w:r>
      <w:r w:rsidRPr="00310267">
        <w:rPr>
          <w:rFonts w:ascii="Times New Roman" w:hAnsi="Times New Roman" w:cs="Times New Roman"/>
        </w:rPr>
        <w:t>According to Niti Aayog Report, “India is already in the midst of a transition toward a low carbon economy. The share of coal in the energy mix of India is likely to decline to 40% by 2040 from 46% currently”</w:t>
      </w:r>
      <w:sdt>
        <w:sdtPr>
          <w:rPr>
            <w:rFonts w:ascii="Times New Roman" w:hAnsi="Times New Roman" w:cs="Times New Roman"/>
          </w:rPr>
          <w:id w:val="-691379989"/>
          <w:citation/>
        </w:sdtPr>
        <w:sdtEndPr/>
        <w:sdtContent>
          <w:r w:rsidRPr="00310267">
            <w:rPr>
              <w:rFonts w:ascii="Times New Roman" w:hAnsi="Times New Roman" w:cs="Times New Roman"/>
            </w:rPr>
            <w:fldChar w:fldCharType="begin"/>
          </w:r>
          <w:r w:rsidRPr="00310267">
            <w:rPr>
              <w:rFonts w:ascii="Times New Roman" w:hAnsi="Times New Roman" w:cs="Times New Roman"/>
            </w:rPr>
            <w:instrText xml:space="preserve"> CITATION Sar21 \l 1033 </w:instrText>
          </w:r>
          <w:r w:rsidRPr="00310267">
            <w:rPr>
              <w:rFonts w:ascii="Times New Roman" w:hAnsi="Times New Roman" w:cs="Times New Roman"/>
            </w:rPr>
            <w:fldChar w:fldCharType="separate"/>
          </w:r>
          <w:r w:rsidRPr="00310267">
            <w:rPr>
              <w:rFonts w:ascii="Times New Roman" w:hAnsi="Times New Roman" w:cs="Times New Roman"/>
            </w:rPr>
            <w:t xml:space="preserve"> (Saraswat &amp; Bansal, 2021)</w:t>
          </w:r>
          <w:r w:rsidRPr="00310267">
            <w:rPr>
              <w:rFonts w:ascii="Times New Roman" w:hAnsi="Times New Roman" w:cs="Times New Roman"/>
            </w:rPr>
            <w:fldChar w:fldCharType="end"/>
          </w:r>
        </w:sdtContent>
      </w:sdt>
      <w:r>
        <w:rPr>
          <w:rFonts w:ascii="Times New Roman" w:hAnsi="Times New Roman" w:cs="Times New Roman"/>
        </w:rPr>
        <w:t xml:space="preserve">. Previous studies, although worked on the aspect of environmental sustainability, but they are mostly confined around the carbon emission and only few studies have attempted to analyse this important topic with renewable energy perspective, like, Royal et al. (2023). Therefore, it is a need of the hour to make environmental policies which could shift demand for energy from conventional to unconventional sources of energy. This will enlarge the scope for investors in the area of renewable energy and create a supportive environment for the growth of unconventional energy sources. </w:t>
      </w:r>
      <w:r w:rsidRPr="00181EDA">
        <w:rPr>
          <w:rFonts w:ascii="Times New Roman" w:hAnsi="Times New Roman" w:cs="Times New Roman"/>
        </w:rPr>
        <w:t>It is</w:t>
      </w:r>
      <w:r>
        <w:rPr>
          <w:rFonts w:ascii="Times New Roman" w:hAnsi="Times New Roman" w:cs="Times New Roman"/>
        </w:rPr>
        <w:t xml:space="preserve"> </w:t>
      </w:r>
      <w:r w:rsidRPr="00181EDA">
        <w:rPr>
          <w:rFonts w:ascii="Times New Roman" w:hAnsi="Times New Roman" w:cs="Times New Roman"/>
        </w:rPr>
        <w:t xml:space="preserve">crucial to reassess trade openness in conjunction with development to gain a deeper understanding of the sustainability of its outcomes. This study opts for FDI inflows over </w:t>
      </w:r>
      <w:r w:rsidRPr="00181EDA">
        <w:rPr>
          <w:rFonts w:ascii="Times New Roman" w:hAnsi="Times New Roman" w:cs="Times New Roman"/>
        </w:rPr>
        <w:lastRenderedPageBreak/>
        <w:t>exports, as FDI more effectively captures the dynamics of both developed and emerging economies. From the perspective of developed nations, FDI is driven by the aim to tap into the growing demand in emerging markets. Conversely, for developing countries like India, FDI primarily supports investment aimed at import substitution.</w:t>
      </w:r>
    </w:p>
    <w:p w14:paraId="1EFB77F7" w14:textId="77777777" w:rsidR="000A5D73" w:rsidRDefault="000A5D73" w:rsidP="000A5D73">
      <w:pPr>
        <w:spacing w:line="360" w:lineRule="auto"/>
        <w:jc w:val="both"/>
        <w:rPr>
          <w:rFonts w:ascii="Times New Roman" w:hAnsi="Times New Roman" w:cs="Times New Roman"/>
          <w:b/>
          <w:bCs/>
        </w:rPr>
      </w:pPr>
      <w:r w:rsidRPr="00BC7B59">
        <w:rPr>
          <w:rFonts w:ascii="Times New Roman" w:hAnsi="Times New Roman" w:cs="Times New Roman"/>
          <w:b/>
          <w:bCs/>
        </w:rPr>
        <w:t>Literature Review</w:t>
      </w:r>
    </w:p>
    <w:p w14:paraId="30360FF4" w14:textId="77777777" w:rsidR="000A5D73" w:rsidRDefault="000A5D73" w:rsidP="000A5D73">
      <w:pPr>
        <w:spacing w:line="360" w:lineRule="auto"/>
        <w:jc w:val="both"/>
        <w:rPr>
          <w:rFonts w:ascii="Times New Roman" w:hAnsi="Times New Roman" w:cs="Times New Roman"/>
        </w:rPr>
      </w:pPr>
      <w:r w:rsidRPr="00BC7B59">
        <w:rPr>
          <w:rFonts w:ascii="Times New Roman" w:hAnsi="Times New Roman" w:cs="Times New Roman"/>
        </w:rPr>
        <w:t>In this section, an attempt has been made to pr</w:t>
      </w:r>
      <w:r>
        <w:rPr>
          <w:rFonts w:ascii="Times New Roman" w:hAnsi="Times New Roman" w:cs="Times New Roman"/>
        </w:rPr>
        <w:t>é</w:t>
      </w:r>
      <w:r w:rsidRPr="00BC7B59">
        <w:rPr>
          <w:rFonts w:ascii="Times New Roman" w:hAnsi="Times New Roman" w:cs="Times New Roman"/>
        </w:rPr>
        <w:t>cis all the previous studies associated with the subject matter. Table I reviews all the related studies. The literature has been scrutinised based on a period, sample, the methodology adopted for the study, and the findings. Further, the study tries to institute the trends among different variables based on the preceding literature.</w:t>
      </w:r>
    </w:p>
    <w:p w14:paraId="250ED996" w14:textId="77777777" w:rsidR="000A5D73" w:rsidRDefault="000A5D73" w:rsidP="000A5D73">
      <w:pPr>
        <w:jc w:val="center"/>
        <w:rPr>
          <w:rFonts w:ascii="Times New Roman" w:hAnsi="Times New Roman" w:cs="Times New Roman"/>
          <w:b/>
          <w:bCs/>
        </w:rPr>
      </w:pPr>
      <w:r w:rsidRPr="00BC7B59">
        <w:rPr>
          <w:rFonts w:ascii="Times New Roman" w:hAnsi="Times New Roman" w:cs="Times New Roman"/>
          <w:b/>
          <w:bCs/>
        </w:rPr>
        <w:t>Table 1. Reported summary of the literature analysed</w:t>
      </w:r>
    </w:p>
    <w:tbl>
      <w:tblPr>
        <w:tblStyle w:val="TableGrid"/>
        <w:tblW w:w="0" w:type="auto"/>
        <w:tblLook w:val="04A0" w:firstRow="1" w:lastRow="0" w:firstColumn="1" w:lastColumn="0" w:noHBand="0" w:noVBand="1"/>
      </w:tblPr>
      <w:tblGrid>
        <w:gridCol w:w="2254"/>
        <w:gridCol w:w="1143"/>
        <w:gridCol w:w="2268"/>
        <w:gridCol w:w="3351"/>
      </w:tblGrid>
      <w:tr w:rsidR="000A5D73" w:rsidRPr="00665A0B" w14:paraId="2699BCBE" w14:textId="77777777" w:rsidTr="00147DAD">
        <w:tc>
          <w:tcPr>
            <w:tcW w:w="2254" w:type="dxa"/>
          </w:tcPr>
          <w:p w14:paraId="45BE1015" w14:textId="77777777" w:rsidR="000A5D73" w:rsidRPr="00665A0B" w:rsidRDefault="000A5D73" w:rsidP="00147DAD">
            <w:pPr>
              <w:jc w:val="both"/>
              <w:rPr>
                <w:rFonts w:ascii="Times New Roman" w:hAnsi="Times New Roman" w:cs="Times New Roman"/>
                <w:b/>
                <w:bCs/>
                <w:sz w:val="16"/>
                <w:szCs w:val="16"/>
              </w:rPr>
            </w:pPr>
            <w:r w:rsidRPr="00665A0B">
              <w:rPr>
                <w:rFonts w:ascii="Times New Roman" w:hAnsi="Times New Roman" w:cs="Times New Roman"/>
                <w:b/>
                <w:bCs/>
                <w:sz w:val="16"/>
                <w:szCs w:val="16"/>
              </w:rPr>
              <w:t>Authors</w:t>
            </w:r>
          </w:p>
        </w:tc>
        <w:tc>
          <w:tcPr>
            <w:tcW w:w="1143" w:type="dxa"/>
          </w:tcPr>
          <w:p w14:paraId="277BBF23" w14:textId="77777777" w:rsidR="000A5D73" w:rsidRPr="00665A0B" w:rsidRDefault="000A5D73" w:rsidP="00147DAD">
            <w:pPr>
              <w:jc w:val="both"/>
              <w:rPr>
                <w:rFonts w:ascii="Times New Roman" w:hAnsi="Times New Roman" w:cs="Times New Roman"/>
                <w:b/>
                <w:bCs/>
                <w:sz w:val="16"/>
                <w:szCs w:val="16"/>
              </w:rPr>
            </w:pPr>
            <w:r w:rsidRPr="00665A0B">
              <w:rPr>
                <w:rFonts w:ascii="Times New Roman" w:hAnsi="Times New Roman" w:cs="Times New Roman"/>
                <w:b/>
                <w:bCs/>
                <w:sz w:val="16"/>
                <w:szCs w:val="16"/>
              </w:rPr>
              <w:t>Time period</w:t>
            </w:r>
          </w:p>
        </w:tc>
        <w:tc>
          <w:tcPr>
            <w:tcW w:w="2268" w:type="dxa"/>
          </w:tcPr>
          <w:p w14:paraId="51605C75" w14:textId="77777777" w:rsidR="000A5D73" w:rsidRPr="00665A0B" w:rsidRDefault="000A5D73" w:rsidP="00147DAD">
            <w:pPr>
              <w:jc w:val="both"/>
              <w:rPr>
                <w:rFonts w:ascii="Times New Roman" w:hAnsi="Times New Roman" w:cs="Times New Roman"/>
                <w:b/>
                <w:bCs/>
                <w:sz w:val="16"/>
                <w:szCs w:val="16"/>
              </w:rPr>
            </w:pPr>
            <w:r w:rsidRPr="00665A0B">
              <w:rPr>
                <w:rFonts w:ascii="Times New Roman" w:hAnsi="Times New Roman" w:cs="Times New Roman"/>
                <w:b/>
                <w:bCs/>
                <w:sz w:val="16"/>
                <w:szCs w:val="16"/>
              </w:rPr>
              <w:t>Tools and Technique</w:t>
            </w:r>
          </w:p>
        </w:tc>
        <w:tc>
          <w:tcPr>
            <w:tcW w:w="3351" w:type="dxa"/>
          </w:tcPr>
          <w:p w14:paraId="78C7DDED" w14:textId="77777777" w:rsidR="000A5D73" w:rsidRPr="00665A0B" w:rsidRDefault="000A5D73" w:rsidP="00147DAD">
            <w:pPr>
              <w:jc w:val="both"/>
              <w:rPr>
                <w:rFonts w:ascii="Times New Roman" w:hAnsi="Times New Roman" w:cs="Times New Roman"/>
                <w:b/>
                <w:bCs/>
                <w:sz w:val="16"/>
                <w:szCs w:val="16"/>
              </w:rPr>
            </w:pPr>
            <w:r w:rsidRPr="00665A0B">
              <w:rPr>
                <w:rFonts w:ascii="Times New Roman" w:hAnsi="Times New Roman" w:cs="Times New Roman"/>
                <w:b/>
                <w:bCs/>
                <w:sz w:val="16"/>
                <w:szCs w:val="16"/>
              </w:rPr>
              <w:t>Findings</w:t>
            </w:r>
          </w:p>
        </w:tc>
      </w:tr>
      <w:tr w:rsidR="000A5D73" w:rsidRPr="00665A0B" w14:paraId="2391CEF8" w14:textId="77777777" w:rsidTr="00147DAD">
        <w:tc>
          <w:tcPr>
            <w:tcW w:w="2254" w:type="dxa"/>
          </w:tcPr>
          <w:p w14:paraId="72EA913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Royal et al. (2023)</w:t>
            </w:r>
          </w:p>
        </w:tc>
        <w:tc>
          <w:tcPr>
            <w:tcW w:w="1143" w:type="dxa"/>
          </w:tcPr>
          <w:p w14:paraId="2BD22D7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1991-20</w:t>
            </w:r>
            <w:r>
              <w:rPr>
                <w:rFonts w:ascii="Times New Roman" w:hAnsi="Times New Roman" w:cs="Times New Roman"/>
                <w:sz w:val="16"/>
                <w:szCs w:val="16"/>
              </w:rPr>
              <w:t>19</w:t>
            </w:r>
          </w:p>
        </w:tc>
        <w:tc>
          <w:tcPr>
            <w:tcW w:w="2268" w:type="dxa"/>
          </w:tcPr>
          <w:p w14:paraId="3928294B"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PMG-ARDL.</w:t>
            </w:r>
          </w:p>
        </w:tc>
        <w:tc>
          <w:tcPr>
            <w:tcW w:w="3351" w:type="dxa"/>
          </w:tcPr>
          <w:p w14:paraId="54C4F90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 xml:space="preserve">The study investigated Quad nations and finds increasing energy demand in urban areas makes a necessity rather than a compulsion to provide affordable energy sources. </w:t>
            </w:r>
          </w:p>
        </w:tc>
      </w:tr>
      <w:tr w:rsidR="000A5D73" w:rsidRPr="00665A0B" w14:paraId="48FCC010" w14:textId="77777777" w:rsidTr="00147DAD">
        <w:tc>
          <w:tcPr>
            <w:tcW w:w="2254" w:type="dxa"/>
          </w:tcPr>
          <w:p w14:paraId="2BBDC2A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Yang et al. (2021)</w:t>
            </w:r>
          </w:p>
        </w:tc>
        <w:tc>
          <w:tcPr>
            <w:tcW w:w="1143" w:type="dxa"/>
          </w:tcPr>
          <w:p w14:paraId="29E07FB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1990-2017</w:t>
            </w:r>
          </w:p>
        </w:tc>
        <w:tc>
          <w:tcPr>
            <w:tcW w:w="2268" w:type="dxa"/>
          </w:tcPr>
          <w:p w14:paraId="2490788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Panel co-integration, pair-wise non-causality test, and FMOLS.</w:t>
            </w:r>
          </w:p>
        </w:tc>
        <w:tc>
          <w:tcPr>
            <w:tcW w:w="3351" w:type="dxa"/>
          </w:tcPr>
          <w:p w14:paraId="556CC635"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investigates the impact of globalisation, financial development, and energy utilisation on environmental sustainability in the GCC countries, where results define bidirectional causality between Urbanization &amp; GDP growth.</w:t>
            </w:r>
          </w:p>
        </w:tc>
      </w:tr>
      <w:tr w:rsidR="000A5D73" w:rsidRPr="00665A0B" w14:paraId="3AB73E86" w14:textId="77777777" w:rsidTr="00147DAD">
        <w:tc>
          <w:tcPr>
            <w:tcW w:w="2254" w:type="dxa"/>
          </w:tcPr>
          <w:p w14:paraId="2360F35E"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Murshed et al. (2021)</w:t>
            </w:r>
          </w:p>
        </w:tc>
        <w:tc>
          <w:tcPr>
            <w:tcW w:w="1143" w:type="dxa"/>
          </w:tcPr>
          <w:p w14:paraId="5965108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1972-2015</w:t>
            </w:r>
          </w:p>
        </w:tc>
        <w:tc>
          <w:tcPr>
            <w:tcW w:w="2268" w:type="dxa"/>
          </w:tcPr>
          <w:p w14:paraId="1538BBEE"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approach.</w:t>
            </w:r>
          </w:p>
        </w:tc>
        <w:tc>
          <w:tcPr>
            <w:tcW w:w="3351" w:type="dxa"/>
          </w:tcPr>
          <w:p w14:paraId="3C8E509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study indicates that attracting the FDIs, having the potential of making use of knowledge spillover effects to facilitate the country's renewable power generation, helps in achieving the goals of security of energy and environmental sustainability.</w:t>
            </w:r>
          </w:p>
        </w:tc>
      </w:tr>
      <w:tr w:rsidR="000A5D73" w:rsidRPr="00665A0B" w14:paraId="7BE45340" w14:textId="77777777" w:rsidTr="00147DAD">
        <w:tc>
          <w:tcPr>
            <w:tcW w:w="2254" w:type="dxa"/>
          </w:tcPr>
          <w:p w14:paraId="22E669F5"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Han et al., (2021)</w:t>
            </w:r>
          </w:p>
        </w:tc>
        <w:tc>
          <w:tcPr>
            <w:tcW w:w="1143" w:type="dxa"/>
          </w:tcPr>
          <w:p w14:paraId="7C7B963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1990-2018</w:t>
            </w:r>
          </w:p>
        </w:tc>
        <w:tc>
          <w:tcPr>
            <w:tcW w:w="2268" w:type="dxa"/>
          </w:tcPr>
          <w:p w14:paraId="2C3EE7B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Quantile Regression</w:t>
            </w:r>
          </w:p>
        </w:tc>
        <w:tc>
          <w:tcPr>
            <w:tcW w:w="3351" w:type="dxa"/>
          </w:tcPr>
          <w:p w14:paraId="044C3D9D"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government needs to increase the share of renewable energy in the industrial production and export sector, which could have a good impact on country trade, and further account for a friendly environment along with sustainable performance.</w:t>
            </w:r>
          </w:p>
        </w:tc>
      </w:tr>
      <w:tr w:rsidR="000A5D73" w:rsidRPr="00665A0B" w14:paraId="55411EEF" w14:textId="77777777" w:rsidTr="00147DAD">
        <w:tc>
          <w:tcPr>
            <w:tcW w:w="2254" w:type="dxa"/>
          </w:tcPr>
          <w:p w14:paraId="015AA654"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Baloch et al., (2021)</w:t>
            </w:r>
          </w:p>
        </w:tc>
        <w:tc>
          <w:tcPr>
            <w:tcW w:w="1143" w:type="dxa"/>
          </w:tcPr>
          <w:p w14:paraId="0DABA38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1990-2017</w:t>
            </w:r>
          </w:p>
        </w:tc>
        <w:tc>
          <w:tcPr>
            <w:tcW w:w="2268" w:type="dxa"/>
          </w:tcPr>
          <w:p w14:paraId="0CAD690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PMG-ARDL</w:t>
            </w:r>
          </w:p>
        </w:tc>
        <w:tc>
          <w:tcPr>
            <w:tcW w:w="3351" w:type="dxa"/>
          </w:tcPr>
          <w:p w14:paraId="73A327F7"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paper investigated and revalidated the relevance of the EKC hypothesis for OECD countries in the context of development, globalisation, and energy innovation. Globalisation has a prolonged relationship with energy innovation which further reduces GHG emissions.</w:t>
            </w:r>
          </w:p>
        </w:tc>
      </w:tr>
      <w:tr w:rsidR="000A5D73" w:rsidRPr="00665A0B" w14:paraId="60A58B6D" w14:textId="77777777" w:rsidTr="00147DAD">
        <w:tc>
          <w:tcPr>
            <w:tcW w:w="2254" w:type="dxa"/>
          </w:tcPr>
          <w:p w14:paraId="3E4CA425"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Gyamfi et al., (2021)</w:t>
            </w:r>
          </w:p>
        </w:tc>
        <w:tc>
          <w:tcPr>
            <w:tcW w:w="1143" w:type="dxa"/>
          </w:tcPr>
          <w:p w14:paraId="1D41F9C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2000-2018</w:t>
            </w:r>
          </w:p>
        </w:tc>
        <w:tc>
          <w:tcPr>
            <w:tcW w:w="2268" w:type="dxa"/>
          </w:tcPr>
          <w:p w14:paraId="07192FED"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PMG-ARDL, OLS, DOLS and FMOLS</w:t>
            </w:r>
          </w:p>
        </w:tc>
        <w:tc>
          <w:tcPr>
            <w:tcW w:w="3351" w:type="dxa"/>
          </w:tcPr>
          <w:p w14:paraId="6C5053A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study reported a pivotal role of bio-energy consumption in creating a green and sustainable environment, thus signifying the relevance of renewable energy sources in environmental well-being.</w:t>
            </w:r>
          </w:p>
        </w:tc>
      </w:tr>
      <w:tr w:rsidR="000A5D73" w:rsidRPr="00665A0B" w14:paraId="12106AAA" w14:textId="77777777" w:rsidTr="00147DAD">
        <w:tc>
          <w:tcPr>
            <w:tcW w:w="2254" w:type="dxa"/>
          </w:tcPr>
          <w:p w14:paraId="49E2AE2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Adewale Alola et al., (2021)</w:t>
            </w:r>
          </w:p>
        </w:tc>
        <w:tc>
          <w:tcPr>
            <w:tcW w:w="1143" w:type="dxa"/>
          </w:tcPr>
          <w:p w14:paraId="183F50E1"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2000-2016</w:t>
            </w:r>
          </w:p>
        </w:tc>
        <w:tc>
          <w:tcPr>
            <w:tcW w:w="2268" w:type="dxa"/>
          </w:tcPr>
          <w:p w14:paraId="500E8B3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estimate</w:t>
            </w:r>
          </w:p>
        </w:tc>
        <w:tc>
          <w:tcPr>
            <w:tcW w:w="3351" w:type="dxa"/>
          </w:tcPr>
          <w:p w14:paraId="5900E2F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paper reasserts the relationship between sustainability Goal 7 (Access to green energy) &amp; Goal 12 and economic growth. The investigation exhibits a long-term equilibrium betwixt economic expansion, renewable accessibility, and innovation capacity leading to better development indices.</w:t>
            </w:r>
          </w:p>
        </w:tc>
      </w:tr>
      <w:tr w:rsidR="000A5D73" w:rsidRPr="00665A0B" w14:paraId="0CC0CF77" w14:textId="77777777" w:rsidTr="00147DAD">
        <w:tc>
          <w:tcPr>
            <w:tcW w:w="2254" w:type="dxa"/>
          </w:tcPr>
          <w:p w14:paraId="1AD8A71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Adebayo et al., (2021)</w:t>
            </w:r>
          </w:p>
        </w:tc>
        <w:tc>
          <w:tcPr>
            <w:tcW w:w="1143" w:type="dxa"/>
          </w:tcPr>
          <w:p w14:paraId="048E109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1965-2019</w:t>
            </w:r>
          </w:p>
        </w:tc>
        <w:tc>
          <w:tcPr>
            <w:tcW w:w="2268" w:type="dxa"/>
          </w:tcPr>
          <w:p w14:paraId="591E58E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FMOLS and DOLS</w:t>
            </w:r>
          </w:p>
        </w:tc>
        <w:tc>
          <w:tcPr>
            <w:tcW w:w="3351" w:type="dxa"/>
          </w:tcPr>
          <w:p w14:paraId="7C4561AB"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 xml:space="preserve">This study found </w:t>
            </w:r>
            <w:proofErr w:type="spellStart"/>
            <w:r w:rsidRPr="00665A0B">
              <w:rPr>
                <w:rFonts w:ascii="Times New Roman" w:hAnsi="Times New Roman" w:cs="Times New Roman"/>
                <w:sz w:val="16"/>
                <w:szCs w:val="16"/>
              </w:rPr>
              <w:t>uni</w:t>
            </w:r>
            <w:proofErr w:type="spellEnd"/>
            <w:r w:rsidRPr="00665A0B">
              <w:rPr>
                <w:rFonts w:ascii="Times New Roman" w:hAnsi="Times New Roman" w:cs="Times New Roman"/>
                <w:sz w:val="16"/>
                <w:szCs w:val="16"/>
              </w:rPr>
              <w:t>-directional causality running from urbanisation to economic growth and a significant association between economic growth and trade openness.</w:t>
            </w:r>
          </w:p>
        </w:tc>
      </w:tr>
      <w:tr w:rsidR="000A5D73" w:rsidRPr="00665A0B" w14:paraId="7DF57526" w14:textId="77777777" w:rsidTr="00147DAD">
        <w:tc>
          <w:tcPr>
            <w:tcW w:w="2254" w:type="dxa"/>
          </w:tcPr>
          <w:p w14:paraId="5BE3C2C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Zhang et al., (2021)</w:t>
            </w:r>
          </w:p>
        </w:tc>
        <w:tc>
          <w:tcPr>
            <w:tcW w:w="1143" w:type="dxa"/>
          </w:tcPr>
          <w:p w14:paraId="4BB31445"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1990-2017</w:t>
            </w:r>
          </w:p>
        </w:tc>
        <w:tc>
          <w:tcPr>
            <w:tcW w:w="2268" w:type="dxa"/>
          </w:tcPr>
          <w:p w14:paraId="301D70B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AMG estimator, Panel bootstrap Granger causality</w:t>
            </w:r>
          </w:p>
        </w:tc>
        <w:tc>
          <w:tcPr>
            <w:tcW w:w="3351" w:type="dxa"/>
          </w:tcPr>
          <w:p w14:paraId="7479C131"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contributes to the existing literature by suggesting policy implications for a sustainable environment explaining that an increase in the share of urban investment is highly momentous for environmental sustainability.</w:t>
            </w:r>
          </w:p>
        </w:tc>
      </w:tr>
      <w:tr w:rsidR="000A5D73" w:rsidRPr="00665A0B" w14:paraId="4291ED91" w14:textId="77777777" w:rsidTr="00147DAD">
        <w:tc>
          <w:tcPr>
            <w:tcW w:w="2254" w:type="dxa"/>
          </w:tcPr>
          <w:p w14:paraId="4C9C38D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Arif et al., (2020)</w:t>
            </w:r>
          </w:p>
        </w:tc>
        <w:tc>
          <w:tcPr>
            <w:tcW w:w="1143" w:type="dxa"/>
          </w:tcPr>
          <w:p w14:paraId="203DDB6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1980-2018</w:t>
            </w:r>
          </w:p>
        </w:tc>
        <w:tc>
          <w:tcPr>
            <w:tcW w:w="2268" w:type="dxa"/>
          </w:tcPr>
          <w:p w14:paraId="001636C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approach.</w:t>
            </w:r>
          </w:p>
        </w:tc>
        <w:tc>
          <w:tcPr>
            <w:tcW w:w="3351" w:type="dxa"/>
          </w:tcPr>
          <w:p w14:paraId="6F40A458" w14:textId="77777777" w:rsidR="000A5D73" w:rsidRPr="00665A0B" w:rsidRDefault="000A5D73" w:rsidP="00147DAD">
            <w:pPr>
              <w:pStyle w:val="ListParagraph"/>
              <w:numPr>
                <w:ilvl w:val="0"/>
                <w:numId w:val="1"/>
              </w:numPr>
              <w:ind w:left="358"/>
              <w:jc w:val="both"/>
              <w:rPr>
                <w:rFonts w:ascii="Times New Roman" w:hAnsi="Times New Roman" w:cs="Times New Roman"/>
                <w:sz w:val="16"/>
                <w:szCs w:val="16"/>
              </w:rPr>
            </w:pPr>
            <w:r w:rsidRPr="00665A0B">
              <w:rPr>
                <w:rFonts w:ascii="Times New Roman" w:hAnsi="Times New Roman" w:cs="Times New Roman"/>
                <w:sz w:val="16"/>
                <w:szCs w:val="16"/>
              </w:rPr>
              <w:t>In the long run, financial development and trade have major effects on economic growth in selected sample economies.</w:t>
            </w:r>
          </w:p>
          <w:p w14:paraId="1DEDB052" w14:textId="77777777" w:rsidR="000A5D73" w:rsidRPr="00665A0B" w:rsidRDefault="000A5D73" w:rsidP="00147DAD">
            <w:pPr>
              <w:pStyle w:val="ListParagraph"/>
              <w:numPr>
                <w:ilvl w:val="0"/>
                <w:numId w:val="1"/>
              </w:numPr>
              <w:ind w:left="358"/>
              <w:jc w:val="both"/>
              <w:rPr>
                <w:rFonts w:ascii="Times New Roman" w:hAnsi="Times New Roman" w:cs="Times New Roman"/>
                <w:sz w:val="16"/>
                <w:szCs w:val="16"/>
              </w:rPr>
            </w:pPr>
            <w:r w:rsidRPr="00665A0B">
              <w:rPr>
                <w:rFonts w:ascii="Times New Roman" w:hAnsi="Times New Roman" w:cs="Times New Roman"/>
                <w:sz w:val="16"/>
                <w:szCs w:val="16"/>
              </w:rPr>
              <w:lastRenderedPageBreak/>
              <w:t>‘Complementarity hypothesis’ is also supported regarding the above variables.</w:t>
            </w:r>
          </w:p>
        </w:tc>
      </w:tr>
      <w:tr w:rsidR="000A5D73" w:rsidRPr="00665A0B" w14:paraId="40CA0279" w14:textId="77777777" w:rsidTr="00147DAD">
        <w:tc>
          <w:tcPr>
            <w:tcW w:w="2254" w:type="dxa"/>
          </w:tcPr>
          <w:p w14:paraId="73539ADB"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lastRenderedPageBreak/>
              <w:t>Le &amp; Bao, (2020)</w:t>
            </w:r>
          </w:p>
        </w:tc>
        <w:tc>
          <w:tcPr>
            <w:tcW w:w="1143" w:type="dxa"/>
          </w:tcPr>
          <w:p w14:paraId="6968B2D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1990-2014</w:t>
            </w:r>
          </w:p>
        </w:tc>
        <w:tc>
          <w:tcPr>
            <w:tcW w:w="2268" w:type="dxa"/>
          </w:tcPr>
          <w:p w14:paraId="70A13ED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Westerlund co- integration test and AMG estimator</w:t>
            </w:r>
          </w:p>
        </w:tc>
        <w:tc>
          <w:tcPr>
            <w:tcW w:w="3351" w:type="dxa"/>
          </w:tcPr>
          <w:p w14:paraId="74F39C8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investigates the role of non-renewable and renewable energy consumption in sustainable development in 16 Latin America and Caribbean Emerging Markets and Developing Economies. The study concludes that economic growth is influenced positively and considerably by renewable energy consumption and trade openness.</w:t>
            </w:r>
          </w:p>
        </w:tc>
      </w:tr>
      <w:tr w:rsidR="000A5D73" w:rsidRPr="00665A0B" w14:paraId="1993100C" w14:textId="77777777" w:rsidTr="00147DAD">
        <w:tc>
          <w:tcPr>
            <w:tcW w:w="2254" w:type="dxa"/>
          </w:tcPr>
          <w:p w14:paraId="20CDC4C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Sheikh et al., (2020)</w:t>
            </w:r>
          </w:p>
        </w:tc>
        <w:tc>
          <w:tcPr>
            <w:tcW w:w="1143" w:type="dxa"/>
          </w:tcPr>
          <w:p w14:paraId="11030AEB"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1995-2018</w:t>
            </w:r>
          </w:p>
        </w:tc>
        <w:tc>
          <w:tcPr>
            <w:tcW w:w="2268" w:type="dxa"/>
          </w:tcPr>
          <w:p w14:paraId="3CC6A02E"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approach of co-integration</w:t>
            </w:r>
          </w:p>
        </w:tc>
        <w:tc>
          <w:tcPr>
            <w:tcW w:w="3351" w:type="dxa"/>
          </w:tcPr>
          <w:p w14:paraId="2AFBD124"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is an attempt to empirically examine the implications of trade openness on sustainable development in India since the liberalisation policy in 1991. These findings back up environmentalists and social critics who claim that advanced economic activity and trade openness is linked to increased welfare expenses in India.</w:t>
            </w:r>
          </w:p>
        </w:tc>
      </w:tr>
      <w:tr w:rsidR="000A5D73" w:rsidRPr="00665A0B" w14:paraId="6EFCF85D" w14:textId="77777777" w:rsidTr="00147DAD">
        <w:tc>
          <w:tcPr>
            <w:tcW w:w="2254" w:type="dxa"/>
          </w:tcPr>
          <w:p w14:paraId="39DB5827" w14:textId="77777777" w:rsidR="000A5D73" w:rsidRPr="00665A0B" w:rsidRDefault="000A5D73" w:rsidP="00147DAD">
            <w:pPr>
              <w:jc w:val="both"/>
              <w:rPr>
                <w:rFonts w:ascii="Times New Roman" w:hAnsi="Times New Roman" w:cs="Times New Roman"/>
                <w:sz w:val="16"/>
                <w:szCs w:val="16"/>
              </w:rPr>
            </w:pPr>
            <w:proofErr w:type="spellStart"/>
            <w:r w:rsidRPr="00665A0B">
              <w:rPr>
                <w:rFonts w:ascii="Times New Roman" w:hAnsi="Times New Roman" w:cs="Times New Roman"/>
                <w:sz w:val="16"/>
                <w:szCs w:val="16"/>
              </w:rPr>
              <w:t>Olorogun</w:t>
            </w:r>
            <w:proofErr w:type="spellEnd"/>
            <w:r w:rsidRPr="00665A0B">
              <w:rPr>
                <w:rFonts w:ascii="Times New Roman" w:hAnsi="Times New Roman" w:cs="Times New Roman"/>
                <w:sz w:val="16"/>
                <w:szCs w:val="16"/>
              </w:rPr>
              <w:t xml:space="preserve"> et al., (2020)</w:t>
            </w:r>
          </w:p>
        </w:tc>
        <w:tc>
          <w:tcPr>
            <w:tcW w:w="1143" w:type="dxa"/>
          </w:tcPr>
          <w:p w14:paraId="2ED1A80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1970-2018</w:t>
            </w:r>
          </w:p>
        </w:tc>
        <w:tc>
          <w:tcPr>
            <w:tcW w:w="2268" w:type="dxa"/>
          </w:tcPr>
          <w:p w14:paraId="3C2923C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Toda-Yamamoto Granger Causality Test</w:t>
            </w:r>
          </w:p>
        </w:tc>
        <w:tc>
          <w:tcPr>
            <w:tcW w:w="3351" w:type="dxa"/>
          </w:tcPr>
          <w:p w14:paraId="114DC14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current study focuses on the FDI-led economic growth hypothesis if it holds or not and concludes that FDI impacts Economic Growth. Foreign investment and financial development are good predictors for sustainable economic growth.</w:t>
            </w:r>
          </w:p>
        </w:tc>
      </w:tr>
      <w:tr w:rsidR="000A5D73" w:rsidRPr="00665A0B" w14:paraId="182DC309" w14:textId="77777777" w:rsidTr="00147DAD">
        <w:tc>
          <w:tcPr>
            <w:tcW w:w="2254" w:type="dxa"/>
          </w:tcPr>
          <w:p w14:paraId="79D108BC" w14:textId="77777777" w:rsidR="000A5D73" w:rsidRPr="00665A0B" w:rsidRDefault="000A5D73" w:rsidP="00147DAD">
            <w:pPr>
              <w:jc w:val="both"/>
              <w:rPr>
                <w:rFonts w:ascii="Times New Roman" w:hAnsi="Times New Roman" w:cs="Times New Roman"/>
                <w:sz w:val="16"/>
                <w:szCs w:val="16"/>
              </w:rPr>
            </w:pPr>
            <w:proofErr w:type="spellStart"/>
            <w:r w:rsidRPr="00665A0B">
              <w:rPr>
                <w:rFonts w:ascii="Times New Roman" w:hAnsi="Times New Roman" w:cs="Times New Roman"/>
                <w:sz w:val="16"/>
                <w:szCs w:val="16"/>
              </w:rPr>
              <w:t>Tecel</w:t>
            </w:r>
            <w:proofErr w:type="spellEnd"/>
            <w:r w:rsidRPr="00665A0B">
              <w:rPr>
                <w:rFonts w:ascii="Times New Roman" w:hAnsi="Times New Roman" w:cs="Times New Roman"/>
                <w:sz w:val="16"/>
                <w:szCs w:val="16"/>
              </w:rPr>
              <w:t xml:space="preserve"> et al., (2020)</w:t>
            </w:r>
          </w:p>
        </w:tc>
        <w:tc>
          <w:tcPr>
            <w:tcW w:w="1143" w:type="dxa"/>
          </w:tcPr>
          <w:p w14:paraId="6349055D"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1995-2016</w:t>
            </w:r>
          </w:p>
        </w:tc>
        <w:tc>
          <w:tcPr>
            <w:tcW w:w="2268" w:type="dxa"/>
          </w:tcPr>
          <w:p w14:paraId="035F9E6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PMG-ARDL</w:t>
            </w:r>
          </w:p>
        </w:tc>
        <w:tc>
          <w:tcPr>
            <w:tcW w:w="3351" w:type="dxa"/>
          </w:tcPr>
          <w:p w14:paraId="064B775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has tried to explore the impact of FDI on economic growth as a control variable and it concluded that there is a unidirectional causality between foreign investment and economic growth.</w:t>
            </w:r>
          </w:p>
        </w:tc>
      </w:tr>
      <w:tr w:rsidR="000A5D73" w:rsidRPr="00665A0B" w14:paraId="3A8F02B0" w14:textId="77777777" w:rsidTr="00147DAD">
        <w:tc>
          <w:tcPr>
            <w:tcW w:w="2254" w:type="dxa"/>
          </w:tcPr>
          <w:p w14:paraId="2E9FEADD"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Udi et al., (2020)</w:t>
            </w:r>
          </w:p>
        </w:tc>
        <w:tc>
          <w:tcPr>
            <w:tcW w:w="1143" w:type="dxa"/>
          </w:tcPr>
          <w:p w14:paraId="4801FBC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1970-2018</w:t>
            </w:r>
          </w:p>
        </w:tc>
        <w:tc>
          <w:tcPr>
            <w:tcW w:w="2268" w:type="dxa"/>
          </w:tcPr>
          <w:p w14:paraId="0F24AC74"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Bayer-Hanck Co-integration approach</w:t>
            </w:r>
          </w:p>
        </w:tc>
        <w:tc>
          <w:tcPr>
            <w:tcW w:w="3351" w:type="dxa"/>
          </w:tcPr>
          <w:p w14:paraId="0CF8A99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There is a one-way causal link running from FDI to industrialisation. Also, industrialisation validates a significant impact on economic growth both in the short and long run.</w:t>
            </w:r>
          </w:p>
        </w:tc>
      </w:tr>
      <w:tr w:rsidR="000A5D73" w:rsidRPr="00665A0B" w14:paraId="0748F391" w14:textId="77777777" w:rsidTr="00147DAD">
        <w:tc>
          <w:tcPr>
            <w:tcW w:w="2254" w:type="dxa"/>
          </w:tcPr>
          <w:p w14:paraId="1B66E4F1" w14:textId="77777777" w:rsidR="000A5D73" w:rsidRPr="00665A0B" w:rsidRDefault="000A5D73" w:rsidP="00147DAD">
            <w:pPr>
              <w:jc w:val="both"/>
              <w:rPr>
                <w:rFonts w:ascii="Times New Roman" w:hAnsi="Times New Roman" w:cs="Times New Roman"/>
                <w:sz w:val="16"/>
                <w:szCs w:val="16"/>
              </w:rPr>
            </w:pPr>
            <w:proofErr w:type="spellStart"/>
            <w:r w:rsidRPr="00665A0B">
              <w:rPr>
                <w:rFonts w:ascii="Times New Roman" w:hAnsi="Times New Roman" w:cs="Times New Roman"/>
                <w:sz w:val="16"/>
                <w:szCs w:val="16"/>
              </w:rPr>
              <w:t>Belloumi</w:t>
            </w:r>
            <w:proofErr w:type="spellEnd"/>
            <w:r w:rsidRPr="00665A0B">
              <w:rPr>
                <w:rFonts w:ascii="Times New Roman" w:hAnsi="Times New Roman" w:cs="Times New Roman"/>
                <w:sz w:val="16"/>
                <w:szCs w:val="16"/>
              </w:rPr>
              <w:t xml:space="preserve"> &amp; </w:t>
            </w:r>
            <w:proofErr w:type="spellStart"/>
            <w:r w:rsidRPr="00665A0B">
              <w:rPr>
                <w:rFonts w:ascii="Times New Roman" w:hAnsi="Times New Roman" w:cs="Times New Roman"/>
                <w:sz w:val="16"/>
                <w:szCs w:val="16"/>
              </w:rPr>
              <w:t>Alshehry</w:t>
            </w:r>
            <w:proofErr w:type="spellEnd"/>
            <w:r w:rsidRPr="00665A0B">
              <w:rPr>
                <w:rFonts w:ascii="Times New Roman" w:hAnsi="Times New Roman" w:cs="Times New Roman"/>
                <w:sz w:val="16"/>
                <w:szCs w:val="16"/>
              </w:rPr>
              <w:t>, (2020)</w:t>
            </w:r>
          </w:p>
        </w:tc>
        <w:tc>
          <w:tcPr>
            <w:tcW w:w="1143" w:type="dxa"/>
          </w:tcPr>
          <w:p w14:paraId="5569C49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1971-2016</w:t>
            </w:r>
          </w:p>
        </w:tc>
        <w:tc>
          <w:tcPr>
            <w:tcW w:w="2268" w:type="dxa"/>
          </w:tcPr>
          <w:p w14:paraId="55A6F8C5"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co-integration approach</w:t>
            </w:r>
          </w:p>
        </w:tc>
        <w:tc>
          <w:tcPr>
            <w:tcW w:w="3351" w:type="dxa"/>
          </w:tcPr>
          <w:p w14:paraId="01A26E5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examines the impact trade openness has on sustainable development in Saudi Arabia and the key findings are.</w:t>
            </w:r>
          </w:p>
          <w:p w14:paraId="4F6FD21A" w14:textId="77777777" w:rsidR="000A5D73" w:rsidRPr="00665A0B" w:rsidRDefault="000A5D73" w:rsidP="00147DAD">
            <w:pPr>
              <w:pStyle w:val="ListParagraph"/>
              <w:numPr>
                <w:ilvl w:val="0"/>
                <w:numId w:val="2"/>
              </w:numPr>
              <w:ind w:left="354"/>
              <w:jc w:val="both"/>
              <w:rPr>
                <w:rFonts w:ascii="Times New Roman" w:hAnsi="Times New Roman" w:cs="Times New Roman"/>
                <w:sz w:val="16"/>
                <w:szCs w:val="16"/>
              </w:rPr>
            </w:pPr>
            <w:r w:rsidRPr="00665A0B">
              <w:rPr>
                <w:rFonts w:ascii="Times New Roman" w:hAnsi="Times New Roman" w:cs="Times New Roman"/>
                <w:sz w:val="16"/>
                <w:szCs w:val="16"/>
              </w:rPr>
              <w:t>Financial development-favourable impact on environmental sustainability</w:t>
            </w:r>
          </w:p>
          <w:p w14:paraId="0FDC08C4" w14:textId="77777777" w:rsidR="000A5D73" w:rsidRPr="00665A0B" w:rsidRDefault="000A5D73" w:rsidP="00147DAD">
            <w:pPr>
              <w:pStyle w:val="ListParagraph"/>
              <w:numPr>
                <w:ilvl w:val="0"/>
                <w:numId w:val="2"/>
              </w:numPr>
              <w:ind w:left="354"/>
              <w:jc w:val="both"/>
              <w:rPr>
                <w:rFonts w:ascii="Times New Roman" w:hAnsi="Times New Roman" w:cs="Times New Roman"/>
                <w:sz w:val="16"/>
                <w:szCs w:val="16"/>
              </w:rPr>
            </w:pPr>
            <w:r w:rsidRPr="00665A0B">
              <w:rPr>
                <w:rFonts w:ascii="Times New Roman" w:hAnsi="Times New Roman" w:cs="Times New Roman"/>
                <w:sz w:val="16"/>
                <w:szCs w:val="16"/>
              </w:rPr>
              <w:t>Foreign direct investment (FDI) is a good driver of economic growth.</w:t>
            </w:r>
          </w:p>
        </w:tc>
      </w:tr>
      <w:tr w:rsidR="000A5D73" w:rsidRPr="00665A0B" w14:paraId="55C39430" w14:textId="77777777" w:rsidTr="00147DAD">
        <w:tc>
          <w:tcPr>
            <w:tcW w:w="2254" w:type="dxa"/>
          </w:tcPr>
          <w:p w14:paraId="14B4A32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Manta et al., (2020)</w:t>
            </w:r>
          </w:p>
        </w:tc>
        <w:tc>
          <w:tcPr>
            <w:tcW w:w="1143" w:type="dxa"/>
          </w:tcPr>
          <w:p w14:paraId="70E489E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2000-2017</w:t>
            </w:r>
          </w:p>
        </w:tc>
        <w:tc>
          <w:tcPr>
            <w:tcW w:w="2268" w:type="dxa"/>
          </w:tcPr>
          <w:p w14:paraId="0A8A4DBD"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FMOLS, VECM, and Pair-wise Granger causality test.</w:t>
            </w:r>
          </w:p>
        </w:tc>
        <w:tc>
          <w:tcPr>
            <w:tcW w:w="3351" w:type="dxa"/>
          </w:tcPr>
          <w:p w14:paraId="76D50CC5"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aim and novelty of this study consist of estimating the nexus between energy and economic growth and the major findings are-</w:t>
            </w:r>
          </w:p>
          <w:p w14:paraId="6657DBD9" w14:textId="77777777" w:rsidR="000A5D73" w:rsidRPr="00665A0B" w:rsidRDefault="000A5D73" w:rsidP="00147DAD">
            <w:pPr>
              <w:pStyle w:val="ListParagraph"/>
              <w:numPr>
                <w:ilvl w:val="0"/>
                <w:numId w:val="3"/>
              </w:numPr>
              <w:ind w:left="354"/>
              <w:jc w:val="both"/>
              <w:rPr>
                <w:rFonts w:ascii="Times New Roman" w:hAnsi="Times New Roman" w:cs="Times New Roman"/>
                <w:sz w:val="16"/>
                <w:szCs w:val="16"/>
              </w:rPr>
            </w:pPr>
            <w:r w:rsidRPr="00665A0B">
              <w:rPr>
                <w:rFonts w:ascii="Times New Roman" w:hAnsi="Times New Roman" w:cs="Times New Roman"/>
                <w:sz w:val="16"/>
                <w:szCs w:val="16"/>
              </w:rPr>
              <w:t>Betwixt economic growth proxied as GDP and financial development variables, there is bidirectional causality.</w:t>
            </w:r>
          </w:p>
          <w:p w14:paraId="5399FE74" w14:textId="77777777" w:rsidR="000A5D73" w:rsidRPr="00665A0B" w:rsidRDefault="000A5D73" w:rsidP="00147DAD">
            <w:pPr>
              <w:pStyle w:val="ListParagraph"/>
              <w:numPr>
                <w:ilvl w:val="0"/>
                <w:numId w:val="3"/>
              </w:numPr>
              <w:ind w:left="354"/>
              <w:jc w:val="both"/>
              <w:rPr>
                <w:rFonts w:ascii="Times New Roman" w:hAnsi="Times New Roman" w:cs="Times New Roman"/>
                <w:sz w:val="16"/>
                <w:szCs w:val="16"/>
              </w:rPr>
            </w:pPr>
            <w:r w:rsidRPr="00665A0B">
              <w:rPr>
                <w:rFonts w:ascii="Times New Roman" w:hAnsi="Times New Roman" w:cs="Times New Roman"/>
                <w:sz w:val="16"/>
                <w:szCs w:val="16"/>
              </w:rPr>
              <w:t>In the short term, increased economic growth and energy consumption encourage a rise in financial development.</w:t>
            </w:r>
          </w:p>
        </w:tc>
      </w:tr>
      <w:tr w:rsidR="000A5D73" w:rsidRPr="00665A0B" w14:paraId="226DEBC3" w14:textId="77777777" w:rsidTr="00147DAD">
        <w:tc>
          <w:tcPr>
            <w:tcW w:w="2254" w:type="dxa"/>
          </w:tcPr>
          <w:p w14:paraId="4B18CC6E"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Basu et al., (2020)</w:t>
            </w:r>
          </w:p>
        </w:tc>
        <w:tc>
          <w:tcPr>
            <w:tcW w:w="1143" w:type="dxa"/>
          </w:tcPr>
          <w:p w14:paraId="11676D6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1990-2015</w:t>
            </w:r>
          </w:p>
        </w:tc>
        <w:tc>
          <w:tcPr>
            <w:tcW w:w="2268" w:type="dxa"/>
          </w:tcPr>
          <w:p w14:paraId="47DBFEC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VECM, FMOLS, DOLS, and Granger causality</w:t>
            </w:r>
          </w:p>
        </w:tc>
        <w:tc>
          <w:tcPr>
            <w:tcW w:w="3351" w:type="dxa"/>
          </w:tcPr>
          <w:p w14:paraId="5DC9D84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In this study, a causal relationship among economic growth, urbanisation, energy consumption, renewable energy share, trade openness and carbon emissions in the context of a large developing economy of India has been and the outcome establishes Bidirectional causality.</w:t>
            </w:r>
          </w:p>
          <w:p w14:paraId="237B20A5" w14:textId="77777777" w:rsidR="000A5D73" w:rsidRPr="00665A0B" w:rsidRDefault="000A5D73" w:rsidP="00147DAD">
            <w:pPr>
              <w:pStyle w:val="ListParagraph"/>
              <w:numPr>
                <w:ilvl w:val="0"/>
                <w:numId w:val="4"/>
              </w:numPr>
              <w:ind w:left="354"/>
              <w:jc w:val="both"/>
              <w:rPr>
                <w:rFonts w:ascii="Times New Roman" w:hAnsi="Times New Roman" w:cs="Times New Roman"/>
                <w:sz w:val="16"/>
                <w:szCs w:val="16"/>
              </w:rPr>
            </w:pPr>
            <w:r w:rsidRPr="00665A0B">
              <w:rPr>
                <w:rFonts w:ascii="Times New Roman" w:hAnsi="Times New Roman" w:cs="Times New Roman"/>
                <w:sz w:val="16"/>
                <w:szCs w:val="16"/>
              </w:rPr>
              <w:t>Betwixt trade openness &amp; economic growth.</w:t>
            </w:r>
          </w:p>
          <w:p w14:paraId="45A00F4A" w14:textId="77777777" w:rsidR="000A5D73" w:rsidRPr="00665A0B" w:rsidRDefault="000A5D73" w:rsidP="00147DAD">
            <w:pPr>
              <w:pStyle w:val="ListParagraph"/>
              <w:numPr>
                <w:ilvl w:val="0"/>
                <w:numId w:val="4"/>
              </w:numPr>
              <w:ind w:left="354"/>
              <w:jc w:val="both"/>
              <w:rPr>
                <w:rFonts w:ascii="Times New Roman" w:hAnsi="Times New Roman" w:cs="Times New Roman"/>
                <w:sz w:val="16"/>
                <w:szCs w:val="16"/>
              </w:rPr>
            </w:pPr>
            <w:r w:rsidRPr="00665A0B">
              <w:rPr>
                <w:rFonts w:ascii="Times New Roman" w:hAnsi="Times New Roman" w:cs="Times New Roman"/>
                <w:sz w:val="16"/>
                <w:szCs w:val="16"/>
              </w:rPr>
              <w:t>Betwixt urbanisation &amp; economic growth.</w:t>
            </w:r>
          </w:p>
          <w:p w14:paraId="28777050" w14:textId="77777777" w:rsidR="000A5D73" w:rsidRPr="00665A0B" w:rsidRDefault="000A5D73" w:rsidP="00147DAD">
            <w:pPr>
              <w:pStyle w:val="ListParagraph"/>
              <w:numPr>
                <w:ilvl w:val="0"/>
                <w:numId w:val="4"/>
              </w:numPr>
              <w:ind w:left="354"/>
              <w:jc w:val="both"/>
              <w:rPr>
                <w:rFonts w:ascii="Times New Roman" w:hAnsi="Times New Roman" w:cs="Times New Roman"/>
                <w:sz w:val="16"/>
                <w:szCs w:val="16"/>
              </w:rPr>
            </w:pPr>
            <w:r w:rsidRPr="00665A0B">
              <w:rPr>
                <w:rFonts w:ascii="Times New Roman" w:hAnsi="Times New Roman" w:cs="Times New Roman"/>
                <w:sz w:val="16"/>
                <w:szCs w:val="16"/>
              </w:rPr>
              <w:t>Betwixt trade &amp; renewable energy.</w:t>
            </w:r>
          </w:p>
          <w:p w14:paraId="091C6C28" w14:textId="77777777" w:rsidR="000A5D73" w:rsidRPr="00665A0B" w:rsidRDefault="000A5D73" w:rsidP="00147DAD">
            <w:pPr>
              <w:pStyle w:val="ListParagraph"/>
              <w:numPr>
                <w:ilvl w:val="0"/>
                <w:numId w:val="4"/>
              </w:numPr>
              <w:ind w:left="354"/>
              <w:jc w:val="both"/>
              <w:rPr>
                <w:rFonts w:ascii="Times New Roman" w:hAnsi="Times New Roman" w:cs="Times New Roman"/>
                <w:sz w:val="16"/>
                <w:szCs w:val="16"/>
              </w:rPr>
            </w:pPr>
            <w:r w:rsidRPr="00665A0B">
              <w:rPr>
                <w:rFonts w:ascii="Times New Roman" w:hAnsi="Times New Roman" w:cs="Times New Roman"/>
                <w:sz w:val="16"/>
                <w:szCs w:val="16"/>
              </w:rPr>
              <w:t>There is a one-way connection from growth to renewable energy.</w:t>
            </w:r>
          </w:p>
        </w:tc>
      </w:tr>
      <w:tr w:rsidR="000A5D73" w:rsidRPr="00665A0B" w14:paraId="3191578E" w14:textId="77777777" w:rsidTr="00147DAD">
        <w:tc>
          <w:tcPr>
            <w:tcW w:w="2254" w:type="dxa"/>
          </w:tcPr>
          <w:p w14:paraId="6DFA5847"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Ali et al., (2020)</w:t>
            </w:r>
          </w:p>
        </w:tc>
        <w:tc>
          <w:tcPr>
            <w:tcW w:w="1143" w:type="dxa"/>
          </w:tcPr>
          <w:p w14:paraId="38197DB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1971-2014</w:t>
            </w:r>
          </w:p>
        </w:tc>
        <w:tc>
          <w:tcPr>
            <w:tcW w:w="2268" w:type="dxa"/>
          </w:tcPr>
          <w:p w14:paraId="44F90BA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FMOLS, DOLS, CCR Estimation</w:t>
            </w:r>
          </w:p>
        </w:tc>
        <w:tc>
          <w:tcPr>
            <w:tcW w:w="3351" w:type="dxa"/>
          </w:tcPr>
          <w:p w14:paraId="21400F2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paper revealed the existence of a unidirectional relationship from Urbanization to Electricity Consumption leading to Economic Growth, but in the long term, urbanisation impedes growth.</w:t>
            </w:r>
          </w:p>
        </w:tc>
      </w:tr>
      <w:tr w:rsidR="000A5D73" w:rsidRPr="00665A0B" w14:paraId="46E10E65" w14:textId="77777777" w:rsidTr="00147DAD">
        <w:tc>
          <w:tcPr>
            <w:tcW w:w="2254" w:type="dxa"/>
          </w:tcPr>
          <w:p w14:paraId="2FD8B20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 xml:space="preserve">Nathaniel &amp; </w:t>
            </w:r>
            <w:proofErr w:type="spellStart"/>
            <w:r w:rsidRPr="00665A0B">
              <w:rPr>
                <w:rFonts w:ascii="Times New Roman" w:hAnsi="Times New Roman" w:cs="Times New Roman"/>
                <w:sz w:val="16"/>
                <w:szCs w:val="16"/>
              </w:rPr>
              <w:t>Bekun</w:t>
            </w:r>
            <w:proofErr w:type="spellEnd"/>
            <w:r w:rsidRPr="00665A0B">
              <w:rPr>
                <w:rFonts w:ascii="Times New Roman" w:hAnsi="Times New Roman" w:cs="Times New Roman"/>
                <w:sz w:val="16"/>
                <w:szCs w:val="16"/>
              </w:rPr>
              <w:t>, (2020)</w:t>
            </w:r>
          </w:p>
        </w:tc>
        <w:tc>
          <w:tcPr>
            <w:tcW w:w="1143" w:type="dxa"/>
          </w:tcPr>
          <w:p w14:paraId="2731E53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1971-2015</w:t>
            </w:r>
          </w:p>
        </w:tc>
        <w:tc>
          <w:tcPr>
            <w:tcW w:w="2268" w:type="dxa"/>
          </w:tcPr>
          <w:p w14:paraId="403478A7"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VECM, Autoregressive Distributive Lag cointegration.</w:t>
            </w:r>
          </w:p>
        </w:tc>
        <w:tc>
          <w:tcPr>
            <w:tcW w:w="3351" w:type="dxa"/>
          </w:tcPr>
          <w:p w14:paraId="3805858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tries to model urbanisation, trade flow and energy consumption with regard to the environment and it was concluded that Economic Growth, Energy consumption and urbanisation has a negative impact on environmental quality.</w:t>
            </w:r>
          </w:p>
        </w:tc>
      </w:tr>
      <w:tr w:rsidR="000A5D73" w:rsidRPr="00665A0B" w14:paraId="71EA07D0" w14:textId="77777777" w:rsidTr="00147DAD">
        <w:tc>
          <w:tcPr>
            <w:tcW w:w="2254" w:type="dxa"/>
          </w:tcPr>
          <w:p w14:paraId="42F21DEB"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Gyamfi et al., (2020)</w:t>
            </w:r>
          </w:p>
        </w:tc>
        <w:tc>
          <w:tcPr>
            <w:tcW w:w="1143" w:type="dxa"/>
          </w:tcPr>
          <w:p w14:paraId="5D72A96B"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1980-2018</w:t>
            </w:r>
          </w:p>
        </w:tc>
        <w:tc>
          <w:tcPr>
            <w:tcW w:w="2268" w:type="dxa"/>
          </w:tcPr>
          <w:p w14:paraId="12DA610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PMG-ARDL</w:t>
            </w:r>
          </w:p>
        </w:tc>
        <w:tc>
          <w:tcPr>
            <w:tcW w:w="3351" w:type="dxa"/>
          </w:tcPr>
          <w:p w14:paraId="5EC9771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 xml:space="preserve">The study reported a </w:t>
            </w:r>
            <w:proofErr w:type="spellStart"/>
            <w:r w:rsidRPr="00665A0B">
              <w:rPr>
                <w:rFonts w:ascii="Times New Roman" w:hAnsi="Times New Roman" w:cs="Times New Roman"/>
                <w:sz w:val="16"/>
                <w:szCs w:val="16"/>
              </w:rPr>
              <w:t>uni</w:t>
            </w:r>
            <w:proofErr w:type="spellEnd"/>
            <w:r w:rsidRPr="00665A0B">
              <w:rPr>
                <w:rFonts w:ascii="Times New Roman" w:hAnsi="Times New Roman" w:cs="Times New Roman"/>
                <w:sz w:val="16"/>
                <w:szCs w:val="16"/>
              </w:rPr>
              <w:t xml:space="preserve">-directional casual association betwixt trade and CO2 emissions. The study further established the significance of </w:t>
            </w:r>
            <w:r w:rsidRPr="00665A0B">
              <w:rPr>
                <w:rFonts w:ascii="Times New Roman" w:hAnsi="Times New Roman" w:cs="Times New Roman"/>
                <w:sz w:val="16"/>
                <w:szCs w:val="16"/>
              </w:rPr>
              <w:lastRenderedPageBreak/>
              <w:t>emission reduction targets and the adoption of greener technology for a better tomorrow.</w:t>
            </w:r>
          </w:p>
        </w:tc>
      </w:tr>
      <w:tr w:rsidR="000A5D73" w:rsidRPr="00665A0B" w14:paraId="5DAB8958" w14:textId="77777777" w:rsidTr="00147DAD">
        <w:tc>
          <w:tcPr>
            <w:tcW w:w="2254" w:type="dxa"/>
          </w:tcPr>
          <w:p w14:paraId="3A3AB6B1"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lastRenderedPageBreak/>
              <w:t>Intisar et al., (2020)</w:t>
            </w:r>
          </w:p>
        </w:tc>
        <w:tc>
          <w:tcPr>
            <w:tcW w:w="1143" w:type="dxa"/>
          </w:tcPr>
          <w:p w14:paraId="797F6F0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1985-2017</w:t>
            </w:r>
          </w:p>
        </w:tc>
        <w:tc>
          <w:tcPr>
            <w:tcW w:w="2268" w:type="dxa"/>
          </w:tcPr>
          <w:p w14:paraId="28D256E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Panel co-integration tests, FMOLS and DOLS.</w:t>
            </w:r>
          </w:p>
        </w:tc>
        <w:tc>
          <w:tcPr>
            <w:tcW w:w="3351" w:type="dxa"/>
          </w:tcPr>
          <w:p w14:paraId="285B9D3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was aimed at analysing the impact of trade openness on economic growth and the bidirectional causality between Trade openness and Economic growth was reported in it.</w:t>
            </w:r>
          </w:p>
        </w:tc>
      </w:tr>
      <w:tr w:rsidR="000A5D73" w:rsidRPr="00665A0B" w14:paraId="66DE25E7" w14:textId="77777777" w:rsidTr="00147DAD">
        <w:tc>
          <w:tcPr>
            <w:tcW w:w="2254" w:type="dxa"/>
          </w:tcPr>
          <w:p w14:paraId="18C0D58E"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Fan et al., (2018)</w:t>
            </w:r>
          </w:p>
        </w:tc>
        <w:tc>
          <w:tcPr>
            <w:tcW w:w="1143" w:type="dxa"/>
          </w:tcPr>
          <w:p w14:paraId="38CD613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1992-2012</w:t>
            </w:r>
          </w:p>
        </w:tc>
        <w:tc>
          <w:tcPr>
            <w:tcW w:w="2268" w:type="dxa"/>
          </w:tcPr>
          <w:p w14:paraId="3A17FA9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SEM</w:t>
            </w:r>
          </w:p>
        </w:tc>
        <w:tc>
          <w:tcPr>
            <w:tcW w:w="3351" w:type="dxa"/>
          </w:tcPr>
          <w:p w14:paraId="44F42FE4"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investigates whether large cities are in sync with the region in terms of population dynamics, urbanisation, and sustainability and it was found that economic development has a stronger impact on urbanisation as per the selected sample.</w:t>
            </w:r>
          </w:p>
        </w:tc>
      </w:tr>
      <w:tr w:rsidR="000A5D73" w:rsidRPr="00665A0B" w14:paraId="5DBF846D" w14:textId="77777777" w:rsidTr="00147DAD">
        <w:tc>
          <w:tcPr>
            <w:tcW w:w="2254" w:type="dxa"/>
          </w:tcPr>
          <w:p w14:paraId="7360F43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Faisal et al., (2018)</w:t>
            </w:r>
          </w:p>
        </w:tc>
        <w:tc>
          <w:tcPr>
            <w:tcW w:w="1143" w:type="dxa"/>
          </w:tcPr>
          <w:p w14:paraId="6985F85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1965-2013</w:t>
            </w:r>
          </w:p>
        </w:tc>
        <w:tc>
          <w:tcPr>
            <w:tcW w:w="2268" w:type="dxa"/>
          </w:tcPr>
          <w:p w14:paraId="5395D08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VECM, and Granger causality</w:t>
            </w:r>
          </w:p>
        </w:tc>
        <w:tc>
          <w:tcPr>
            <w:tcW w:w="3351" w:type="dxa"/>
          </w:tcPr>
          <w:p w14:paraId="356E264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outcome reveals that economic growth, urbanisation, and trade have a positive and significant long-term and short-term impact on electricity consumption for the selected sample.</w:t>
            </w:r>
          </w:p>
        </w:tc>
      </w:tr>
      <w:tr w:rsidR="000A5D73" w:rsidRPr="00665A0B" w14:paraId="0BE60D11" w14:textId="77777777" w:rsidTr="00147DAD">
        <w:tc>
          <w:tcPr>
            <w:tcW w:w="2254" w:type="dxa"/>
          </w:tcPr>
          <w:p w14:paraId="1748357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Haseeb et al., (2018)</w:t>
            </w:r>
          </w:p>
        </w:tc>
        <w:tc>
          <w:tcPr>
            <w:tcW w:w="1143" w:type="dxa"/>
          </w:tcPr>
          <w:p w14:paraId="48391231"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1995-2014</w:t>
            </w:r>
          </w:p>
        </w:tc>
        <w:tc>
          <w:tcPr>
            <w:tcW w:w="2268" w:type="dxa"/>
          </w:tcPr>
          <w:p w14:paraId="507BBF7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Dumitrescu-Hurlin Granger causality test and FMOLS.</w:t>
            </w:r>
          </w:p>
        </w:tc>
        <w:tc>
          <w:tcPr>
            <w:tcW w:w="3351" w:type="dxa"/>
          </w:tcPr>
          <w:p w14:paraId="366CEDA8"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established the relationship between energy consumption, financial development, globalisation, economic growth, and urbanisation and the findings suggest that there is a two-way causality betwixt growth, GDP, and financial development.</w:t>
            </w:r>
          </w:p>
        </w:tc>
      </w:tr>
      <w:tr w:rsidR="000A5D73" w:rsidRPr="00665A0B" w14:paraId="2D1DA0F0" w14:textId="77777777" w:rsidTr="00147DAD">
        <w:tc>
          <w:tcPr>
            <w:tcW w:w="2254" w:type="dxa"/>
          </w:tcPr>
          <w:p w14:paraId="13900026"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Rafiq et al., (2016)</w:t>
            </w:r>
          </w:p>
        </w:tc>
        <w:tc>
          <w:tcPr>
            <w:tcW w:w="1143" w:type="dxa"/>
          </w:tcPr>
          <w:p w14:paraId="16626369"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1980-2010 2001-2010</w:t>
            </w:r>
          </w:p>
        </w:tc>
        <w:tc>
          <w:tcPr>
            <w:tcW w:w="2268" w:type="dxa"/>
          </w:tcPr>
          <w:p w14:paraId="578C700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Panel Unit root, panel regression, co-integration test, FMOLS, and DOLS.</w:t>
            </w:r>
          </w:p>
        </w:tc>
        <w:tc>
          <w:tcPr>
            <w:tcW w:w="3351" w:type="dxa"/>
          </w:tcPr>
          <w:p w14:paraId="41B3E324"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paper analyses the impact of urbanisation and trade openness on emissions and energy intensity in twenty-two increasingly urbanised emerging economies. The findings show that openness reduces both emissions and energy intensity; urbanisation, on the other hand, greatly increases energy intensity.</w:t>
            </w:r>
          </w:p>
        </w:tc>
      </w:tr>
      <w:tr w:rsidR="000A5D73" w:rsidRPr="00665A0B" w14:paraId="1456C5C3" w14:textId="77777777" w:rsidTr="00147DAD">
        <w:tc>
          <w:tcPr>
            <w:tcW w:w="2254" w:type="dxa"/>
          </w:tcPr>
          <w:p w14:paraId="64B3EE41" w14:textId="77777777" w:rsidR="000A5D73" w:rsidRPr="00665A0B" w:rsidRDefault="000A5D73" w:rsidP="00147DAD">
            <w:pPr>
              <w:jc w:val="both"/>
              <w:rPr>
                <w:rFonts w:ascii="Times New Roman" w:hAnsi="Times New Roman" w:cs="Times New Roman"/>
                <w:sz w:val="16"/>
                <w:szCs w:val="16"/>
              </w:rPr>
            </w:pPr>
            <w:proofErr w:type="spellStart"/>
            <w:r w:rsidRPr="00665A0B">
              <w:rPr>
                <w:rFonts w:ascii="Times New Roman" w:hAnsi="Times New Roman" w:cs="Times New Roman"/>
                <w:sz w:val="16"/>
                <w:szCs w:val="16"/>
              </w:rPr>
              <w:t>Asumadu</w:t>
            </w:r>
            <w:proofErr w:type="spellEnd"/>
            <w:r w:rsidRPr="00665A0B">
              <w:rPr>
                <w:rFonts w:ascii="Times New Roman" w:hAnsi="Times New Roman" w:cs="Times New Roman"/>
                <w:sz w:val="16"/>
                <w:szCs w:val="16"/>
              </w:rPr>
              <w:t>-Sarkodie &amp; Owusu, (2016)</w:t>
            </w:r>
          </w:p>
        </w:tc>
        <w:tc>
          <w:tcPr>
            <w:tcW w:w="1143" w:type="dxa"/>
          </w:tcPr>
          <w:p w14:paraId="65C80FF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1971-2012</w:t>
            </w:r>
          </w:p>
        </w:tc>
        <w:tc>
          <w:tcPr>
            <w:tcW w:w="2268" w:type="dxa"/>
          </w:tcPr>
          <w:p w14:paraId="471AA86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ARDL regression, Granger causality test.</w:t>
            </w:r>
          </w:p>
        </w:tc>
        <w:tc>
          <w:tcPr>
            <w:tcW w:w="3351" w:type="dxa"/>
          </w:tcPr>
          <w:p w14:paraId="64BBD13C"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The study examines the causal relationship between energy use, carbon dioxide emissions, GDP, industrialisation, financial development and establishes a long-run equilibrium causality amongst GDP, population, financial development, and energy use.</w:t>
            </w:r>
          </w:p>
        </w:tc>
      </w:tr>
      <w:tr w:rsidR="000A5D73" w:rsidRPr="00665A0B" w14:paraId="31DF9F81" w14:textId="77777777" w:rsidTr="00147DAD">
        <w:tc>
          <w:tcPr>
            <w:tcW w:w="2254" w:type="dxa"/>
          </w:tcPr>
          <w:p w14:paraId="5FED90F2"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Asif et al., (2015)</w:t>
            </w:r>
          </w:p>
        </w:tc>
        <w:tc>
          <w:tcPr>
            <w:tcW w:w="1143" w:type="dxa"/>
          </w:tcPr>
          <w:p w14:paraId="37DE7C37"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1980-2011</w:t>
            </w:r>
          </w:p>
        </w:tc>
        <w:tc>
          <w:tcPr>
            <w:tcW w:w="2268" w:type="dxa"/>
          </w:tcPr>
          <w:p w14:paraId="6D501DD3"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Panel Unit root and co-integration tests, Panel causality tests, FMOLS and DOLS,</w:t>
            </w:r>
          </w:p>
        </w:tc>
        <w:tc>
          <w:tcPr>
            <w:tcW w:w="3351" w:type="dxa"/>
          </w:tcPr>
          <w:p w14:paraId="35950B4F"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addresses the problem of environmental degradation due to the faster-growing energy consumption and urbanisation for supporting economic growth and the research unfolds that urbanisation has a favourable impact on economic growth and that urban planning contributes to long-term sustainability for specified countries.</w:t>
            </w:r>
          </w:p>
        </w:tc>
      </w:tr>
      <w:tr w:rsidR="000A5D73" w:rsidRPr="00665A0B" w14:paraId="10F14BAE" w14:textId="77777777" w:rsidTr="00147DAD">
        <w:tc>
          <w:tcPr>
            <w:tcW w:w="2254" w:type="dxa"/>
          </w:tcPr>
          <w:p w14:paraId="6AF6EE7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Were, (2015)</w:t>
            </w:r>
          </w:p>
        </w:tc>
        <w:tc>
          <w:tcPr>
            <w:tcW w:w="1143" w:type="dxa"/>
          </w:tcPr>
          <w:p w14:paraId="1E27BDA0"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1991-2015</w:t>
            </w:r>
          </w:p>
        </w:tc>
        <w:tc>
          <w:tcPr>
            <w:tcW w:w="2268" w:type="dxa"/>
          </w:tcPr>
          <w:p w14:paraId="75A26DFA"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Panel Regression analysis</w:t>
            </w:r>
          </w:p>
        </w:tc>
        <w:tc>
          <w:tcPr>
            <w:tcW w:w="3351" w:type="dxa"/>
          </w:tcPr>
          <w:p w14:paraId="7361FB44" w14:textId="77777777" w:rsidR="000A5D73" w:rsidRPr="00665A0B" w:rsidRDefault="000A5D73" w:rsidP="00147DAD">
            <w:pPr>
              <w:jc w:val="both"/>
              <w:rPr>
                <w:rFonts w:ascii="Times New Roman" w:hAnsi="Times New Roman" w:cs="Times New Roman"/>
                <w:sz w:val="16"/>
                <w:szCs w:val="16"/>
              </w:rPr>
            </w:pPr>
            <w:r w:rsidRPr="00665A0B">
              <w:rPr>
                <w:rFonts w:ascii="Times New Roman" w:hAnsi="Times New Roman" w:cs="Times New Roman"/>
                <w:sz w:val="16"/>
                <w:szCs w:val="16"/>
              </w:rPr>
              <w:t>This study has focused on the relationship between trade openness and economic growth, and it was found after analysis that economic growth is influenced positively and significantly by trade.</w:t>
            </w:r>
          </w:p>
        </w:tc>
      </w:tr>
    </w:tbl>
    <w:p w14:paraId="13F0FBF3" w14:textId="77777777" w:rsidR="000A5D73" w:rsidRPr="00993182" w:rsidRDefault="000A5D73" w:rsidP="000A5D73">
      <w:pPr>
        <w:spacing w:after="120"/>
        <w:jc w:val="both"/>
        <w:rPr>
          <w:rFonts w:ascii="Times New Roman" w:hAnsi="Times New Roman" w:cs="Times New Roman"/>
          <w:i/>
          <w:iCs/>
          <w:sz w:val="16"/>
          <w:szCs w:val="16"/>
        </w:rPr>
      </w:pPr>
      <w:r w:rsidRPr="00B065A8">
        <w:rPr>
          <w:rFonts w:ascii="Times New Roman" w:hAnsi="Times New Roman" w:cs="Times New Roman"/>
          <w:i/>
          <w:iCs/>
          <w:sz w:val="16"/>
          <w:szCs w:val="16"/>
        </w:rPr>
        <w:t>Note: OLS=Ordinary least square, FMOLS=Fully modified ordinary least square, ARDL=Autoregressive distributive lag, ECM=Error correction model, DOLS</w:t>
      </w:r>
      <w:r>
        <w:rPr>
          <w:rFonts w:ascii="Times New Roman" w:hAnsi="Times New Roman" w:cs="Times New Roman"/>
          <w:i/>
          <w:iCs/>
          <w:sz w:val="16"/>
          <w:szCs w:val="16"/>
        </w:rPr>
        <w:t>=</w:t>
      </w:r>
      <w:r w:rsidRPr="00B065A8">
        <w:rPr>
          <w:rFonts w:ascii="Times New Roman" w:hAnsi="Times New Roman" w:cs="Times New Roman"/>
          <w:i/>
          <w:iCs/>
          <w:sz w:val="16"/>
          <w:szCs w:val="16"/>
        </w:rPr>
        <w:t>Dynamic ordinary least square, AMG=Augmented mean group, PMG=pooled mean group</w:t>
      </w:r>
      <w:r>
        <w:rPr>
          <w:rFonts w:ascii="Times New Roman" w:hAnsi="Times New Roman" w:cs="Times New Roman"/>
          <w:i/>
          <w:iCs/>
          <w:sz w:val="16"/>
          <w:szCs w:val="16"/>
        </w:rPr>
        <w:t>, SEM=Structural Equation Modelling</w:t>
      </w:r>
      <w:r w:rsidRPr="00B065A8">
        <w:rPr>
          <w:rFonts w:ascii="Times New Roman" w:hAnsi="Times New Roman" w:cs="Times New Roman"/>
          <w:i/>
          <w:iCs/>
          <w:sz w:val="16"/>
          <w:szCs w:val="16"/>
        </w:rPr>
        <w:t>.</w:t>
      </w:r>
      <w:r>
        <w:rPr>
          <w:rFonts w:ascii="Times New Roman" w:hAnsi="Times New Roman" w:cs="Times New Roman"/>
          <w:i/>
          <w:iCs/>
          <w:sz w:val="16"/>
          <w:szCs w:val="16"/>
        </w:rPr>
        <w:t xml:space="preserve"> </w:t>
      </w:r>
      <w:r w:rsidRPr="00B065A8">
        <w:rPr>
          <w:rFonts w:ascii="Times New Roman" w:hAnsi="Times New Roman" w:cs="Times New Roman"/>
          <w:i/>
          <w:iCs/>
          <w:sz w:val="16"/>
          <w:szCs w:val="16"/>
        </w:rPr>
        <w:t>Source: Author Compilation.</w:t>
      </w:r>
    </w:p>
    <w:p w14:paraId="1EFE536D" w14:textId="77777777" w:rsidR="000A5D73" w:rsidRDefault="000A5D73" w:rsidP="000A5D73">
      <w:pPr>
        <w:tabs>
          <w:tab w:val="left" w:pos="2024"/>
        </w:tabs>
        <w:spacing w:line="360" w:lineRule="auto"/>
        <w:jc w:val="both"/>
        <w:rPr>
          <w:rFonts w:ascii="Times New Roman" w:hAnsi="Times New Roman" w:cs="Times New Roman"/>
        </w:rPr>
      </w:pPr>
      <w:r w:rsidRPr="00B065A8">
        <w:rPr>
          <w:rFonts w:ascii="Times New Roman" w:hAnsi="Times New Roman" w:cs="Times New Roman"/>
        </w:rPr>
        <w:t xml:space="preserve">Capitalising on the academic context, this paper is an improvement over the previous inquiries and a justified effort to investigate it the interrelationship between GDP, Openness, Urbanisation, and Sustainability in the case of the </w:t>
      </w:r>
      <w:r>
        <w:rPr>
          <w:rFonts w:ascii="Times New Roman" w:hAnsi="Times New Roman" w:cs="Times New Roman"/>
        </w:rPr>
        <w:t>India from 1996 to 2024</w:t>
      </w:r>
      <w:r w:rsidRPr="00B065A8">
        <w:rPr>
          <w:rFonts w:ascii="Times New Roman" w:hAnsi="Times New Roman" w:cs="Times New Roman"/>
        </w:rPr>
        <w:t>.</w:t>
      </w:r>
      <w:r>
        <w:rPr>
          <w:rFonts w:ascii="Times New Roman" w:hAnsi="Times New Roman" w:cs="Times New Roman"/>
        </w:rPr>
        <w:t xml:space="preserve"> </w:t>
      </w:r>
    </w:p>
    <w:p w14:paraId="1DD32E47" w14:textId="77777777" w:rsidR="000A5D73" w:rsidRDefault="000A5D73" w:rsidP="000A5D73">
      <w:pPr>
        <w:tabs>
          <w:tab w:val="left" w:pos="2024"/>
        </w:tabs>
        <w:spacing w:line="360" w:lineRule="auto"/>
        <w:jc w:val="both"/>
        <w:rPr>
          <w:rFonts w:ascii="Times New Roman" w:hAnsi="Times New Roman" w:cs="Times New Roman"/>
        </w:rPr>
      </w:pPr>
      <w:r w:rsidRPr="009E3B0F">
        <w:rPr>
          <w:rFonts w:ascii="Times New Roman" w:hAnsi="Times New Roman" w:cs="Times New Roman"/>
        </w:rPr>
        <w:t>The literature presents a mixed relationship between FDI and environmental sustainability</w:t>
      </w:r>
      <w:r>
        <w:rPr>
          <w:rFonts w:ascii="Times New Roman" w:hAnsi="Times New Roman" w:cs="Times New Roman"/>
        </w:rPr>
        <w:t xml:space="preserve">. </w:t>
      </w:r>
      <w:r w:rsidRPr="009E3B0F">
        <w:rPr>
          <w:rFonts w:ascii="Times New Roman" w:hAnsi="Times New Roman" w:cs="Times New Roman"/>
        </w:rPr>
        <w:t>While some studies</w:t>
      </w:r>
      <w:r>
        <w:rPr>
          <w:rFonts w:ascii="Times New Roman" w:hAnsi="Times New Roman" w:cs="Times New Roman"/>
        </w:rPr>
        <w:t>,</w:t>
      </w:r>
      <w:r w:rsidRPr="009E3B0F">
        <w:rPr>
          <w:rFonts w:ascii="Times New Roman" w:hAnsi="Times New Roman" w:cs="Times New Roman"/>
        </w:rPr>
        <w:t xml:space="preserve"> e.g., </w:t>
      </w:r>
      <w:proofErr w:type="spellStart"/>
      <w:r w:rsidRPr="009E3B0F">
        <w:rPr>
          <w:rFonts w:ascii="Times New Roman" w:hAnsi="Times New Roman" w:cs="Times New Roman"/>
        </w:rPr>
        <w:t>Tamazian</w:t>
      </w:r>
      <w:proofErr w:type="spellEnd"/>
      <w:r w:rsidRPr="009E3B0F">
        <w:rPr>
          <w:rFonts w:ascii="Times New Roman" w:hAnsi="Times New Roman" w:cs="Times New Roman"/>
        </w:rPr>
        <w:t xml:space="preserve"> &amp; Rao</w:t>
      </w:r>
      <w:r>
        <w:rPr>
          <w:rFonts w:ascii="Times New Roman" w:hAnsi="Times New Roman" w:cs="Times New Roman"/>
        </w:rPr>
        <w:t xml:space="preserve"> </w:t>
      </w:r>
      <w:r w:rsidRPr="00187F93">
        <w:rPr>
          <w:rFonts w:ascii="Times New Roman" w:hAnsi="Times New Roman" w:cs="Times New Roman"/>
        </w:rPr>
        <w:t>(2010)</w:t>
      </w:r>
      <w:r w:rsidRPr="009E3B0F">
        <w:rPr>
          <w:rFonts w:ascii="Times New Roman" w:hAnsi="Times New Roman" w:cs="Times New Roman"/>
        </w:rPr>
        <w:t>, Shahbaz et al.</w:t>
      </w:r>
      <w:r>
        <w:rPr>
          <w:rFonts w:ascii="Times New Roman" w:hAnsi="Times New Roman" w:cs="Times New Roman"/>
        </w:rPr>
        <w:t xml:space="preserve"> </w:t>
      </w:r>
      <w:r w:rsidRPr="007D7B9E">
        <w:rPr>
          <w:rFonts w:ascii="Times New Roman" w:hAnsi="Times New Roman" w:cs="Times New Roman"/>
        </w:rPr>
        <w:t>(2013)</w:t>
      </w:r>
      <w:r w:rsidRPr="009E3B0F">
        <w:rPr>
          <w:rFonts w:ascii="Times New Roman" w:hAnsi="Times New Roman" w:cs="Times New Roman"/>
        </w:rPr>
        <w:t>, Zhao &amp; Yang</w:t>
      </w:r>
      <w:r w:rsidRPr="00310267">
        <w:rPr>
          <w:rFonts w:ascii="Times New Roman" w:hAnsi="Times New Roman" w:cs="Times New Roman"/>
        </w:rPr>
        <w:t xml:space="preserve"> </w:t>
      </w:r>
      <w:sdt>
        <w:sdtPr>
          <w:rPr>
            <w:rFonts w:ascii="Times New Roman" w:hAnsi="Times New Roman" w:cs="Times New Roman"/>
          </w:rPr>
          <w:id w:val="89750927"/>
          <w:citation/>
        </w:sdtPr>
        <w:sdtEndPr/>
        <w:sdtContent>
          <w:r w:rsidRPr="00310267">
            <w:rPr>
              <w:rFonts w:ascii="Times New Roman" w:hAnsi="Times New Roman" w:cs="Times New Roman"/>
            </w:rPr>
            <w:fldChar w:fldCharType="begin"/>
          </w:r>
          <w:r w:rsidRPr="00310267">
            <w:rPr>
              <w:rFonts w:ascii="Times New Roman" w:hAnsi="Times New Roman" w:cs="Times New Roman"/>
            </w:rPr>
            <w:instrText xml:space="preserve">CITATION Zha20 \n  \t  \l 1033 </w:instrText>
          </w:r>
          <w:r w:rsidRPr="00310267">
            <w:rPr>
              <w:rFonts w:ascii="Times New Roman" w:hAnsi="Times New Roman" w:cs="Times New Roman"/>
            </w:rPr>
            <w:fldChar w:fldCharType="separate"/>
          </w:r>
          <w:r w:rsidRPr="00310267">
            <w:rPr>
              <w:rFonts w:ascii="Times New Roman" w:hAnsi="Times New Roman" w:cs="Times New Roman"/>
            </w:rPr>
            <w:t>(2020)</w:t>
          </w:r>
          <w:r w:rsidRPr="00310267">
            <w:rPr>
              <w:rFonts w:ascii="Times New Roman" w:hAnsi="Times New Roman" w:cs="Times New Roman"/>
            </w:rPr>
            <w:fldChar w:fldCharType="end"/>
          </w:r>
        </w:sdtContent>
      </w:sdt>
      <w:r w:rsidRPr="009E3B0F">
        <w:rPr>
          <w:rFonts w:ascii="Times New Roman" w:hAnsi="Times New Roman" w:cs="Times New Roman"/>
        </w:rPr>
        <w:t xml:space="preserve"> find that FDI can contribute to reducing emissions by mobili</w:t>
      </w:r>
      <w:r>
        <w:rPr>
          <w:rFonts w:ascii="Times New Roman" w:hAnsi="Times New Roman" w:cs="Times New Roman"/>
        </w:rPr>
        <w:t>s</w:t>
      </w:r>
      <w:r w:rsidRPr="009E3B0F">
        <w:rPr>
          <w:rFonts w:ascii="Times New Roman" w:hAnsi="Times New Roman" w:cs="Times New Roman"/>
        </w:rPr>
        <w:t>ing resources for green projects, others</w:t>
      </w:r>
      <w:r>
        <w:rPr>
          <w:rFonts w:ascii="Times New Roman" w:hAnsi="Times New Roman" w:cs="Times New Roman"/>
        </w:rPr>
        <w:t>,</w:t>
      </w:r>
      <w:r w:rsidRPr="009E3B0F">
        <w:rPr>
          <w:rFonts w:ascii="Times New Roman" w:hAnsi="Times New Roman" w:cs="Times New Roman"/>
        </w:rPr>
        <w:t xml:space="preserve"> e.g., Frankel &amp; Romer</w:t>
      </w:r>
      <w:r>
        <w:rPr>
          <w:rFonts w:ascii="Times New Roman" w:hAnsi="Times New Roman" w:cs="Times New Roman"/>
        </w:rPr>
        <w:t xml:space="preserve"> </w:t>
      </w:r>
      <w:sdt>
        <w:sdtPr>
          <w:rPr>
            <w:rFonts w:ascii="Times New Roman" w:hAnsi="Times New Roman" w:cs="Times New Roman"/>
          </w:rPr>
          <w:id w:val="2139450627"/>
          <w:citation/>
        </w:sdtPr>
        <w:sdtEndPr/>
        <w:sdtContent>
          <w:r w:rsidRPr="00310267">
            <w:rPr>
              <w:rFonts w:ascii="Times New Roman" w:hAnsi="Times New Roman" w:cs="Times New Roman"/>
            </w:rPr>
            <w:fldChar w:fldCharType="begin"/>
          </w:r>
          <w:r w:rsidRPr="00310267">
            <w:rPr>
              <w:rFonts w:ascii="Times New Roman" w:hAnsi="Times New Roman" w:cs="Times New Roman"/>
            </w:rPr>
            <w:instrText xml:space="preserve">CITATION Fra99 \n  \t  \l 1033 </w:instrText>
          </w:r>
          <w:r w:rsidRPr="00310267">
            <w:rPr>
              <w:rFonts w:ascii="Times New Roman" w:hAnsi="Times New Roman" w:cs="Times New Roman"/>
            </w:rPr>
            <w:fldChar w:fldCharType="separate"/>
          </w:r>
          <w:r w:rsidRPr="00310267">
            <w:rPr>
              <w:rFonts w:ascii="Times New Roman" w:hAnsi="Times New Roman" w:cs="Times New Roman"/>
            </w:rPr>
            <w:t>(1999)</w:t>
          </w:r>
          <w:r w:rsidRPr="00310267">
            <w:rPr>
              <w:rFonts w:ascii="Times New Roman" w:hAnsi="Times New Roman" w:cs="Times New Roman"/>
            </w:rPr>
            <w:fldChar w:fldCharType="end"/>
          </w:r>
        </w:sdtContent>
      </w:sdt>
      <w:r w:rsidRPr="009E3B0F">
        <w:rPr>
          <w:rFonts w:ascii="Times New Roman" w:hAnsi="Times New Roman" w:cs="Times New Roman"/>
        </w:rPr>
        <w:t>, Baloch et al.</w:t>
      </w:r>
      <w:r w:rsidRPr="007D7B9E">
        <w:rPr>
          <w:rFonts w:ascii="Times New Roman" w:hAnsi="Times New Roman" w:cs="Times New Roman"/>
        </w:rPr>
        <w:t xml:space="preserve"> (2019)</w:t>
      </w:r>
      <w:r w:rsidRPr="009E3B0F">
        <w:rPr>
          <w:rFonts w:ascii="Times New Roman" w:hAnsi="Times New Roman" w:cs="Times New Roman"/>
        </w:rPr>
        <w:t>, Gök</w:t>
      </w:r>
      <w:r>
        <w:rPr>
          <w:rFonts w:ascii="Times New Roman" w:hAnsi="Times New Roman" w:cs="Times New Roman"/>
        </w:rPr>
        <w:t xml:space="preserve"> </w:t>
      </w:r>
      <w:sdt>
        <w:sdtPr>
          <w:rPr>
            <w:rFonts w:ascii="Times New Roman" w:hAnsi="Times New Roman" w:cs="Times New Roman"/>
          </w:rPr>
          <w:id w:val="-1563866615"/>
          <w:citation/>
        </w:sdtPr>
        <w:sdtEndPr/>
        <w:sdtContent>
          <w:r w:rsidRPr="00310267">
            <w:rPr>
              <w:rFonts w:ascii="Times New Roman" w:hAnsi="Times New Roman" w:cs="Times New Roman"/>
            </w:rPr>
            <w:fldChar w:fldCharType="begin"/>
          </w:r>
          <w:r w:rsidRPr="00310267">
            <w:rPr>
              <w:rFonts w:ascii="Times New Roman" w:hAnsi="Times New Roman" w:cs="Times New Roman"/>
            </w:rPr>
            <w:instrText xml:space="preserve">CITATION Gök20 \n  \t  \l 1033 </w:instrText>
          </w:r>
          <w:r w:rsidRPr="00310267">
            <w:rPr>
              <w:rFonts w:ascii="Times New Roman" w:hAnsi="Times New Roman" w:cs="Times New Roman"/>
            </w:rPr>
            <w:fldChar w:fldCharType="separate"/>
          </w:r>
          <w:r w:rsidRPr="00310267">
            <w:rPr>
              <w:rFonts w:ascii="Times New Roman" w:hAnsi="Times New Roman" w:cs="Times New Roman"/>
            </w:rPr>
            <w:t>(2020)</w:t>
          </w:r>
          <w:r w:rsidRPr="00310267">
            <w:rPr>
              <w:rFonts w:ascii="Times New Roman" w:hAnsi="Times New Roman" w:cs="Times New Roman"/>
            </w:rPr>
            <w:fldChar w:fldCharType="end"/>
          </w:r>
        </w:sdtContent>
      </w:sdt>
      <w:r w:rsidRPr="009E3B0F">
        <w:rPr>
          <w:rFonts w:ascii="Times New Roman" w:hAnsi="Times New Roman" w:cs="Times New Roman"/>
        </w:rPr>
        <w:t xml:space="preserve"> highlight its role in increasing environmental degradation. The overall findings suggest that the impact of FDI on carbon emissions is context-dependent and influenced by factors such as energy use, trade openness, and regional policy frameworks.</w:t>
      </w:r>
    </w:p>
    <w:p w14:paraId="49A31DAE" w14:textId="77777777" w:rsidR="000A5D73" w:rsidRDefault="000A5D73" w:rsidP="000A5D73">
      <w:pPr>
        <w:tabs>
          <w:tab w:val="left" w:pos="2024"/>
        </w:tabs>
        <w:spacing w:line="360" w:lineRule="auto"/>
        <w:jc w:val="both"/>
        <w:rPr>
          <w:rFonts w:ascii="Times New Roman" w:hAnsi="Times New Roman" w:cs="Times New Roman"/>
          <w:b/>
          <w:bCs/>
        </w:rPr>
      </w:pPr>
      <w:r>
        <w:rPr>
          <w:rFonts w:ascii="Times New Roman" w:hAnsi="Times New Roman" w:cs="Times New Roman"/>
          <w:b/>
          <w:bCs/>
        </w:rPr>
        <w:lastRenderedPageBreak/>
        <w:t>Data and Methodology</w:t>
      </w:r>
    </w:p>
    <w:p w14:paraId="11B6656B" w14:textId="77777777" w:rsidR="000A5D73" w:rsidRDefault="000A5D73" w:rsidP="000A5D73">
      <w:pPr>
        <w:tabs>
          <w:tab w:val="left" w:pos="2024"/>
        </w:tabs>
        <w:spacing w:line="360" w:lineRule="auto"/>
        <w:jc w:val="both"/>
        <w:rPr>
          <w:rFonts w:ascii="Times New Roman" w:hAnsi="Times New Roman" w:cs="Times New Roman"/>
        </w:rPr>
      </w:pPr>
      <w:r>
        <w:rPr>
          <w:rFonts w:ascii="Times New Roman" w:hAnsi="Times New Roman" w:cs="Times New Roman"/>
        </w:rPr>
        <w:t xml:space="preserve">The data for India from 1996 to 2024 </w:t>
      </w:r>
      <w:r w:rsidRPr="009E3B0F">
        <w:rPr>
          <w:rFonts w:ascii="Times New Roman" w:hAnsi="Times New Roman" w:cs="Times New Roman"/>
        </w:rPr>
        <w:t>has been utilised for this study.</w:t>
      </w:r>
      <w:r>
        <w:rPr>
          <w:rFonts w:ascii="Times New Roman" w:hAnsi="Times New Roman" w:cs="Times New Roman"/>
        </w:rPr>
        <w:t xml:space="preserve"> </w:t>
      </w:r>
      <w:r w:rsidRPr="009E3B0F">
        <w:rPr>
          <w:rFonts w:ascii="Times New Roman" w:hAnsi="Times New Roman" w:cs="Times New Roman"/>
        </w:rPr>
        <w:t>Four variables, viz. GDP, FDI influx, total renewable energy generation per year, and Urbani</w:t>
      </w:r>
      <w:r>
        <w:rPr>
          <w:rFonts w:ascii="Times New Roman" w:hAnsi="Times New Roman" w:cs="Times New Roman"/>
        </w:rPr>
        <w:t>s</w:t>
      </w:r>
      <w:r w:rsidRPr="009E3B0F">
        <w:rPr>
          <w:rFonts w:ascii="Times New Roman" w:hAnsi="Times New Roman" w:cs="Times New Roman"/>
        </w:rPr>
        <w:t>ation.</w:t>
      </w:r>
    </w:p>
    <w:p w14:paraId="1D5D7F1B" w14:textId="77777777" w:rsidR="000A5D73" w:rsidRPr="00310267" w:rsidRDefault="000A5D73" w:rsidP="000A5D73">
      <w:pPr>
        <w:jc w:val="center"/>
        <w:rPr>
          <w:rFonts w:ascii="Times New Roman" w:hAnsi="Times New Roman" w:cs="Times New Roman"/>
          <w:b/>
          <w:bCs/>
        </w:rPr>
      </w:pPr>
      <w:r w:rsidRPr="00310267">
        <w:rPr>
          <w:rFonts w:ascii="Times New Roman" w:hAnsi="Times New Roman" w:cs="Times New Roman"/>
          <w:b/>
          <w:bCs/>
        </w:rPr>
        <w:t xml:space="preserve">Table </w:t>
      </w:r>
      <w:r>
        <w:rPr>
          <w:rFonts w:ascii="Times New Roman" w:hAnsi="Times New Roman" w:cs="Times New Roman"/>
          <w:b/>
          <w:bCs/>
        </w:rPr>
        <w:t>2</w:t>
      </w:r>
      <w:r w:rsidRPr="00310267">
        <w:rPr>
          <w:rFonts w:ascii="Times New Roman" w:hAnsi="Times New Roman" w:cs="Times New Roman"/>
          <w:b/>
          <w:bCs/>
        </w:rPr>
        <w:t>: Variables Name and Descriptions</w:t>
      </w:r>
    </w:p>
    <w:tbl>
      <w:tblPr>
        <w:tblStyle w:val="TableGrid"/>
        <w:tblW w:w="0" w:type="auto"/>
        <w:tblLook w:val="04A0" w:firstRow="1" w:lastRow="0" w:firstColumn="1" w:lastColumn="0" w:noHBand="0" w:noVBand="1"/>
      </w:tblPr>
      <w:tblGrid>
        <w:gridCol w:w="1552"/>
        <w:gridCol w:w="4088"/>
        <w:gridCol w:w="1830"/>
        <w:gridCol w:w="1510"/>
      </w:tblGrid>
      <w:tr w:rsidR="000A5D73" w:rsidRPr="00993182" w14:paraId="1B517D3A" w14:textId="77777777" w:rsidTr="00147DAD">
        <w:trPr>
          <w:trHeight w:val="20"/>
        </w:trPr>
        <w:tc>
          <w:tcPr>
            <w:tcW w:w="1552" w:type="dxa"/>
            <w:tcBorders>
              <w:top w:val="single" w:sz="18" w:space="0" w:color="auto"/>
              <w:left w:val="single" w:sz="18" w:space="0" w:color="auto"/>
              <w:bottom w:val="single" w:sz="18" w:space="0" w:color="auto"/>
              <w:right w:val="single" w:sz="18" w:space="0" w:color="auto"/>
            </w:tcBorders>
          </w:tcPr>
          <w:p w14:paraId="26E2025B"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Abbreviation</w:t>
            </w:r>
          </w:p>
        </w:tc>
        <w:tc>
          <w:tcPr>
            <w:tcW w:w="4088" w:type="dxa"/>
            <w:tcBorders>
              <w:top w:val="single" w:sz="18" w:space="0" w:color="auto"/>
              <w:left w:val="single" w:sz="18" w:space="0" w:color="auto"/>
              <w:bottom w:val="single" w:sz="18" w:space="0" w:color="auto"/>
            </w:tcBorders>
          </w:tcPr>
          <w:p w14:paraId="478124D7"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Variable Name</w:t>
            </w:r>
          </w:p>
        </w:tc>
        <w:tc>
          <w:tcPr>
            <w:tcW w:w="1830" w:type="dxa"/>
            <w:tcBorders>
              <w:top w:val="single" w:sz="18" w:space="0" w:color="auto"/>
              <w:bottom w:val="single" w:sz="18" w:space="0" w:color="auto"/>
            </w:tcBorders>
          </w:tcPr>
          <w:p w14:paraId="406F2665"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Dimensions</w:t>
            </w:r>
          </w:p>
        </w:tc>
        <w:tc>
          <w:tcPr>
            <w:tcW w:w="1510" w:type="dxa"/>
            <w:tcBorders>
              <w:top w:val="single" w:sz="18" w:space="0" w:color="auto"/>
              <w:bottom w:val="single" w:sz="18" w:space="0" w:color="auto"/>
              <w:right w:val="single" w:sz="18" w:space="0" w:color="auto"/>
            </w:tcBorders>
          </w:tcPr>
          <w:p w14:paraId="0320C5D0"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Source</w:t>
            </w:r>
          </w:p>
        </w:tc>
      </w:tr>
      <w:tr w:rsidR="000A5D73" w:rsidRPr="00993182" w14:paraId="61A64B0C" w14:textId="77777777" w:rsidTr="00147DAD">
        <w:tc>
          <w:tcPr>
            <w:tcW w:w="1552" w:type="dxa"/>
            <w:tcBorders>
              <w:top w:val="single" w:sz="18" w:space="0" w:color="auto"/>
              <w:left w:val="single" w:sz="18" w:space="0" w:color="auto"/>
              <w:right w:val="single" w:sz="18" w:space="0" w:color="auto"/>
            </w:tcBorders>
          </w:tcPr>
          <w:p w14:paraId="203DEA8C"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GDP</w:t>
            </w:r>
          </w:p>
        </w:tc>
        <w:tc>
          <w:tcPr>
            <w:tcW w:w="4088" w:type="dxa"/>
            <w:tcBorders>
              <w:top w:val="single" w:sz="18" w:space="0" w:color="auto"/>
              <w:left w:val="single" w:sz="18" w:space="0" w:color="auto"/>
            </w:tcBorders>
          </w:tcPr>
          <w:p w14:paraId="025BCA7D"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Gross Domestic Product</w:t>
            </w:r>
          </w:p>
        </w:tc>
        <w:tc>
          <w:tcPr>
            <w:tcW w:w="1830" w:type="dxa"/>
            <w:tcBorders>
              <w:top w:val="single" w:sz="18" w:space="0" w:color="auto"/>
            </w:tcBorders>
          </w:tcPr>
          <w:p w14:paraId="1673D7C8"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Rupees Crore</w:t>
            </w:r>
          </w:p>
        </w:tc>
        <w:tc>
          <w:tcPr>
            <w:tcW w:w="1510" w:type="dxa"/>
            <w:tcBorders>
              <w:top w:val="single" w:sz="18" w:space="0" w:color="auto"/>
              <w:right w:val="single" w:sz="18" w:space="0" w:color="auto"/>
            </w:tcBorders>
          </w:tcPr>
          <w:p w14:paraId="7529DA3D"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HSIE</w:t>
            </w:r>
          </w:p>
        </w:tc>
      </w:tr>
      <w:tr w:rsidR="000A5D73" w:rsidRPr="00993182" w14:paraId="07AABE3C" w14:textId="77777777" w:rsidTr="00147DAD">
        <w:tc>
          <w:tcPr>
            <w:tcW w:w="1552" w:type="dxa"/>
            <w:tcBorders>
              <w:left w:val="single" w:sz="18" w:space="0" w:color="auto"/>
              <w:right w:val="single" w:sz="18" w:space="0" w:color="auto"/>
            </w:tcBorders>
          </w:tcPr>
          <w:p w14:paraId="4399F2FC" w14:textId="77777777" w:rsidR="000A5D73" w:rsidRPr="00993182" w:rsidRDefault="000A5D73" w:rsidP="00147DAD">
            <w:pPr>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FDI</w:t>
            </w:r>
          </w:p>
        </w:tc>
        <w:tc>
          <w:tcPr>
            <w:tcW w:w="4088" w:type="dxa"/>
            <w:tcBorders>
              <w:left w:val="single" w:sz="18" w:space="0" w:color="auto"/>
            </w:tcBorders>
          </w:tcPr>
          <w:p w14:paraId="040B8F68"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Foreign Direct Investment Inflow</w:t>
            </w:r>
          </w:p>
        </w:tc>
        <w:tc>
          <w:tcPr>
            <w:tcW w:w="1830" w:type="dxa"/>
          </w:tcPr>
          <w:p w14:paraId="4A8944CC"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Rupees Crore</w:t>
            </w:r>
          </w:p>
        </w:tc>
        <w:tc>
          <w:tcPr>
            <w:tcW w:w="1510" w:type="dxa"/>
            <w:tcBorders>
              <w:right w:val="single" w:sz="18" w:space="0" w:color="auto"/>
            </w:tcBorders>
          </w:tcPr>
          <w:p w14:paraId="0F2132E9"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HSIE</w:t>
            </w:r>
          </w:p>
        </w:tc>
      </w:tr>
      <w:tr w:rsidR="000A5D73" w:rsidRPr="00993182" w14:paraId="70C57E0D" w14:textId="77777777" w:rsidTr="00147DAD">
        <w:tc>
          <w:tcPr>
            <w:tcW w:w="1552" w:type="dxa"/>
            <w:tcBorders>
              <w:left w:val="single" w:sz="18" w:space="0" w:color="auto"/>
              <w:bottom w:val="single" w:sz="4" w:space="0" w:color="auto"/>
              <w:right w:val="single" w:sz="18" w:space="0" w:color="auto"/>
            </w:tcBorders>
          </w:tcPr>
          <w:p w14:paraId="3C50B001"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Urban</w:t>
            </w:r>
          </w:p>
        </w:tc>
        <w:tc>
          <w:tcPr>
            <w:tcW w:w="4088" w:type="dxa"/>
            <w:tcBorders>
              <w:left w:val="single" w:sz="18" w:space="0" w:color="auto"/>
              <w:bottom w:val="single" w:sz="4" w:space="0" w:color="auto"/>
            </w:tcBorders>
          </w:tcPr>
          <w:p w14:paraId="7E7CF6A5"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Size of the Population living in Urban Areas (Urbanisation)</w:t>
            </w:r>
          </w:p>
        </w:tc>
        <w:tc>
          <w:tcPr>
            <w:tcW w:w="1830" w:type="dxa"/>
            <w:tcBorders>
              <w:bottom w:val="single" w:sz="4" w:space="0" w:color="auto"/>
            </w:tcBorders>
          </w:tcPr>
          <w:p w14:paraId="1B0F0171"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Unit of Person</w:t>
            </w:r>
          </w:p>
        </w:tc>
        <w:tc>
          <w:tcPr>
            <w:tcW w:w="1510" w:type="dxa"/>
            <w:tcBorders>
              <w:bottom w:val="single" w:sz="4" w:space="0" w:color="auto"/>
              <w:right w:val="single" w:sz="18" w:space="0" w:color="auto"/>
            </w:tcBorders>
          </w:tcPr>
          <w:p w14:paraId="29B71C4D"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Projected Population from Census</w:t>
            </w:r>
          </w:p>
        </w:tc>
      </w:tr>
      <w:tr w:rsidR="000A5D73" w:rsidRPr="00993182" w14:paraId="65DF4371" w14:textId="77777777" w:rsidTr="00147DAD">
        <w:tc>
          <w:tcPr>
            <w:tcW w:w="1552" w:type="dxa"/>
            <w:tcBorders>
              <w:left w:val="single" w:sz="18" w:space="0" w:color="auto"/>
              <w:bottom w:val="single" w:sz="18" w:space="0" w:color="auto"/>
              <w:right w:val="single" w:sz="18" w:space="0" w:color="auto"/>
            </w:tcBorders>
          </w:tcPr>
          <w:p w14:paraId="6381AEE2" w14:textId="77777777" w:rsidR="000A5D73" w:rsidRPr="00993182" w:rsidRDefault="000A5D73" w:rsidP="00147DAD">
            <w:pPr>
              <w:jc w:val="both"/>
              <w:rPr>
                <w:rFonts w:ascii="Times New Roman" w:eastAsia="Times New Roman" w:hAnsi="Times New Roman" w:cs="Times New Roman"/>
                <w:b/>
                <w:bCs/>
                <w:kern w:val="0"/>
                <w:sz w:val="16"/>
                <w:szCs w:val="16"/>
                <w:lang w:eastAsia="en-GB"/>
                <w14:ligatures w14:val="none"/>
              </w:rPr>
            </w:pPr>
            <w:r w:rsidRPr="00993182">
              <w:rPr>
                <w:rFonts w:ascii="Times New Roman" w:eastAsia="Times New Roman" w:hAnsi="Times New Roman" w:cs="Times New Roman"/>
                <w:b/>
                <w:bCs/>
                <w:kern w:val="0"/>
                <w:sz w:val="16"/>
                <w:szCs w:val="16"/>
                <w:lang w:eastAsia="en-GB"/>
                <w14:ligatures w14:val="none"/>
              </w:rPr>
              <w:t>RE</w:t>
            </w:r>
          </w:p>
        </w:tc>
        <w:tc>
          <w:tcPr>
            <w:tcW w:w="4088" w:type="dxa"/>
            <w:tcBorders>
              <w:left w:val="single" w:sz="18" w:space="0" w:color="auto"/>
              <w:bottom w:val="single" w:sz="18" w:space="0" w:color="auto"/>
            </w:tcBorders>
          </w:tcPr>
          <w:p w14:paraId="011EFF2E"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Renewable Energy</w:t>
            </w:r>
          </w:p>
        </w:tc>
        <w:tc>
          <w:tcPr>
            <w:tcW w:w="1830" w:type="dxa"/>
            <w:tcBorders>
              <w:bottom w:val="single" w:sz="18" w:space="0" w:color="auto"/>
            </w:tcBorders>
          </w:tcPr>
          <w:p w14:paraId="1D302A7B"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r w:rsidRPr="00993182">
              <w:rPr>
                <w:rFonts w:ascii="Times New Roman" w:eastAsia="Times New Roman" w:hAnsi="Times New Roman" w:cs="Times New Roman"/>
                <w:kern w:val="0"/>
                <w:sz w:val="16"/>
                <w:szCs w:val="16"/>
                <w:lang w:eastAsia="en-GB"/>
                <w14:ligatures w14:val="none"/>
              </w:rPr>
              <w:t>Billion KWH</w:t>
            </w:r>
          </w:p>
        </w:tc>
        <w:tc>
          <w:tcPr>
            <w:tcW w:w="1510" w:type="dxa"/>
            <w:tcBorders>
              <w:bottom w:val="single" w:sz="18" w:space="0" w:color="auto"/>
              <w:right w:val="single" w:sz="18" w:space="0" w:color="auto"/>
            </w:tcBorders>
          </w:tcPr>
          <w:p w14:paraId="5BDA6EF3" w14:textId="77777777" w:rsidR="000A5D73" w:rsidRPr="00993182" w:rsidRDefault="000A5D73" w:rsidP="00147DAD">
            <w:pPr>
              <w:jc w:val="both"/>
              <w:rPr>
                <w:rFonts w:ascii="Times New Roman" w:eastAsia="Times New Roman" w:hAnsi="Times New Roman" w:cs="Times New Roman"/>
                <w:kern w:val="0"/>
                <w:sz w:val="16"/>
                <w:szCs w:val="16"/>
                <w:lang w:eastAsia="en-GB"/>
                <w14:ligatures w14:val="none"/>
              </w:rPr>
            </w:pPr>
            <w:proofErr w:type="spellStart"/>
            <w:r w:rsidRPr="00993182">
              <w:rPr>
                <w:rFonts w:ascii="Times New Roman" w:eastAsia="Times New Roman" w:hAnsi="Times New Roman" w:cs="Times New Roman"/>
                <w:kern w:val="0"/>
                <w:sz w:val="16"/>
                <w:szCs w:val="16"/>
                <w:lang w:eastAsia="en-GB"/>
                <w14:ligatures w14:val="none"/>
              </w:rPr>
              <w:t>Indiastat</w:t>
            </w:r>
            <w:proofErr w:type="spellEnd"/>
          </w:p>
        </w:tc>
      </w:tr>
    </w:tbl>
    <w:p w14:paraId="412B4282" w14:textId="77777777" w:rsidR="000A5D73" w:rsidRDefault="000A5D73" w:rsidP="000A5D73">
      <w:pPr>
        <w:spacing w:after="120"/>
        <w:jc w:val="both"/>
        <w:rPr>
          <w:rFonts w:ascii="Times New Roman" w:hAnsi="Times New Roman" w:cs="Times New Roman"/>
          <w:i/>
          <w:iCs/>
          <w:sz w:val="16"/>
          <w:szCs w:val="16"/>
        </w:rPr>
      </w:pPr>
      <w:r w:rsidRPr="00B065A8">
        <w:rPr>
          <w:rFonts w:ascii="Times New Roman" w:hAnsi="Times New Roman" w:cs="Times New Roman"/>
          <w:i/>
          <w:iCs/>
          <w:sz w:val="16"/>
          <w:szCs w:val="16"/>
        </w:rPr>
        <w:t xml:space="preserve">Note: </w:t>
      </w:r>
      <w:r>
        <w:rPr>
          <w:rFonts w:ascii="Times New Roman" w:hAnsi="Times New Roman" w:cs="Times New Roman"/>
          <w:i/>
          <w:iCs/>
          <w:sz w:val="16"/>
          <w:szCs w:val="16"/>
        </w:rPr>
        <w:t>HSIE</w:t>
      </w:r>
      <w:r w:rsidRPr="00B065A8">
        <w:rPr>
          <w:rFonts w:ascii="Times New Roman" w:hAnsi="Times New Roman" w:cs="Times New Roman"/>
          <w:i/>
          <w:iCs/>
          <w:sz w:val="16"/>
          <w:szCs w:val="16"/>
        </w:rPr>
        <w:t>=</w:t>
      </w:r>
      <w:r>
        <w:rPr>
          <w:rFonts w:ascii="Times New Roman" w:hAnsi="Times New Roman" w:cs="Times New Roman"/>
          <w:i/>
          <w:iCs/>
          <w:sz w:val="16"/>
          <w:szCs w:val="16"/>
        </w:rPr>
        <w:t xml:space="preserve">Handbook of Statistics on Indian Economy </w:t>
      </w:r>
      <w:r w:rsidRPr="00993182">
        <w:rPr>
          <w:rFonts w:ascii="Times New Roman" w:hAnsi="Times New Roman" w:cs="Times New Roman"/>
          <w:i/>
          <w:iCs/>
          <w:sz w:val="16"/>
          <w:szCs w:val="16"/>
        </w:rPr>
        <w:t xml:space="preserve">retrieved from </w:t>
      </w:r>
      <w:r>
        <w:rPr>
          <w:rFonts w:ascii="Times New Roman" w:hAnsi="Times New Roman" w:cs="Times New Roman"/>
          <w:i/>
          <w:iCs/>
          <w:sz w:val="16"/>
          <w:szCs w:val="16"/>
        </w:rPr>
        <w:t>Reserve Bank of India</w:t>
      </w:r>
      <w:r w:rsidRPr="00993182">
        <w:rPr>
          <w:rFonts w:ascii="Times New Roman" w:hAnsi="Times New Roman" w:cs="Times New Roman"/>
          <w:i/>
          <w:iCs/>
          <w:sz w:val="16"/>
          <w:szCs w:val="16"/>
        </w:rPr>
        <w:t xml:space="preserve"> repository +</w:t>
      </w:r>
    </w:p>
    <w:p w14:paraId="33A343C1" w14:textId="77777777" w:rsidR="000A5D73" w:rsidRPr="00632A83" w:rsidRDefault="000A5D73" w:rsidP="000A5D73">
      <w:pPr>
        <w:spacing w:after="120"/>
        <w:jc w:val="both"/>
        <w:rPr>
          <w:rFonts w:ascii="Times New Roman" w:hAnsi="Times New Roman" w:cs="Times New Roman"/>
          <w:i/>
          <w:iCs/>
        </w:rPr>
      </w:pPr>
      <w:r w:rsidRPr="00632A83">
        <w:rPr>
          <w:rFonts w:ascii="Times New Roman" w:hAnsi="Times New Roman" w:cs="Times New Roman"/>
          <w:i/>
          <w:iCs/>
        </w:rPr>
        <w:t>Model Estimation</w:t>
      </w:r>
    </w:p>
    <w:p w14:paraId="196B0461" w14:textId="77777777" w:rsidR="000A5D73" w:rsidRDefault="000A5D73" w:rsidP="000A5D73">
      <w:pPr>
        <w:tabs>
          <w:tab w:val="left" w:pos="2024"/>
        </w:tabs>
        <w:spacing w:line="360" w:lineRule="auto"/>
        <w:jc w:val="both"/>
        <w:rPr>
          <w:rFonts w:ascii="Times New Roman" w:hAnsi="Times New Roman" w:cs="Times New Roman"/>
        </w:rPr>
      </w:pPr>
      <w:r w:rsidRPr="00632A83">
        <w:rPr>
          <w:rFonts w:ascii="Times New Roman" w:hAnsi="Times New Roman" w:cs="Times New Roman"/>
        </w:rPr>
        <w:t>Though there were multiple studies that have jointly perceived the interconnection of Conventional and non-conventional sources of energy with carbon-dioxide emanations</w:t>
      </w:r>
      <w:r>
        <w:rPr>
          <w:rFonts w:ascii="Times New Roman" w:hAnsi="Times New Roman" w:cs="Times New Roman"/>
        </w:rPr>
        <w:t xml:space="preserve"> </w:t>
      </w:r>
      <w:r w:rsidRPr="00632A83">
        <w:rPr>
          <w:rFonts w:ascii="Times New Roman" w:hAnsi="Times New Roman" w:cs="Times New Roman"/>
        </w:rPr>
        <w:t>(</w:t>
      </w:r>
      <w:proofErr w:type="spellStart"/>
      <w:r w:rsidRPr="00632A83">
        <w:rPr>
          <w:rFonts w:ascii="Times New Roman" w:hAnsi="Times New Roman" w:cs="Times New Roman"/>
        </w:rPr>
        <w:t>Inglesi-Lotz</w:t>
      </w:r>
      <w:proofErr w:type="spellEnd"/>
      <w:r w:rsidRPr="00632A83">
        <w:rPr>
          <w:rFonts w:ascii="Times New Roman" w:hAnsi="Times New Roman" w:cs="Times New Roman"/>
        </w:rPr>
        <w:t xml:space="preserve"> &amp; Dogan, 2018; Nguyen &amp; </w:t>
      </w:r>
      <w:proofErr w:type="spellStart"/>
      <w:r w:rsidRPr="00632A83">
        <w:rPr>
          <w:rFonts w:ascii="Times New Roman" w:hAnsi="Times New Roman" w:cs="Times New Roman"/>
        </w:rPr>
        <w:t>Kakinaka</w:t>
      </w:r>
      <w:proofErr w:type="spellEnd"/>
      <w:r w:rsidRPr="00632A83">
        <w:rPr>
          <w:rFonts w:ascii="Times New Roman" w:hAnsi="Times New Roman" w:cs="Times New Roman"/>
        </w:rPr>
        <w:t xml:space="preserve">, 2019; </w:t>
      </w:r>
      <w:proofErr w:type="spellStart"/>
      <w:r w:rsidRPr="00632A83">
        <w:rPr>
          <w:rFonts w:ascii="Times New Roman" w:hAnsi="Times New Roman" w:cs="Times New Roman"/>
        </w:rPr>
        <w:t>Shakouri</w:t>
      </w:r>
      <w:proofErr w:type="spellEnd"/>
      <w:r w:rsidRPr="00632A83">
        <w:rPr>
          <w:rFonts w:ascii="Times New Roman" w:hAnsi="Times New Roman" w:cs="Times New Roman"/>
        </w:rPr>
        <w:t xml:space="preserve"> &amp; </w:t>
      </w:r>
      <w:proofErr w:type="spellStart"/>
      <w:r w:rsidRPr="00632A83">
        <w:rPr>
          <w:rFonts w:ascii="Times New Roman" w:hAnsi="Times New Roman" w:cs="Times New Roman"/>
        </w:rPr>
        <w:t>Khoshnevis</w:t>
      </w:r>
      <w:proofErr w:type="spellEnd"/>
      <w:r w:rsidRPr="00632A83">
        <w:rPr>
          <w:rFonts w:ascii="Times New Roman" w:hAnsi="Times New Roman" w:cs="Times New Roman"/>
        </w:rPr>
        <w:t xml:space="preserve"> </w:t>
      </w:r>
      <w:proofErr w:type="spellStart"/>
      <w:r w:rsidRPr="00632A83">
        <w:rPr>
          <w:rFonts w:ascii="Times New Roman" w:hAnsi="Times New Roman" w:cs="Times New Roman"/>
        </w:rPr>
        <w:t>Yazdi</w:t>
      </w:r>
      <w:proofErr w:type="spellEnd"/>
      <w:r w:rsidRPr="00632A83">
        <w:rPr>
          <w:rFonts w:ascii="Times New Roman" w:hAnsi="Times New Roman" w:cs="Times New Roman"/>
        </w:rPr>
        <w:t>, 2017), the reported study has practically implemented the notion concisely for India. Moreover, our investigation distinctively integrated sustainability to replace resource</w:t>
      </w:r>
      <w:r>
        <w:rPr>
          <w:rFonts w:ascii="Times New Roman" w:hAnsi="Times New Roman" w:cs="Times New Roman"/>
        </w:rPr>
        <w:t xml:space="preserve"> </w:t>
      </w:r>
      <w:r w:rsidRPr="00632A83">
        <w:rPr>
          <w:rFonts w:ascii="Times New Roman" w:hAnsi="Times New Roman" w:cs="Times New Roman"/>
        </w:rPr>
        <w:t xml:space="preserve">rent in the study conducted by </w:t>
      </w:r>
      <w:proofErr w:type="spellStart"/>
      <w:r w:rsidRPr="00632A83">
        <w:rPr>
          <w:rFonts w:ascii="Times New Roman" w:hAnsi="Times New Roman" w:cs="Times New Roman"/>
        </w:rPr>
        <w:t>Bekun</w:t>
      </w:r>
      <w:proofErr w:type="spellEnd"/>
      <w:r w:rsidRPr="00632A83">
        <w:rPr>
          <w:rFonts w:ascii="Times New Roman" w:hAnsi="Times New Roman" w:cs="Times New Roman"/>
        </w:rPr>
        <w:t xml:space="preserve"> et al., 2019 such that:</w:t>
      </w:r>
    </w:p>
    <w:p w14:paraId="3993B8BB" w14:textId="77777777" w:rsidR="000A5D73" w:rsidRDefault="000A5D73" w:rsidP="000A5D73">
      <w:pPr>
        <w:tabs>
          <w:tab w:val="left" w:pos="2024"/>
        </w:tabs>
        <w:spacing w:line="360" w:lineRule="auto"/>
        <w:jc w:val="both"/>
        <w:rPr>
          <w:rFonts w:ascii="Times New Roman" w:eastAsiaTheme="minorEastAsia" w:hAnsi="Times New Roman" w:cs="Times New Roman"/>
        </w:rPr>
      </w:pPr>
      <m:oMath>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=f(GD</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,FD</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,Urba</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w:t>
      </w:r>
    </w:p>
    <w:p w14:paraId="7322C050" w14:textId="77777777" w:rsidR="000A5D73" w:rsidRDefault="00AB5894" w:rsidP="000A5D73">
      <w:pPr>
        <w:tabs>
          <w:tab w:val="left" w:pos="2024"/>
        </w:tabs>
        <w:spacing w:line="360" w:lineRule="auto"/>
        <w:jc w:val="both"/>
        <w:rPr>
          <w:rFonts w:ascii="Times New Roman" w:eastAsiaTheme="minorEastAsia" w:hAnsi="Times New Roman" w:cs="Times New Roman"/>
        </w:rPr>
      </w:pPr>
      <m:oMath>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e>
            </m:d>
          </m:e>
        </m:func>
        <m:r>
          <w:rPr>
            <w:rFonts w:ascii="Cambria Math" w:hAnsi="Cambria Math" w:cs="Times New Roman"/>
          </w:rPr>
          <m:t>=</m:t>
        </m:r>
        <m:r>
          <w:rPr>
            <w:rFonts w:ascii="Cambria Math" w:hAnsi="Cambria Math" w:cs="Times New Roman"/>
          </w:rPr>
          <m:t>α</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m:t>
        </m:r>
        <m:r>
          <w:rPr>
            <w:rFonts w:ascii="Cambria Math" w:hAnsi="Cambria Math" w:cs="Times New Roman"/>
          </w:rPr>
          <m:t>GD</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ln⁡</m:t>
        </m:r>
        <m:r>
          <w:rPr>
            <w:rFonts w:ascii="Cambria Math" w:hAnsi="Cambria Math" w:cs="Times New Roman"/>
          </w:rPr>
          <m:t>(</m:t>
        </m:r>
        <m:r>
          <w:rPr>
            <w:rFonts w:ascii="Cambria Math" w:hAnsi="Cambria Math" w:cs="Times New Roman"/>
          </w:rPr>
          <m:t>FD</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r>
          <m:rPr>
            <m:sty m:val="p"/>
          </m:rPr>
          <w:rPr>
            <w:rFonts w:ascii="Cambria Math" w:hAnsi="Cambria Math" w:cs="Times New Roman"/>
          </w:rPr>
          <m:t>ln⁡</m:t>
        </m:r>
        <m:r>
          <w:rPr>
            <w:rFonts w:ascii="Cambria Math" w:hAnsi="Cambria Math" w:cs="Times New Roman"/>
          </w:rPr>
          <m:t>(</m:t>
        </m:r>
        <m:r>
          <w:rPr>
            <w:rFonts w:ascii="Cambria Math" w:hAnsi="Cambria Math" w:cs="Times New Roman"/>
          </w:rPr>
          <m:t>Urba</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sidR="000A5D73">
        <w:rPr>
          <w:rFonts w:ascii="Times New Roman" w:eastAsiaTheme="minorEastAsia" w:hAnsi="Times New Roman" w:cs="Times New Roman"/>
        </w:rPr>
        <w:tab/>
      </w:r>
      <w:r w:rsidR="000A5D73">
        <w:rPr>
          <w:rFonts w:ascii="Times New Roman" w:eastAsiaTheme="minorEastAsia" w:hAnsi="Times New Roman" w:cs="Times New Roman"/>
        </w:rPr>
        <w:tab/>
      </w:r>
      <w:r w:rsidR="000A5D73">
        <w:rPr>
          <w:rFonts w:ascii="Times New Roman" w:eastAsiaTheme="minorEastAsia" w:hAnsi="Times New Roman" w:cs="Times New Roman"/>
        </w:rPr>
        <w:tab/>
      </w:r>
      <w:r w:rsidR="000A5D73">
        <w:rPr>
          <w:rFonts w:ascii="Times New Roman" w:eastAsiaTheme="minorEastAsia" w:hAnsi="Times New Roman" w:cs="Times New Roman"/>
        </w:rPr>
        <w:tab/>
        <w:t>(2)</w:t>
      </w:r>
    </w:p>
    <w:p w14:paraId="1738A9DC" w14:textId="77777777" w:rsidR="000A5D73" w:rsidRDefault="000A5D73" w:rsidP="000A5D73">
      <w:pPr>
        <w:tabs>
          <w:tab w:val="left" w:pos="2024"/>
        </w:tabs>
        <w:spacing w:line="360" w:lineRule="auto"/>
        <w:jc w:val="both"/>
        <w:rPr>
          <w:rFonts w:ascii="Times New Roman" w:hAnsi="Times New Roman" w:cs="Times New Roman"/>
        </w:rPr>
      </w:pPr>
      <w:r w:rsidRPr="00632A83">
        <w:rPr>
          <w:rFonts w:ascii="Times New Roman" w:hAnsi="Times New Roman" w:cs="Times New Roman"/>
        </w:rPr>
        <w:t xml:space="preserve">The current time-series utilises a logarithmic transformation to have a constant variance. In the estimated equation, </w:t>
      </w:r>
      <w:r>
        <w:rPr>
          <w:rFonts w:ascii="Times New Roman" w:hAnsi="Times New Roman" w:cs="Times New Roman"/>
        </w:rPr>
        <w:t>energy s</w:t>
      </w:r>
      <w:r w:rsidRPr="00632A83">
        <w:rPr>
          <w:rFonts w:ascii="Times New Roman" w:hAnsi="Times New Roman" w:cs="Times New Roman"/>
        </w:rPr>
        <w:t>ustainability (R</w:t>
      </w:r>
      <w:r>
        <w:rPr>
          <w:rFonts w:ascii="Times New Roman" w:hAnsi="Times New Roman" w:cs="Times New Roman"/>
        </w:rPr>
        <w:t>E</w:t>
      </w:r>
      <w:r w:rsidRPr="00632A83">
        <w:rPr>
          <w:rFonts w:ascii="Times New Roman" w:hAnsi="Times New Roman" w:cs="Times New Roman"/>
        </w:rPr>
        <w:t>) is the output variable.</w:t>
      </w:r>
      <w:r>
        <w:rPr>
          <w:rFonts w:ascii="Times New Roman" w:hAnsi="Times New Roman" w:cs="Times New Roman"/>
        </w:rPr>
        <w:t xml:space="preserve"> </w:t>
      </w:r>
      <w:r w:rsidRPr="00F34A3D">
        <w:rPr>
          <w:rFonts w:ascii="Times New Roman" w:hAnsi="Times New Roman" w:cs="Times New Roman"/>
        </w:rPr>
        <w:t xml:space="preserve">Also, </w:t>
      </w:r>
      <m:oMath>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R</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e>
            </m:d>
          </m:e>
        </m:func>
      </m:oMath>
      <w:r w:rsidRPr="00F34A3D">
        <w:rPr>
          <w:rFonts w:ascii="Times New Roman" w:hAnsi="Times New Roman" w:cs="Times New Roman"/>
        </w:rPr>
        <w:t xml:space="preserve"> against </w:t>
      </w:r>
      <m:oMath>
        <m:r>
          <m:rPr>
            <m:sty m:val="p"/>
          </m:rPr>
          <w:rPr>
            <w:rFonts w:ascii="Cambria Math" w:hAnsi="Cambria Math" w:cs="Times New Roman"/>
          </w:rPr>
          <m:t>ln⁡</m:t>
        </m:r>
        <m:r>
          <w:rPr>
            <w:rFonts w:ascii="Cambria Math" w:hAnsi="Cambria Math" w:cs="Times New Roman"/>
          </w:rPr>
          <m:t>(FD</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w:rPr>
            <w:rFonts w:ascii="Cambria Math" w:hAnsi="Cambria Math" w:cs="Times New Roman"/>
          </w:rPr>
          <m:t>)</m:t>
        </m:r>
      </m:oMath>
      <w:r w:rsidRPr="00F34A3D">
        <w:rPr>
          <w:rFonts w:ascii="Times New Roman" w:hAnsi="Times New Roman" w:cs="Times New Roman"/>
        </w:rPr>
        <w:t xml:space="preserve">, </w:t>
      </w:r>
      <m:oMath>
        <m:r>
          <m:rPr>
            <m:sty m:val="p"/>
          </m:rPr>
          <w:rPr>
            <w:rFonts w:ascii="Cambria Math" w:hAnsi="Cambria Math" w:cs="Times New Roman"/>
          </w:rPr>
          <m:t>ln⁡</m:t>
        </m:r>
        <m:r>
          <w:rPr>
            <w:rFonts w:ascii="Cambria Math" w:hAnsi="Cambria Math" w:cs="Times New Roman"/>
          </w:rPr>
          <m:t>(GD</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oMath>
      <w:r w:rsidRPr="00F34A3D">
        <w:rPr>
          <w:rFonts w:ascii="Times New Roman" w:hAnsi="Times New Roman" w:cs="Times New Roman"/>
        </w:rPr>
        <w:t xml:space="preserve">, and </w:t>
      </w:r>
      <m:oMath>
        <m:r>
          <m:rPr>
            <m:sty m:val="p"/>
          </m:rPr>
          <w:rPr>
            <w:rFonts w:ascii="Cambria Math" w:hAnsi="Cambria Math" w:cs="Times New Roman"/>
          </w:rPr>
          <m:t>ln⁡</m:t>
        </m:r>
        <m:r>
          <w:rPr>
            <w:rFonts w:ascii="Cambria Math" w:hAnsi="Cambria Math" w:cs="Times New Roman"/>
          </w:rPr>
          <m:t>(Urba</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oMath>
      <w:r w:rsidRPr="00F34A3D">
        <w:rPr>
          <w:rFonts w:ascii="Times New Roman" w:hAnsi="Times New Roman" w:cs="Times New Roman"/>
        </w:rPr>
        <w:t xml:space="preserve"> signifies the logarithmically modified dependent variable vs the independent one, </w:t>
      </w:r>
      <m:oMath>
        <m:r>
          <w:rPr>
            <w:rFonts w:ascii="Cambria Math" w:hAnsi="Cambria Math" w:cs="Times New Roman"/>
          </w:rPr>
          <m:t>α</m:t>
        </m:r>
      </m:oMath>
      <w:r w:rsidRPr="00F34A3D">
        <w:rPr>
          <w:rFonts w:ascii="Times New Roman" w:hAnsi="Times New Roman" w:cs="Times New Roman"/>
        </w:rPr>
        <w:t xml:space="preserve"> denotes the intercept value,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eastAsiaTheme="minorEastAsia" w:hAnsi="Cambria Math" w:cs="Times New Roman"/>
          </w:rPr>
          <m:t xml:space="preserve"> (i=1,2,3)</m:t>
        </m:r>
      </m:oMath>
      <w:r>
        <w:rPr>
          <w:rFonts w:ascii="Times New Roman" w:hAnsi="Times New Roman" w:cs="Times New Roman"/>
        </w:rPr>
        <w:t xml:space="preserve"> </w:t>
      </w:r>
      <w:r w:rsidRPr="00F34A3D">
        <w:rPr>
          <w:rFonts w:ascii="Times New Roman" w:hAnsi="Times New Roman" w:cs="Times New Roman"/>
        </w:rPr>
        <w:t xml:space="preserve">is the slope measurement, and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oMath>
      <w:r>
        <w:rPr>
          <w:rFonts w:ascii="Times New Roman" w:eastAsiaTheme="minorEastAsia" w:hAnsi="Times New Roman" w:cs="Times New Roman"/>
        </w:rPr>
        <w:t xml:space="preserve"> </w:t>
      </w:r>
      <w:r w:rsidRPr="00F34A3D">
        <w:rPr>
          <w:rFonts w:ascii="Times New Roman" w:hAnsi="Times New Roman" w:cs="Times New Roman"/>
        </w:rPr>
        <w:t>is the white-noise error term.</w:t>
      </w:r>
    </w:p>
    <w:p w14:paraId="73D92CDE"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9070D3">
        <w:rPr>
          <w:rFonts w:ascii="Times New Roman" w:eastAsiaTheme="minorEastAsia" w:hAnsi="Times New Roman" w:cs="Times New Roman"/>
        </w:rPr>
        <w:t>The present investigation</w:t>
      </w:r>
      <w:r>
        <w:rPr>
          <w:rFonts w:ascii="Times New Roman" w:eastAsiaTheme="minorEastAsia" w:hAnsi="Times New Roman" w:cs="Times New Roman"/>
        </w:rPr>
        <w:t xml:space="preserve"> </w:t>
      </w:r>
      <w:r w:rsidRPr="009070D3">
        <w:rPr>
          <w:rFonts w:ascii="Times New Roman" w:eastAsiaTheme="minorEastAsia" w:hAnsi="Times New Roman" w:cs="Times New Roman"/>
        </w:rPr>
        <w:t xml:space="preserve">embodies a three-phase approach for its empirical investigation. Starting with testing the stationarity of the distinct time-series, for robustness, </w:t>
      </w:r>
      <w:r>
        <w:rPr>
          <w:rFonts w:ascii="Times New Roman" w:eastAsiaTheme="minorEastAsia" w:hAnsi="Times New Roman" w:cs="Times New Roman"/>
        </w:rPr>
        <w:t xml:space="preserve">one </w:t>
      </w:r>
      <w:r w:rsidRPr="009070D3">
        <w:rPr>
          <w:rFonts w:ascii="Times New Roman" w:eastAsiaTheme="minorEastAsia" w:hAnsi="Times New Roman" w:cs="Times New Roman"/>
        </w:rPr>
        <w:t>test utilised, i.e., Phillips</w:t>
      </w:r>
      <w:r>
        <w:rPr>
          <w:rFonts w:ascii="Times New Roman" w:eastAsiaTheme="minorEastAsia" w:hAnsi="Times New Roman" w:cs="Times New Roman"/>
        </w:rPr>
        <w:t xml:space="preserve"> and </w:t>
      </w:r>
      <w:r w:rsidRPr="009070D3">
        <w:rPr>
          <w:rFonts w:ascii="Times New Roman" w:eastAsiaTheme="minorEastAsia" w:hAnsi="Times New Roman" w:cs="Times New Roman"/>
        </w:rPr>
        <w:t>Perron</w:t>
      </w:r>
      <w:r>
        <w:rPr>
          <w:rFonts w:ascii="Times New Roman" w:eastAsiaTheme="minorEastAsia" w:hAnsi="Times New Roman" w:cs="Times New Roman"/>
        </w:rPr>
        <w:t xml:space="preserve"> (1991)</w:t>
      </w:r>
      <w:r w:rsidRPr="009070D3">
        <w:rPr>
          <w:rFonts w:ascii="Times New Roman" w:eastAsiaTheme="minorEastAsia" w:hAnsi="Times New Roman" w:cs="Times New Roman"/>
        </w:rPr>
        <w:t xml:space="preserve"> test. (ii) The Co-integration</w:t>
      </w:r>
      <w:r>
        <w:rPr>
          <w:rFonts w:ascii="Times New Roman" w:eastAsiaTheme="minorEastAsia" w:hAnsi="Times New Roman" w:cs="Times New Roman"/>
        </w:rPr>
        <w:t xml:space="preserve"> </w:t>
      </w:r>
      <w:r w:rsidRPr="009070D3">
        <w:rPr>
          <w:rFonts w:ascii="Times New Roman" w:eastAsiaTheme="minorEastAsia" w:hAnsi="Times New Roman" w:cs="Times New Roman"/>
        </w:rPr>
        <w:t>(</w:t>
      </w:r>
      <w:proofErr w:type="spellStart"/>
      <w:r w:rsidRPr="009070D3">
        <w:rPr>
          <w:rFonts w:ascii="Times New Roman" w:eastAsiaTheme="minorEastAsia" w:hAnsi="Times New Roman" w:cs="Times New Roman"/>
        </w:rPr>
        <w:t>Pesaran</w:t>
      </w:r>
      <w:proofErr w:type="spellEnd"/>
      <w:r w:rsidRPr="009070D3">
        <w:rPr>
          <w:rFonts w:ascii="Times New Roman" w:eastAsiaTheme="minorEastAsia" w:hAnsi="Times New Roman" w:cs="Times New Roman"/>
        </w:rPr>
        <w:t xml:space="preserve"> et al., 1999) amid the reported variables is investigated to ascertain the prolonged association. (iii) Finally, causativeness among the variable has been analysed using pair-wise Granger-causality testing.</w:t>
      </w:r>
    </w:p>
    <w:p w14:paraId="6D9B3995" w14:textId="77777777" w:rsidR="000A5D73" w:rsidRPr="009070D3" w:rsidRDefault="000A5D73" w:rsidP="000A5D73">
      <w:pPr>
        <w:tabs>
          <w:tab w:val="left" w:pos="2024"/>
        </w:tabs>
        <w:spacing w:line="360" w:lineRule="auto"/>
        <w:jc w:val="both"/>
        <w:rPr>
          <w:rFonts w:ascii="Times New Roman" w:eastAsiaTheme="minorEastAsia" w:hAnsi="Times New Roman" w:cs="Times New Roman"/>
          <w:b/>
          <w:bCs/>
        </w:rPr>
      </w:pPr>
      <w:r w:rsidRPr="009070D3">
        <w:rPr>
          <w:rFonts w:ascii="Times New Roman" w:eastAsiaTheme="minorEastAsia" w:hAnsi="Times New Roman" w:cs="Times New Roman"/>
          <w:b/>
          <w:bCs/>
        </w:rPr>
        <w:t>Results and Interpretation</w:t>
      </w:r>
    </w:p>
    <w:p w14:paraId="76FCE969" w14:textId="77777777" w:rsidR="000A5D73" w:rsidRPr="008250DB" w:rsidRDefault="000A5D73" w:rsidP="000A5D73">
      <w:pPr>
        <w:tabs>
          <w:tab w:val="left" w:pos="2024"/>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T</w:t>
      </w:r>
      <w:r w:rsidRPr="008250DB">
        <w:rPr>
          <w:rFonts w:ascii="Times New Roman" w:eastAsiaTheme="minorEastAsia" w:hAnsi="Times New Roman" w:cs="Times New Roman"/>
        </w:rPr>
        <w:t>he Stock-Watson’s dynamic ordinary least squares</w:t>
      </w:r>
      <w:r>
        <w:rPr>
          <w:rFonts w:ascii="Times New Roman" w:eastAsiaTheme="minorEastAsia" w:hAnsi="Times New Roman" w:cs="Times New Roman"/>
        </w:rPr>
        <w:t xml:space="preserve"> </w:t>
      </w:r>
      <w:r w:rsidRPr="008250DB">
        <w:rPr>
          <w:rFonts w:ascii="Times New Roman" w:eastAsiaTheme="minorEastAsia" w:hAnsi="Times New Roman" w:cs="Times New Roman"/>
        </w:rPr>
        <w:t>(DOLS) model. The presence of leads and lags for different variables eliminates the bias of</w:t>
      </w:r>
      <w:r>
        <w:rPr>
          <w:rFonts w:ascii="Times New Roman" w:eastAsiaTheme="minorEastAsia" w:hAnsi="Times New Roman" w:cs="Times New Roman"/>
        </w:rPr>
        <w:t xml:space="preserve"> </w:t>
      </w:r>
      <w:r w:rsidRPr="008250DB">
        <w:rPr>
          <w:rFonts w:ascii="Times New Roman" w:eastAsiaTheme="minorEastAsia" w:hAnsi="Times New Roman" w:cs="Times New Roman"/>
        </w:rPr>
        <w:t>simultaneity within a sample and DOLS estimates and provide better approach to normal</w:t>
      </w:r>
      <w:r>
        <w:rPr>
          <w:rFonts w:ascii="Times New Roman" w:eastAsiaTheme="minorEastAsia" w:hAnsi="Times New Roman" w:cs="Times New Roman"/>
        </w:rPr>
        <w:t xml:space="preserve"> </w:t>
      </w:r>
      <w:r w:rsidRPr="008250DB">
        <w:rPr>
          <w:rFonts w:ascii="Times New Roman" w:eastAsiaTheme="minorEastAsia" w:hAnsi="Times New Roman" w:cs="Times New Roman"/>
        </w:rPr>
        <w:t xml:space="preserve">distribution. DOLS model with dependent variable </w:t>
      </w:r>
      <w:proofErr w:type="spellStart"/>
      <w:r w:rsidRPr="008250DB">
        <w:rPr>
          <w:rFonts w:ascii="Times New Roman" w:eastAsiaTheme="minorEastAsia" w:hAnsi="Times New Roman" w:cs="Times New Roman"/>
        </w:rPr>
        <w:t>y</w:t>
      </w:r>
      <w:r w:rsidRPr="00EC397F">
        <w:rPr>
          <w:rFonts w:ascii="Times New Roman" w:eastAsiaTheme="minorEastAsia" w:hAnsi="Times New Roman" w:cs="Times New Roman"/>
          <w:vertAlign w:val="subscript"/>
        </w:rPr>
        <w:t>t</w:t>
      </w:r>
      <w:proofErr w:type="spellEnd"/>
      <w:r>
        <w:rPr>
          <w:rFonts w:ascii="Times New Roman" w:eastAsiaTheme="minorEastAsia" w:hAnsi="Times New Roman" w:cs="Times New Roman"/>
        </w:rPr>
        <w:t xml:space="preserve"> </w:t>
      </w:r>
      <w:r w:rsidRPr="008250DB">
        <w:rPr>
          <w:rFonts w:ascii="Times New Roman" w:eastAsiaTheme="minorEastAsia" w:hAnsi="Times New Roman" w:cs="Times New Roman"/>
        </w:rPr>
        <w:t xml:space="preserve">and independent variable </w:t>
      </w:r>
      <w:proofErr w:type="spellStart"/>
      <w:r w:rsidRPr="008250DB">
        <w:rPr>
          <w:rFonts w:ascii="Times New Roman" w:eastAsiaTheme="minorEastAsia" w:hAnsi="Times New Roman" w:cs="Times New Roman"/>
        </w:rPr>
        <w:t>x</w:t>
      </w:r>
      <w:r w:rsidRPr="00EC397F">
        <w:rPr>
          <w:rFonts w:ascii="Times New Roman" w:eastAsiaTheme="minorEastAsia" w:hAnsi="Times New Roman" w:cs="Times New Roman"/>
          <w:vertAlign w:val="subscript"/>
        </w:rPr>
        <w:t>t</w:t>
      </w:r>
      <w:proofErr w:type="spellEnd"/>
      <w:r>
        <w:rPr>
          <w:rFonts w:ascii="Times New Roman" w:eastAsiaTheme="minorEastAsia" w:hAnsi="Times New Roman" w:cs="Times New Roman"/>
        </w:rPr>
        <w:t xml:space="preserve"> </w:t>
      </w:r>
      <w:r w:rsidRPr="008250DB">
        <w:rPr>
          <w:rFonts w:ascii="Times New Roman" w:eastAsiaTheme="minorEastAsia" w:hAnsi="Times New Roman" w:cs="Times New Roman"/>
        </w:rPr>
        <w:t>is specified</w:t>
      </w:r>
      <w:r>
        <w:rPr>
          <w:rFonts w:ascii="Times New Roman" w:eastAsiaTheme="minorEastAsia" w:hAnsi="Times New Roman" w:cs="Times New Roman"/>
        </w:rPr>
        <w:t xml:space="preserve"> </w:t>
      </w:r>
      <w:r w:rsidRPr="008250DB">
        <w:rPr>
          <w:rFonts w:ascii="Times New Roman" w:eastAsiaTheme="minorEastAsia" w:hAnsi="Times New Roman" w:cs="Times New Roman"/>
        </w:rPr>
        <w:t>as below:</w:t>
      </w:r>
    </w:p>
    <w:p w14:paraId="5F934AB8" w14:textId="77777777" w:rsidR="000A5D73" w:rsidRPr="008250DB" w:rsidRDefault="000A5D73" w:rsidP="000A5D73">
      <w:pPr>
        <w:tabs>
          <w:tab w:val="left" w:pos="2024"/>
        </w:tabs>
        <w:spacing w:line="360" w:lineRule="auto"/>
        <w:jc w:val="both"/>
        <w:rPr>
          <w:rFonts w:ascii="Times New Roman" w:eastAsiaTheme="minorEastAsia" w:hAnsi="Times New Roman" w:cs="Times New Roman"/>
        </w:rPr>
      </w:pPr>
      <w:proofErr w:type="spellStart"/>
      <w:r w:rsidRPr="008250DB">
        <w:rPr>
          <w:rFonts w:ascii="Times New Roman" w:eastAsiaTheme="minorEastAsia" w:hAnsi="Times New Roman" w:cs="Times New Roman"/>
        </w:rPr>
        <w:t>y</w:t>
      </w:r>
      <w:r w:rsidRPr="00EC397F">
        <w:rPr>
          <w:rFonts w:ascii="Times New Roman" w:eastAsiaTheme="minorEastAsia" w:hAnsi="Times New Roman" w:cs="Times New Roman"/>
          <w:vertAlign w:val="subscript"/>
        </w:rPr>
        <w:t>t</w:t>
      </w:r>
      <w:proofErr w:type="spellEnd"/>
      <w:r w:rsidRPr="008250DB">
        <w:rPr>
          <w:rFonts w:ascii="Times New Roman" w:eastAsiaTheme="minorEastAsia" w:hAnsi="Times New Roman" w:cs="Times New Roman"/>
        </w:rPr>
        <w:t xml:space="preserve"> = ɸ</w:t>
      </w:r>
      <w:r w:rsidRPr="00EC397F">
        <w:rPr>
          <w:rFonts w:ascii="Times New Roman" w:eastAsiaTheme="minorEastAsia" w:hAnsi="Times New Roman" w:cs="Times New Roman"/>
          <w:vertAlign w:val="subscript"/>
        </w:rPr>
        <w:t>0</w:t>
      </w:r>
      <w:r w:rsidRPr="008250DB">
        <w:rPr>
          <w:rFonts w:ascii="Times New Roman" w:eastAsiaTheme="minorEastAsia" w:hAnsi="Times New Roman" w:cs="Times New Roman"/>
        </w:rPr>
        <w:t xml:space="preserve"> + ɸ</w:t>
      </w:r>
      <w:r w:rsidRPr="00EC397F">
        <w:rPr>
          <w:rFonts w:ascii="Times New Roman" w:eastAsiaTheme="minorEastAsia" w:hAnsi="Times New Roman" w:cs="Times New Roman"/>
          <w:vertAlign w:val="subscript"/>
        </w:rPr>
        <w:t>1</w:t>
      </w:r>
      <w:r w:rsidRPr="008250DB">
        <w:rPr>
          <w:rFonts w:ascii="Times New Roman" w:eastAsiaTheme="minorEastAsia" w:hAnsi="Times New Roman" w:cs="Times New Roman"/>
        </w:rPr>
        <w:t>x</w:t>
      </w:r>
      <w:r w:rsidRPr="00EC397F">
        <w:rPr>
          <w:rFonts w:ascii="Times New Roman" w:eastAsiaTheme="minorEastAsia" w:hAnsi="Times New Roman" w:cs="Times New Roman"/>
          <w:vertAlign w:val="subscript"/>
        </w:rPr>
        <w:t>t</w:t>
      </w:r>
      <w:r w:rsidRPr="008250DB">
        <w:rPr>
          <w:rFonts w:ascii="Times New Roman" w:eastAsiaTheme="minorEastAsia" w:hAnsi="Times New Roman" w:cs="Times New Roman"/>
        </w:rPr>
        <w:t xml:space="preserve"> + ∑∆</w:t>
      </w:r>
      <w:proofErr w:type="spellStart"/>
      <w:r w:rsidRPr="008250DB">
        <w:rPr>
          <w:rFonts w:ascii="Times New Roman" w:eastAsiaTheme="minorEastAsia" w:hAnsi="Times New Roman" w:cs="Times New Roman"/>
        </w:rPr>
        <w:t>x</w:t>
      </w:r>
      <w:r w:rsidRPr="00EC397F">
        <w:rPr>
          <w:rFonts w:ascii="Times New Roman" w:eastAsiaTheme="minorEastAsia" w:hAnsi="Times New Roman" w:cs="Times New Roman"/>
          <w:vertAlign w:val="subscript"/>
        </w:rPr>
        <w:t>t</w:t>
      </w:r>
      <w:proofErr w:type="spellEnd"/>
      <w:r w:rsidRPr="00EC397F">
        <w:rPr>
          <w:rFonts w:ascii="Times New Roman" w:eastAsiaTheme="minorEastAsia" w:hAnsi="Times New Roman" w:cs="Times New Roman"/>
          <w:vertAlign w:val="subscript"/>
        </w:rPr>
        <w:t>-j</w:t>
      </w:r>
      <w:r w:rsidRPr="008250DB">
        <w:rPr>
          <w:rFonts w:ascii="Times New Roman" w:eastAsiaTheme="minorEastAsia" w:hAnsi="Times New Roman" w:cs="Times New Roman"/>
        </w:rPr>
        <w:t xml:space="preserve"> + </w:t>
      </w:r>
      <w:proofErr w:type="spellStart"/>
      <w:r w:rsidRPr="008250DB">
        <w:rPr>
          <w:rFonts w:ascii="Times New Roman" w:eastAsiaTheme="minorEastAsia" w:hAnsi="Times New Roman" w:cs="Times New Roman"/>
        </w:rPr>
        <w:t>ε</w:t>
      </w:r>
      <w:r w:rsidRPr="00EC397F">
        <w:rPr>
          <w:rFonts w:ascii="Times New Roman" w:eastAsiaTheme="minorEastAsia" w:hAnsi="Times New Roman" w:cs="Times New Roman"/>
          <w:vertAlign w:val="subscript"/>
        </w:rPr>
        <w:t>t</w:t>
      </w:r>
      <w:proofErr w:type="spellEnd"/>
    </w:p>
    <w:p w14:paraId="30A64C23" w14:textId="77777777" w:rsidR="000A5D73" w:rsidRPr="008250DB" w:rsidRDefault="000A5D73" w:rsidP="000A5D73">
      <w:pPr>
        <w:tabs>
          <w:tab w:val="left" w:pos="2024"/>
        </w:tabs>
        <w:spacing w:line="360" w:lineRule="auto"/>
        <w:jc w:val="both"/>
        <w:rPr>
          <w:rFonts w:ascii="Times New Roman" w:eastAsiaTheme="minorEastAsia" w:hAnsi="Times New Roman" w:cs="Times New Roman"/>
        </w:rPr>
      </w:pPr>
      <w:r w:rsidRPr="008250DB">
        <w:rPr>
          <w:rFonts w:ascii="Times New Roman" w:eastAsiaTheme="minorEastAsia" w:hAnsi="Times New Roman" w:cs="Times New Roman"/>
        </w:rPr>
        <w:t>Where n and m show lag and lead length, and ɸ indicates the long run effect of a change in x</w:t>
      </w:r>
    </w:p>
    <w:p w14:paraId="76C3A5A4" w14:textId="77777777" w:rsidR="000A5D73" w:rsidRPr="008250DB" w:rsidRDefault="000A5D73" w:rsidP="000A5D73">
      <w:pPr>
        <w:tabs>
          <w:tab w:val="left" w:pos="2024"/>
        </w:tabs>
        <w:spacing w:line="360" w:lineRule="auto"/>
        <w:jc w:val="both"/>
        <w:rPr>
          <w:rFonts w:ascii="Times New Roman" w:eastAsiaTheme="minorEastAsia" w:hAnsi="Times New Roman" w:cs="Times New Roman"/>
        </w:rPr>
      </w:pPr>
      <w:r w:rsidRPr="008250DB">
        <w:rPr>
          <w:rFonts w:ascii="Times New Roman" w:eastAsiaTheme="minorEastAsia" w:hAnsi="Times New Roman" w:cs="Times New Roman"/>
        </w:rPr>
        <w:lastRenderedPageBreak/>
        <w:t>on y. The reason why lag and lead terms are included in DOLS model is that they have the</w:t>
      </w:r>
    </w:p>
    <w:p w14:paraId="4AB676FE" w14:textId="77777777" w:rsidR="000A5D73" w:rsidRPr="008250DB" w:rsidRDefault="000A5D73" w:rsidP="000A5D73">
      <w:pPr>
        <w:tabs>
          <w:tab w:val="left" w:pos="2024"/>
        </w:tabs>
        <w:spacing w:line="360" w:lineRule="auto"/>
        <w:jc w:val="both"/>
        <w:rPr>
          <w:rFonts w:ascii="Times New Roman" w:eastAsiaTheme="minorEastAsia" w:hAnsi="Times New Roman" w:cs="Times New Roman"/>
        </w:rPr>
      </w:pPr>
      <w:r w:rsidRPr="008250DB">
        <w:rPr>
          <w:rFonts w:ascii="Times New Roman" w:eastAsiaTheme="minorEastAsia" w:hAnsi="Times New Roman" w:cs="Times New Roman"/>
        </w:rPr>
        <w:t>role to make its stochastic error term independent of all past innovations in stochastic</w:t>
      </w:r>
    </w:p>
    <w:p w14:paraId="54FFD633"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8250DB">
        <w:rPr>
          <w:rFonts w:ascii="Times New Roman" w:eastAsiaTheme="minorEastAsia" w:hAnsi="Times New Roman" w:cs="Times New Roman"/>
        </w:rPr>
        <w:t>repressors (Baba et al</w:t>
      </w:r>
      <w:r>
        <w:rPr>
          <w:rFonts w:ascii="Times New Roman" w:eastAsiaTheme="minorEastAsia" w:hAnsi="Times New Roman" w:cs="Times New Roman"/>
        </w:rPr>
        <w:t>.,</w:t>
      </w:r>
      <w:r w:rsidRPr="008250DB">
        <w:rPr>
          <w:rFonts w:ascii="Times New Roman" w:eastAsiaTheme="minorEastAsia" w:hAnsi="Times New Roman" w:cs="Times New Roman"/>
        </w:rPr>
        <w:t xml:space="preserve"> 1992).</w:t>
      </w:r>
    </w:p>
    <w:p w14:paraId="75C939E4"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D42AE3">
        <w:rPr>
          <w:rFonts w:ascii="Times New Roman" w:eastAsiaTheme="minorEastAsia" w:hAnsi="Times New Roman" w:cs="Times New Roman"/>
        </w:rPr>
        <w:t xml:space="preserve">To avoid the spurious regression trap, it is obligatory to perform a stationarity analysis. The unit-root statistics have been conveyed in Table </w:t>
      </w:r>
      <w:r>
        <w:rPr>
          <w:rFonts w:ascii="Times New Roman" w:eastAsiaTheme="minorEastAsia" w:hAnsi="Times New Roman" w:cs="Times New Roman"/>
        </w:rPr>
        <w:t>3</w:t>
      </w:r>
      <w:r w:rsidRPr="00D42AE3">
        <w:rPr>
          <w:rFonts w:ascii="Times New Roman" w:eastAsiaTheme="minorEastAsia" w:hAnsi="Times New Roman" w:cs="Times New Roman"/>
        </w:rPr>
        <w:t xml:space="preserve">; we noticed that all of the required variables are first-difference stationery. </w:t>
      </w:r>
    </w:p>
    <w:p w14:paraId="43BED817" w14:textId="77777777" w:rsidR="000A5D73" w:rsidRPr="005552EC" w:rsidRDefault="000A5D73" w:rsidP="000A5D73">
      <w:pPr>
        <w:jc w:val="center"/>
        <w:rPr>
          <w:rFonts w:ascii="Times New Roman" w:hAnsi="Times New Roman" w:cs="Times New Roman"/>
          <w:b/>
          <w:bCs/>
        </w:rPr>
      </w:pPr>
      <w:r w:rsidRPr="005552EC">
        <w:rPr>
          <w:rFonts w:ascii="Times New Roman" w:hAnsi="Times New Roman" w:cs="Times New Roman"/>
          <w:b/>
          <w:bCs/>
        </w:rPr>
        <w:t xml:space="preserve">Table </w:t>
      </w:r>
      <w:r>
        <w:rPr>
          <w:rFonts w:ascii="Times New Roman" w:hAnsi="Times New Roman" w:cs="Times New Roman"/>
          <w:b/>
          <w:bCs/>
        </w:rPr>
        <w:t>3</w:t>
      </w:r>
      <w:r w:rsidRPr="005552EC">
        <w:rPr>
          <w:rFonts w:ascii="Times New Roman" w:hAnsi="Times New Roman" w:cs="Times New Roman"/>
          <w:b/>
          <w:bCs/>
        </w:rPr>
        <w:t xml:space="preserve">: </w:t>
      </w:r>
      <w:r>
        <w:rPr>
          <w:rFonts w:ascii="Times New Roman" w:hAnsi="Times New Roman" w:cs="Times New Roman"/>
          <w:b/>
          <w:bCs/>
        </w:rPr>
        <w:t>Phillips Perron</w:t>
      </w:r>
      <w:r w:rsidRPr="005552EC">
        <w:rPr>
          <w:rFonts w:ascii="Times New Roman" w:hAnsi="Times New Roman" w:cs="Times New Roman"/>
          <w:b/>
          <w:bCs/>
        </w:rPr>
        <w:t xml:space="preserve"> Unit Root Test</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537"/>
        <w:gridCol w:w="1275"/>
        <w:gridCol w:w="3084"/>
        <w:gridCol w:w="3084"/>
      </w:tblGrid>
      <w:tr w:rsidR="000A5D73" w:rsidRPr="009532D4" w14:paraId="44FF9051" w14:textId="77777777" w:rsidTr="00147DAD">
        <w:tc>
          <w:tcPr>
            <w:tcW w:w="2812" w:type="dxa"/>
            <w:gridSpan w:val="2"/>
            <w:tcBorders>
              <w:top w:val="single" w:sz="18" w:space="0" w:color="auto"/>
              <w:bottom w:val="single" w:sz="18" w:space="0" w:color="auto"/>
              <w:right w:val="single" w:sz="18" w:space="0" w:color="auto"/>
            </w:tcBorders>
          </w:tcPr>
          <w:p w14:paraId="0B74B25D" w14:textId="77777777" w:rsidR="000A5D73" w:rsidRPr="009532D4" w:rsidRDefault="000A5D73" w:rsidP="00147DAD">
            <w:pPr>
              <w:jc w:val="both"/>
              <w:rPr>
                <w:rFonts w:ascii="Times New Roman" w:hAnsi="Times New Roman" w:cs="Times New Roman"/>
                <w:b/>
                <w:bCs/>
                <w:sz w:val="18"/>
                <w:szCs w:val="18"/>
              </w:rPr>
            </w:pPr>
            <w:r w:rsidRPr="009532D4">
              <w:rPr>
                <w:rFonts w:ascii="Times New Roman" w:hAnsi="Times New Roman" w:cs="Times New Roman"/>
                <w:b/>
                <w:bCs/>
                <w:sz w:val="18"/>
                <w:szCs w:val="18"/>
              </w:rPr>
              <w:t>Variables</w:t>
            </w:r>
          </w:p>
        </w:tc>
        <w:tc>
          <w:tcPr>
            <w:tcW w:w="3084" w:type="dxa"/>
            <w:tcBorders>
              <w:top w:val="single" w:sz="18" w:space="0" w:color="auto"/>
              <w:left w:val="single" w:sz="18" w:space="0" w:color="auto"/>
              <w:bottom w:val="single" w:sz="18" w:space="0" w:color="auto"/>
              <w:right w:val="single" w:sz="8" w:space="0" w:color="auto"/>
            </w:tcBorders>
          </w:tcPr>
          <w:p w14:paraId="16EB629E" w14:textId="77777777" w:rsidR="000A5D73" w:rsidRPr="009532D4" w:rsidRDefault="000A5D73" w:rsidP="00147DAD">
            <w:pPr>
              <w:jc w:val="both"/>
              <w:rPr>
                <w:rFonts w:ascii="Times New Roman" w:hAnsi="Times New Roman" w:cs="Times New Roman"/>
                <w:b/>
                <w:bCs/>
                <w:sz w:val="18"/>
                <w:szCs w:val="18"/>
              </w:rPr>
            </w:pPr>
            <w:proofErr w:type="gramStart"/>
            <w:r w:rsidRPr="009532D4">
              <w:rPr>
                <w:rFonts w:ascii="Times New Roman" w:hAnsi="Times New Roman" w:cs="Times New Roman"/>
                <w:b/>
                <w:bCs/>
                <w:sz w:val="18"/>
                <w:szCs w:val="18"/>
              </w:rPr>
              <w:t>I(</w:t>
            </w:r>
            <w:proofErr w:type="gramEnd"/>
            <w:r w:rsidRPr="009532D4">
              <w:rPr>
                <w:rFonts w:ascii="Times New Roman" w:hAnsi="Times New Roman" w:cs="Times New Roman"/>
                <w:b/>
                <w:bCs/>
                <w:sz w:val="18"/>
                <w:szCs w:val="18"/>
              </w:rPr>
              <w:t>0)</w:t>
            </w:r>
          </w:p>
        </w:tc>
        <w:tc>
          <w:tcPr>
            <w:tcW w:w="3084" w:type="dxa"/>
            <w:tcBorders>
              <w:top w:val="single" w:sz="18" w:space="0" w:color="auto"/>
              <w:left w:val="single" w:sz="8" w:space="0" w:color="auto"/>
              <w:bottom w:val="single" w:sz="18" w:space="0" w:color="auto"/>
            </w:tcBorders>
          </w:tcPr>
          <w:p w14:paraId="5F331027" w14:textId="77777777" w:rsidR="000A5D73" w:rsidRPr="009532D4" w:rsidRDefault="000A5D73" w:rsidP="00147DAD">
            <w:pPr>
              <w:jc w:val="both"/>
              <w:rPr>
                <w:rFonts w:ascii="Times New Roman" w:hAnsi="Times New Roman" w:cs="Times New Roman"/>
                <w:b/>
                <w:bCs/>
                <w:sz w:val="18"/>
                <w:szCs w:val="18"/>
              </w:rPr>
            </w:pPr>
            <w:proofErr w:type="gramStart"/>
            <w:r w:rsidRPr="009532D4">
              <w:rPr>
                <w:rFonts w:ascii="Times New Roman" w:hAnsi="Times New Roman" w:cs="Times New Roman"/>
                <w:b/>
                <w:bCs/>
                <w:sz w:val="18"/>
                <w:szCs w:val="18"/>
              </w:rPr>
              <w:t>I(</w:t>
            </w:r>
            <w:proofErr w:type="gramEnd"/>
            <w:r w:rsidRPr="009532D4">
              <w:rPr>
                <w:rFonts w:ascii="Times New Roman" w:hAnsi="Times New Roman" w:cs="Times New Roman"/>
                <w:b/>
                <w:bCs/>
                <w:sz w:val="18"/>
                <w:szCs w:val="18"/>
              </w:rPr>
              <w:t>1)</w:t>
            </w:r>
          </w:p>
        </w:tc>
      </w:tr>
      <w:tr w:rsidR="000A5D73" w:rsidRPr="009532D4" w14:paraId="257CEFE3" w14:textId="77777777" w:rsidTr="00147DAD">
        <w:tc>
          <w:tcPr>
            <w:tcW w:w="2812" w:type="dxa"/>
            <w:gridSpan w:val="2"/>
            <w:tcBorders>
              <w:top w:val="single" w:sz="8" w:space="0" w:color="auto"/>
              <w:bottom w:val="nil"/>
              <w:right w:val="single" w:sz="18" w:space="0" w:color="auto"/>
            </w:tcBorders>
          </w:tcPr>
          <w:p w14:paraId="1B505FB3"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RE</w:t>
            </w:r>
          </w:p>
        </w:tc>
        <w:tc>
          <w:tcPr>
            <w:tcW w:w="3084" w:type="dxa"/>
            <w:tcBorders>
              <w:top w:val="single" w:sz="8" w:space="0" w:color="auto"/>
              <w:left w:val="single" w:sz="18" w:space="0" w:color="auto"/>
              <w:right w:val="single" w:sz="8" w:space="0" w:color="auto"/>
            </w:tcBorders>
          </w:tcPr>
          <w:p w14:paraId="75741B8F"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-2.45</w:t>
            </w:r>
          </w:p>
        </w:tc>
        <w:tc>
          <w:tcPr>
            <w:tcW w:w="3084" w:type="dxa"/>
            <w:tcBorders>
              <w:top w:val="single" w:sz="8" w:space="0" w:color="auto"/>
              <w:left w:val="single" w:sz="8" w:space="0" w:color="auto"/>
            </w:tcBorders>
          </w:tcPr>
          <w:p w14:paraId="02522C5F"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-4.562</w:t>
            </w:r>
            <w:r>
              <w:rPr>
                <w:rFonts w:ascii="Times New Roman" w:hAnsi="Times New Roman" w:cs="Times New Roman"/>
                <w:sz w:val="18"/>
                <w:szCs w:val="18"/>
              </w:rPr>
              <w:t>***</w:t>
            </w:r>
          </w:p>
        </w:tc>
      </w:tr>
      <w:tr w:rsidR="000A5D73" w:rsidRPr="009532D4" w14:paraId="4B807EDF" w14:textId="77777777" w:rsidTr="00147DAD">
        <w:tc>
          <w:tcPr>
            <w:tcW w:w="2812" w:type="dxa"/>
            <w:gridSpan w:val="2"/>
            <w:tcBorders>
              <w:top w:val="nil"/>
              <w:bottom w:val="nil"/>
              <w:right w:val="single" w:sz="18" w:space="0" w:color="auto"/>
            </w:tcBorders>
          </w:tcPr>
          <w:p w14:paraId="450B93DC"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GDP</w:t>
            </w:r>
          </w:p>
        </w:tc>
        <w:tc>
          <w:tcPr>
            <w:tcW w:w="3084" w:type="dxa"/>
            <w:tcBorders>
              <w:left w:val="single" w:sz="18" w:space="0" w:color="auto"/>
              <w:right w:val="single" w:sz="8" w:space="0" w:color="auto"/>
            </w:tcBorders>
          </w:tcPr>
          <w:p w14:paraId="683438D5" w14:textId="77777777" w:rsidR="000A5D73" w:rsidRPr="009532D4" w:rsidRDefault="000A5D73" w:rsidP="00147DAD">
            <w:pPr>
              <w:rPr>
                <w:rFonts w:ascii="Times New Roman" w:hAnsi="Times New Roman" w:cs="Times New Roman"/>
                <w:sz w:val="18"/>
                <w:szCs w:val="18"/>
              </w:rPr>
            </w:pPr>
            <w:r w:rsidRPr="005937A4">
              <w:rPr>
                <w:rFonts w:ascii="Times New Roman" w:hAnsi="Times New Roman" w:cs="Times New Roman"/>
                <w:sz w:val="18"/>
                <w:szCs w:val="18"/>
              </w:rPr>
              <w:t>-1.235</w:t>
            </w:r>
          </w:p>
        </w:tc>
        <w:tc>
          <w:tcPr>
            <w:tcW w:w="3084" w:type="dxa"/>
            <w:tcBorders>
              <w:left w:val="single" w:sz="8" w:space="0" w:color="auto"/>
            </w:tcBorders>
          </w:tcPr>
          <w:p w14:paraId="36754262"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-3.714</w:t>
            </w:r>
            <w:r>
              <w:rPr>
                <w:rFonts w:ascii="Times New Roman" w:hAnsi="Times New Roman" w:cs="Times New Roman"/>
                <w:sz w:val="18"/>
                <w:szCs w:val="18"/>
              </w:rPr>
              <w:t>**</w:t>
            </w:r>
          </w:p>
        </w:tc>
      </w:tr>
      <w:tr w:rsidR="000A5D73" w:rsidRPr="009532D4" w14:paraId="236EC385" w14:textId="77777777" w:rsidTr="00147DAD">
        <w:tc>
          <w:tcPr>
            <w:tcW w:w="2812" w:type="dxa"/>
            <w:gridSpan w:val="2"/>
            <w:tcBorders>
              <w:top w:val="nil"/>
              <w:bottom w:val="nil"/>
              <w:right w:val="single" w:sz="18" w:space="0" w:color="auto"/>
            </w:tcBorders>
          </w:tcPr>
          <w:p w14:paraId="1B8FFF9D"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FDI</w:t>
            </w:r>
          </w:p>
        </w:tc>
        <w:tc>
          <w:tcPr>
            <w:tcW w:w="3084" w:type="dxa"/>
            <w:tcBorders>
              <w:left w:val="single" w:sz="18" w:space="0" w:color="auto"/>
              <w:right w:val="single" w:sz="8" w:space="0" w:color="auto"/>
            </w:tcBorders>
          </w:tcPr>
          <w:p w14:paraId="7E4DF243"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-2.396</w:t>
            </w:r>
          </w:p>
        </w:tc>
        <w:tc>
          <w:tcPr>
            <w:tcW w:w="3084" w:type="dxa"/>
            <w:tcBorders>
              <w:left w:val="single" w:sz="8" w:space="0" w:color="auto"/>
            </w:tcBorders>
          </w:tcPr>
          <w:p w14:paraId="0F53F871"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-6.466</w:t>
            </w:r>
            <w:r>
              <w:rPr>
                <w:rFonts w:ascii="Times New Roman" w:hAnsi="Times New Roman" w:cs="Times New Roman"/>
                <w:sz w:val="18"/>
                <w:szCs w:val="18"/>
              </w:rPr>
              <w:t>***</w:t>
            </w:r>
          </w:p>
        </w:tc>
      </w:tr>
      <w:tr w:rsidR="000A5D73" w:rsidRPr="009532D4" w14:paraId="728EBC0F" w14:textId="77777777" w:rsidTr="00147DAD">
        <w:tc>
          <w:tcPr>
            <w:tcW w:w="2812" w:type="dxa"/>
            <w:gridSpan w:val="2"/>
            <w:tcBorders>
              <w:top w:val="nil"/>
              <w:bottom w:val="nil"/>
              <w:right w:val="single" w:sz="18" w:space="0" w:color="auto"/>
            </w:tcBorders>
          </w:tcPr>
          <w:p w14:paraId="6B4F8F32"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Urban</w:t>
            </w:r>
          </w:p>
        </w:tc>
        <w:tc>
          <w:tcPr>
            <w:tcW w:w="3084" w:type="dxa"/>
            <w:tcBorders>
              <w:left w:val="single" w:sz="18" w:space="0" w:color="auto"/>
              <w:right w:val="single" w:sz="8" w:space="0" w:color="auto"/>
            </w:tcBorders>
          </w:tcPr>
          <w:p w14:paraId="66354EBF"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-1.780</w:t>
            </w:r>
          </w:p>
        </w:tc>
        <w:tc>
          <w:tcPr>
            <w:tcW w:w="3084" w:type="dxa"/>
            <w:tcBorders>
              <w:left w:val="single" w:sz="8" w:space="0" w:color="auto"/>
            </w:tcBorders>
          </w:tcPr>
          <w:p w14:paraId="261AF0A5" w14:textId="77777777" w:rsidR="000A5D73" w:rsidRPr="009532D4"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-4.869</w:t>
            </w:r>
            <w:r>
              <w:rPr>
                <w:rFonts w:ascii="Times New Roman" w:hAnsi="Times New Roman" w:cs="Times New Roman"/>
                <w:sz w:val="18"/>
                <w:szCs w:val="18"/>
              </w:rPr>
              <w:t>***</w:t>
            </w:r>
          </w:p>
        </w:tc>
      </w:tr>
      <w:tr w:rsidR="000A5D73" w:rsidRPr="009532D4" w14:paraId="7F6579FF" w14:textId="77777777" w:rsidTr="00147DAD">
        <w:tc>
          <w:tcPr>
            <w:tcW w:w="1537" w:type="dxa"/>
            <w:vMerge w:val="restart"/>
            <w:tcBorders>
              <w:top w:val="single" w:sz="8" w:space="0" w:color="auto"/>
              <w:right w:val="single" w:sz="8" w:space="0" w:color="auto"/>
            </w:tcBorders>
            <w:vAlign w:val="center"/>
          </w:tcPr>
          <w:p w14:paraId="68D18EA6" w14:textId="77777777" w:rsidR="000A5D73" w:rsidRPr="009532D4" w:rsidRDefault="000A5D73" w:rsidP="00147DAD">
            <w:pPr>
              <w:jc w:val="center"/>
              <w:rPr>
                <w:rFonts w:ascii="Times New Roman" w:hAnsi="Times New Roman" w:cs="Times New Roman"/>
                <w:b/>
                <w:bCs/>
                <w:sz w:val="18"/>
                <w:szCs w:val="18"/>
              </w:rPr>
            </w:pPr>
            <w:r>
              <w:rPr>
                <w:rFonts w:ascii="Times New Roman" w:hAnsi="Times New Roman" w:cs="Times New Roman"/>
                <w:b/>
                <w:bCs/>
                <w:sz w:val="18"/>
                <w:szCs w:val="18"/>
              </w:rPr>
              <w:t>Critical Values:</w:t>
            </w:r>
          </w:p>
        </w:tc>
        <w:tc>
          <w:tcPr>
            <w:tcW w:w="1275" w:type="dxa"/>
            <w:tcBorders>
              <w:top w:val="single" w:sz="8" w:space="0" w:color="auto"/>
              <w:left w:val="single" w:sz="8" w:space="0" w:color="auto"/>
              <w:right w:val="single" w:sz="18" w:space="0" w:color="auto"/>
            </w:tcBorders>
          </w:tcPr>
          <w:p w14:paraId="4A5A523E"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1%</w:t>
            </w:r>
          </w:p>
        </w:tc>
        <w:tc>
          <w:tcPr>
            <w:tcW w:w="3084" w:type="dxa"/>
            <w:tcBorders>
              <w:top w:val="single" w:sz="8" w:space="0" w:color="auto"/>
              <w:left w:val="single" w:sz="18" w:space="0" w:color="auto"/>
              <w:right w:val="single" w:sz="8" w:space="0" w:color="auto"/>
            </w:tcBorders>
          </w:tcPr>
          <w:p w14:paraId="0611E97F" w14:textId="77777777" w:rsidR="000A5D73"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-4.338</w:t>
            </w:r>
          </w:p>
        </w:tc>
        <w:tc>
          <w:tcPr>
            <w:tcW w:w="3084" w:type="dxa"/>
            <w:tcBorders>
              <w:top w:val="single" w:sz="8" w:space="0" w:color="auto"/>
              <w:left w:val="single" w:sz="8" w:space="0" w:color="auto"/>
            </w:tcBorders>
          </w:tcPr>
          <w:p w14:paraId="78375FDC" w14:textId="77777777" w:rsidR="000A5D73"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-4.355</w:t>
            </w:r>
          </w:p>
        </w:tc>
      </w:tr>
      <w:tr w:rsidR="000A5D73" w:rsidRPr="009532D4" w14:paraId="580F4020" w14:textId="77777777" w:rsidTr="00147DAD">
        <w:tc>
          <w:tcPr>
            <w:tcW w:w="1537" w:type="dxa"/>
            <w:vMerge/>
            <w:tcBorders>
              <w:right w:val="single" w:sz="8" w:space="0" w:color="auto"/>
            </w:tcBorders>
          </w:tcPr>
          <w:p w14:paraId="73062E3C" w14:textId="77777777" w:rsidR="000A5D73" w:rsidRPr="009532D4" w:rsidRDefault="000A5D73" w:rsidP="00147DAD">
            <w:pPr>
              <w:jc w:val="both"/>
              <w:rPr>
                <w:rFonts w:ascii="Times New Roman" w:hAnsi="Times New Roman" w:cs="Times New Roman"/>
                <w:b/>
                <w:bCs/>
                <w:sz w:val="18"/>
                <w:szCs w:val="18"/>
              </w:rPr>
            </w:pPr>
          </w:p>
        </w:tc>
        <w:tc>
          <w:tcPr>
            <w:tcW w:w="1275" w:type="dxa"/>
            <w:tcBorders>
              <w:left w:val="single" w:sz="8" w:space="0" w:color="auto"/>
              <w:right w:val="single" w:sz="18" w:space="0" w:color="auto"/>
            </w:tcBorders>
          </w:tcPr>
          <w:p w14:paraId="4F28A4B7"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5%</w:t>
            </w:r>
          </w:p>
        </w:tc>
        <w:tc>
          <w:tcPr>
            <w:tcW w:w="3084" w:type="dxa"/>
            <w:tcBorders>
              <w:left w:val="single" w:sz="18" w:space="0" w:color="auto"/>
              <w:right w:val="single" w:sz="8" w:space="0" w:color="auto"/>
            </w:tcBorders>
          </w:tcPr>
          <w:p w14:paraId="6543D021" w14:textId="77777777" w:rsidR="000A5D73"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-3.58</w:t>
            </w:r>
            <w:r>
              <w:rPr>
                <w:rFonts w:ascii="Times New Roman" w:hAnsi="Times New Roman" w:cs="Times New Roman"/>
                <w:sz w:val="18"/>
                <w:szCs w:val="18"/>
              </w:rPr>
              <w:t>7</w:t>
            </w:r>
          </w:p>
        </w:tc>
        <w:tc>
          <w:tcPr>
            <w:tcW w:w="3084" w:type="dxa"/>
            <w:tcBorders>
              <w:left w:val="single" w:sz="8" w:space="0" w:color="auto"/>
            </w:tcBorders>
          </w:tcPr>
          <w:p w14:paraId="75945F0C" w14:textId="77777777" w:rsidR="000A5D73"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-3.594</w:t>
            </w:r>
          </w:p>
        </w:tc>
      </w:tr>
      <w:tr w:rsidR="000A5D73" w:rsidRPr="009532D4" w14:paraId="0A2D5DF7" w14:textId="77777777" w:rsidTr="00147DAD">
        <w:tc>
          <w:tcPr>
            <w:tcW w:w="1537" w:type="dxa"/>
            <w:vMerge/>
            <w:tcBorders>
              <w:bottom w:val="single" w:sz="18" w:space="0" w:color="auto"/>
              <w:right w:val="single" w:sz="8" w:space="0" w:color="auto"/>
            </w:tcBorders>
          </w:tcPr>
          <w:p w14:paraId="5C1BF3B3" w14:textId="77777777" w:rsidR="000A5D73" w:rsidRPr="009532D4" w:rsidRDefault="000A5D73" w:rsidP="00147DAD">
            <w:pPr>
              <w:jc w:val="both"/>
              <w:rPr>
                <w:rFonts w:ascii="Times New Roman" w:hAnsi="Times New Roman" w:cs="Times New Roman"/>
                <w:b/>
                <w:bCs/>
                <w:sz w:val="18"/>
                <w:szCs w:val="18"/>
              </w:rPr>
            </w:pPr>
          </w:p>
        </w:tc>
        <w:tc>
          <w:tcPr>
            <w:tcW w:w="1275" w:type="dxa"/>
            <w:tcBorders>
              <w:left w:val="single" w:sz="8" w:space="0" w:color="auto"/>
              <w:bottom w:val="single" w:sz="18" w:space="0" w:color="auto"/>
              <w:right w:val="single" w:sz="18" w:space="0" w:color="auto"/>
            </w:tcBorders>
          </w:tcPr>
          <w:p w14:paraId="3760FF55" w14:textId="77777777" w:rsidR="000A5D73" w:rsidRPr="009532D4" w:rsidRDefault="000A5D73" w:rsidP="00147DAD">
            <w:pPr>
              <w:jc w:val="both"/>
              <w:rPr>
                <w:rFonts w:ascii="Times New Roman" w:hAnsi="Times New Roman" w:cs="Times New Roman"/>
                <w:b/>
                <w:bCs/>
                <w:sz w:val="18"/>
                <w:szCs w:val="18"/>
              </w:rPr>
            </w:pPr>
            <w:r>
              <w:rPr>
                <w:rFonts w:ascii="Times New Roman" w:hAnsi="Times New Roman" w:cs="Times New Roman"/>
                <w:b/>
                <w:bCs/>
                <w:sz w:val="18"/>
                <w:szCs w:val="18"/>
              </w:rPr>
              <w:t>10%</w:t>
            </w:r>
          </w:p>
        </w:tc>
        <w:tc>
          <w:tcPr>
            <w:tcW w:w="3084" w:type="dxa"/>
            <w:tcBorders>
              <w:left w:val="single" w:sz="18" w:space="0" w:color="auto"/>
              <w:right w:val="single" w:sz="8" w:space="0" w:color="auto"/>
            </w:tcBorders>
          </w:tcPr>
          <w:p w14:paraId="1F302989" w14:textId="77777777" w:rsidR="000A5D73"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-3.22</w:t>
            </w:r>
            <w:r>
              <w:rPr>
                <w:rFonts w:ascii="Times New Roman" w:hAnsi="Times New Roman" w:cs="Times New Roman"/>
                <w:sz w:val="18"/>
                <w:szCs w:val="18"/>
              </w:rPr>
              <w:t>8</w:t>
            </w:r>
          </w:p>
        </w:tc>
        <w:tc>
          <w:tcPr>
            <w:tcW w:w="3084" w:type="dxa"/>
            <w:tcBorders>
              <w:left w:val="single" w:sz="8" w:space="0" w:color="auto"/>
            </w:tcBorders>
          </w:tcPr>
          <w:p w14:paraId="15B63574" w14:textId="77777777" w:rsidR="000A5D73" w:rsidRDefault="000A5D73" w:rsidP="00147DAD">
            <w:pPr>
              <w:jc w:val="both"/>
              <w:rPr>
                <w:rFonts w:ascii="Times New Roman" w:hAnsi="Times New Roman" w:cs="Times New Roman"/>
                <w:sz w:val="18"/>
                <w:szCs w:val="18"/>
              </w:rPr>
            </w:pPr>
            <w:r w:rsidRPr="005937A4">
              <w:rPr>
                <w:rFonts w:ascii="Times New Roman" w:hAnsi="Times New Roman" w:cs="Times New Roman"/>
                <w:sz w:val="18"/>
                <w:szCs w:val="18"/>
              </w:rPr>
              <w:t>-3.232</w:t>
            </w:r>
          </w:p>
        </w:tc>
      </w:tr>
    </w:tbl>
    <w:p w14:paraId="097A7066" w14:textId="77777777" w:rsidR="000A5D73" w:rsidRPr="00CF0FA9" w:rsidRDefault="000A5D73" w:rsidP="000A5D73">
      <w:pPr>
        <w:spacing w:after="120" w:line="360" w:lineRule="auto"/>
        <w:jc w:val="both"/>
        <w:rPr>
          <w:rFonts w:ascii="Times New Roman" w:hAnsi="Times New Roman" w:cs="Times New Roman"/>
          <w:sz w:val="16"/>
          <w:szCs w:val="16"/>
        </w:rPr>
      </w:pPr>
      <w:r w:rsidRPr="00CF0FA9">
        <w:rPr>
          <w:rFonts w:ascii="Times New Roman" w:hAnsi="Times New Roman" w:cs="Times New Roman"/>
          <w:sz w:val="16"/>
          <w:szCs w:val="16"/>
        </w:rPr>
        <w:t>Source: Authors’ Calculation. Note: ‘***’, ‘**’, and ‘*’ signifies 1%, 5%, and 10% significance level.</w:t>
      </w:r>
    </w:p>
    <w:p w14:paraId="3936BE37" w14:textId="77777777" w:rsidR="000A5D73" w:rsidRDefault="000A5D73" w:rsidP="000A5D73">
      <w:pPr>
        <w:tabs>
          <w:tab w:val="left" w:pos="2024"/>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Since all the variables are at </w:t>
      </w:r>
      <w:proofErr w:type="gramStart"/>
      <w:r>
        <w:rPr>
          <w:rFonts w:ascii="Times New Roman" w:eastAsiaTheme="minorEastAsia" w:hAnsi="Times New Roman" w:cs="Times New Roman"/>
        </w:rPr>
        <w:t>I(</w:t>
      </w:r>
      <w:proofErr w:type="gramEnd"/>
      <w:r>
        <w:rPr>
          <w:rFonts w:ascii="Times New Roman" w:eastAsiaTheme="minorEastAsia" w:hAnsi="Times New Roman" w:cs="Times New Roman"/>
        </w:rPr>
        <w:t>1), we will apply the Johansen cointegration on the variables and then estimate which estimation method can be applied on the data. The cointegration result is presented in table 4.</w:t>
      </w:r>
    </w:p>
    <w:p w14:paraId="042C1090" w14:textId="77777777" w:rsidR="000A5D73" w:rsidRPr="001D0310" w:rsidRDefault="000A5D73" w:rsidP="000A5D73">
      <w:pPr>
        <w:tabs>
          <w:tab w:val="left" w:pos="2024"/>
        </w:tabs>
        <w:jc w:val="center"/>
        <w:rPr>
          <w:rFonts w:ascii="Times New Roman" w:eastAsiaTheme="minorEastAsia" w:hAnsi="Times New Roman" w:cs="Times New Roman"/>
          <w:b/>
          <w:bCs/>
        </w:rPr>
      </w:pPr>
      <w:r w:rsidRPr="001D0310">
        <w:rPr>
          <w:rFonts w:ascii="Times New Roman" w:eastAsiaTheme="minorEastAsia" w:hAnsi="Times New Roman" w:cs="Times New Roman"/>
          <w:b/>
          <w:bCs/>
        </w:rPr>
        <w:t>Table 4: Johansen Cointegration Test</w:t>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96"/>
        <w:gridCol w:w="1796"/>
        <w:gridCol w:w="1796"/>
        <w:gridCol w:w="1796"/>
        <w:gridCol w:w="1796"/>
      </w:tblGrid>
      <w:tr w:rsidR="000A5D73" w:rsidRPr="0033781D" w14:paraId="282185FB" w14:textId="77777777" w:rsidTr="00147DAD">
        <w:tc>
          <w:tcPr>
            <w:tcW w:w="1000" w:type="pct"/>
            <w:vMerge w:val="restart"/>
            <w:tcBorders>
              <w:top w:val="single" w:sz="18" w:space="0" w:color="auto"/>
              <w:right w:val="single" w:sz="8" w:space="0" w:color="auto"/>
            </w:tcBorders>
            <w:vAlign w:val="center"/>
          </w:tcPr>
          <w:p w14:paraId="298409DA" w14:textId="77777777" w:rsidR="000A5D73" w:rsidRPr="0033781D" w:rsidRDefault="000A5D73" w:rsidP="00147DAD">
            <w:pPr>
              <w:jc w:val="center"/>
              <w:rPr>
                <w:rFonts w:ascii="Times New Roman" w:eastAsiaTheme="minorEastAsia" w:hAnsi="Times New Roman" w:cs="Times New Roman"/>
                <w:b/>
                <w:bCs/>
                <w:sz w:val="18"/>
                <w:szCs w:val="18"/>
              </w:rPr>
            </w:pPr>
            <w:r>
              <w:rPr>
                <w:rFonts w:ascii="Times New Roman" w:eastAsiaTheme="minorEastAsia" w:hAnsi="Times New Roman" w:cs="Times New Roman"/>
                <w:b/>
                <w:bCs/>
                <w:sz w:val="18"/>
                <w:szCs w:val="18"/>
              </w:rPr>
              <w:t>Cointegrated Variables</w:t>
            </w:r>
          </w:p>
        </w:tc>
        <w:tc>
          <w:tcPr>
            <w:tcW w:w="1000" w:type="pct"/>
            <w:vMerge w:val="restart"/>
            <w:tcBorders>
              <w:top w:val="single" w:sz="18" w:space="0" w:color="auto"/>
              <w:left w:val="single" w:sz="8" w:space="0" w:color="auto"/>
              <w:right w:val="single" w:sz="8" w:space="0" w:color="auto"/>
            </w:tcBorders>
            <w:vAlign w:val="center"/>
          </w:tcPr>
          <w:p w14:paraId="497ACA1C" w14:textId="77777777" w:rsidR="000A5D73"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Test</w:t>
            </w:r>
          </w:p>
          <w:p w14:paraId="06A86CD1" w14:textId="77777777" w:rsidR="000A5D73" w:rsidRPr="0033781D" w:rsidRDefault="000A5D73" w:rsidP="00147DAD">
            <w:pPr>
              <w:jc w:val="center"/>
              <w:rPr>
                <w:rFonts w:ascii="Times New Roman" w:eastAsiaTheme="minorEastAsia" w:hAnsi="Times New Roman" w:cs="Times New Roman"/>
                <w:b/>
                <w:bCs/>
                <w:sz w:val="18"/>
                <w:szCs w:val="18"/>
              </w:rPr>
            </w:pPr>
            <w:r>
              <w:rPr>
                <w:rFonts w:ascii="Times New Roman" w:eastAsiaTheme="minorEastAsia" w:hAnsi="Times New Roman" w:cs="Times New Roman"/>
                <w:b/>
                <w:bCs/>
                <w:sz w:val="18"/>
                <w:szCs w:val="18"/>
              </w:rPr>
              <w:t>Statistics</w:t>
            </w:r>
          </w:p>
        </w:tc>
        <w:tc>
          <w:tcPr>
            <w:tcW w:w="3000" w:type="pct"/>
            <w:gridSpan w:val="3"/>
            <w:tcBorders>
              <w:top w:val="single" w:sz="18" w:space="0" w:color="auto"/>
              <w:left w:val="single" w:sz="8" w:space="0" w:color="auto"/>
              <w:bottom w:val="single" w:sz="18" w:space="0" w:color="auto"/>
            </w:tcBorders>
            <w:vAlign w:val="center"/>
          </w:tcPr>
          <w:p w14:paraId="06633CD6" w14:textId="77777777" w:rsidR="000A5D73" w:rsidRPr="0033781D" w:rsidRDefault="000A5D73" w:rsidP="00147DAD">
            <w:pPr>
              <w:tabs>
                <w:tab w:val="left" w:pos="1005"/>
              </w:tabs>
              <w:jc w:val="center"/>
              <w:rPr>
                <w:rFonts w:ascii="Times New Roman" w:eastAsiaTheme="minorEastAsia" w:hAnsi="Times New Roman" w:cs="Times New Roman"/>
                <w:b/>
                <w:bCs/>
                <w:sz w:val="18"/>
                <w:szCs w:val="18"/>
              </w:rPr>
            </w:pPr>
            <w:r>
              <w:rPr>
                <w:rFonts w:ascii="Times New Roman" w:eastAsiaTheme="minorEastAsia" w:hAnsi="Times New Roman" w:cs="Times New Roman"/>
                <w:b/>
                <w:bCs/>
                <w:sz w:val="18"/>
                <w:szCs w:val="18"/>
              </w:rPr>
              <w:t>Critical Values</w:t>
            </w:r>
          </w:p>
        </w:tc>
      </w:tr>
      <w:tr w:rsidR="000A5D73" w:rsidRPr="0033781D" w14:paraId="51071F8C" w14:textId="77777777" w:rsidTr="00147DAD">
        <w:tc>
          <w:tcPr>
            <w:tcW w:w="1000" w:type="pct"/>
            <w:vMerge/>
            <w:tcBorders>
              <w:bottom w:val="single" w:sz="18" w:space="0" w:color="auto"/>
              <w:right w:val="single" w:sz="8" w:space="0" w:color="auto"/>
            </w:tcBorders>
            <w:vAlign w:val="center"/>
          </w:tcPr>
          <w:p w14:paraId="291DB66B" w14:textId="77777777" w:rsidR="000A5D73" w:rsidRPr="0033781D" w:rsidRDefault="000A5D73" w:rsidP="00147DAD">
            <w:pPr>
              <w:jc w:val="center"/>
              <w:rPr>
                <w:rFonts w:ascii="Times New Roman" w:eastAsiaTheme="minorEastAsia" w:hAnsi="Times New Roman" w:cs="Times New Roman"/>
                <w:b/>
                <w:bCs/>
                <w:sz w:val="18"/>
                <w:szCs w:val="18"/>
              </w:rPr>
            </w:pPr>
          </w:p>
        </w:tc>
        <w:tc>
          <w:tcPr>
            <w:tcW w:w="1000" w:type="pct"/>
            <w:vMerge/>
            <w:tcBorders>
              <w:left w:val="single" w:sz="8" w:space="0" w:color="auto"/>
              <w:bottom w:val="single" w:sz="18" w:space="0" w:color="auto"/>
              <w:right w:val="single" w:sz="8" w:space="0" w:color="auto"/>
            </w:tcBorders>
            <w:vAlign w:val="center"/>
          </w:tcPr>
          <w:p w14:paraId="73EBDE3E" w14:textId="77777777" w:rsidR="000A5D73" w:rsidRPr="0033781D" w:rsidRDefault="000A5D73" w:rsidP="00147DAD">
            <w:pPr>
              <w:jc w:val="center"/>
              <w:rPr>
                <w:rFonts w:ascii="Times New Roman" w:eastAsiaTheme="minorEastAsia" w:hAnsi="Times New Roman" w:cs="Times New Roman"/>
                <w:b/>
                <w:bCs/>
                <w:sz w:val="18"/>
                <w:szCs w:val="18"/>
              </w:rPr>
            </w:pPr>
          </w:p>
        </w:tc>
        <w:tc>
          <w:tcPr>
            <w:tcW w:w="1000" w:type="pct"/>
            <w:tcBorders>
              <w:top w:val="single" w:sz="18" w:space="0" w:color="auto"/>
              <w:left w:val="single" w:sz="8" w:space="0" w:color="auto"/>
              <w:bottom w:val="single" w:sz="18" w:space="0" w:color="auto"/>
              <w:right w:val="nil"/>
            </w:tcBorders>
            <w:vAlign w:val="center"/>
          </w:tcPr>
          <w:p w14:paraId="3AB9D348"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10%</w:t>
            </w:r>
          </w:p>
        </w:tc>
        <w:tc>
          <w:tcPr>
            <w:tcW w:w="1000" w:type="pct"/>
            <w:tcBorders>
              <w:top w:val="single" w:sz="18" w:space="0" w:color="auto"/>
              <w:left w:val="nil"/>
              <w:bottom w:val="single" w:sz="18" w:space="0" w:color="auto"/>
              <w:right w:val="nil"/>
            </w:tcBorders>
            <w:vAlign w:val="center"/>
          </w:tcPr>
          <w:p w14:paraId="05EB3412"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5%</w:t>
            </w:r>
          </w:p>
        </w:tc>
        <w:tc>
          <w:tcPr>
            <w:tcW w:w="1000" w:type="pct"/>
            <w:tcBorders>
              <w:top w:val="single" w:sz="18" w:space="0" w:color="auto"/>
              <w:left w:val="nil"/>
              <w:bottom w:val="single" w:sz="18" w:space="0" w:color="auto"/>
            </w:tcBorders>
            <w:vAlign w:val="center"/>
          </w:tcPr>
          <w:p w14:paraId="2B3951E2"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1%</w:t>
            </w:r>
          </w:p>
        </w:tc>
      </w:tr>
      <w:tr w:rsidR="000A5D73" w:rsidRPr="0033781D" w14:paraId="7BB7B2F7" w14:textId="77777777" w:rsidTr="00147DAD">
        <w:tc>
          <w:tcPr>
            <w:tcW w:w="5000" w:type="pct"/>
            <w:gridSpan w:val="5"/>
            <w:tcBorders>
              <w:top w:val="single" w:sz="18" w:space="0" w:color="auto"/>
            </w:tcBorders>
            <w:vAlign w:val="center"/>
          </w:tcPr>
          <w:p w14:paraId="19520C89" w14:textId="77777777" w:rsidR="000A5D73" w:rsidRPr="0033781D" w:rsidRDefault="000A5D73" w:rsidP="00147DAD">
            <w:pPr>
              <w:jc w:val="center"/>
              <w:rPr>
                <w:rFonts w:ascii="Times New Roman" w:eastAsiaTheme="minorEastAsia" w:hAnsi="Times New Roman" w:cs="Times New Roman"/>
                <w:b/>
                <w:bCs/>
                <w:sz w:val="18"/>
                <w:szCs w:val="18"/>
              </w:rPr>
            </w:pPr>
            <w:r>
              <w:rPr>
                <w:rFonts w:ascii="Times New Roman" w:eastAsiaTheme="minorEastAsia" w:hAnsi="Times New Roman" w:cs="Times New Roman"/>
                <w:b/>
                <w:bCs/>
                <w:sz w:val="18"/>
                <w:szCs w:val="18"/>
              </w:rPr>
              <w:t xml:space="preserve">Maximum </w:t>
            </w:r>
            <w:r w:rsidRPr="0033781D">
              <w:rPr>
                <w:rFonts w:ascii="Times New Roman" w:eastAsiaTheme="minorEastAsia" w:hAnsi="Times New Roman" w:cs="Times New Roman"/>
                <w:b/>
                <w:bCs/>
                <w:sz w:val="18"/>
                <w:szCs w:val="18"/>
              </w:rPr>
              <w:t>Eigen Values</w:t>
            </w:r>
          </w:p>
        </w:tc>
      </w:tr>
      <w:tr w:rsidR="000A5D73" w:rsidRPr="0033781D" w14:paraId="175CB68D" w14:textId="77777777" w:rsidTr="00147DAD">
        <w:tc>
          <w:tcPr>
            <w:tcW w:w="1000" w:type="pct"/>
            <w:tcBorders>
              <w:top w:val="single" w:sz="8" w:space="0" w:color="auto"/>
              <w:bottom w:val="nil"/>
              <w:right w:val="single" w:sz="8" w:space="0" w:color="auto"/>
            </w:tcBorders>
            <w:vAlign w:val="center"/>
          </w:tcPr>
          <w:p w14:paraId="5159ADB5"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&lt;= 3</w:t>
            </w:r>
          </w:p>
        </w:tc>
        <w:tc>
          <w:tcPr>
            <w:tcW w:w="1000" w:type="pct"/>
            <w:tcBorders>
              <w:top w:val="single" w:sz="8" w:space="0" w:color="auto"/>
              <w:left w:val="single" w:sz="8" w:space="0" w:color="auto"/>
              <w:bottom w:val="nil"/>
              <w:right w:val="single" w:sz="8" w:space="0" w:color="auto"/>
            </w:tcBorders>
            <w:vAlign w:val="center"/>
          </w:tcPr>
          <w:p w14:paraId="7869DBE2"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0.66</w:t>
            </w:r>
          </w:p>
        </w:tc>
        <w:tc>
          <w:tcPr>
            <w:tcW w:w="1000" w:type="pct"/>
            <w:tcBorders>
              <w:top w:val="single" w:sz="8" w:space="0" w:color="auto"/>
              <w:left w:val="single" w:sz="8" w:space="0" w:color="auto"/>
              <w:bottom w:val="nil"/>
              <w:right w:val="nil"/>
            </w:tcBorders>
            <w:vAlign w:val="center"/>
          </w:tcPr>
          <w:p w14:paraId="102552DC"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6.50</w:t>
            </w:r>
          </w:p>
        </w:tc>
        <w:tc>
          <w:tcPr>
            <w:tcW w:w="1000" w:type="pct"/>
            <w:tcBorders>
              <w:top w:val="single" w:sz="8" w:space="0" w:color="auto"/>
              <w:left w:val="nil"/>
              <w:bottom w:val="nil"/>
              <w:right w:val="nil"/>
            </w:tcBorders>
            <w:vAlign w:val="center"/>
          </w:tcPr>
          <w:p w14:paraId="02E868AA"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8.18</w:t>
            </w:r>
          </w:p>
        </w:tc>
        <w:tc>
          <w:tcPr>
            <w:tcW w:w="1000" w:type="pct"/>
            <w:tcBorders>
              <w:top w:val="single" w:sz="8" w:space="0" w:color="auto"/>
              <w:left w:val="nil"/>
              <w:bottom w:val="nil"/>
            </w:tcBorders>
            <w:vAlign w:val="center"/>
          </w:tcPr>
          <w:p w14:paraId="2903F1B7"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11.65</w:t>
            </w:r>
          </w:p>
        </w:tc>
      </w:tr>
      <w:tr w:rsidR="000A5D73" w:rsidRPr="0033781D" w14:paraId="34B24C38" w14:textId="77777777" w:rsidTr="00147DAD">
        <w:tc>
          <w:tcPr>
            <w:tcW w:w="1000" w:type="pct"/>
            <w:tcBorders>
              <w:top w:val="nil"/>
              <w:bottom w:val="nil"/>
              <w:right w:val="single" w:sz="8" w:space="0" w:color="auto"/>
            </w:tcBorders>
            <w:vAlign w:val="center"/>
          </w:tcPr>
          <w:p w14:paraId="5AD40B20"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&lt;= 2</w:t>
            </w:r>
          </w:p>
        </w:tc>
        <w:tc>
          <w:tcPr>
            <w:tcW w:w="1000" w:type="pct"/>
            <w:tcBorders>
              <w:top w:val="nil"/>
              <w:left w:val="single" w:sz="8" w:space="0" w:color="auto"/>
              <w:bottom w:val="nil"/>
              <w:right w:val="single" w:sz="8" w:space="0" w:color="auto"/>
            </w:tcBorders>
            <w:vAlign w:val="center"/>
          </w:tcPr>
          <w:p w14:paraId="13BBA48B"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3.61</w:t>
            </w:r>
          </w:p>
        </w:tc>
        <w:tc>
          <w:tcPr>
            <w:tcW w:w="1000" w:type="pct"/>
            <w:tcBorders>
              <w:top w:val="nil"/>
              <w:left w:val="single" w:sz="8" w:space="0" w:color="auto"/>
              <w:bottom w:val="nil"/>
              <w:right w:val="nil"/>
            </w:tcBorders>
            <w:vAlign w:val="center"/>
          </w:tcPr>
          <w:p w14:paraId="20A41AC6"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12.91</w:t>
            </w:r>
          </w:p>
        </w:tc>
        <w:tc>
          <w:tcPr>
            <w:tcW w:w="1000" w:type="pct"/>
            <w:tcBorders>
              <w:top w:val="nil"/>
              <w:left w:val="nil"/>
              <w:bottom w:val="nil"/>
              <w:right w:val="nil"/>
            </w:tcBorders>
            <w:vAlign w:val="center"/>
          </w:tcPr>
          <w:p w14:paraId="52A3F333"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14.90</w:t>
            </w:r>
          </w:p>
        </w:tc>
        <w:tc>
          <w:tcPr>
            <w:tcW w:w="1000" w:type="pct"/>
            <w:tcBorders>
              <w:top w:val="nil"/>
              <w:left w:val="nil"/>
              <w:bottom w:val="nil"/>
            </w:tcBorders>
            <w:vAlign w:val="center"/>
          </w:tcPr>
          <w:p w14:paraId="76B5BA20"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19.19</w:t>
            </w:r>
          </w:p>
        </w:tc>
      </w:tr>
      <w:tr w:rsidR="000A5D73" w:rsidRPr="0033781D" w14:paraId="70920DA6" w14:textId="77777777" w:rsidTr="00147DAD">
        <w:tc>
          <w:tcPr>
            <w:tcW w:w="1000" w:type="pct"/>
            <w:tcBorders>
              <w:top w:val="nil"/>
              <w:bottom w:val="nil"/>
              <w:right w:val="single" w:sz="8" w:space="0" w:color="auto"/>
            </w:tcBorders>
            <w:vAlign w:val="center"/>
          </w:tcPr>
          <w:p w14:paraId="3722DE14"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&lt;= 1</w:t>
            </w:r>
          </w:p>
        </w:tc>
        <w:tc>
          <w:tcPr>
            <w:tcW w:w="1000" w:type="pct"/>
            <w:tcBorders>
              <w:top w:val="nil"/>
              <w:left w:val="single" w:sz="8" w:space="0" w:color="auto"/>
              <w:bottom w:val="nil"/>
              <w:right w:val="single" w:sz="8" w:space="0" w:color="auto"/>
            </w:tcBorders>
            <w:vAlign w:val="center"/>
          </w:tcPr>
          <w:p w14:paraId="4FAE8805"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8.69</w:t>
            </w:r>
          </w:p>
        </w:tc>
        <w:tc>
          <w:tcPr>
            <w:tcW w:w="1000" w:type="pct"/>
            <w:tcBorders>
              <w:top w:val="nil"/>
              <w:left w:val="single" w:sz="8" w:space="0" w:color="auto"/>
              <w:bottom w:val="nil"/>
              <w:right w:val="nil"/>
            </w:tcBorders>
            <w:vAlign w:val="center"/>
          </w:tcPr>
          <w:p w14:paraId="75A51116"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18.90</w:t>
            </w:r>
          </w:p>
        </w:tc>
        <w:tc>
          <w:tcPr>
            <w:tcW w:w="1000" w:type="pct"/>
            <w:tcBorders>
              <w:top w:val="nil"/>
              <w:left w:val="nil"/>
              <w:bottom w:val="nil"/>
              <w:right w:val="nil"/>
            </w:tcBorders>
            <w:vAlign w:val="center"/>
          </w:tcPr>
          <w:p w14:paraId="588D8110"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21.07</w:t>
            </w:r>
          </w:p>
        </w:tc>
        <w:tc>
          <w:tcPr>
            <w:tcW w:w="1000" w:type="pct"/>
            <w:tcBorders>
              <w:top w:val="nil"/>
              <w:left w:val="nil"/>
              <w:bottom w:val="nil"/>
            </w:tcBorders>
            <w:vAlign w:val="center"/>
          </w:tcPr>
          <w:p w14:paraId="479D1742"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25.75</w:t>
            </w:r>
          </w:p>
        </w:tc>
      </w:tr>
      <w:tr w:rsidR="000A5D73" w:rsidRPr="0033781D" w14:paraId="3263508D" w14:textId="77777777" w:rsidTr="00147DAD">
        <w:tc>
          <w:tcPr>
            <w:tcW w:w="1000" w:type="pct"/>
            <w:tcBorders>
              <w:top w:val="nil"/>
              <w:bottom w:val="nil"/>
              <w:right w:val="single" w:sz="8" w:space="0" w:color="auto"/>
            </w:tcBorders>
            <w:vAlign w:val="center"/>
          </w:tcPr>
          <w:p w14:paraId="2E228EDE"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 0</w:t>
            </w:r>
          </w:p>
        </w:tc>
        <w:tc>
          <w:tcPr>
            <w:tcW w:w="1000" w:type="pct"/>
            <w:tcBorders>
              <w:top w:val="nil"/>
              <w:left w:val="single" w:sz="8" w:space="0" w:color="auto"/>
              <w:bottom w:val="single" w:sz="8" w:space="0" w:color="auto"/>
              <w:right w:val="single" w:sz="8" w:space="0" w:color="auto"/>
            </w:tcBorders>
            <w:vAlign w:val="center"/>
          </w:tcPr>
          <w:p w14:paraId="7ECFB456"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20.00</w:t>
            </w:r>
          </w:p>
        </w:tc>
        <w:tc>
          <w:tcPr>
            <w:tcW w:w="1000" w:type="pct"/>
            <w:tcBorders>
              <w:top w:val="nil"/>
              <w:left w:val="single" w:sz="8" w:space="0" w:color="auto"/>
              <w:bottom w:val="single" w:sz="4" w:space="0" w:color="auto"/>
              <w:right w:val="nil"/>
            </w:tcBorders>
            <w:vAlign w:val="center"/>
          </w:tcPr>
          <w:p w14:paraId="01463158"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24.78</w:t>
            </w:r>
          </w:p>
        </w:tc>
        <w:tc>
          <w:tcPr>
            <w:tcW w:w="1000" w:type="pct"/>
            <w:tcBorders>
              <w:top w:val="nil"/>
              <w:left w:val="nil"/>
              <w:bottom w:val="single" w:sz="4" w:space="0" w:color="auto"/>
              <w:right w:val="nil"/>
            </w:tcBorders>
            <w:vAlign w:val="center"/>
          </w:tcPr>
          <w:p w14:paraId="7CDFB83C"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27.14</w:t>
            </w:r>
          </w:p>
        </w:tc>
        <w:tc>
          <w:tcPr>
            <w:tcW w:w="1000" w:type="pct"/>
            <w:tcBorders>
              <w:top w:val="nil"/>
              <w:left w:val="nil"/>
              <w:bottom w:val="single" w:sz="4" w:space="0" w:color="auto"/>
            </w:tcBorders>
            <w:vAlign w:val="center"/>
          </w:tcPr>
          <w:p w14:paraId="2DABC9A3"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32.14</w:t>
            </w:r>
          </w:p>
        </w:tc>
      </w:tr>
      <w:tr w:rsidR="000A5D73" w:rsidRPr="0033781D" w14:paraId="11E46B4F" w14:textId="77777777" w:rsidTr="00147DAD">
        <w:tc>
          <w:tcPr>
            <w:tcW w:w="5000" w:type="pct"/>
            <w:gridSpan w:val="5"/>
            <w:tcBorders>
              <w:top w:val="single" w:sz="8" w:space="0" w:color="auto"/>
              <w:bottom w:val="single" w:sz="8" w:space="0" w:color="auto"/>
            </w:tcBorders>
            <w:vAlign w:val="center"/>
          </w:tcPr>
          <w:p w14:paraId="2715FF00"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Trace Values</w:t>
            </w:r>
          </w:p>
        </w:tc>
      </w:tr>
      <w:tr w:rsidR="000A5D73" w:rsidRPr="0033781D" w14:paraId="7DBE4187" w14:textId="77777777" w:rsidTr="00147DAD">
        <w:tc>
          <w:tcPr>
            <w:tcW w:w="1000" w:type="pct"/>
            <w:tcBorders>
              <w:top w:val="single" w:sz="8" w:space="0" w:color="auto"/>
              <w:bottom w:val="nil"/>
              <w:right w:val="single" w:sz="8" w:space="0" w:color="auto"/>
            </w:tcBorders>
            <w:vAlign w:val="center"/>
          </w:tcPr>
          <w:p w14:paraId="02F5740B"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&lt;= 3</w:t>
            </w:r>
          </w:p>
        </w:tc>
        <w:tc>
          <w:tcPr>
            <w:tcW w:w="1000" w:type="pct"/>
            <w:tcBorders>
              <w:top w:val="single" w:sz="8" w:space="0" w:color="auto"/>
              <w:left w:val="single" w:sz="8" w:space="0" w:color="auto"/>
              <w:bottom w:val="nil"/>
              <w:right w:val="single" w:sz="8" w:space="0" w:color="auto"/>
            </w:tcBorders>
            <w:vAlign w:val="center"/>
          </w:tcPr>
          <w:p w14:paraId="1D718245"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0.66</w:t>
            </w:r>
          </w:p>
        </w:tc>
        <w:tc>
          <w:tcPr>
            <w:tcW w:w="1000" w:type="pct"/>
            <w:tcBorders>
              <w:top w:val="single" w:sz="8" w:space="0" w:color="auto"/>
              <w:left w:val="single" w:sz="8" w:space="0" w:color="auto"/>
              <w:bottom w:val="nil"/>
              <w:right w:val="nil"/>
            </w:tcBorders>
            <w:vAlign w:val="center"/>
          </w:tcPr>
          <w:p w14:paraId="269F545B"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6.50</w:t>
            </w:r>
          </w:p>
        </w:tc>
        <w:tc>
          <w:tcPr>
            <w:tcW w:w="1000" w:type="pct"/>
            <w:tcBorders>
              <w:top w:val="single" w:sz="8" w:space="0" w:color="auto"/>
              <w:left w:val="nil"/>
              <w:bottom w:val="nil"/>
              <w:right w:val="nil"/>
            </w:tcBorders>
            <w:vAlign w:val="center"/>
          </w:tcPr>
          <w:p w14:paraId="4973F5E2"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8.18</w:t>
            </w:r>
          </w:p>
        </w:tc>
        <w:tc>
          <w:tcPr>
            <w:tcW w:w="1000" w:type="pct"/>
            <w:tcBorders>
              <w:top w:val="single" w:sz="8" w:space="0" w:color="auto"/>
              <w:left w:val="nil"/>
              <w:bottom w:val="nil"/>
            </w:tcBorders>
            <w:vAlign w:val="center"/>
          </w:tcPr>
          <w:p w14:paraId="00ACBC3E"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11.65</w:t>
            </w:r>
          </w:p>
        </w:tc>
      </w:tr>
      <w:tr w:rsidR="000A5D73" w:rsidRPr="0033781D" w14:paraId="2383081F" w14:textId="77777777" w:rsidTr="00147DAD">
        <w:tc>
          <w:tcPr>
            <w:tcW w:w="1000" w:type="pct"/>
            <w:tcBorders>
              <w:top w:val="nil"/>
              <w:bottom w:val="nil"/>
              <w:right w:val="single" w:sz="8" w:space="0" w:color="auto"/>
            </w:tcBorders>
            <w:vAlign w:val="center"/>
          </w:tcPr>
          <w:p w14:paraId="06E4E24A"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&lt;= 2</w:t>
            </w:r>
          </w:p>
        </w:tc>
        <w:tc>
          <w:tcPr>
            <w:tcW w:w="1000" w:type="pct"/>
            <w:tcBorders>
              <w:top w:val="nil"/>
              <w:left w:val="single" w:sz="8" w:space="0" w:color="auto"/>
              <w:bottom w:val="nil"/>
              <w:right w:val="single" w:sz="8" w:space="0" w:color="auto"/>
            </w:tcBorders>
            <w:vAlign w:val="center"/>
          </w:tcPr>
          <w:p w14:paraId="15C9F4B2"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4.27</w:t>
            </w:r>
          </w:p>
        </w:tc>
        <w:tc>
          <w:tcPr>
            <w:tcW w:w="1000" w:type="pct"/>
            <w:tcBorders>
              <w:top w:val="nil"/>
              <w:left w:val="single" w:sz="8" w:space="0" w:color="auto"/>
              <w:bottom w:val="nil"/>
              <w:right w:val="nil"/>
            </w:tcBorders>
            <w:vAlign w:val="center"/>
          </w:tcPr>
          <w:p w14:paraId="7FBD12E6"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15.66</w:t>
            </w:r>
          </w:p>
        </w:tc>
        <w:tc>
          <w:tcPr>
            <w:tcW w:w="1000" w:type="pct"/>
            <w:tcBorders>
              <w:top w:val="nil"/>
              <w:left w:val="nil"/>
              <w:bottom w:val="nil"/>
              <w:right w:val="nil"/>
            </w:tcBorders>
            <w:vAlign w:val="center"/>
          </w:tcPr>
          <w:p w14:paraId="138AF147"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17.95</w:t>
            </w:r>
          </w:p>
        </w:tc>
        <w:tc>
          <w:tcPr>
            <w:tcW w:w="1000" w:type="pct"/>
            <w:tcBorders>
              <w:top w:val="nil"/>
              <w:left w:val="nil"/>
              <w:bottom w:val="nil"/>
            </w:tcBorders>
            <w:vAlign w:val="center"/>
          </w:tcPr>
          <w:p w14:paraId="5456DDAD"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23.52</w:t>
            </w:r>
          </w:p>
        </w:tc>
      </w:tr>
      <w:tr w:rsidR="000A5D73" w:rsidRPr="0033781D" w14:paraId="779EC0D4" w14:textId="77777777" w:rsidTr="00147DAD">
        <w:tc>
          <w:tcPr>
            <w:tcW w:w="1000" w:type="pct"/>
            <w:tcBorders>
              <w:top w:val="nil"/>
              <w:bottom w:val="nil"/>
              <w:right w:val="single" w:sz="8" w:space="0" w:color="auto"/>
            </w:tcBorders>
            <w:vAlign w:val="center"/>
          </w:tcPr>
          <w:p w14:paraId="74DB51AB"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&lt;= 1</w:t>
            </w:r>
          </w:p>
        </w:tc>
        <w:tc>
          <w:tcPr>
            <w:tcW w:w="1000" w:type="pct"/>
            <w:tcBorders>
              <w:top w:val="nil"/>
              <w:left w:val="single" w:sz="8" w:space="0" w:color="auto"/>
              <w:bottom w:val="nil"/>
              <w:right w:val="single" w:sz="8" w:space="0" w:color="auto"/>
            </w:tcBorders>
            <w:vAlign w:val="center"/>
          </w:tcPr>
          <w:p w14:paraId="1CD9071B"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12.96</w:t>
            </w:r>
          </w:p>
        </w:tc>
        <w:tc>
          <w:tcPr>
            <w:tcW w:w="1000" w:type="pct"/>
            <w:tcBorders>
              <w:top w:val="nil"/>
              <w:left w:val="single" w:sz="8" w:space="0" w:color="auto"/>
              <w:bottom w:val="nil"/>
              <w:right w:val="nil"/>
            </w:tcBorders>
            <w:vAlign w:val="center"/>
          </w:tcPr>
          <w:p w14:paraId="4CF2658F"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28.71</w:t>
            </w:r>
          </w:p>
        </w:tc>
        <w:tc>
          <w:tcPr>
            <w:tcW w:w="1000" w:type="pct"/>
            <w:tcBorders>
              <w:top w:val="nil"/>
              <w:left w:val="nil"/>
              <w:bottom w:val="nil"/>
              <w:right w:val="nil"/>
            </w:tcBorders>
            <w:vAlign w:val="center"/>
          </w:tcPr>
          <w:p w14:paraId="0A2EF51F"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31.52</w:t>
            </w:r>
          </w:p>
        </w:tc>
        <w:tc>
          <w:tcPr>
            <w:tcW w:w="1000" w:type="pct"/>
            <w:tcBorders>
              <w:top w:val="nil"/>
              <w:left w:val="nil"/>
              <w:bottom w:val="nil"/>
            </w:tcBorders>
            <w:vAlign w:val="center"/>
          </w:tcPr>
          <w:p w14:paraId="467E5564"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37.22</w:t>
            </w:r>
          </w:p>
        </w:tc>
      </w:tr>
      <w:tr w:rsidR="000A5D73" w:rsidRPr="0033781D" w14:paraId="4ABA6DE8" w14:textId="77777777" w:rsidTr="00147DAD">
        <w:tc>
          <w:tcPr>
            <w:tcW w:w="1000" w:type="pct"/>
            <w:tcBorders>
              <w:top w:val="nil"/>
              <w:bottom w:val="single" w:sz="18" w:space="0" w:color="auto"/>
              <w:right w:val="single" w:sz="8" w:space="0" w:color="auto"/>
            </w:tcBorders>
            <w:vAlign w:val="center"/>
          </w:tcPr>
          <w:p w14:paraId="20588D9D" w14:textId="77777777" w:rsidR="000A5D73" w:rsidRPr="0033781D" w:rsidRDefault="000A5D73" w:rsidP="00147DAD">
            <w:pPr>
              <w:jc w:val="center"/>
              <w:rPr>
                <w:rFonts w:ascii="Times New Roman" w:eastAsiaTheme="minorEastAsia" w:hAnsi="Times New Roman" w:cs="Times New Roman"/>
                <w:b/>
                <w:bCs/>
                <w:sz w:val="18"/>
                <w:szCs w:val="18"/>
              </w:rPr>
            </w:pPr>
            <w:r w:rsidRPr="0033781D">
              <w:rPr>
                <w:rFonts w:ascii="Times New Roman" w:eastAsiaTheme="minorEastAsia" w:hAnsi="Times New Roman" w:cs="Times New Roman"/>
                <w:b/>
                <w:bCs/>
                <w:sz w:val="18"/>
                <w:szCs w:val="18"/>
              </w:rPr>
              <w:t>r = 0</w:t>
            </w:r>
          </w:p>
        </w:tc>
        <w:tc>
          <w:tcPr>
            <w:tcW w:w="1000" w:type="pct"/>
            <w:tcBorders>
              <w:top w:val="nil"/>
              <w:left w:val="single" w:sz="8" w:space="0" w:color="auto"/>
              <w:bottom w:val="single" w:sz="18" w:space="0" w:color="auto"/>
              <w:right w:val="single" w:sz="8" w:space="0" w:color="auto"/>
            </w:tcBorders>
            <w:vAlign w:val="center"/>
          </w:tcPr>
          <w:p w14:paraId="003D789C"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32.96</w:t>
            </w:r>
          </w:p>
        </w:tc>
        <w:tc>
          <w:tcPr>
            <w:tcW w:w="1000" w:type="pct"/>
            <w:tcBorders>
              <w:top w:val="nil"/>
              <w:left w:val="single" w:sz="8" w:space="0" w:color="auto"/>
              <w:bottom w:val="single" w:sz="18" w:space="0" w:color="auto"/>
              <w:right w:val="nil"/>
            </w:tcBorders>
            <w:vAlign w:val="center"/>
          </w:tcPr>
          <w:p w14:paraId="5148B177"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45.23</w:t>
            </w:r>
          </w:p>
        </w:tc>
        <w:tc>
          <w:tcPr>
            <w:tcW w:w="1000" w:type="pct"/>
            <w:tcBorders>
              <w:top w:val="nil"/>
              <w:left w:val="nil"/>
              <w:bottom w:val="single" w:sz="18" w:space="0" w:color="auto"/>
              <w:right w:val="nil"/>
            </w:tcBorders>
            <w:vAlign w:val="center"/>
          </w:tcPr>
          <w:p w14:paraId="6CCD164B"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48.28</w:t>
            </w:r>
          </w:p>
        </w:tc>
        <w:tc>
          <w:tcPr>
            <w:tcW w:w="1000" w:type="pct"/>
            <w:tcBorders>
              <w:top w:val="nil"/>
              <w:left w:val="nil"/>
              <w:bottom w:val="single" w:sz="18" w:space="0" w:color="auto"/>
            </w:tcBorders>
            <w:vAlign w:val="center"/>
          </w:tcPr>
          <w:p w14:paraId="12DD3156" w14:textId="77777777" w:rsidR="000A5D73" w:rsidRPr="0033781D" w:rsidRDefault="000A5D73" w:rsidP="00147DAD">
            <w:pPr>
              <w:jc w:val="center"/>
              <w:rPr>
                <w:rFonts w:ascii="Times New Roman" w:eastAsiaTheme="minorEastAsia" w:hAnsi="Times New Roman" w:cs="Times New Roman"/>
                <w:sz w:val="18"/>
                <w:szCs w:val="18"/>
              </w:rPr>
            </w:pPr>
            <w:r w:rsidRPr="0033781D">
              <w:rPr>
                <w:rFonts w:ascii="Times New Roman" w:eastAsiaTheme="minorEastAsia" w:hAnsi="Times New Roman" w:cs="Times New Roman"/>
                <w:sz w:val="18"/>
                <w:szCs w:val="18"/>
              </w:rPr>
              <w:t>55.43</w:t>
            </w:r>
          </w:p>
        </w:tc>
      </w:tr>
    </w:tbl>
    <w:p w14:paraId="6D1749ED" w14:textId="77777777" w:rsidR="000A5D73" w:rsidRPr="001D0310" w:rsidRDefault="000A5D73" w:rsidP="000A5D73">
      <w:pPr>
        <w:tabs>
          <w:tab w:val="left" w:pos="2024"/>
        </w:tabs>
        <w:spacing w:line="360" w:lineRule="auto"/>
        <w:jc w:val="both"/>
        <w:rPr>
          <w:rFonts w:ascii="Times New Roman" w:eastAsiaTheme="minorEastAsia" w:hAnsi="Times New Roman" w:cs="Times New Roman"/>
          <w:sz w:val="16"/>
          <w:szCs w:val="16"/>
        </w:rPr>
      </w:pPr>
      <w:r w:rsidRPr="001D0310">
        <w:rPr>
          <w:rFonts w:ascii="Times New Roman" w:eastAsiaTheme="minorEastAsia" w:hAnsi="Times New Roman" w:cs="Times New Roman"/>
          <w:sz w:val="16"/>
          <w:szCs w:val="16"/>
        </w:rPr>
        <w:t>Source: Authors’ Computation</w:t>
      </w:r>
    </w:p>
    <w:p w14:paraId="317BF179" w14:textId="77777777" w:rsidR="000A5D73" w:rsidRDefault="000A5D73" w:rsidP="000A5D73">
      <w:pPr>
        <w:tabs>
          <w:tab w:val="left" w:pos="2024"/>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Both Maximum Eigen Test and Trace Test shows that in the model, none of the variable is cointegrated. Due to this, we cannot proceed towards applying VECM estimation method and we now focus on applying dynamic OLS, integrated modified OLS and fully modified OLS on the estimated models. Applying these models, do not require cointegration among variables and can be only when variables are integrated at first difference. Table 5 presents the result from the DOLS, IMOLS and FMOLS estimation.</w:t>
      </w:r>
    </w:p>
    <w:p w14:paraId="7AEB89D7" w14:textId="77777777" w:rsidR="000A5D73" w:rsidRPr="00AB453F" w:rsidRDefault="000A5D73" w:rsidP="000A5D73">
      <w:pPr>
        <w:tabs>
          <w:tab w:val="left" w:pos="2024"/>
        </w:tabs>
        <w:jc w:val="center"/>
        <w:rPr>
          <w:rFonts w:ascii="Times New Roman" w:eastAsiaTheme="minorEastAsia" w:hAnsi="Times New Roman" w:cs="Times New Roman"/>
          <w:b/>
          <w:bCs/>
        </w:rPr>
      </w:pPr>
      <w:r w:rsidRPr="00AB453F">
        <w:rPr>
          <w:rFonts w:ascii="Times New Roman" w:eastAsiaTheme="minorEastAsia" w:hAnsi="Times New Roman" w:cs="Times New Roman"/>
          <w:b/>
          <w:bCs/>
        </w:rPr>
        <w:t>Table 5: Model Estimation Result</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245"/>
        <w:gridCol w:w="2245"/>
        <w:gridCol w:w="2245"/>
        <w:gridCol w:w="2245"/>
      </w:tblGrid>
      <w:tr w:rsidR="000A5D73" w:rsidRPr="00B83A85" w14:paraId="5E1F128D" w14:textId="77777777" w:rsidTr="00147DAD">
        <w:tc>
          <w:tcPr>
            <w:tcW w:w="2254" w:type="dxa"/>
            <w:tcBorders>
              <w:top w:val="single" w:sz="18" w:space="0" w:color="auto"/>
              <w:bottom w:val="single" w:sz="18" w:space="0" w:color="auto"/>
              <w:right w:val="single" w:sz="18" w:space="0" w:color="auto"/>
            </w:tcBorders>
          </w:tcPr>
          <w:p w14:paraId="391409F9"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eastAsiaTheme="minorEastAsia" w:hAnsi="Times New Roman" w:cs="Times New Roman"/>
                <w:b/>
                <w:bCs/>
                <w:sz w:val="18"/>
                <w:szCs w:val="18"/>
              </w:rPr>
              <w:t>Dependent Variable: RE</w:t>
            </w:r>
          </w:p>
        </w:tc>
        <w:tc>
          <w:tcPr>
            <w:tcW w:w="2254" w:type="dxa"/>
            <w:tcBorders>
              <w:top w:val="single" w:sz="18" w:space="0" w:color="auto"/>
              <w:left w:val="single" w:sz="18" w:space="0" w:color="auto"/>
              <w:bottom w:val="single" w:sz="18" w:space="0" w:color="auto"/>
            </w:tcBorders>
          </w:tcPr>
          <w:p w14:paraId="50CF5B84"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eastAsiaTheme="minorEastAsia" w:hAnsi="Times New Roman" w:cs="Times New Roman"/>
                <w:b/>
                <w:bCs/>
                <w:sz w:val="18"/>
                <w:szCs w:val="18"/>
              </w:rPr>
              <w:t>DOLS estimation</w:t>
            </w:r>
          </w:p>
        </w:tc>
        <w:tc>
          <w:tcPr>
            <w:tcW w:w="2254" w:type="dxa"/>
            <w:tcBorders>
              <w:top w:val="single" w:sz="18" w:space="0" w:color="auto"/>
              <w:bottom w:val="single" w:sz="18" w:space="0" w:color="auto"/>
            </w:tcBorders>
          </w:tcPr>
          <w:p w14:paraId="3DF6AA6C"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eastAsiaTheme="minorEastAsia" w:hAnsi="Times New Roman" w:cs="Times New Roman"/>
                <w:b/>
                <w:bCs/>
                <w:sz w:val="18"/>
                <w:szCs w:val="18"/>
              </w:rPr>
              <w:t>I</w:t>
            </w:r>
            <w:r>
              <w:rPr>
                <w:rFonts w:ascii="Times New Roman" w:eastAsiaTheme="minorEastAsia" w:hAnsi="Times New Roman" w:cs="Times New Roman"/>
                <w:b/>
                <w:bCs/>
                <w:sz w:val="18"/>
                <w:szCs w:val="18"/>
              </w:rPr>
              <w:t>M</w:t>
            </w:r>
            <w:r w:rsidRPr="00B83A85">
              <w:rPr>
                <w:rFonts w:ascii="Times New Roman" w:eastAsiaTheme="minorEastAsia" w:hAnsi="Times New Roman" w:cs="Times New Roman"/>
                <w:b/>
                <w:bCs/>
                <w:sz w:val="18"/>
                <w:szCs w:val="18"/>
              </w:rPr>
              <w:t>OLS estimation</w:t>
            </w:r>
          </w:p>
        </w:tc>
        <w:tc>
          <w:tcPr>
            <w:tcW w:w="2254" w:type="dxa"/>
            <w:tcBorders>
              <w:top w:val="single" w:sz="18" w:space="0" w:color="auto"/>
              <w:bottom w:val="single" w:sz="18" w:space="0" w:color="auto"/>
            </w:tcBorders>
          </w:tcPr>
          <w:p w14:paraId="3AF4D869"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eastAsiaTheme="minorEastAsia" w:hAnsi="Times New Roman" w:cs="Times New Roman"/>
                <w:b/>
                <w:bCs/>
                <w:sz w:val="18"/>
                <w:szCs w:val="18"/>
              </w:rPr>
              <w:t>FMOLS estimation</w:t>
            </w:r>
          </w:p>
        </w:tc>
      </w:tr>
      <w:tr w:rsidR="000A5D73" w:rsidRPr="00B83A85" w14:paraId="0C06E899" w14:textId="77777777" w:rsidTr="00147DAD">
        <w:tc>
          <w:tcPr>
            <w:tcW w:w="2254" w:type="dxa"/>
            <w:tcBorders>
              <w:top w:val="single" w:sz="18" w:space="0" w:color="auto"/>
              <w:bottom w:val="nil"/>
              <w:right w:val="single" w:sz="18" w:space="0" w:color="auto"/>
            </w:tcBorders>
          </w:tcPr>
          <w:p w14:paraId="6917A654"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hAnsi="Times New Roman" w:cs="Times New Roman"/>
                <w:b/>
                <w:bCs/>
                <w:sz w:val="18"/>
                <w:szCs w:val="18"/>
              </w:rPr>
              <w:t>GDP</w:t>
            </w:r>
          </w:p>
        </w:tc>
        <w:tc>
          <w:tcPr>
            <w:tcW w:w="2254" w:type="dxa"/>
            <w:tcBorders>
              <w:top w:val="single" w:sz="18" w:space="0" w:color="auto"/>
              <w:left w:val="single" w:sz="18" w:space="0" w:color="auto"/>
            </w:tcBorders>
          </w:tcPr>
          <w:p w14:paraId="4B54CF10"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0.419</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0.099</w:t>
            </w:r>
            <w:r>
              <w:rPr>
                <w:rFonts w:ascii="Times New Roman" w:eastAsiaTheme="minorEastAsia" w:hAnsi="Times New Roman" w:cs="Times New Roman"/>
                <w:sz w:val="18"/>
                <w:szCs w:val="18"/>
              </w:rPr>
              <w:t>)</w:t>
            </w:r>
          </w:p>
        </w:tc>
        <w:tc>
          <w:tcPr>
            <w:tcW w:w="2254" w:type="dxa"/>
            <w:tcBorders>
              <w:top w:val="single" w:sz="18" w:space="0" w:color="auto"/>
            </w:tcBorders>
          </w:tcPr>
          <w:p w14:paraId="0F987DE5"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0.447</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0.131</w:t>
            </w:r>
            <w:r>
              <w:rPr>
                <w:rFonts w:ascii="Times New Roman" w:eastAsiaTheme="minorEastAsia" w:hAnsi="Times New Roman" w:cs="Times New Roman"/>
                <w:sz w:val="18"/>
                <w:szCs w:val="18"/>
              </w:rPr>
              <w:t>)</w:t>
            </w:r>
          </w:p>
        </w:tc>
        <w:tc>
          <w:tcPr>
            <w:tcW w:w="2254" w:type="dxa"/>
            <w:tcBorders>
              <w:top w:val="single" w:sz="18" w:space="0" w:color="auto"/>
            </w:tcBorders>
          </w:tcPr>
          <w:p w14:paraId="68226EF0"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0.413</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0.10</w:t>
            </w:r>
            <w:r>
              <w:rPr>
                <w:rFonts w:ascii="Times New Roman" w:eastAsiaTheme="minorEastAsia" w:hAnsi="Times New Roman" w:cs="Times New Roman"/>
                <w:sz w:val="18"/>
                <w:szCs w:val="18"/>
              </w:rPr>
              <w:t>6)</w:t>
            </w:r>
          </w:p>
        </w:tc>
      </w:tr>
      <w:tr w:rsidR="000A5D73" w:rsidRPr="00B83A85" w14:paraId="3C8D9909" w14:textId="77777777" w:rsidTr="00147DAD">
        <w:tc>
          <w:tcPr>
            <w:tcW w:w="2254" w:type="dxa"/>
            <w:tcBorders>
              <w:top w:val="nil"/>
              <w:bottom w:val="nil"/>
              <w:right w:val="single" w:sz="18" w:space="0" w:color="auto"/>
            </w:tcBorders>
          </w:tcPr>
          <w:p w14:paraId="0015EF48"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hAnsi="Times New Roman" w:cs="Times New Roman"/>
                <w:b/>
                <w:bCs/>
                <w:sz w:val="18"/>
                <w:szCs w:val="18"/>
              </w:rPr>
              <w:t>FDI</w:t>
            </w:r>
          </w:p>
        </w:tc>
        <w:tc>
          <w:tcPr>
            <w:tcW w:w="2254" w:type="dxa"/>
            <w:tcBorders>
              <w:left w:val="single" w:sz="18" w:space="0" w:color="auto"/>
            </w:tcBorders>
          </w:tcPr>
          <w:p w14:paraId="64894B63"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0.132</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0.069</w:t>
            </w:r>
            <w:r>
              <w:rPr>
                <w:rFonts w:ascii="Times New Roman" w:eastAsiaTheme="minorEastAsia" w:hAnsi="Times New Roman" w:cs="Times New Roman"/>
                <w:sz w:val="18"/>
                <w:szCs w:val="18"/>
              </w:rPr>
              <w:t>)</w:t>
            </w:r>
          </w:p>
        </w:tc>
        <w:tc>
          <w:tcPr>
            <w:tcW w:w="2254" w:type="dxa"/>
          </w:tcPr>
          <w:p w14:paraId="021DF195"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0.107</w:t>
            </w:r>
            <w:r>
              <w:rPr>
                <w:rFonts w:ascii="Times New Roman" w:eastAsiaTheme="minorEastAsia" w:hAnsi="Times New Roman" w:cs="Times New Roman"/>
                <w:sz w:val="18"/>
                <w:szCs w:val="18"/>
              </w:rPr>
              <w:t xml:space="preserve"> (</w:t>
            </w:r>
            <w:r w:rsidRPr="00B83A85">
              <w:rPr>
                <w:rFonts w:ascii="Times New Roman" w:eastAsiaTheme="minorEastAsia" w:hAnsi="Times New Roman" w:cs="Times New Roman"/>
                <w:sz w:val="18"/>
                <w:szCs w:val="18"/>
              </w:rPr>
              <w:t>0.091</w:t>
            </w:r>
            <w:r>
              <w:rPr>
                <w:rFonts w:ascii="Times New Roman" w:eastAsiaTheme="minorEastAsia" w:hAnsi="Times New Roman" w:cs="Times New Roman"/>
                <w:sz w:val="18"/>
                <w:szCs w:val="18"/>
              </w:rPr>
              <w:t>)</w:t>
            </w:r>
          </w:p>
        </w:tc>
        <w:tc>
          <w:tcPr>
            <w:tcW w:w="2254" w:type="dxa"/>
          </w:tcPr>
          <w:p w14:paraId="51C98F5C"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0.139</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0.072</w:t>
            </w:r>
            <w:r>
              <w:rPr>
                <w:rFonts w:ascii="Times New Roman" w:eastAsiaTheme="minorEastAsia" w:hAnsi="Times New Roman" w:cs="Times New Roman"/>
                <w:sz w:val="18"/>
                <w:szCs w:val="18"/>
              </w:rPr>
              <w:t>)</w:t>
            </w:r>
          </w:p>
        </w:tc>
      </w:tr>
      <w:tr w:rsidR="000A5D73" w:rsidRPr="00B83A85" w14:paraId="74FD36D9" w14:textId="77777777" w:rsidTr="00147DAD">
        <w:tc>
          <w:tcPr>
            <w:tcW w:w="2254" w:type="dxa"/>
            <w:tcBorders>
              <w:top w:val="nil"/>
              <w:bottom w:val="single" w:sz="18" w:space="0" w:color="auto"/>
              <w:right w:val="single" w:sz="18" w:space="0" w:color="auto"/>
            </w:tcBorders>
          </w:tcPr>
          <w:p w14:paraId="1F34CC3B" w14:textId="77777777" w:rsidR="000A5D73" w:rsidRPr="00B83A85" w:rsidRDefault="000A5D73" w:rsidP="00147DAD">
            <w:pPr>
              <w:tabs>
                <w:tab w:val="left" w:pos="2024"/>
              </w:tabs>
              <w:jc w:val="both"/>
              <w:rPr>
                <w:rFonts w:ascii="Times New Roman" w:eastAsiaTheme="minorEastAsia" w:hAnsi="Times New Roman" w:cs="Times New Roman"/>
                <w:b/>
                <w:bCs/>
                <w:sz w:val="18"/>
                <w:szCs w:val="18"/>
              </w:rPr>
            </w:pPr>
            <w:r w:rsidRPr="00B83A85">
              <w:rPr>
                <w:rFonts w:ascii="Times New Roman" w:hAnsi="Times New Roman" w:cs="Times New Roman"/>
                <w:b/>
                <w:bCs/>
                <w:sz w:val="18"/>
                <w:szCs w:val="18"/>
              </w:rPr>
              <w:t>Urban</w:t>
            </w:r>
          </w:p>
        </w:tc>
        <w:tc>
          <w:tcPr>
            <w:tcW w:w="2254" w:type="dxa"/>
            <w:tcBorders>
              <w:left w:val="single" w:sz="18" w:space="0" w:color="auto"/>
            </w:tcBorders>
          </w:tcPr>
          <w:p w14:paraId="478BC4BB"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-0.160</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0.04</w:t>
            </w:r>
            <w:r>
              <w:rPr>
                <w:rFonts w:ascii="Times New Roman" w:eastAsiaTheme="minorEastAsia" w:hAnsi="Times New Roman" w:cs="Times New Roman"/>
                <w:sz w:val="18"/>
                <w:szCs w:val="18"/>
              </w:rPr>
              <w:t>2)</w:t>
            </w:r>
          </w:p>
        </w:tc>
        <w:tc>
          <w:tcPr>
            <w:tcW w:w="2254" w:type="dxa"/>
          </w:tcPr>
          <w:p w14:paraId="580716D8"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-0.16</w:t>
            </w:r>
            <w:r>
              <w:rPr>
                <w:rFonts w:ascii="Times New Roman" w:eastAsiaTheme="minorEastAsia" w:hAnsi="Times New Roman" w:cs="Times New Roman"/>
                <w:sz w:val="18"/>
                <w:szCs w:val="18"/>
              </w:rPr>
              <w:t>7*** (</w:t>
            </w:r>
            <w:r w:rsidRPr="00B83A85">
              <w:rPr>
                <w:rFonts w:ascii="Times New Roman" w:eastAsiaTheme="minorEastAsia" w:hAnsi="Times New Roman" w:cs="Times New Roman"/>
                <w:sz w:val="18"/>
                <w:szCs w:val="18"/>
              </w:rPr>
              <w:t>0.055</w:t>
            </w:r>
            <w:r>
              <w:rPr>
                <w:rFonts w:ascii="Times New Roman" w:eastAsiaTheme="minorEastAsia" w:hAnsi="Times New Roman" w:cs="Times New Roman"/>
                <w:sz w:val="18"/>
                <w:szCs w:val="18"/>
              </w:rPr>
              <w:t>)</w:t>
            </w:r>
          </w:p>
        </w:tc>
        <w:tc>
          <w:tcPr>
            <w:tcW w:w="2254" w:type="dxa"/>
          </w:tcPr>
          <w:p w14:paraId="23043F4D" w14:textId="77777777" w:rsidR="000A5D73" w:rsidRPr="00B83A85" w:rsidRDefault="000A5D73" w:rsidP="00147DAD">
            <w:pPr>
              <w:tabs>
                <w:tab w:val="left" w:pos="2024"/>
              </w:tabs>
              <w:jc w:val="both"/>
              <w:rPr>
                <w:rFonts w:ascii="Times New Roman" w:eastAsiaTheme="minorEastAsia" w:hAnsi="Times New Roman" w:cs="Times New Roman"/>
                <w:sz w:val="18"/>
                <w:szCs w:val="18"/>
              </w:rPr>
            </w:pPr>
            <w:r w:rsidRPr="00B83A85">
              <w:rPr>
                <w:rFonts w:ascii="Times New Roman" w:eastAsiaTheme="minorEastAsia" w:hAnsi="Times New Roman" w:cs="Times New Roman"/>
                <w:sz w:val="18"/>
                <w:szCs w:val="18"/>
              </w:rPr>
              <w:t>-0.159</w:t>
            </w:r>
            <w:r>
              <w:rPr>
                <w:rFonts w:ascii="Times New Roman" w:eastAsiaTheme="minorEastAsia" w:hAnsi="Times New Roman" w:cs="Times New Roman"/>
                <w:sz w:val="18"/>
                <w:szCs w:val="18"/>
              </w:rPr>
              <w:t>*** (</w:t>
            </w:r>
            <w:r w:rsidRPr="00B83A85">
              <w:rPr>
                <w:rFonts w:ascii="Times New Roman" w:eastAsiaTheme="minorEastAsia" w:hAnsi="Times New Roman" w:cs="Times New Roman"/>
                <w:sz w:val="18"/>
                <w:szCs w:val="18"/>
              </w:rPr>
              <w:t>0.04</w:t>
            </w:r>
            <w:r>
              <w:rPr>
                <w:rFonts w:ascii="Times New Roman" w:eastAsiaTheme="minorEastAsia" w:hAnsi="Times New Roman" w:cs="Times New Roman"/>
                <w:sz w:val="18"/>
                <w:szCs w:val="18"/>
              </w:rPr>
              <w:t>6)</w:t>
            </w:r>
          </w:p>
        </w:tc>
      </w:tr>
    </w:tbl>
    <w:p w14:paraId="312E26C8" w14:textId="77777777" w:rsidR="000A5D73" w:rsidRPr="00AB453F" w:rsidRDefault="000A5D73" w:rsidP="000A5D73">
      <w:pPr>
        <w:tabs>
          <w:tab w:val="left" w:pos="2024"/>
        </w:tabs>
        <w:spacing w:line="360" w:lineRule="auto"/>
        <w:jc w:val="both"/>
        <w:rPr>
          <w:rFonts w:ascii="Times New Roman" w:eastAsiaTheme="minorEastAsia" w:hAnsi="Times New Roman" w:cs="Times New Roman"/>
          <w:sz w:val="16"/>
          <w:szCs w:val="16"/>
        </w:rPr>
      </w:pPr>
      <w:r w:rsidRPr="00AB453F">
        <w:rPr>
          <w:rFonts w:ascii="Times New Roman" w:eastAsiaTheme="minorEastAsia" w:hAnsi="Times New Roman" w:cs="Times New Roman"/>
          <w:sz w:val="16"/>
          <w:szCs w:val="16"/>
        </w:rPr>
        <w:t>Source: Authors’ Computation</w:t>
      </w:r>
    </w:p>
    <w:p w14:paraId="52929B8D" w14:textId="77777777" w:rsidR="000A5D73" w:rsidRDefault="000A5D73" w:rsidP="000A5D73">
      <w:pPr>
        <w:tabs>
          <w:tab w:val="left" w:pos="2024"/>
        </w:tabs>
        <w:spacing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The estimated coefficients from all the method shows that GDP has a positive impact on renewable energy consumption, while urbanisation has a negative impact on RE. However, the result estimates that FDI has a low significance in all the method which force us to say that there is not enough evidence showing an impact of FDI on RE. </w:t>
      </w:r>
    </w:p>
    <w:p w14:paraId="5D664258"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0E7B54">
        <w:rPr>
          <w:rFonts w:ascii="Times New Roman" w:eastAsiaTheme="minorEastAsia" w:hAnsi="Times New Roman" w:cs="Times New Roman"/>
        </w:rPr>
        <w:t>The finding that GDP exhibits a positive and significant effect on renewable energy consumption suggests that as a country’s economy grows, its capacity and propensity to invest in renewable energy also rise. Higher GDP typically means greater fiscal capacity, more institutional support, and stronger market demand for cleaner energy solutions. Economic expansion often incentivizes both public and private sectors to transition towards sustainable energy infrastructures, given the increasing energy needs and potential long-term cost savings</w:t>
      </w:r>
      <w:r>
        <w:rPr>
          <w:rFonts w:ascii="Times New Roman" w:eastAsiaTheme="minorEastAsia" w:hAnsi="Times New Roman" w:cs="Times New Roman"/>
        </w:rPr>
        <w:t xml:space="preserve"> </w:t>
      </w:r>
      <w:hyperlink r:id="rId6" w:history="1">
        <w:proofErr w:type="spellStart"/>
        <w:r w:rsidRPr="00676070">
          <w:rPr>
            <w:rStyle w:val="Hyperlink"/>
            <w:rFonts w:ascii="Times New Roman" w:eastAsiaTheme="minorEastAsia" w:hAnsi="Times New Roman" w:cs="Times New Roman"/>
          </w:rPr>
          <w:t>Gibba</w:t>
        </w:r>
        <w:proofErr w:type="spellEnd"/>
        <w:r w:rsidRPr="00676070">
          <w:rPr>
            <w:rStyle w:val="Hyperlink"/>
            <w:rFonts w:ascii="Times New Roman" w:eastAsiaTheme="minorEastAsia" w:hAnsi="Times New Roman" w:cs="Times New Roman"/>
          </w:rPr>
          <w:t xml:space="preserve"> et al. (2024)</w:t>
        </w:r>
      </w:hyperlink>
      <w:r w:rsidRPr="000E7B54">
        <w:rPr>
          <w:rFonts w:ascii="Times New Roman" w:eastAsiaTheme="minorEastAsia" w:hAnsi="Times New Roman" w:cs="Times New Roman"/>
        </w:rPr>
        <w:t>. While I did not locate a study explicitly mirroring this exact phraseology, several empirical analyses echo the sentiment that economic growth catalyses renewable energy uptake and supports the energy transition</w:t>
      </w:r>
      <w:r>
        <w:rPr>
          <w:rFonts w:ascii="Times New Roman" w:eastAsiaTheme="minorEastAsia" w:hAnsi="Times New Roman" w:cs="Times New Roman"/>
        </w:rPr>
        <w:t xml:space="preserve">, </w:t>
      </w:r>
      <w:r w:rsidRPr="000E7B54">
        <w:rPr>
          <w:rFonts w:ascii="Times New Roman" w:eastAsiaTheme="minorEastAsia" w:hAnsi="Times New Roman" w:cs="Times New Roman"/>
        </w:rPr>
        <w:t xml:space="preserve">directly or via broader environmental sustainability frameworks </w:t>
      </w:r>
      <w:hyperlink r:id="rId7" w:history="1">
        <w:r w:rsidRPr="00676070">
          <w:rPr>
            <w:rStyle w:val="Hyperlink"/>
            <w:rFonts w:ascii="Times New Roman" w:eastAsiaTheme="minorEastAsia" w:hAnsi="Times New Roman" w:cs="Times New Roman"/>
          </w:rPr>
          <w:t>Wang et al. (2021)</w:t>
        </w:r>
      </w:hyperlink>
      <w:r>
        <w:rPr>
          <w:rFonts w:ascii="Times New Roman" w:eastAsiaTheme="minorEastAsia" w:hAnsi="Times New Roman" w:cs="Times New Roman"/>
        </w:rPr>
        <w:t xml:space="preserve">; </w:t>
      </w:r>
      <w:hyperlink r:id="rId8" w:history="1">
        <w:proofErr w:type="spellStart"/>
        <w:r w:rsidRPr="00676070">
          <w:rPr>
            <w:rStyle w:val="Hyperlink"/>
            <w:rFonts w:ascii="Times New Roman" w:eastAsiaTheme="minorEastAsia" w:hAnsi="Times New Roman" w:cs="Times New Roman"/>
          </w:rPr>
          <w:t>Gibba</w:t>
        </w:r>
        <w:proofErr w:type="spellEnd"/>
        <w:r w:rsidRPr="00676070">
          <w:rPr>
            <w:rStyle w:val="Hyperlink"/>
            <w:rFonts w:ascii="Times New Roman" w:eastAsiaTheme="minorEastAsia" w:hAnsi="Times New Roman" w:cs="Times New Roman"/>
          </w:rPr>
          <w:t xml:space="preserve"> et al. (2024)</w:t>
        </w:r>
      </w:hyperlink>
      <w:r w:rsidRPr="000E7B54">
        <w:rPr>
          <w:rFonts w:ascii="Times New Roman" w:eastAsiaTheme="minorEastAsia" w:hAnsi="Times New Roman" w:cs="Times New Roman"/>
        </w:rPr>
        <w:t>.</w:t>
      </w:r>
    </w:p>
    <w:p w14:paraId="370C06CE"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0D282C">
        <w:rPr>
          <w:rFonts w:ascii="Times New Roman" w:eastAsiaTheme="minorEastAsia" w:hAnsi="Times New Roman" w:cs="Times New Roman"/>
        </w:rPr>
        <w:t>On the other hand, urbani</w:t>
      </w:r>
      <w:r>
        <w:rPr>
          <w:rFonts w:ascii="Times New Roman" w:eastAsiaTheme="minorEastAsia" w:hAnsi="Times New Roman" w:cs="Times New Roman"/>
        </w:rPr>
        <w:t>s</w:t>
      </w:r>
      <w:r w:rsidRPr="000D282C">
        <w:rPr>
          <w:rFonts w:ascii="Times New Roman" w:eastAsiaTheme="minorEastAsia" w:hAnsi="Times New Roman" w:cs="Times New Roman"/>
        </w:rPr>
        <w:t>ation’s negative coefficient implies that increasing urban concentration is inversely related to renewable energy consumption in the models used. This can result from multiple structural factors: urban growth may prioriti</w:t>
      </w:r>
      <w:r>
        <w:rPr>
          <w:rFonts w:ascii="Times New Roman" w:eastAsiaTheme="minorEastAsia" w:hAnsi="Times New Roman" w:cs="Times New Roman"/>
        </w:rPr>
        <w:t>s</w:t>
      </w:r>
      <w:r w:rsidRPr="000D282C">
        <w:rPr>
          <w:rFonts w:ascii="Times New Roman" w:eastAsiaTheme="minorEastAsia" w:hAnsi="Times New Roman" w:cs="Times New Roman"/>
        </w:rPr>
        <w:t>e existing non-renewable energy infrastructure, face higher upfront costs for renewable retrofitting, or encounter energy-efficiency challenges tied to rapid urban expansion</w:t>
      </w:r>
      <w:r>
        <w:rPr>
          <w:rFonts w:ascii="Times New Roman" w:eastAsiaTheme="minorEastAsia" w:hAnsi="Times New Roman" w:cs="Times New Roman"/>
        </w:rPr>
        <w:t xml:space="preserve"> </w:t>
      </w:r>
      <w:hyperlink r:id="rId9" w:history="1">
        <w:r w:rsidRPr="0018589A">
          <w:rPr>
            <w:rStyle w:val="Hyperlink"/>
            <w:rFonts w:ascii="Times New Roman" w:eastAsiaTheme="minorEastAsia" w:hAnsi="Times New Roman" w:cs="Times New Roman"/>
          </w:rPr>
          <w:t>Xuan (2024)</w:t>
        </w:r>
      </w:hyperlink>
      <w:r w:rsidRPr="000D282C">
        <w:rPr>
          <w:rFonts w:ascii="Times New Roman" w:eastAsiaTheme="minorEastAsia" w:hAnsi="Times New Roman" w:cs="Times New Roman"/>
        </w:rPr>
        <w:t>. Some studies have documented that while urbani</w:t>
      </w:r>
      <w:r>
        <w:rPr>
          <w:rFonts w:ascii="Times New Roman" w:eastAsiaTheme="minorEastAsia" w:hAnsi="Times New Roman" w:cs="Times New Roman"/>
        </w:rPr>
        <w:t>s</w:t>
      </w:r>
      <w:r w:rsidRPr="000D282C">
        <w:rPr>
          <w:rFonts w:ascii="Times New Roman" w:eastAsiaTheme="minorEastAsia" w:hAnsi="Times New Roman" w:cs="Times New Roman"/>
        </w:rPr>
        <w:t>ation leads to heightened overall energy demand</w:t>
      </w:r>
      <w:r>
        <w:rPr>
          <w:rFonts w:ascii="Times New Roman" w:eastAsiaTheme="minorEastAsia" w:hAnsi="Times New Roman" w:cs="Times New Roman"/>
        </w:rPr>
        <w:t xml:space="preserve">, </w:t>
      </w:r>
      <w:r w:rsidRPr="000D282C">
        <w:rPr>
          <w:rFonts w:ascii="Times New Roman" w:eastAsiaTheme="minorEastAsia" w:hAnsi="Times New Roman" w:cs="Times New Roman"/>
        </w:rPr>
        <w:t>especially non-renewable</w:t>
      </w:r>
      <w:r>
        <w:rPr>
          <w:rFonts w:ascii="Times New Roman" w:eastAsiaTheme="minorEastAsia" w:hAnsi="Times New Roman" w:cs="Times New Roman"/>
        </w:rPr>
        <w:t xml:space="preserve">, </w:t>
      </w:r>
      <w:r w:rsidRPr="000D282C">
        <w:rPr>
          <w:rFonts w:ascii="Times New Roman" w:eastAsiaTheme="minorEastAsia" w:hAnsi="Times New Roman" w:cs="Times New Roman"/>
        </w:rPr>
        <w:t>its direct impact on renewable usage may be muted or statistically negligible</w:t>
      </w:r>
      <w:r>
        <w:rPr>
          <w:rFonts w:ascii="Times New Roman" w:eastAsiaTheme="minorEastAsia" w:hAnsi="Times New Roman" w:cs="Times New Roman"/>
        </w:rPr>
        <w:t xml:space="preserve"> </w:t>
      </w:r>
      <w:hyperlink r:id="rId10" w:history="1">
        <w:r w:rsidRPr="0018589A">
          <w:rPr>
            <w:rStyle w:val="Hyperlink"/>
            <w:rFonts w:ascii="Times New Roman" w:eastAsiaTheme="minorEastAsia" w:hAnsi="Times New Roman" w:cs="Times New Roman"/>
          </w:rPr>
          <w:t xml:space="preserve">Zhao and </w:t>
        </w:r>
        <w:proofErr w:type="spellStart"/>
        <w:r w:rsidRPr="0018589A">
          <w:rPr>
            <w:rStyle w:val="Hyperlink"/>
            <w:rFonts w:ascii="Times New Roman" w:eastAsiaTheme="minorEastAsia" w:hAnsi="Times New Roman" w:cs="Times New Roman"/>
          </w:rPr>
          <w:t>Qamruzzaman</w:t>
        </w:r>
        <w:proofErr w:type="spellEnd"/>
        <w:r w:rsidRPr="0018589A">
          <w:rPr>
            <w:rStyle w:val="Hyperlink"/>
            <w:rFonts w:ascii="Times New Roman" w:eastAsiaTheme="minorEastAsia" w:hAnsi="Times New Roman" w:cs="Times New Roman"/>
          </w:rPr>
          <w:t xml:space="preserve"> (2022)</w:t>
        </w:r>
      </w:hyperlink>
      <w:r w:rsidRPr="000D282C">
        <w:rPr>
          <w:rFonts w:ascii="Times New Roman" w:eastAsiaTheme="minorEastAsia" w:hAnsi="Times New Roman" w:cs="Times New Roman"/>
        </w:rPr>
        <w:t>. In other words, urbani</w:t>
      </w:r>
      <w:r>
        <w:rPr>
          <w:rFonts w:ascii="Times New Roman" w:eastAsiaTheme="minorEastAsia" w:hAnsi="Times New Roman" w:cs="Times New Roman"/>
        </w:rPr>
        <w:t>s</w:t>
      </w:r>
      <w:r w:rsidRPr="000D282C">
        <w:rPr>
          <w:rFonts w:ascii="Times New Roman" w:eastAsiaTheme="minorEastAsia" w:hAnsi="Times New Roman" w:cs="Times New Roman"/>
        </w:rPr>
        <w:t>ation in isolation may not automatically translate into stronger adoption of renewables unless accompanied by targeted policies, infrastructure investment, or urban planning aligned with clean energy goals.</w:t>
      </w:r>
    </w:p>
    <w:p w14:paraId="636DE8B2" w14:textId="77777777" w:rsidR="000A5D73" w:rsidRPr="00621A82" w:rsidRDefault="000A5D73" w:rsidP="000A5D73">
      <w:pPr>
        <w:tabs>
          <w:tab w:val="left" w:pos="2024"/>
        </w:tabs>
        <w:jc w:val="center"/>
        <w:rPr>
          <w:rFonts w:ascii="Times New Roman" w:eastAsiaTheme="minorEastAsia" w:hAnsi="Times New Roman" w:cs="Times New Roman"/>
          <w:b/>
          <w:bCs/>
        </w:rPr>
      </w:pPr>
      <w:r w:rsidRPr="00621A82">
        <w:rPr>
          <w:rFonts w:ascii="Times New Roman" w:eastAsiaTheme="minorEastAsia" w:hAnsi="Times New Roman" w:cs="Times New Roman"/>
          <w:b/>
          <w:bCs/>
        </w:rPr>
        <w:t>Table 6: Granger Causality Test</w:t>
      </w: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789"/>
        <w:gridCol w:w="706"/>
        <w:gridCol w:w="1124"/>
        <w:gridCol w:w="1361"/>
      </w:tblGrid>
      <w:tr w:rsidR="000A5D73" w:rsidRPr="005D7EAC" w14:paraId="78E09DA3" w14:textId="77777777" w:rsidTr="00147DAD">
        <w:tc>
          <w:tcPr>
            <w:tcW w:w="3223" w:type="pct"/>
            <w:tcBorders>
              <w:top w:val="single" w:sz="18" w:space="0" w:color="auto"/>
              <w:bottom w:val="single" w:sz="18" w:space="0" w:color="auto"/>
              <w:right w:val="single" w:sz="8" w:space="0" w:color="auto"/>
            </w:tcBorders>
            <w:vAlign w:val="center"/>
          </w:tcPr>
          <w:p w14:paraId="0A84E908" w14:textId="77777777" w:rsidR="000A5D73" w:rsidRPr="005D7EAC" w:rsidRDefault="000A5D73" w:rsidP="00147DAD">
            <w:pPr>
              <w:tabs>
                <w:tab w:val="left" w:pos="2024"/>
              </w:tabs>
              <w:rPr>
                <w:rFonts w:ascii="Times New Roman" w:eastAsiaTheme="minorEastAsia" w:hAnsi="Times New Roman" w:cs="Times New Roman"/>
                <w:b/>
                <w:bCs/>
                <w:sz w:val="18"/>
                <w:szCs w:val="18"/>
              </w:rPr>
            </w:pPr>
            <w:r w:rsidRPr="005D7EAC">
              <w:rPr>
                <w:rFonts w:ascii="Times New Roman" w:eastAsiaTheme="minorEastAsia" w:hAnsi="Times New Roman" w:cs="Times New Roman"/>
                <w:b/>
                <w:bCs/>
                <w:sz w:val="18"/>
                <w:szCs w:val="18"/>
              </w:rPr>
              <w:t>Null Hypothesis</w:t>
            </w:r>
          </w:p>
        </w:tc>
        <w:tc>
          <w:tcPr>
            <w:tcW w:w="393" w:type="pct"/>
            <w:tcBorders>
              <w:top w:val="single" w:sz="18" w:space="0" w:color="auto"/>
              <w:left w:val="single" w:sz="8" w:space="0" w:color="auto"/>
              <w:bottom w:val="nil"/>
              <w:right w:val="single" w:sz="8" w:space="0" w:color="auto"/>
            </w:tcBorders>
            <w:vAlign w:val="center"/>
          </w:tcPr>
          <w:p w14:paraId="27EC8EC1" w14:textId="77777777" w:rsidR="000A5D73" w:rsidRPr="005D7EAC" w:rsidRDefault="000A5D73" w:rsidP="00147DAD">
            <w:pPr>
              <w:tabs>
                <w:tab w:val="left" w:pos="2024"/>
              </w:tabs>
              <w:rPr>
                <w:rFonts w:ascii="Times New Roman" w:eastAsiaTheme="minorEastAsia" w:hAnsi="Times New Roman" w:cs="Times New Roman"/>
                <w:b/>
                <w:bCs/>
                <w:sz w:val="18"/>
                <w:szCs w:val="18"/>
              </w:rPr>
            </w:pPr>
            <w:r w:rsidRPr="005D7EAC">
              <w:rPr>
                <w:rFonts w:ascii="Times New Roman" w:eastAsiaTheme="minorEastAsia" w:hAnsi="Times New Roman" w:cs="Times New Roman"/>
                <w:b/>
                <w:bCs/>
                <w:sz w:val="18"/>
                <w:szCs w:val="18"/>
              </w:rPr>
              <w:t>Obs.</w:t>
            </w:r>
          </w:p>
        </w:tc>
        <w:tc>
          <w:tcPr>
            <w:tcW w:w="626" w:type="pct"/>
            <w:tcBorders>
              <w:top w:val="single" w:sz="18" w:space="0" w:color="auto"/>
              <w:left w:val="single" w:sz="8" w:space="0" w:color="auto"/>
              <w:bottom w:val="single" w:sz="18" w:space="0" w:color="auto"/>
              <w:right w:val="single" w:sz="8" w:space="0" w:color="auto"/>
            </w:tcBorders>
            <w:vAlign w:val="center"/>
          </w:tcPr>
          <w:p w14:paraId="392D5A74" w14:textId="77777777" w:rsidR="000A5D73" w:rsidRPr="005D7EAC" w:rsidRDefault="000A5D73" w:rsidP="00147DAD">
            <w:pPr>
              <w:tabs>
                <w:tab w:val="left" w:pos="2024"/>
              </w:tabs>
              <w:rPr>
                <w:rFonts w:ascii="Times New Roman" w:eastAsiaTheme="minorEastAsia" w:hAnsi="Times New Roman" w:cs="Times New Roman"/>
                <w:b/>
                <w:bCs/>
                <w:sz w:val="18"/>
                <w:szCs w:val="18"/>
              </w:rPr>
            </w:pPr>
            <w:r w:rsidRPr="005D7EAC">
              <w:rPr>
                <w:rFonts w:ascii="Times New Roman" w:eastAsiaTheme="minorEastAsia" w:hAnsi="Times New Roman" w:cs="Times New Roman"/>
                <w:b/>
                <w:bCs/>
                <w:sz w:val="18"/>
                <w:szCs w:val="18"/>
              </w:rPr>
              <w:t>F-stats.</w:t>
            </w:r>
          </w:p>
        </w:tc>
        <w:tc>
          <w:tcPr>
            <w:tcW w:w="758" w:type="pct"/>
            <w:tcBorders>
              <w:top w:val="single" w:sz="18" w:space="0" w:color="auto"/>
              <w:left w:val="single" w:sz="8" w:space="0" w:color="auto"/>
              <w:bottom w:val="single" w:sz="18" w:space="0" w:color="auto"/>
            </w:tcBorders>
            <w:vAlign w:val="center"/>
          </w:tcPr>
          <w:p w14:paraId="1BF3F3E7" w14:textId="77777777" w:rsidR="000A5D73" w:rsidRPr="005D7EAC" w:rsidRDefault="000A5D73" w:rsidP="00147DAD">
            <w:pPr>
              <w:tabs>
                <w:tab w:val="left" w:pos="2024"/>
              </w:tabs>
              <w:rPr>
                <w:rFonts w:ascii="Times New Roman" w:eastAsiaTheme="minorEastAsia" w:hAnsi="Times New Roman" w:cs="Times New Roman"/>
                <w:b/>
                <w:bCs/>
                <w:sz w:val="18"/>
                <w:szCs w:val="18"/>
              </w:rPr>
            </w:pPr>
            <w:r w:rsidRPr="005D7EAC">
              <w:rPr>
                <w:rFonts w:ascii="Times New Roman" w:eastAsiaTheme="minorEastAsia" w:hAnsi="Times New Roman" w:cs="Times New Roman"/>
                <w:b/>
                <w:bCs/>
                <w:sz w:val="18"/>
                <w:szCs w:val="18"/>
              </w:rPr>
              <w:t>Prob.</w:t>
            </w:r>
          </w:p>
        </w:tc>
      </w:tr>
      <w:tr w:rsidR="000A5D73" w:rsidRPr="005D7EAC" w14:paraId="3ACF81F6" w14:textId="77777777" w:rsidTr="00147DAD">
        <w:tc>
          <w:tcPr>
            <w:tcW w:w="3223" w:type="pct"/>
            <w:tcBorders>
              <w:top w:val="single" w:sz="18" w:space="0" w:color="auto"/>
              <w:bottom w:val="nil"/>
              <w:right w:val="single" w:sz="8" w:space="0" w:color="auto"/>
            </w:tcBorders>
            <w:vAlign w:val="center"/>
          </w:tcPr>
          <w:p w14:paraId="5C0C634F"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Urban does not Granger cause RE</w:t>
            </w:r>
          </w:p>
        </w:tc>
        <w:tc>
          <w:tcPr>
            <w:tcW w:w="393" w:type="pct"/>
            <w:vMerge w:val="restart"/>
            <w:tcBorders>
              <w:top w:val="single" w:sz="18" w:space="0" w:color="auto"/>
              <w:left w:val="single" w:sz="8" w:space="0" w:color="auto"/>
              <w:bottom w:val="nil"/>
              <w:right w:val="single" w:sz="8" w:space="0" w:color="auto"/>
            </w:tcBorders>
            <w:vAlign w:val="center"/>
          </w:tcPr>
          <w:p w14:paraId="624AB985"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25</w:t>
            </w:r>
          </w:p>
        </w:tc>
        <w:tc>
          <w:tcPr>
            <w:tcW w:w="626" w:type="pct"/>
            <w:tcBorders>
              <w:top w:val="single" w:sz="18" w:space="0" w:color="auto"/>
              <w:left w:val="single" w:sz="8" w:space="0" w:color="auto"/>
              <w:bottom w:val="nil"/>
              <w:right w:val="single" w:sz="8" w:space="0" w:color="auto"/>
            </w:tcBorders>
            <w:vAlign w:val="center"/>
          </w:tcPr>
          <w:p w14:paraId="67BC0BC4"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3.115</w:t>
            </w:r>
          </w:p>
        </w:tc>
        <w:tc>
          <w:tcPr>
            <w:tcW w:w="758" w:type="pct"/>
            <w:tcBorders>
              <w:top w:val="single" w:sz="18" w:space="0" w:color="auto"/>
              <w:left w:val="single" w:sz="8" w:space="0" w:color="auto"/>
              <w:bottom w:val="nil"/>
            </w:tcBorders>
            <w:vAlign w:val="center"/>
          </w:tcPr>
          <w:p w14:paraId="341C3FFC"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0.090*</w:t>
            </w:r>
          </w:p>
        </w:tc>
      </w:tr>
      <w:tr w:rsidR="000A5D73" w:rsidRPr="005D7EAC" w14:paraId="086EE191" w14:textId="77777777" w:rsidTr="00147DAD">
        <w:tc>
          <w:tcPr>
            <w:tcW w:w="3223" w:type="pct"/>
            <w:tcBorders>
              <w:top w:val="nil"/>
              <w:bottom w:val="single" w:sz="8" w:space="0" w:color="auto"/>
              <w:right w:val="single" w:sz="8" w:space="0" w:color="auto"/>
            </w:tcBorders>
            <w:vAlign w:val="center"/>
          </w:tcPr>
          <w:p w14:paraId="45B984EC"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RE does not Granger cause Urban</w:t>
            </w:r>
          </w:p>
        </w:tc>
        <w:tc>
          <w:tcPr>
            <w:tcW w:w="393" w:type="pct"/>
            <w:vMerge/>
            <w:tcBorders>
              <w:top w:val="nil"/>
              <w:left w:val="single" w:sz="8" w:space="0" w:color="auto"/>
              <w:bottom w:val="nil"/>
              <w:right w:val="single" w:sz="8" w:space="0" w:color="auto"/>
            </w:tcBorders>
            <w:vAlign w:val="center"/>
          </w:tcPr>
          <w:p w14:paraId="792D214E" w14:textId="77777777" w:rsidR="000A5D73" w:rsidRPr="005D7EAC" w:rsidRDefault="000A5D73" w:rsidP="00147DAD">
            <w:pPr>
              <w:tabs>
                <w:tab w:val="left" w:pos="2024"/>
              </w:tabs>
              <w:rPr>
                <w:rFonts w:ascii="Times New Roman" w:eastAsiaTheme="minorEastAsia" w:hAnsi="Times New Roman" w:cs="Times New Roman"/>
                <w:sz w:val="18"/>
                <w:szCs w:val="18"/>
              </w:rPr>
            </w:pPr>
          </w:p>
        </w:tc>
        <w:tc>
          <w:tcPr>
            <w:tcW w:w="626" w:type="pct"/>
            <w:tcBorders>
              <w:top w:val="nil"/>
              <w:left w:val="single" w:sz="8" w:space="0" w:color="auto"/>
              <w:bottom w:val="single" w:sz="8" w:space="0" w:color="auto"/>
              <w:right w:val="single" w:sz="8" w:space="0" w:color="auto"/>
            </w:tcBorders>
            <w:vAlign w:val="center"/>
          </w:tcPr>
          <w:p w14:paraId="5363A9CA"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0.713</w:t>
            </w:r>
          </w:p>
        </w:tc>
        <w:tc>
          <w:tcPr>
            <w:tcW w:w="758" w:type="pct"/>
            <w:tcBorders>
              <w:top w:val="nil"/>
              <w:left w:val="single" w:sz="8" w:space="0" w:color="auto"/>
              <w:bottom w:val="single" w:sz="8" w:space="0" w:color="auto"/>
            </w:tcBorders>
            <w:vAlign w:val="center"/>
          </w:tcPr>
          <w:p w14:paraId="31759F59"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0.407</w:t>
            </w:r>
          </w:p>
        </w:tc>
      </w:tr>
      <w:tr w:rsidR="000A5D73" w:rsidRPr="005D7EAC" w14:paraId="24B2D999" w14:textId="77777777" w:rsidTr="00147DAD">
        <w:tc>
          <w:tcPr>
            <w:tcW w:w="3223" w:type="pct"/>
            <w:tcBorders>
              <w:top w:val="single" w:sz="8" w:space="0" w:color="auto"/>
              <w:bottom w:val="nil"/>
              <w:right w:val="single" w:sz="8" w:space="0" w:color="auto"/>
            </w:tcBorders>
            <w:vAlign w:val="center"/>
          </w:tcPr>
          <w:p w14:paraId="20D02F0D"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GDP does not Granger cause RE</w:t>
            </w:r>
          </w:p>
        </w:tc>
        <w:tc>
          <w:tcPr>
            <w:tcW w:w="393" w:type="pct"/>
            <w:vMerge w:val="restart"/>
            <w:tcBorders>
              <w:top w:val="single" w:sz="8" w:space="0" w:color="auto"/>
              <w:left w:val="single" w:sz="8" w:space="0" w:color="auto"/>
              <w:bottom w:val="nil"/>
              <w:right w:val="single" w:sz="8" w:space="0" w:color="auto"/>
            </w:tcBorders>
            <w:vAlign w:val="center"/>
          </w:tcPr>
          <w:p w14:paraId="6DA9C21D" w14:textId="77777777" w:rsidR="000A5D73" w:rsidRPr="005D7EAC" w:rsidRDefault="000A5D73" w:rsidP="00147DAD">
            <w:pPr>
              <w:tabs>
                <w:tab w:val="left" w:pos="2024"/>
              </w:tabs>
              <w:rPr>
                <w:rFonts w:ascii="Times New Roman" w:eastAsiaTheme="minorEastAsia" w:hAnsi="Times New Roman" w:cs="Times New Roman"/>
                <w:sz w:val="18"/>
                <w:szCs w:val="18"/>
              </w:rPr>
            </w:pPr>
            <w:r w:rsidRPr="004F1A72">
              <w:rPr>
                <w:rFonts w:ascii="Times New Roman" w:eastAsiaTheme="minorEastAsia" w:hAnsi="Times New Roman" w:cs="Times New Roman"/>
                <w:sz w:val="18"/>
                <w:szCs w:val="18"/>
              </w:rPr>
              <w:t>25</w:t>
            </w:r>
          </w:p>
        </w:tc>
        <w:tc>
          <w:tcPr>
            <w:tcW w:w="626" w:type="pct"/>
            <w:tcBorders>
              <w:top w:val="single" w:sz="8" w:space="0" w:color="auto"/>
              <w:left w:val="single" w:sz="8" w:space="0" w:color="auto"/>
              <w:bottom w:val="nil"/>
              <w:right w:val="single" w:sz="8" w:space="0" w:color="auto"/>
            </w:tcBorders>
            <w:vAlign w:val="center"/>
          </w:tcPr>
          <w:p w14:paraId="2488BBD0"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4.035</w:t>
            </w:r>
          </w:p>
        </w:tc>
        <w:tc>
          <w:tcPr>
            <w:tcW w:w="758" w:type="pct"/>
            <w:tcBorders>
              <w:top w:val="single" w:sz="8" w:space="0" w:color="auto"/>
              <w:left w:val="single" w:sz="8" w:space="0" w:color="auto"/>
              <w:bottom w:val="nil"/>
            </w:tcBorders>
            <w:vAlign w:val="center"/>
          </w:tcPr>
          <w:p w14:paraId="2C99D5FB"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0.056*</w:t>
            </w:r>
          </w:p>
        </w:tc>
      </w:tr>
      <w:tr w:rsidR="000A5D73" w:rsidRPr="005D7EAC" w14:paraId="7809D797" w14:textId="77777777" w:rsidTr="00147DAD">
        <w:tc>
          <w:tcPr>
            <w:tcW w:w="3223" w:type="pct"/>
            <w:tcBorders>
              <w:top w:val="nil"/>
              <w:bottom w:val="single" w:sz="8" w:space="0" w:color="auto"/>
              <w:right w:val="single" w:sz="8" w:space="0" w:color="auto"/>
            </w:tcBorders>
            <w:vAlign w:val="center"/>
          </w:tcPr>
          <w:p w14:paraId="7C528D22"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RE does not Granger cause GDP</w:t>
            </w:r>
          </w:p>
        </w:tc>
        <w:tc>
          <w:tcPr>
            <w:tcW w:w="393" w:type="pct"/>
            <w:vMerge/>
            <w:tcBorders>
              <w:top w:val="nil"/>
              <w:left w:val="single" w:sz="8" w:space="0" w:color="auto"/>
              <w:bottom w:val="single" w:sz="8" w:space="0" w:color="auto"/>
              <w:right w:val="single" w:sz="8" w:space="0" w:color="auto"/>
            </w:tcBorders>
            <w:vAlign w:val="center"/>
          </w:tcPr>
          <w:p w14:paraId="05FD474B" w14:textId="77777777" w:rsidR="000A5D73" w:rsidRPr="005D7EAC" w:rsidRDefault="000A5D73" w:rsidP="00147DAD">
            <w:pPr>
              <w:tabs>
                <w:tab w:val="left" w:pos="2024"/>
              </w:tabs>
              <w:rPr>
                <w:rFonts w:ascii="Times New Roman" w:eastAsiaTheme="minorEastAsia" w:hAnsi="Times New Roman" w:cs="Times New Roman"/>
                <w:sz w:val="18"/>
                <w:szCs w:val="18"/>
              </w:rPr>
            </w:pPr>
          </w:p>
        </w:tc>
        <w:tc>
          <w:tcPr>
            <w:tcW w:w="626" w:type="pct"/>
            <w:tcBorders>
              <w:top w:val="nil"/>
              <w:left w:val="single" w:sz="8" w:space="0" w:color="auto"/>
              <w:bottom w:val="single" w:sz="8" w:space="0" w:color="auto"/>
              <w:right w:val="single" w:sz="8" w:space="0" w:color="auto"/>
            </w:tcBorders>
            <w:vAlign w:val="center"/>
          </w:tcPr>
          <w:p w14:paraId="60A4B7F9"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0.001</w:t>
            </w:r>
          </w:p>
        </w:tc>
        <w:tc>
          <w:tcPr>
            <w:tcW w:w="758" w:type="pct"/>
            <w:tcBorders>
              <w:top w:val="nil"/>
              <w:left w:val="single" w:sz="8" w:space="0" w:color="auto"/>
              <w:bottom w:val="single" w:sz="8" w:space="0" w:color="auto"/>
            </w:tcBorders>
            <w:vAlign w:val="center"/>
          </w:tcPr>
          <w:p w14:paraId="2A32C059"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0.998</w:t>
            </w:r>
          </w:p>
        </w:tc>
      </w:tr>
      <w:tr w:rsidR="000A5D73" w:rsidRPr="005D7EAC" w14:paraId="71D1E46C" w14:textId="77777777" w:rsidTr="00147DAD">
        <w:trPr>
          <w:trHeight w:val="20"/>
        </w:trPr>
        <w:tc>
          <w:tcPr>
            <w:tcW w:w="3223" w:type="pct"/>
            <w:tcBorders>
              <w:top w:val="single" w:sz="8" w:space="0" w:color="auto"/>
              <w:right w:val="single" w:sz="8" w:space="0" w:color="auto"/>
            </w:tcBorders>
            <w:vAlign w:val="center"/>
          </w:tcPr>
          <w:p w14:paraId="2CA0C414"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FDI does not Granger cause RE</w:t>
            </w:r>
          </w:p>
        </w:tc>
        <w:tc>
          <w:tcPr>
            <w:tcW w:w="393" w:type="pct"/>
            <w:vMerge w:val="restart"/>
            <w:tcBorders>
              <w:top w:val="single" w:sz="8" w:space="0" w:color="auto"/>
              <w:left w:val="single" w:sz="8" w:space="0" w:color="auto"/>
              <w:bottom w:val="single" w:sz="18" w:space="0" w:color="auto"/>
              <w:right w:val="single" w:sz="8" w:space="0" w:color="auto"/>
            </w:tcBorders>
            <w:vAlign w:val="center"/>
          </w:tcPr>
          <w:p w14:paraId="2E8EEF49" w14:textId="77777777" w:rsidR="000A5D73" w:rsidRPr="005D7EAC" w:rsidRDefault="000A5D73" w:rsidP="00147DAD">
            <w:pPr>
              <w:tabs>
                <w:tab w:val="left" w:pos="2024"/>
              </w:tabs>
              <w:rPr>
                <w:rFonts w:ascii="Times New Roman" w:eastAsiaTheme="minorEastAsia" w:hAnsi="Times New Roman" w:cs="Times New Roman"/>
                <w:sz w:val="18"/>
                <w:szCs w:val="18"/>
              </w:rPr>
            </w:pPr>
            <w:r w:rsidRPr="004F1A72">
              <w:rPr>
                <w:rFonts w:ascii="Times New Roman" w:eastAsiaTheme="minorEastAsia" w:hAnsi="Times New Roman" w:cs="Times New Roman"/>
                <w:sz w:val="18"/>
                <w:szCs w:val="18"/>
              </w:rPr>
              <w:t>25</w:t>
            </w:r>
          </w:p>
        </w:tc>
        <w:tc>
          <w:tcPr>
            <w:tcW w:w="626" w:type="pct"/>
            <w:tcBorders>
              <w:top w:val="single" w:sz="8" w:space="0" w:color="auto"/>
              <w:left w:val="single" w:sz="8" w:space="0" w:color="auto"/>
              <w:right w:val="single" w:sz="8" w:space="0" w:color="auto"/>
            </w:tcBorders>
            <w:vAlign w:val="center"/>
          </w:tcPr>
          <w:p w14:paraId="3C7E89F4"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0.004</w:t>
            </w:r>
          </w:p>
        </w:tc>
        <w:tc>
          <w:tcPr>
            <w:tcW w:w="758" w:type="pct"/>
            <w:tcBorders>
              <w:top w:val="single" w:sz="8" w:space="0" w:color="auto"/>
              <w:left w:val="single" w:sz="8" w:space="0" w:color="auto"/>
            </w:tcBorders>
            <w:vAlign w:val="center"/>
          </w:tcPr>
          <w:p w14:paraId="5D7F2596"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0.952</w:t>
            </w:r>
          </w:p>
        </w:tc>
      </w:tr>
      <w:tr w:rsidR="000A5D73" w:rsidRPr="005D7EAC" w14:paraId="5F52D725" w14:textId="77777777" w:rsidTr="00147DAD">
        <w:trPr>
          <w:trHeight w:val="20"/>
        </w:trPr>
        <w:tc>
          <w:tcPr>
            <w:tcW w:w="3223" w:type="pct"/>
            <w:tcBorders>
              <w:right w:val="single" w:sz="8" w:space="0" w:color="auto"/>
            </w:tcBorders>
            <w:vAlign w:val="center"/>
          </w:tcPr>
          <w:p w14:paraId="1C3509E2"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RE does not Granger cause FDI</w:t>
            </w:r>
          </w:p>
        </w:tc>
        <w:tc>
          <w:tcPr>
            <w:tcW w:w="393" w:type="pct"/>
            <w:vMerge/>
            <w:tcBorders>
              <w:top w:val="nil"/>
              <w:left w:val="single" w:sz="8" w:space="0" w:color="auto"/>
              <w:bottom w:val="single" w:sz="18" w:space="0" w:color="auto"/>
              <w:right w:val="single" w:sz="8" w:space="0" w:color="auto"/>
            </w:tcBorders>
            <w:vAlign w:val="center"/>
          </w:tcPr>
          <w:p w14:paraId="39C8E650" w14:textId="77777777" w:rsidR="000A5D73" w:rsidRPr="005D7EAC" w:rsidRDefault="000A5D73" w:rsidP="00147DAD">
            <w:pPr>
              <w:tabs>
                <w:tab w:val="left" w:pos="2024"/>
              </w:tabs>
              <w:rPr>
                <w:rFonts w:ascii="Times New Roman" w:eastAsiaTheme="minorEastAsia" w:hAnsi="Times New Roman" w:cs="Times New Roman"/>
                <w:sz w:val="18"/>
                <w:szCs w:val="18"/>
              </w:rPr>
            </w:pPr>
          </w:p>
        </w:tc>
        <w:tc>
          <w:tcPr>
            <w:tcW w:w="626" w:type="pct"/>
            <w:tcBorders>
              <w:left w:val="single" w:sz="8" w:space="0" w:color="auto"/>
              <w:bottom w:val="single" w:sz="18" w:space="0" w:color="auto"/>
              <w:right w:val="single" w:sz="8" w:space="0" w:color="auto"/>
            </w:tcBorders>
            <w:vAlign w:val="center"/>
          </w:tcPr>
          <w:p w14:paraId="6B386247"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9.000</w:t>
            </w:r>
          </w:p>
        </w:tc>
        <w:tc>
          <w:tcPr>
            <w:tcW w:w="758" w:type="pct"/>
            <w:tcBorders>
              <w:left w:val="single" w:sz="8" w:space="0" w:color="auto"/>
              <w:bottom w:val="single" w:sz="18" w:space="0" w:color="auto"/>
            </w:tcBorders>
            <w:vAlign w:val="center"/>
          </w:tcPr>
          <w:p w14:paraId="6D1F281D" w14:textId="77777777" w:rsidR="000A5D73" w:rsidRPr="005D7EAC" w:rsidRDefault="000A5D73" w:rsidP="00147DAD">
            <w:pPr>
              <w:tabs>
                <w:tab w:val="left" w:pos="2024"/>
              </w:tabs>
              <w:rPr>
                <w:rFonts w:ascii="Times New Roman" w:eastAsiaTheme="minorEastAsia" w:hAnsi="Times New Roman" w:cs="Times New Roman"/>
                <w:sz w:val="18"/>
                <w:szCs w:val="18"/>
              </w:rPr>
            </w:pPr>
            <w:r w:rsidRPr="005D7EAC">
              <w:rPr>
                <w:rFonts w:ascii="Times New Roman" w:eastAsiaTheme="minorEastAsia" w:hAnsi="Times New Roman" w:cs="Times New Roman"/>
                <w:sz w:val="18"/>
                <w:szCs w:val="18"/>
              </w:rPr>
              <w:t>0.006</w:t>
            </w:r>
            <w:r>
              <w:rPr>
                <w:rFonts w:ascii="Times New Roman" w:eastAsiaTheme="minorEastAsia" w:hAnsi="Times New Roman" w:cs="Times New Roman"/>
                <w:sz w:val="18"/>
                <w:szCs w:val="18"/>
              </w:rPr>
              <w:t>***</w:t>
            </w:r>
          </w:p>
        </w:tc>
      </w:tr>
    </w:tbl>
    <w:p w14:paraId="081494F7" w14:textId="77777777" w:rsidR="000A5D73" w:rsidRPr="00621A82" w:rsidRDefault="000A5D73" w:rsidP="000A5D73">
      <w:pPr>
        <w:tabs>
          <w:tab w:val="left" w:pos="2024"/>
        </w:tabs>
        <w:spacing w:line="360" w:lineRule="auto"/>
        <w:jc w:val="both"/>
        <w:rPr>
          <w:rFonts w:ascii="Times New Roman" w:eastAsiaTheme="minorEastAsia" w:hAnsi="Times New Roman" w:cs="Times New Roman"/>
          <w:sz w:val="16"/>
          <w:szCs w:val="16"/>
        </w:rPr>
      </w:pPr>
      <w:r w:rsidRPr="00621A82">
        <w:rPr>
          <w:rFonts w:ascii="Times New Roman" w:eastAsiaTheme="minorEastAsia" w:hAnsi="Times New Roman" w:cs="Times New Roman"/>
          <w:sz w:val="16"/>
          <w:szCs w:val="16"/>
        </w:rPr>
        <w:t>Source: Authors’ Computation</w:t>
      </w:r>
    </w:p>
    <w:p w14:paraId="18A37823" w14:textId="77777777" w:rsidR="000A5D73" w:rsidRPr="00621A82" w:rsidRDefault="000A5D73" w:rsidP="000A5D73">
      <w:pPr>
        <w:tabs>
          <w:tab w:val="left" w:pos="2024"/>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The granger causality result validates the relationship shown in the table 5. The results shows that variables like Urban and GDP has unidirectional causation with the RE in India, i.e., with increase in these variables RE will get affected. However, with change in RE these variables are not certainly going to change. Also, it is found that change in FDI does not evidently change </w:t>
      </w:r>
      <w:r>
        <w:rPr>
          <w:rFonts w:ascii="Times New Roman" w:eastAsiaTheme="minorEastAsia" w:hAnsi="Times New Roman" w:cs="Times New Roman"/>
        </w:rPr>
        <w:lastRenderedPageBreak/>
        <w:t>RE, but the reverse has been proved to be significant. The hypothesis behind this relationship is that when an economy starts to demand renewable energy, the developed economies start to invest in the green sector to get higher profits. So, in case of India, an emerging economy, the alignment towards renewable energy attracts higher FDI from developed economies.</w:t>
      </w:r>
    </w:p>
    <w:p w14:paraId="5244973A" w14:textId="77777777" w:rsidR="000A5D73" w:rsidRDefault="000A5D73" w:rsidP="000A5D73">
      <w:pPr>
        <w:tabs>
          <w:tab w:val="left" w:pos="2024"/>
        </w:tabs>
        <w:spacing w:line="360" w:lineRule="auto"/>
        <w:jc w:val="both"/>
        <w:rPr>
          <w:rFonts w:ascii="Times New Roman" w:eastAsiaTheme="minorEastAsia" w:hAnsi="Times New Roman" w:cs="Times New Roman"/>
          <w:b/>
          <w:bCs/>
        </w:rPr>
      </w:pPr>
      <w:r w:rsidRPr="00D84ED0">
        <w:rPr>
          <w:rFonts w:ascii="Times New Roman" w:eastAsiaTheme="minorEastAsia" w:hAnsi="Times New Roman" w:cs="Times New Roman"/>
          <w:b/>
          <w:bCs/>
        </w:rPr>
        <w:t>Conclusion</w:t>
      </w:r>
    </w:p>
    <w:p w14:paraId="2C6A74F9" w14:textId="77777777" w:rsidR="000A5D73" w:rsidRPr="001A5928" w:rsidRDefault="000A5D73" w:rsidP="000A5D73">
      <w:pPr>
        <w:tabs>
          <w:tab w:val="left" w:pos="2024"/>
        </w:tabs>
        <w:spacing w:line="360" w:lineRule="auto"/>
        <w:jc w:val="both"/>
        <w:rPr>
          <w:rFonts w:ascii="Times New Roman" w:eastAsiaTheme="minorEastAsia" w:hAnsi="Times New Roman" w:cs="Times New Roman"/>
        </w:rPr>
      </w:pPr>
      <w:r w:rsidRPr="001A5928">
        <w:rPr>
          <w:rFonts w:ascii="Times New Roman" w:eastAsiaTheme="minorEastAsia" w:hAnsi="Times New Roman" w:cs="Times New Roman"/>
        </w:rPr>
        <w:t>The findings of this study reveal a clear policy trade-off between economic growth, urbanisation, and energy sustainability in India. The results consistently demonstrate that while GDP growth significantly stimulates renewable energy adoption, rapid urbanisation has a dampening effect on the transition toward clean energy. This outcome highlights the dual reality India faces on the one hand, sustained economic growth enhances the capacity to invest in renewable infrastructure, but on the other hand, unplanned and energy-intensive urbanisation continues to lock cities into conventional fossil-fuel-based systems. The role of FDI is found to be less decisive, with its contribution to renewable energy remaining statistically weak, suggesting that foreign capital alone cannot drive the clean energy shift without complementary domestic policy support and institutional readiness. Taken together, these findings underscore the importance of deliberate policy design that harnesses economic growth for clean energy transitions while addressing the structural challenges of urbanisation.</w:t>
      </w:r>
    </w:p>
    <w:p w14:paraId="0B163353"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1A5928">
        <w:rPr>
          <w:rFonts w:ascii="Times New Roman" w:eastAsiaTheme="minorEastAsia" w:hAnsi="Times New Roman" w:cs="Times New Roman"/>
        </w:rPr>
        <w:t>Going forward, India’s sustainability agenda requires an integrated policy framework that reconciles the growth</w:t>
      </w:r>
      <w:r>
        <w:rPr>
          <w:rFonts w:ascii="Times New Roman" w:eastAsiaTheme="minorEastAsia" w:hAnsi="Times New Roman" w:cs="Times New Roman"/>
        </w:rPr>
        <w:t>-</w:t>
      </w:r>
      <w:r w:rsidRPr="001A5928">
        <w:rPr>
          <w:rFonts w:ascii="Times New Roman" w:eastAsiaTheme="minorEastAsia" w:hAnsi="Times New Roman" w:cs="Times New Roman"/>
        </w:rPr>
        <w:t>urbanisation</w:t>
      </w:r>
      <w:r>
        <w:rPr>
          <w:rFonts w:ascii="Times New Roman" w:eastAsiaTheme="minorEastAsia" w:hAnsi="Times New Roman" w:cs="Times New Roman"/>
        </w:rPr>
        <w:t>-</w:t>
      </w:r>
      <w:r w:rsidRPr="001A5928">
        <w:rPr>
          <w:rFonts w:ascii="Times New Roman" w:eastAsiaTheme="minorEastAsia" w:hAnsi="Times New Roman" w:cs="Times New Roman"/>
        </w:rPr>
        <w:t>sustainability nexus. Stronger emphasis must be placed on sustainable urban planning, green infrastructure investment, and regulatory instruments that incentivise renewable energy adoption in urban ecosystems. Initiatives such as green bonds, renewable purchase obligations, and urban energy-efficiency programmes can bridge the existing gaps. Moreover, aligning urban expansion with renewable integration will be crucial if India is to honour its Paris Agreement commitments and its own ambitious net-zero targets. In this context, the findings of the study not only provide empirical evidence of the trade-offs but also suggest the pressing need for a reorientation of development priorities toward inclusive, resilient, and energy-sustainable pathways. This will ensure that economic prosperity and urban growth do not come at the cost of environmental degradation but rather act as catalysts in creating a sustainable and future-ready India.</w:t>
      </w:r>
    </w:p>
    <w:p w14:paraId="299AEA31" w14:textId="77777777" w:rsidR="000809E8" w:rsidRDefault="000809E8" w:rsidP="000A5D73">
      <w:pPr>
        <w:tabs>
          <w:tab w:val="left" w:pos="2024"/>
        </w:tabs>
        <w:spacing w:line="360" w:lineRule="auto"/>
        <w:jc w:val="both"/>
        <w:rPr>
          <w:rFonts w:ascii="Times New Roman" w:eastAsiaTheme="minorEastAsia" w:hAnsi="Times New Roman" w:cs="Times New Roman"/>
        </w:rPr>
      </w:pPr>
    </w:p>
    <w:p w14:paraId="0B4E03FE" w14:textId="77777777" w:rsidR="000809E8" w:rsidRDefault="000809E8" w:rsidP="000A5D73">
      <w:pPr>
        <w:tabs>
          <w:tab w:val="left" w:pos="2024"/>
        </w:tabs>
        <w:spacing w:line="360" w:lineRule="auto"/>
        <w:jc w:val="both"/>
        <w:rPr>
          <w:rFonts w:ascii="Times New Roman" w:eastAsiaTheme="minorEastAsia" w:hAnsi="Times New Roman" w:cs="Times New Roman"/>
        </w:rPr>
      </w:pPr>
      <w:bookmarkStart w:id="0" w:name="_GoBack"/>
      <w:bookmarkEnd w:id="0"/>
    </w:p>
    <w:p w14:paraId="6DBBB9D6" w14:textId="77777777" w:rsidR="000A5D73" w:rsidRDefault="000A5D73" w:rsidP="000A5D73">
      <w:p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Reference</w:t>
      </w:r>
      <w:r>
        <w:rPr>
          <w:rFonts w:ascii="Times New Roman" w:eastAsiaTheme="minorEastAsia" w:hAnsi="Times New Roman" w:cs="Times New Roman"/>
        </w:rPr>
        <w:t>s</w:t>
      </w:r>
    </w:p>
    <w:p w14:paraId="55D539E8"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Adebayo, T. S., Awosusi, A. A., </w:t>
      </w:r>
      <w:proofErr w:type="spellStart"/>
      <w:r w:rsidRPr="00082310">
        <w:rPr>
          <w:rFonts w:ascii="Times New Roman" w:eastAsiaTheme="minorEastAsia" w:hAnsi="Times New Roman" w:cs="Times New Roman"/>
        </w:rPr>
        <w:t>Odugbesan</w:t>
      </w:r>
      <w:proofErr w:type="spellEnd"/>
      <w:r w:rsidRPr="00082310">
        <w:rPr>
          <w:rFonts w:ascii="Times New Roman" w:eastAsiaTheme="minorEastAsia" w:hAnsi="Times New Roman" w:cs="Times New Roman"/>
        </w:rPr>
        <w:t xml:space="preserve">, J. A., Akinsola, G. D., Wong, W. K., &amp; </w:t>
      </w:r>
      <w:proofErr w:type="spellStart"/>
      <w:r w:rsidRPr="00082310">
        <w:rPr>
          <w:rFonts w:ascii="Times New Roman" w:eastAsiaTheme="minorEastAsia" w:hAnsi="Times New Roman" w:cs="Times New Roman"/>
        </w:rPr>
        <w:t>Rjoub</w:t>
      </w:r>
      <w:proofErr w:type="spellEnd"/>
      <w:r w:rsidRPr="00082310">
        <w:rPr>
          <w:rFonts w:ascii="Times New Roman" w:eastAsiaTheme="minorEastAsia" w:hAnsi="Times New Roman" w:cs="Times New Roman"/>
        </w:rPr>
        <w:t xml:space="preserve">, H. (2021). Sustainability of energy-induced growth nexus in Brazil: Do carbon </w:t>
      </w:r>
      <w:r w:rsidRPr="00082310">
        <w:rPr>
          <w:rFonts w:ascii="Times New Roman" w:eastAsiaTheme="minorEastAsia" w:hAnsi="Times New Roman" w:cs="Times New Roman"/>
        </w:rPr>
        <w:lastRenderedPageBreak/>
        <w:t xml:space="preserve">emissions and urbanisation matter? Sustainability (Switzerland), 13(8). </w:t>
      </w:r>
      <w:hyperlink r:id="rId11" w:history="1">
        <w:r w:rsidRPr="00082310">
          <w:rPr>
            <w:rStyle w:val="Hyperlink"/>
            <w:rFonts w:ascii="Times New Roman" w:eastAsiaTheme="minorEastAsia" w:hAnsi="Times New Roman" w:cs="Times New Roman"/>
          </w:rPr>
          <w:t>https://doi.org/10.3390/su13084371</w:t>
        </w:r>
      </w:hyperlink>
      <w:r w:rsidRPr="00082310">
        <w:rPr>
          <w:rFonts w:ascii="Times New Roman" w:eastAsiaTheme="minorEastAsia" w:hAnsi="Times New Roman" w:cs="Times New Roman"/>
        </w:rPr>
        <w:t>.</w:t>
      </w:r>
    </w:p>
    <w:p w14:paraId="701B5A29"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Adedoyin, F. F., Alola, A. A.,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(2020). An assessment of environmental sustainability corridor: The role of economic expansion and research and development in EU countries. Science of the Total Environment, 713. </w:t>
      </w:r>
      <w:hyperlink r:id="rId12" w:history="1">
        <w:r w:rsidRPr="00082310">
          <w:rPr>
            <w:rStyle w:val="Hyperlink"/>
            <w:rFonts w:ascii="Times New Roman" w:eastAsiaTheme="minorEastAsia" w:hAnsi="Times New Roman" w:cs="Times New Roman"/>
          </w:rPr>
          <w:t>https://doi.org/10.1016/j.scitotenv.2020.136726</w:t>
        </w:r>
      </w:hyperlink>
      <w:r w:rsidRPr="00082310">
        <w:rPr>
          <w:rFonts w:ascii="Times New Roman" w:eastAsiaTheme="minorEastAsia" w:hAnsi="Times New Roman" w:cs="Times New Roman"/>
        </w:rPr>
        <w:t>.</w:t>
      </w:r>
    </w:p>
    <w:p w14:paraId="645ED1C6"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Adedoyin, F., Ozturk, I., Abubakar, I., </w:t>
      </w:r>
      <w:proofErr w:type="spellStart"/>
      <w:r w:rsidRPr="00082310">
        <w:rPr>
          <w:rFonts w:ascii="Times New Roman" w:eastAsiaTheme="minorEastAsia" w:hAnsi="Times New Roman" w:cs="Times New Roman"/>
        </w:rPr>
        <w:t>Kumeka</w:t>
      </w:r>
      <w:proofErr w:type="spellEnd"/>
      <w:r w:rsidRPr="00082310">
        <w:rPr>
          <w:rFonts w:ascii="Times New Roman" w:eastAsiaTheme="minorEastAsia" w:hAnsi="Times New Roman" w:cs="Times New Roman"/>
        </w:rPr>
        <w:t xml:space="preserve">, T., Folarin, O.,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(2020). Structural breaks in CO2 emissions: Are they caused by climate change protests or other factors? Journal of Environmental Management, 266(December 2019), 110628. </w:t>
      </w:r>
      <w:hyperlink r:id="rId13" w:history="1">
        <w:r w:rsidRPr="00082310">
          <w:rPr>
            <w:rStyle w:val="Hyperlink"/>
            <w:rFonts w:ascii="Times New Roman" w:eastAsiaTheme="minorEastAsia" w:hAnsi="Times New Roman" w:cs="Times New Roman"/>
          </w:rPr>
          <w:t>https://doi.org/10.1016/j.jenvman.2020.110628</w:t>
        </w:r>
      </w:hyperlink>
      <w:r w:rsidRPr="00082310">
        <w:rPr>
          <w:rFonts w:ascii="Times New Roman" w:eastAsiaTheme="minorEastAsia" w:hAnsi="Times New Roman" w:cs="Times New Roman"/>
        </w:rPr>
        <w:t>.</w:t>
      </w:r>
    </w:p>
    <w:p w14:paraId="24A294F0"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Adewale Alola, A., Ozturk, I.,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(2021). Is clean energy prosperity and technological innovation rapidly mitigating sustainable energy-development deficit in selected sub-Saharan Africa? A myth or reality. Energy Policy, 158(May), 112520. </w:t>
      </w:r>
      <w:hyperlink r:id="rId14" w:history="1">
        <w:r w:rsidRPr="00A9704C">
          <w:rPr>
            <w:rStyle w:val="Hyperlink"/>
            <w:rFonts w:ascii="Times New Roman" w:eastAsiaTheme="minorEastAsia" w:hAnsi="Times New Roman" w:cs="Times New Roman"/>
          </w:rPr>
          <w:t>https://doi.org/10.1016/j.enpol.2021.112520</w:t>
        </w:r>
      </w:hyperlink>
      <w:r>
        <w:rPr>
          <w:rFonts w:ascii="Times New Roman" w:eastAsiaTheme="minorEastAsia" w:hAnsi="Times New Roman" w:cs="Times New Roman"/>
        </w:rPr>
        <w:t xml:space="preserve">.  </w:t>
      </w:r>
    </w:p>
    <w:p w14:paraId="0C388645"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Ali, H. S., Nathaniel, S. P., </w:t>
      </w:r>
      <w:proofErr w:type="spellStart"/>
      <w:r w:rsidRPr="00082310">
        <w:rPr>
          <w:rFonts w:ascii="Times New Roman" w:eastAsiaTheme="minorEastAsia" w:hAnsi="Times New Roman" w:cs="Times New Roman"/>
        </w:rPr>
        <w:t>Uzuner</w:t>
      </w:r>
      <w:proofErr w:type="spellEnd"/>
      <w:r w:rsidRPr="00082310">
        <w:rPr>
          <w:rFonts w:ascii="Times New Roman" w:eastAsiaTheme="minorEastAsia" w:hAnsi="Times New Roman" w:cs="Times New Roman"/>
        </w:rPr>
        <w:t xml:space="preserve">, G.,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&amp; Sarkodie, S. A. (2020). </w:t>
      </w:r>
      <w:proofErr w:type="spellStart"/>
      <w:r w:rsidRPr="00082310">
        <w:rPr>
          <w:rFonts w:ascii="Times New Roman" w:eastAsiaTheme="minorEastAsia" w:hAnsi="Times New Roman" w:cs="Times New Roman"/>
        </w:rPr>
        <w:t>Trivariate</w:t>
      </w:r>
      <w:proofErr w:type="spellEnd"/>
      <w:r w:rsidRPr="00082310">
        <w:rPr>
          <w:rFonts w:ascii="Times New Roman" w:eastAsiaTheme="minorEastAsia" w:hAnsi="Times New Roman" w:cs="Times New Roman"/>
        </w:rPr>
        <w:t xml:space="preserve"> modelling of the nexus between electricity consumption, urbanisation and economic growth in Nigeria: fresh insights from Maki Co-integration and causality tests. </w:t>
      </w:r>
      <w:proofErr w:type="spellStart"/>
      <w:r w:rsidRPr="00082310">
        <w:rPr>
          <w:rFonts w:ascii="Times New Roman" w:eastAsiaTheme="minorEastAsia" w:hAnsi="Times New Roman" w:cs="Times New Roman"/>
        </w:rPr>
        <w:t>Heliyon</w:t>
      </w:r>
      <w:proofErr w:type="spellEnd"/>
      <w:r w:rsidRPr="00082310">
        <w:rPr>
          <w:rFonts w:ascii="Times New Roman" w:eastAsiaTheme="minorEastAsia" w:hAnsi="Times New Roman" w:cs="Times New Roman"/>
        </w:rPr>
        <w:t xml:space="preserve">, 6(2), e03400. </w:t>
      </w:r>
      <w:hyperlink r:id="rId15" w:history="1">
        <w:r w:rsidRPr="00A9704C">
          <w:rPr>
            <w:rStyle w:val="Hyperlink"/>
            <w:rFonts w:ascii="Times New Roman" w:eastAsiaTheme="minorEastAsia" w:hAnsi="Times New Roman" w:cs="Times New Roman"/>
          </w:rPr>
          <w:t>https://doi.org/10.1016/j.heliyon.2020.e03400</w:t>
        </w:r>
      </w:hyperlink>
      <w:r>
        <w:rPr>
          <w:rFonts w:ascii="Times New Roman" w:eastAsiaTheme="minorEastAsia" w:hAnsi="Times New Roman" w:cs="Times New Roman"/>
        </w:rPr>
        <w:t xml:space="preserve">.  </w:t>
      </w:r>
    </w:p>
    <w:p w14:paraId="6F83B8B0"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Ali, S., Yusop, Z., Kaliappan, S. R., &amp; Chin, L. (2020). Dynamic common correlated effects of trade openness, FDI, and institutional performance on environmental quality: evidence from OIC countries. Environmental Science and Pollution Research, 27(11), 11671–11682. </w:t>
      </w:r>
      <w:hyperlink r:id="rId16" w:history="1">
        <w:r w:rsidRPr="00A9704C">
          <w:rPr>
            <w:rStyle w:val="Hyperlink"/>
            <w:rFonts w:ascii="Times New Roman" w:eastAsiaTheme="minorEastAsia" w:hAnsi="Times New Roman" w:cs="Times New Roman"/>
          </w:rPr>
          <w:t>https://doi.org/10.1007/s11356-020-07768-7</w:t>
        </w:r>
      </w:hyperlink>
      <w:r>
        <w:rPr>
          <w:rFonts w:ascii="Times New Roman" w:eastAsiaTheme="minorEastAsia" w:hAnsi="Times New Roman" w:cs="Times New Roman"/>
        </w:rPr>
        <w:t xml:space="preserve">.  </w:t>
      </w:r>
    </w:p>
    <w:p w14:paraId="2B513DE9"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Anbu, S. (2020). Sustainable Development: The Balance between Conserving Environmental Resources and Economic Development.</w:t>
      </w:r>
    </w:p>
    <w:p w14:paraId="66C0E4CA"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Anser</w:t>
      </w:r>
      <w:proofErr w:type="spellEnd"/>
      <w:r w:rsidRPr="00082310">
        <w:rPr>
          <w:rFonts w:ascii="Times New Roman" w:eastAsiaTheme="minorEastAsia" w:hAnsi="Times New Roman" w:cs="Times New Roman"/>
        </w:rPr>
        <w:t>, M. K., Alharthi, M., Aziz, B., &amp; Wasim, S. (2020). Impact of urbanisation, economic growth, and population size on residential carbon emissions in the SAARC countries. Clean Technologies and Environmental Policy, 22, 923–936.</w:t>
      </w:r>
    </w:p>
    <w:p w14:paraId="11160EB9"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Arif, A., Sadiq, M., Shabbir, M. S., Yahya, G., Zamir, A., &amp; Bares Lopez, L. (2020). The role of globalisation in financial development, trade openness and sustainable environmental-economic growth: evidence from selected South Asian economies. Journal of Sustainable Finance and Investment, 0(0), 1–18. </w:t>
      </w:r>
      <w:hyperlink r:id="rId17" w:history="1">
        <w:r w:rsidRPr="00A9704C">
          <w:rPr>
            <w:rStyle w:val="Hyperlink"/>
            <w:rFonts w:ascii="Times New Roman" w:eastAsiaTheme="minorEastAsia" w:hAnsi="Times New Roman" w:cs="Times New Roman"/>
          </w:rPr>
          <w:t>https://doi.org/10.1080/20430795.2020.1861865</w:t>
        </w:r>
      </w:hyperlink>
      <w:r>
        <w:rPr>
          <w:rFonts w:ascii="Times New Roman" w:eastAsiaTheme="minorEastAsia" w:hAnsi="Times New Roman" w:cs="Times New Roman"/>
        </w:rPr>
        <w:t xml:space="preserve">.  </w:t>
      </w:r>
    </w:p>
    <w:p w14:paraId="163F93EB"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Asif, M., Sharma, R. B., &amp; Adow, A. H. E. (2015). An empirical investigation of the relationship between economic growth, urbanisation, energy consumption, and CO2 </w:t>
      </w:r>
      <w:r w:rsidRPr="00082310">
        <w:rPr>
          <w:rFonts w:ascii="Times New Roman" w:eastAsiaTheme="minorEastAsia" w:hAnsi="Times New Roman" w:cs="Times New Roman"/>
        </w:rPr>
        <w:lastRenderedPageBreak/>
        <w:t xml:space="preserve">emission in GCC countries: A panel data analysis. Asian Social Science, 11(21), 270–284. </w:t>
      </w:r>
      <w:hyperlink r:id="rId18" w:history="1">
        <w:r w:rsidRPr="00A9704C">
          <w:rPr>
            <w:rStyle w:val="Hyperlink"/>
            <w:rFonts w:ascii="Times New Roman" w:eastAsiaTheme="minorEastAsia" w:hAnsi="Times New Roman" w:cs="Times New Roman"/>
          </w:rPr>
          <w:t>https://doi.org/10.5539/ass.v11n21p270</w:t>
        </w:r>
      </w:hyperlink>
      <w:r>
        <w:rPr>
          <w:rFonts w:ascii="Times New Roman" w:eastAsiaTheme="minorEastAsia" w:hAnsi="Times New Roman" w:cs="Times New Roman"/>
        </w:rPr>
        <w:t xml:space="preserve">.  </w:t>
      </w:r>
    </w:p>
    <w:p w14:paraId="201A6781"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Asumadu</w:t>
      </w:r>
      <w:proofErr w:type="spellEnd"/>
      <w:r w:rsidRPr="00082310">
        <w:rPr>
          <w:rFonts w:ascii="Times New Roman" w:eastAsiaTheme="minorEastAsia" w:hAnsi="Times New Roman" w:cs="Times New Roman"/>
        </w:rPr>
        <w:t xml:space="preserve">-Sarkodie, S., &amp; Owusu, P. A. (2016). Energy use, carbon dioxide emissions, GDP, industrialisation, financial development, and population, a causal nexus in Sri Lanka: With a subsequent prediction of energy use using neural network. Energy Sources, Part B: Economics, Planning and Policy, 11(9), 889–899. </w:t>
      </w:r>
      <w:hyperlink r:id="rId19" w:history="1">
        <w:r w:rsidRPr="00A9704C">
          <w:rPr>
            <w:rStyle w:val="Hyperlink"/>
            <w:rFonts w:ascii="Times New Roman" w:eastAsiaTheme="minorEastAsia" w:hAnsi="Times New Roman" w:cs="Times New Roman"/>
          </w:rPr>
          <w:t>https://doi.org/10.1080/15567249.2016.1217285</w:t>
        </w:r>
      </w:hyperlink>
      <w:r>
        <w:rPr>
          <w:rFonts w:ascii="Times New Roman" w:eastAsiaTheme="minorEastAsia" w:hAnsi="Times New Roman" w:cs="Times New Roman"/>
        </w:rPr>
        <w:t xml:space="preserve">.  </w:t>
      </w:r>
    </w:p>
    <w:p w14:paraId="30017E21"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Bai, X., Chen, J., &amp; Shi, P. (2012). Landscape urbanisation and economic growth in China: Positive feedback and sustainability dilemmas. Environmental Science and Technology, 46(1), 132–139. </w:t>
      </w:r>
      <w:hyperlink r:id="rId20" w:history="1">
        <w:r w:rsidRPr="00A9704C">
          <w:rPr>
            <w:rStyle w:val="Hyperlink"/>
            <w:rFonts w:ascii="Times New Roman" w:eastAsiaTheme="minorEastAsia" w:hAnsi="Times New Roman" w:cs="Times New Roman"/>
          </w:rPr>
          <w:t>https://doi.org/10.1021/es202329f</w:t>
        </w:r>
      </w:hyperlink>
      <w:r>
        <w:rPr>
          <w:rFonts w:ascii="Times New Roman" w:eastAsiaTheme="minorEastAsia" w:hAnsi="Times New Roman" w:cs="Times New Roman"/>
        </w:rPr>
        <w:t xml:space="preserve">.  </w:t>
      </w:r>
    </w:p>
    <w:p w14:paraId="44508FA8"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Baloch, M. A., Ozturk, I.,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&amp; Khan, D. (2021). </w:t>
      </w:r>
      <w:proofErr w:type="spellStart"/>
      <w:r w:rsidRPr="00082310">
        <w:rPr>
          <w:rFonts w:ascii="Times New Roman" w:eastAsiaTheme="minorEastAsia" w:hAnsi="Times New Roman" w:cs="Times New Roman"/>
        </w:rPr>
        <w:t>Modeling</w:t>
      </w:r>
      <w:proofErr w:type="spellEnd"/>
      <w:r w:rsidRPr="00082310">
        <w:rPr>
          <w:rFonts w:ascii="Times New Roman" w:eastAsiaTheme="minorEastAsia" w:hAnsi="Times New Roman" w:cs="Times New Roman"/>
        </w:rPr>
        <w:t xml:space="preserve"> the dynamic linkage between financial development, energy innovation, and environmental quality: Does globalisation matter? Business Strategy and the Environment, 30(1), 176–184. </w:t>
      </w:r>
      <w:hyperlink r:id="rId21" w:history="1">
        <w:r w:rsidRPr="00A9704C">
          <w:rPr>
            <w:rStyle w:val="Hyperlink"/>
            <w:rFonts w:ascii="Times New Roman" w:eastAsiaTheme="minorEastAsia" w:hAnsi="Times New Roman" w:cs="Times New Roman"/>
          </w:rPr>
          <w:t>https://doi.org/10.1002/bse.2615</w:t>
        </w:r>
      </w:hyperlink>
      <w:r>
        <w:rPr>
          <w:rFonts w:ascii="Times New Roman" w:eastAsiaTheme="minorEastAsia" w:hAnsi="Times New Roman" w:cs="Times New Roman"/>
        </w:rPr>
        <w:t xml:space="preserve">.  </w:t>
      </w:r>
    </w:p>
    <w:p w14:paraId="61A3E770"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Basu, S., Roy, M., &amp; Pal, P. (2020). Exploring the impact of economic growth, trade openness and urbanisation with evidence from a large developing economy of India towards a sustainable and practical energy policy. Clean Technologies and Environmental Policy, 22(4), 877–891. </w:t>
      </w:r>
      <w:hyperlink r:id="rId22" w:history="1">
        <w:r w:rsidRPr="00A9704C">
          <w:rPr>
            <w:rStyle w:val="Hyperlink"/>
            <w:rFonts w:ascii="Times New Roman" w:eastAsiaTheme="minorEastAsia" w:hAnsi="Times New Roman" w:cs="Times New Roman"/>
          </w:rPr>
          <w:t>https://doi.org/10.1007/s10098-020-01828-9</w:t>
        </w:r>
      </w:hyperlink>
      <w:r>
        <w:rPr>
          <w:rFonts w:ascii="Times New Roman" w:eastAsiaTheme="minorEastAsia" w:hAnsi="Times New Roman" w:cs="Times New Roman"/>
        </w:rPr>
        <w:t xml:space="preserve">.  </w:t>
      </w:r>
    </w:p>
    <w:p w14:paraId="67F2917F"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Behera, S. R., &amp; Dash, D. P. (2017). The effect of urbanisation, energy consumption, and foreign direct investment on the carbon dioxide emission in the SSEA (South and Southeast Asian) region. In Renewable and Sustainable Energy Reviews (Vol. 70, pp. 96–106). Elsevier Ltd. </w:t>
      </w:r>
      <w:hyperlink r:id="rId23" w:history="1">
        <w:r w:rsidRPr="00A9704C">
          <w:rPr>
            <w:rStyle w:val="Hyperlink"/>
            <w:rFonts w:ascii="Times New Roman" w:eastAsiaTheme="minorEastAsia" w:hAnsi="Times New Roman" w:cs="Times New Roman"/>
          </w:rPr>
          <w:t>https://doi.org/10.1016/j.rser.2016.11.201</w:t>
        </w:r>
      </w:hyperlink>
      <w:r>
        <w:rPr>
          <w:rFonts w:ascii="Times New Roman" w:eastAsiaTheme="minorEastAsia" w:hAnsi="Times New Roman" w:cs="Times New Roman"/>
        </w:rPr>
        <w:t xml:space="preserve">.  </w:t>
      </w:r>
    </w:p>
    <w:p w14:paraId="5FC49EDC"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Alola, A. A., &amp; Sarkodie, S. A. (2019). Toward a sustainable environment: Nexus between CO2 emissions, resource rent, renewable and non-renewable energy in 16-EU countries. Science of the Total Environment, 657, 1023–1029. </w:t>
      </w:r>
      <w:hyperlink r:id="rId24" w:history="1">
        <w:r w:rsidRPr="00A9704C">
          <w:rPr>
            <w:rStyle w:val="Hyperlink"/>
            <w:rFonts w:ascii="Times New Roman" w:eastAsiaTheme="minorEastAsia" w:hAnsi="Times New Roman" w:cs="Times New Roman"/>
          </w:rPr>
          <w:t>https://doi.org/10.1016/j.scitotenv.2018.12.104</w:t>
        </w:r>
      </w:hyperlink>
      <w:r>
        <w:rPr>
          <w:rFonts w:ascii="Times New Roman" w:eastAsiaTheme="minorEastAsia" w:hAnsi="Times New Roman" w:cs="Times New Roman"/>
        </w:rPr>
        <w:t xml:space="preserve">.  </w:t>
      </w:r>
    </w:p>
    <w:p w14:paraId="150F4314"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Belloumi</w:t>
      </w:r>
      <w:proofErr w:type="spellEnd"/>
      <w:r w:rsidRPr="00082310">
        <w:rPr>
          <w:rFonts w:ascii="Times New Roman" w:eastAsiaTheme="minorEastAsia" w:hAnsi="Times New Roman" w:cs="Times New Roman"/>
        </w:rPr>
        <w:t xml:space="preserve">, M., &amp; </w:t>
      </w:r>
      <w:proofErr w:type="spellStart"/>
      <w:r w:rsidRPr="00082310">
        <w:rPr>
          <w:rFonts w:ascii="Times New Roman" w:eastAsiaTheme="minorEastAsia" w:hAnsi="Times New Roman" w:cs="Times New Roman"/>
        </w:rPr>
        <w:t>Alshehry</w:t>
      </w:r>
      <w:proofErr w:type="spellEnd"/>
      <w:r w:rsidRPr="00082310">
        <w:rPr>
          <w:rFonts w:ascii="Times New Roman" w:eastAsiaTheme="minorEastAsia" w:hAnsi="Times New Roman" w:cs="Times New Roman"/>
        </w:rPr>
        <w:t xml:space="preserve">, A. (2020). The impact of international trade on sustainable development in Saudi Arabia. Sustainability (Switzerland), 12(13). </w:t>
      </w:r>
      <w:hyperlink r:id="rId25" w:history="1">
        <w:r w:rsidRPr="00A9704C">
          <w:rPr>
            <w:rStyle w:val="Hyperlink"/>
            <w:rFonts w:ascii="Times New Roman" w:eastAsiaTheme="minorEastAsia" w:hAnsi="Times New Roman" w:cs="Times New Roman"/>
          </w:rPr>
          <w:t>https://doi.org/10.3390/su12135421</w:t>
        </w:r>
      </w:hyperlink>
      <w:r>
        <w:rPr>
          <w:rFonts w:ascii="Times New Roman" w:eastAsiaTheme="minorEastAsia" w:hAnsi="Times New Roman" w:cs="Times New Roman"/>
        </w:rPr>
        <w:t xml:space="preserve">.  </w:t>
      </w:r>
    </w:p>
    <w:p w14:paraId="058D11FD"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Chang, R., </w:t>
      </w:r>
      <w:proofErr w:type="spellStart"/>
      <w:r w:rsidRPr="00082310">
        <w:rPr>
          <w:rFonts w:ascii="Times New Roman" w:eastAsiaTheme="minorEastAsia" w:hAnsi="Times New Roman" w:cs="Times New Roman"/>
        </w:rPr>
        <w:t>Kaltani</w:t>
      </w:r>
      <w:proofErr w:type="spellEnd"/>
      <w:r w:rsidRPr="00082310">
        <w:rPr>
          <w:rFonts w:ascii="Times New Roman" w:eastAsiaTheme="minorEastAsia" w:hAnsi="Times New Roman" w:cs="Times New Roman"/>
        </w:rPr>
        <w:t xml:space="preserve">, L., &amp; Loayza, N. V. (2009). Openness can be good for growth: The role of policy complementarities. Journal of Development Economics, 90(1), 33–49. </w:t>
      </w:r>
      <w:hyperlink r:id="rId26" w:history="1">
        <w:r w:rsidRPr="00A9704C">
          <w:rPr>
            <w:rStyle w:val="Hyperlink"/>
            <w:rFonts w:ascii="Times New Roman" w:eastAsiaTheme="minorEastAsia" w:hAnsi="Times New Roman" w:cs="Times New Roman"/>
          </w:rPr>
          <w:t>https://doi.org/10.1016/j.jdeveco.2008.06.011</w:t>
        </w:r>
      </w:hyperlink>
      <w:r>
        <w:rPr>
          <w:rFonts w:ascii="Times New Roman" w:eastAsiaTheme="minorEastAsia" w:hAnsi="Times New Roman" w:cs="Times New Roman"/>
        </w:rPr>
        <w:t>.</w:t>
      </w:r>
    </w:p>
    <w:p w14:paraId="0FF7C179"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lastRenderedPageBreak/>
        <w:t xml:space="preserve">Combes Motel, P., Choumert, J., Minea, A., &amp; Sterner, T. (2014). Explorations in the Environment-Development Dilemma. Environmental and Resource Economics, 57(4), 479–485. </w:t>
      </w:r>
      <w:hyperlink r:id="rId27" w:history="1">
        <w:r w:rsidRPr="00A9704C">
          <w:rPr>
            <w:rStyle w:val="Hyperlink"/>
            <w:rFonts w:ascii="Times New Roman" w:eastAsiaTheme="minorEastAsia" w:hAnsi="Times New Roman" w:cs="Times New Roman"/>
          </w:rPr>
          <w:t>https://doi.org/10.1007/s10640-013-9745-9</w:t>
        </w:r>
      </w:hyperlink>
      <w:r>
        <w:rPr>
          <w:rFonts w:ascii="Times New Roman" w:eastAsiaTheme="minorEastAsia" w:hAnsi="Times New Roman" w:cs="Times New Roman"/>
        </w:rPr>
        <w:t>.</w:t>
      </w:r>
    </w:p>
    <w:p w14:paraId="2EC5F907"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Destek</w:t>
      </w:r>
      <w:proofErr w:type="spellEnd"/>
      <w:r w:rsidRPr="00082310">
        <w:rPr>
          <w:rFonts w:ascii="Times New Roman" w:eastAsiaTheme="minorEastAsia" w:hAnsi="Times New Roman" w:cs="Times New Roman"/>
        </w:rPr>
        <w:t xml:space="preserve">, M. A., &amp; Sarkodie, S. A. (2019). Investigation of environmental Kuznets curve for ecological footprint: The role of energy and financial development. Science of the Total Environment, 650, 2483–2489. </w:t>
      </w:r>
      <w:hyperlink r:id="rId28" w:history="1">
        <w:r w:rsidRPr="00A9704C">
          <w:rPr>
            <w:rStyle w:val="Hyperlink"/>
            <w:rFonts w:ascii="Times New Roman" w:eastAsiaTheme="minorEastAsia" w:hAnsi="Times New Roman" w:cs="Times New Roman"/>
          </w:rPr>
          <w:t>https://doi.org/10.1016/j.scitotenv.2018.10.017</w:t>
        </w:r>
      </w:hyperlink>
      <w:r>
        <w:rPr>
          <w:rFonts w:ascii="Times New Roman" w:eastAsiaTheme="minorEastAsia" w:hAnsi="Times New Roman" w:cs="Times New Roman"/>
        </w:rPr>
        <w:t>.</w:t>
      </w:r>
    </w:p>
    <w:p w14:paraId="7BEF529D"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Dollar, D., &amp; Kraay, A. (2004). TRADE, GROWTH, AND POVERTY*.</w:t>
      </w:r>
    </w:p>
    <w:p w14:paraId="27413F68" w14:textId="77777777" w:rsidR="000A5D73" w:rsidRPr="005A7264"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Douglas, I. (2012). Urban ecology and urban ecosystems: Understanding the links to human health and well-being.</w:t>
      </w:r>
      <w:r>
        <w:rPr>
          <w:rFonts w:ascii="Times New Roman" w:eastAsiaTheme="minorEastAsia" w:hAnsi="Times New Roman" w:cs="Times New Roman"/>
        </w:rPr>
        <w:t xml:space="preserve"> </w:t>
      </w:r>
      <w:r w:rsidRPr="005A7264">
        <w:rPr>
          <w:rFonts w:ascii="Times New Roman" w:eastAsiaTheme="minorEastAsia" w:hAnsi="Times New Roman" w:cs="Times New Roman"/>
        </w:rPr>
        <w:t xml:space="preserve">Current Opinion in Environmental Sustainability, 4(4), 385–392. </w:t>
      </w:r>
      <w:hyperlink r:id="rId29" w:history="1">
        <w:r w:rsidRPr="005A7264">
          <w:rPr>
            <w:rStyle w:val="Hyperlink"/>
            <w:rFonts w:ascii="Times New Roman" w:eastAsiaTheme="minorEastAsia" w:hAnsi="Times New Roman" w:cs="Times New Roman"/>
          </w:rPr>
          <w:t>https://doi.org/10.1016/j.cosust.2012.07.005</w:t>
        </w:r>
      </w:hyperlink>
      <w:r w:rsidRPr="005A7264">
        <w:rPr>
          <w:rFonts w:ascii="Times New Roman" w:eastAsiaTheme="minorEastAsia" w:hAnsi="Times New Roman" w:cs="Times New Roman"/>
        </w:rPr>
        <w:t>.</w:t>
      </w:r>
    </w:p>
    <w:p w14:paraId="0D2A41B1"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Royal, S., Kaushik, N., Chander, R., Chaudhary, N. (2023). A Nexus between Sustainability, Openness, Development, and Urbanization: Panel Data Evidence from QUAD Nations. Economic Studies Journal (</w:t>
      </w:r>
      <w:proofErr w:type="spellStart"/>
      <w:r w:rsidRPr="00082310">
        <w:rPr>
          <w:rFonts w:ascii="Times New Roman" w:eastAsiaTheme="minorEastAsia" w:hAnsi="Times New Roman" w:cs="Times New Roman"/>
        </w:rPr>
        <w:t>Ikonomicheski</w:t>
      </w:r>
      <w:proofErr w:type="spellEnd"/>
      <w:r w:rsidRPr="00082310">
        <w:rPr>
          <w:rFonts w:ascii="Times New Roman" w:eastAsiaTheme="minorEastAsia" w:hAnsi="Times New Roman" w:cs="Times New Roman"/>
        </w:rPr>
        <w:t xml:space="preserve"> </w:t>
      </w:r>
      <w:proofErr w:type="spellStart"/>
      <w:r w:rsidRPr="00082310">
        <w:rPr>
          <w:rFonts w:ascii="Times New Roman" w:eastAsiaTheme="minorEastAsia" w:hAnsi="Times New Roman" w:cs="Times New Roman"/>
        </w:rPr>
        <w:t>Izsledvania</w:t>
      </w:r>
      <w:proofErr w:type="spellEnd"/>
      <w:r w:rsidRPr="00082310">
        <w:rPr>
          <w:rFonts w:ascii="Times New Roman" w:eastAsiaTheme="minorEastAsia" w:hAnsi="Times New Roman" w:cs="Times New Roman"/>
        </w:rPr>
        <w:t>), 32(3), pp. 178-196.</w:t>
      </w:r>
    </w:p>
    <w:p w14:paraId="2926CCAA"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Faisal, F., </w:t>
      </w:r>
      <w:proofErr w:type="spellStart"/>
      <w:r w:rsidRPr="00082310">
        <w:rPr>
          <w:rFonts w:ascii="Times New Roman" w:eastAsiaTheme="minorEastAsia" w:hAnsi="Times New Roman" w:cs="Times New Roman"/>
        </w:rPr>
        <w:t>Tursoy</w:t>
      </w:r>
      <w:proofErr w:type="spellEnd"/>
      <w:r w:rsidRPr="00082310">
        <w:rPr>
          <w:rFonts w:ascii="Times New Roman" w:eastAsiaTheme="minorEastAsia" w:hAnsi="Times New Roman" w:cs="Times New Roman"/>
        </w:rPr>
        <w:t xml:space="preserve">, T., Gunsel </w:t>
      </w:r>
      <w:proofErr w:type="spellStart"/>
      <w:r w:rsidRPr="00082310">
        <w:rPr>
          <w:rFonts w:ascii="Times New Roman" w:eastAsiaTheme="minorEastAsia" w:hAnsi="Times New Roman" w:cs="Times New Roman"/>
        </w:rPr>
        <w:t>Resatoglu</w:t>
      </w:r>
      <w:proofErr w:type="spellEnd"/>
      <w:r w:rsidRPr="00082310">
        <w:rPr>
          <w:rFonts w:ascii="Times New Roman" w:eastAsiaTheme="minorEastAsia" w:hAnsi="Times New Roman" w:cs="Times New Roman"/>
        </w:rPr>
        <w:t>, N., &amp; Berk, N. (2018). Electricity consumption, economic growth, urbanisation and trade nexus: empirical evidence from Iceland. Economic Research-</w:t>
      </w:r>
      <w:proofErr w:type="spellStart"/>
      <w:r w:rsidRPr="00082310">
        <w:rPr>
          <w:rFonts w:ascii="Times New Roman" w:eastAsiaTheme="minorEastAsia" w:hAnsi="Times New Roman" w:cs="Times New Roman"/>
        </w:rPr>
        <w:t>Ekonomska</w:t>
      </w:r>
      <w:proofErr w:type="spellEnd"/>
      <w:r w:rsidRPr="00082310">
        <w:rPr>
          <w:rFonts w:ascii="Times New Roman" w:eastAsiaTheme="minorEastAsia" w:hAnsi="Times New Roman" w:cs="Times New Roman"/>
        </w:rPr>
        <w:t xml:space="preserve"> </w:t>
      </w:r>
      <w:proofErr w:type="spellStart"/>
      <w:r w:rsidRPr="00082310">
        <w:rPr>
          <w:rFonts w:ascii="Times New Roman" w:eastAsiaTheme="minorEastAsia" w:hAnsi="Times New Roman" w:cs="Times New Roman"/>
        </w:rPr>
        <w:t>Istrazivanja</w:t>
      </w:r>
      <w:proofErr w:type="spellEnd"/>
      <w:r w:rsidRPr="00082310">
        <w:rPr>
          <w:rFonts w:ascii="Times New Roman" w:eastAsiaTheme="minorEastAsia" w:hAnsi="Times New Roman" w:cs="Times New Roman"/>
        </w:rPr>
        <w:t xml:space="preserve">, 31(1), 664–680. </w:t>
      </w:r>
      <w:hyperlink r:id="rId30" w:history="1">
        <w:r w:rsidRPr="00A9704C">
          <w:rPr>
            <w:rStyle w:val="Hyperlink"/>
            <w:rFonts w:ascii="Times New Roman" w:eastAsiaTheme="minorEastAsia" w:hAnsi="Times New Roman" w:cs="Times New Roman"/>
          </w:rPr>
          <w:t>https://doi.org/10.1080/1331677X.2018.1438907</w:t>
        </w:r>
      </w:hyperlink>
      <w:r>
        <w:rPr>
          <w:rFonts w:ascii="Times New Roman" w:eastAsiaTheme="minorEastAsia" w:hAnsi="Times New Roman" w:cs="Times New Roman"/>
        </w:rPr>
        <w:t xml:space="preserve">. </w:t>
      </w:r>
    </w:p>
    <w:p w14:paraId="5086536C"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Fan, P., Chen, J., Ouyang, Z., Groisman, P., Loboda, T., Gutman, G., Prishchepov, A. V., Kvashnina, A., Messina, J., Moore, N., Myint, S. W., &amp; Qi, J. (2018). Urbanisation and sustainability under transitional economies: A synthesis for Asian Russia. Environmental Research Letters, 13(9). </w:t>
      </w:r>
      <w:hyperlink r:id="rId31" w:history="1">
        <w:r w:rsidRPr="00A9704C">
          <w:rPr>
            <w:rStyle w:val="Hyperlink"/>
            <w:rFonts w:ascii="Times New Roman" w:eastAsiaTheme="minorEastAsia" w:hAnsi="Times New Roman" w:cs="Times New Roman"/>
          </w:rPr>
          <w:t>https://doi.org/10.1088/1748-9326/aadbf8</w:t>
        </w:r>
      </w:hyperlink>
      <w:r>
        <w:rPr>
          <w:rFonts w:ascii="Times New Roman" w:eastAsiaTheme="minorEastAsia" w:hAnsi="Times New Roman" w:cs="Times New Roman"/>
        </w:rPr>
        <w:t>.</w:t>
      </w:r>
    </w:p>
    <w:p w14:paraId="4C3B42E1"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Frankel, J. A., &amp; Romer, D. (1999). Does Trade Cause Growth?</w:t>
      </w:r>
    </w:p>
    <w:p w14:paraId="18819A1E" w14:textId="77777777" w:rsidR="000A5D73" w:rsidRPr="005A7264"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Freund, C., &amp; Bolaky, B. (2008). Trade, regulations, and income. Journal of Development Economics, 87(2), 309–</w:t>
      </w:r>
      <w:r w:rsidRPr="005A7264">
        <w:rPr>
          <w:rFonts w:ascii="Times New Roman" w:eastAsiaTheme="minorEastAsia" w:hAnsi="Times New Roman" w:cs="Times New Roman"/>
        </w:rPr>
        <w:t xml:space="preserve">321. </w:t>
      </w:r>
      <w:hyperlink r:id="rId32" w:history="1">
        <w:r w:rsidRPr="00A9704C">
          <w:rPr>
            <w:rStyle w:val="Hyperlink"/>
            <w:rFonts w:ascii="Times New Roman" w:eastAsiaTheme="minorEastAsia" w:hAnsi="Times New Roman" w:cs="Times New Roman"/>
          </w:rPr>
          <w:t>https://doi.org/10.1016/j.jdeveco.2007.11.003</w:t>
        </w:r>
      </w:hyperlink>
      <w:r>
        <w:rPr>
          <w:rFonts w:ascii="Times New Roman" w:eastAsiaTheme="minorEastAsia" w:hAnsi="Times New Roman" w:cs="Times New Roman"/>
        </w:rPr>
        <w:t xml:space="preserve">. </w:t>
      </w:r>
    </w:p>
    <w:p w14:paraId="3F022559" w14:textId="77777777" w:rsidR="000A5D73" w:rsidRPr="005A7264"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Gries, T., Redlin, M., Gries, T., &amp; Redlin, M. (n.d.). Trade Openness and Economic Growth: A Panel Causality</w:t>
      </w:r>
      <w:r>
        <w:rPr>
          <w:rFonts w:ascii="Times New Roman" w:eastAsiaTheme="minorEastAsia" w:hAnsi="Times New Roman" w:cs="Times New Roman"/>
        </w:rPr>
        <w:t xml:space="preserve"> </w:t>
      </w:r>
      <w:r w:rsidRPr="005A7264">
        <w:rPr>
          <w:rFonts w:ascii="Times New Roman" w:eastAsiaTheme="minorEastAsia" w:hAnsi="Times New Roman" w:cs="Times New Roman"/>
        </w:rPr>
        <w:t xml:space="preserve">Analysis. </w:t>
      </w:r>
      <w:hyperlink r:id="rId33" w:history="1">
        <w:r w:rsidRPr="00A9704C">
          <w:rPr>
            <w:rStyle w:val="Hyperlink"/>
            <w:rFonts w:ascii="Times New Roman" w:eastAsiaTheme="minorEastAsia" w:hAnsi="Times New Roman" w:cs="Times New Roman"/>
          </w:rPr>
          <w:t>www.C-I-E.org</w:t>
        </w:r>
      </w:hyperlink>
      <w:r>
        <w:rPr>
          <w:rFonts w:ascii="Times New Roman" w:eastAsiaTheme="minorEastAsia" w:hAnsi="Times New Roman" w:cs="Times New Roman"/>
        </w:rPr>
        <w:t xml:space="preserve">. </w:t>
      </w:r>
    </w:p>
    <w:p w14:paraId="505FA6DD" w14:textId="77777777" w:rsidR="000A5D73" w:rsidRPr="005A7264"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Gyamfi, B. A., Bein, M. A., Ozturk, I.,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F. V. (2020). The Moderating Role of Employment in an</w:t>
      </w:r>
      <w:r>
        <w:rPr>
          <w:rFonts w:ascii="Times New Roman" w:eastAsiaTheme="minorEastAsia" w:hAnsi="Times New Roman" w:cs="Times New Roman"/>
        </w:rPr>
        <w:t xml:space="preserve"> </w:t>
      </w:r>
      <w:r w:rsidRPr="005A7264">
        <w:rPr>
          <w:rFonts w:ascii="Times New Roman" w:eastAsiaTheme="minorEastAsia" w:hAnsi="Times New Roman" w:cs="Times New Roman"/>
        </w:rPr>
        <w:t xml:space="preserve">Environmental Kuznets Curve Framework Revisited in G7 Countries. Indonesian Journal of Sustainability Accounting and Management, 4(2), 241. </w:t>
      </w:r>
      <w:hyperlink r:id="rId34" w:history="1">
        <w:r w:rsidRPr="00A9704C">
          <w:rPr>
            <w:rStyle w:val="Hyperlink"/>
            <w:rFonts w:ascii="Times New Roman" w:eastAsiaTheme="minorEastAsia" w:hAnsi="Times New Roman" w:cs="Times New Roman"/>
          </w:rPr>
          <w:t>https://doi.org/10.28992/ijsam.v4i2.283</w:t>
        </w:r>
      </w:hyperlink>
      <w:r>
        <w:rPr>
          <w:rFonts w:ascii="Times New Roman" w:eastAsiaTheme="minorEastAsia" w:hAnsi="Times New Roman" w:cs="Times New Roman"/>
        </w:rPr>
        <w:t xml:space="preserve">. </w:t>
      </w:r>
    </w:p>
    <w:p w14:paraId="00915CD5" w14:textId="77777777" w:rsidR="000A5D73" w:rsidRPr="005A7264"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Gyamfi, B. A., Ozturk, I., Bein, M. A.,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(2021). An investigation into the anthropogenic effect of biomass energy utilisation and economic sustainability on </w:t>
      </w:r>
      <w:r w:rsidRPr="00082310">
        <w:rPr>
          <w:rFonts w:ascii="Times New Roman" w:eastAsiaTheme="minorEastAsia" w:hAnsi="Times New Roman" w:cs="Times New Roman"/>
        </w:rPr>
        <w:lastRenderedPageBreak/>
        <w:t>environmental degradation in E7 economies.</w:t>
      </w:r>
      <w:r>
        <w:rPr>
          <w:rFonts w:ascii="Times New Roman" w:eastAsiaTheme="minorEastAsia" w:hAnsi="Times New Roman" w:cs="Times New Roman"/>
        </w:rPr>
        <w:t xml:space="preserve"> </w:t>
      </w:r>
      <w:r w:rsidRPr="005A7264">
        <w:rPr>
          <w:rFonts w:ascii="Times New Roman" w:eastAsiaTheme="minorEastAsia" w:hAnsi="Times New Roman" w:cs="Times New Roman"/>
        </w:rPr>
        <w:t xml:space="preserve">Biofuels, Bioproducts and Biorefining, 15(3), 840–851. </w:t>
      </w:r>
      <w:hyperlink r:id="rId35" w:history="1">
        <w:r w:rsidRPr="005A7264">
          <w:rPr>
            <w:rStyle w:val="Hyperlink"/>
            <w:rFonts w:ascii="Times New Roman" w:eastAsiaTheme="minorEastAsia" w:hAnsi="Times New Roman" w:cs="Times New Roman"/>
          </w:rPr>
          <w:t>https://doi.org/10.1002/bbb.2206</w:t>
        </w:r>
      </w:hyperlink>
      <w:r w:rsidRPr="005A7264">
        <w:rPr>
          <w:rFonts w:ascii="Times New Roman" w:eastAsiaTheme="minorEastAsia" w:hAnsi="Times New Roman" w:cs="Times New Roman"/>
        </w:rPr>
        <w:t>.</w:t>
      </w:r>
    </w:p>
    <w:p w14:paraId="63A3041C"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H</w:t>
      </w:r>
      <w:r w:rsidRPr="00082310">
        <w:rPr>
          <w:rFonts w:ascii="Times New Roman" w:eastAsiaTheme="minorEastAsia" w:hAnsi="Times New Roman" w:cs="Times New Roman"/>
        </w:rPr>
        <w:t xml:space="preserve">an, J., Zeeshan, M., Ullah, I., Rehman, A., &amp; Alam Afridi, F. E. (2021). Trade Openness and Urbanization impact on Renewable and Non-Renewable Energy Consumption in China. </w:t>
      </w:r>
      <w:hyperlink r:id="rId36" w:history="1">
        <w:r w:rsidRPr="00082310">
          <w:rPr>
            <w:rStyle w:val="Hyperlink"/>
            <w:rFonts w:ascii="Times New Roman" w:eastAsiaTheme="minorEastAsia" w:hAnsi="Times New Roman" w:cs="Times New Roman"/>
          </w:rPr>
          <w:t>https://doi.org/10.21203/rs.3.rs-1000201/v1</w:t>
        </w:r>
      </w:hyperlink>
      <w:r w:rsidRPr="00082310">
        <w:rPr>
          <w:rFonts w:ascii="Times New Roman" w:eastAsiaTheme="minorEastAsia" w:hAnsi="Times New Roman" w:cs="Times New Roman"/>
        </w:rPr>
        <w:t xml:space="preserve">. </w:t>
      </w:r>
    </w:p>
    <w:p w14:paraId="7FE190DE"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Haseeb, A., Xia, E., Danish, Baloch, M. A., &amp; Abbas, K. (2018). Financial development, globalisation, and CO2</w:t>
      </w:r>
      <w:r>
        <w:rPr>
          <w:rFonts w:ascii="Times New Roman" w:eastAsiaTheme="minorEastAsia" w:hAnsi="Times New Roman" w:cs="Times New Roman"/>
        </w:rPr>
        <w:t xml:space="preserve"> </w:t>
      </w:r>
      <w:r w:rsidRPr="00082310">
        <w:rPr>
          <w:rFonts w:ascii="Times New Roman" w:eastAsiaTheme="minorEastAsia" w:hAnsi="Times New Roman" w:cs="Times New Roman"/>
        </w:rPr>
        <w:t xml:space="preserve">emission in the presence of EKC: evidence from BRICS countries. Environmental Science and Pollution Research, 25(31), 31283–31296. </w:t>
      </w:r>
      <w:hyperlink r:id="rId37" w:history="1">
        <w:r w:rsidRPr="00A9704C">
          <w:rPr>
            <w:rStyle w:val="Hyperlink"/>
            <w:rFonts w:ascii="Times New Roman" w:eastAsiaTheme="minorEastAsia" w:hAnsi="Times New Roman" w:cs="Times New Roman"/>
          </w:rPr>
          <w:t>https://doi.org/10.1007/s11356-018-3034-7</w:t>
        </w:r>
      </w:hyperlink>
      <w:r>
        <w:rPr>
          <w:rFonts w:ascii="Times New Roman" w:eastAsiaTheme="minorEastAsia" w:hAnsi="Times New Roman" w:cs="Times New Roman"/>
        </w:rPr>
        <w:t xml:space="preserve">. </w:t>
      </w:r>
    </w:p>
    <w:p w14:paraId="0B7F9322"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Iheonu</w:t>
      </w:r>
      <w:proofErr w:type="spellEnd"/>
      <w:r w:rsidRPr="00082310">
        <w:rPr>
          <w:rFonts w:ascii="Times New Roman" w:eastAsiaTheme="minorEastAsia" w:hAnsi="Times New Roman" w:cs="Times New Roman"/>
        </w:rPr>
        <w:t xml:space="preserve">, C. O., Anyanwu, O. C., Odo, O. K., &amp; Nathaniel, S. P. (2021). Does Economic Growth, International Trade and Urbanization uphold Environmental Sustainability in sub-Saharan Africa? Insights from Quantile and Causality Procedures. Environmental Science and Pollution Research, 70234, 1–24. </w:t>
      </w:r>
      <w:hyperlink r:id="rId38" w:history="1">
        <w:r w:rsidRPr="00082310">
          <w:rPr>
            <w:rStyle w:val="Hyperlink"/>
            <w:rFonts w:ascii="Times New Roman" w:eastAsiaTheme="minorEastAsia" w:hAnsi="Times New Roman" w:cs="Times New Roman"/>
          </w:rPr>
          <w:t>http://clok.uclan.ac.uk/25161/1/25161Education-in-the-Diffusion-of-Knowledge-with-Mobile-for-Inclusive-dev.pd.pdf</w:t>
        </w:r>
      </w:hyperlink>
      <w:r w:rsidRPr="00082310">
        <w:rPr>
          <w:rFonts w:ascii="Times New Roman" w:eastAsiaTheme="minorEastAsia" w:hAnsi="Times New Roman" w:cs="Times New Roman"/>
        </w:rPr>
        <w:t>.</w:t>
      </w:r>
    </w:p>
    <w:p w14:paraId="383C23D8"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Inglesi-Lotz</w:t>
      </w:r>
      <w:proofErr w:type="spellEnd"/>
      <w:r w:rsidRPr="00082310">
        <w:rPr>
          <w:rFonts w:ascii="Times New Roman" w:eastAsiaTheme="minorEastAsia" w:hAnsi="Times New Roman" w:cs="Times New Roman"/>
        </w:rPr>
        <w:t xml:space="preserve">, R., &amp; Dogan, E. (2018). The role of renewable versus non-renewable energy to the level of CO2 emissions a panel analysis of sub-Saharan Africa’s </w:t>
      </w:r>
      <w:proofErr w:type="spellStart"/>
      <w:r w:rsidRPr="00082310">
        <w:rPr>
          <w:rFonts w:ascii="Times New Roman" w:eastAsiaTheme="minorEastAsia" w:hAnsi="Times New Roman" w:cs="Times New Roman"/>
        </w:rPr>
        <w:t>Βig</w:t>
      </w:r>
      <w:proofErr w:type="spellEnd"/>
      <w:r w:rsidRPr="00082310">
        <w:rPr>
          <w:rFonts w:ascii="Times New Roman" w:eastAsiaTheme="minorEastAsia" w:hAnsi="Times New Roman" w:cs="Times New Roman"/>
        </w:rPr>
        <w:t xml:space="preserve"> 10 electricity generators. Renewable Energy, 123, 36–43. </w:t>
      </w:r>
      <w:hyperlink r:id="rId39" w:history="1">
        <w:r w:rsidRPr="00A9704C">
          <w:rPr>
            <w:rStyle w:val="Hyperlink"/>
            <w:rFonts w:ascii="Times New Roman" w:eastAsiaTheme="minorEastAsia" w:hAnsi="Times New Roman" w:cs="Times New Roman"/>
          </w:rPr>
          <w:t>https://doi.org/10.1016/j.renene.2018.02.041</w:t>
        </w:r>
      </w:hyperlink>
      <w:r>
        <w:rPr>
          <w:rFonts w:ascii="Times New Roman" w:eastAsiaTheme="minorEastAsia" w:hAnsi="Times New Roman" w:cs="Times New Roman"/>
        </w:rPr>
        <w:t xml:space="preserve">. </w:t>
      </w:r>
    </w:p>
    <w:p w14:paraId="7637DA8D"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Intisar, R. A., Yaseen, M. R., Kousar, R., Usman, M., &amp; Amjad </w:t>
      </w:r>
      <w:proofErr w:type="spellStart"/>
      <w:r w:rsidRPr="00082310">
        <w:rPr>
          <w:rFonts w:ascii="Times New Roman" w:eastAsiaTheme="minorEastAsia" w:hAnsi="Times New Roman" w:cs="Times New Roman"/>
        </w:rPr>
        <w:t>Makhdum</w:t>
      </w:r>
      <w:proofErr w:type="spellEnd"/>
      <w:r w:rsidRPr="00082310">
        <w:rPr>
          <w:rFonts w:ascii="Times New Roman" w:eastAsiaTheme="minorEastAsia" w:hAnsi="Times New Roman" w:cs="Times New Roman"/>
        </w:rPr>
        <w:t xml:space="preserve">, M. S. (2020). Impact of trade openness and human capital on economic growth: A comparative investigation of Asian countries. Sustainability (Switzerland), 12(7). </w:t>
      </w:r>
      <w:hyperlink r:id="rId40" w:history="1">
        <w:r w:rsidRPr="00A9704C">
          <w:rPr>
            <w:rStyle w:val="Hyperlink"/>
            <w:rFonts w:ascii="Times New Roman" w:eastAsiaTheme="minorEastAsia" w:hAnsi="Times New Roman" w:cs="Times New Roman"/>
          </w:rPr>
          <w:t>https://doi.org/10.3390/su12072930</w:t>
        </w:r>
      </w:hyperlink>
      <w:r>
        <w:rPr>
          <w:rFonts w:ascii="Times New Roman" w:eastAsiaTheme="minorEastAsia" w:hAnsi="Times New Roman" w:cs="Times New Roman"/>
        </w:rPr>
        <w:t xml:space="preserve">. </w:t>
      </w:r>
    </w:p>
    <w:p w14:paraId="57C83F31"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Keho, Y. (2017). The impact of trade openness on economic growth: The case of Cote d’Ivoire. Cogent Economics and Finance, 5(1). </w:t>
      </w:r>
      <w:hyperlink r:id="rId41" w:history="1">
        <w:r w:rsidRPr="00A9704C">
          <w:rPr>
            <w:rStyle w:val="Hyperlink"/>
            <w:rFonts w:ascii="Times New Roman" w:eastAsiaTheme="minorEastAsia" w:hAnsi="Times New Roman" w:cs="Times New Roman"/>
          </w:rPr>
          <w:t>https://doi.org/10.1080/23322039.2017.1332820</w:t>
        </w:r>
      </w:hyperlink>
      <w:r>
        <w:rPr>
          <w:rFonts w:ascii="Times New Roman" w:eastAsiaTheme="minorEastAsia" w:hAnsi="Times New Roman" w:cs="Times New Roman"/>
        </w:rPr>
        <w:t xml:space="preserve">. </w:t>
      </w:r>
    </w:p>
    <w:p w14:paraId="382D3143"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Le, H. P., &amp; Bao, H. H. G. (2020). Renewable and non-renewable energy consumption, government expenditure, institution quality, financial development, trade openness, and sustainable development in Latin America and the Caribbean emerging market and developing economies. International Journal of Energy Economics and Policy, 10(1), 242–248. </w:t>
      </w:r>
      <w:hyperlink r:id="rId42" w:history="1">
        <w:r w:rsidRPr="00A9704C">
          <w:rPr>
            <w:rStyle w:val="Hyperlink"/>
            <w:rFonts w:ascii="Times New Roman" w:eastAsiaTheme="minorEastAsia" w:hAnsi="Times New Roman" w:cs="Times New Roman"/>
          </w:rPr>
          <w:t>https://doi.org/10.32479/ijeep.8506</w:t>
        </w:r>
      </w:hyperlink>
      <w:r>
        <w:rPr>
          <w:rFonts w:ascii="Times New Roman" w:eastAsiaTheme="minorEastAsia" w:hAnsi="Times New Roman" w:cs="Times New Roman"/>
        </w:rPr>
        <w:t xml:space="preserve">. </w:t>
      </w:r>
    </w:p>
    <w:p w14:paraId="38C7B7D9"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Liang, W., &amp; Yang, M. (2019). Urbanisation, economic growth and environmental pollution: Evidence from China. Sustainable Computing: Informatics and Systems, 21, 1–9. </w:t>
      </w:r>
      <w:hyperlink r:id="rId43" w:history="1">
        <w:r w:rsidRPr="00A9704C">
          <w:rPr>
            <w:rStyle w:val="Hyperlink"/>
            <w:rFonts w:ascii="Times New Roman" w:eastAsiaTheme="minorEastAsia" w:hAnsi="Times New Roman" w:cs="Times New Roman"/>
          </w:rPr>
          <w:t>https://doi.org/10.1016/j.suscom.2018.11.007</w:t>
        </w:r>
      </w:hyperlink>
      <w:r>
        <w:rPr>
          <w:rFonts w:ascii="Times New Roman" w:eastAsiaTheme="minorEastAsia" w:hAnsi="Times New Roman" w:cs="Times New Roman"/>
        </w:rPr>
        <w:t xml:space="preserve">. </w:t>
      </w:r>
    </w:p>
    <w:p w14:paraId="60E4D7DF"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lastRenderedPageBreak/>
        <w:t>Macomber, J. D. (2013). Building sustainable cities. Harvard Business Review, 91(7–8), 2013.</w:t>
      </w:r>
    </w:p>
    <w:p w14:paraId="463A7043" w14:textId="77777777" w:rsidR="000A5D73"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Manta, A. G., Florea, N. M., </w:t>
      </w:r>
      <w:proofErr w:type="spellStart"/>
      <w:r w:rsidRPr="00082310">
        <w:rPr>
          <w:rFonts w:ascii="Times New Roman" w:eastAsiaTheme="minorEastAsia" w:hAnsi="Times New Roman" w:cs="Times New Roman"/>
        </w:rPr>
        <w:t>Badîrcea</w:t>
      </w:r>
      <w:proofErr w:type="spellEnd"/>
      <w:r w:rsidRPr="00082310">
        <w:rPr>
          <w:rFonts w:ascii="Times New Roman" w:eastAsiaTheme="minorEastAsia" w:hAnsi="Times New Roman" w:cs="Times New Roman"/>
        </w:rPr>
        <w:t xml:space="preserve">, R. M., Popescu, J., </w:t>
      </w:r>
      <w:proofErr w:type="spellStart"/>
      <w:r w:rsidRPr="00082310">
        <w:rPr>
          <w:rFonts w:ascii="Times New Roman" w:eastAsiaTheme="minorEastAsia" w:hAnsi="Times New Roman" w:cs="Times New Roman"/>
        </w:rPr>
        <w:t>Cîrciumaru</w:t>
      </w:r>
      <w:proofErr w:type="spellEnd"/>
      <w:r w:rsidRPr="00082310">
        <w:rPr>
          <w:rFonts w:ascii="Times New Roman" w:eastAsiaTheme="minorEastAsia" w:hAnsi="Times New Roman" w:cs="Times New Roman"/>
        </w:rPr>
        <w:t xml:space="preserve">, D., &amp; Doran, M. D. (2020). The nexus between carbon emissions, energy use, economic growth and financial development: Evidence from central and eastern European countries. Sustainability (Switzerland), 12(18). </w:t>
      </w:r>
      <w:hyperlink r:id="rId44" w:history="1">
        <w:r w:rsidRPr="00A9704C">
          <w:rPr>
            <w:rStyle w:val="Hyperlink"/>
            <w:rFonts w:ascii="Times New Roman" w:eastAsiaTheme="minorEastAsia" w:hAnsi="Times New Roman" w:cs="Times New Roman"/>
          </w:rPr>
          <w:t>https://doi.org/10.3390/SU12187747</w:t>
        </w:r>
      </w:hyperlink>
      <w:r>
        <w:rPr>
          <w:rFonts w:ascii="Times New Roman" w:eastAsiaTheme="minorEastAsia" w:hAnsi="Times New Roman" w:cs="Times New Roman"/>
        </w:rPr>
        <w:t xml:space="preserve">. </w:t>
      </w:r>
    </w:p>
    <w:p w14:paraId="4AF1838B"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Mehra, J. (2020). The Australia-India-Japan-US Quadrilateral: Dissecting the China Factor. ORF Occasional Paper</w:t>
      </w:r>
      <w:r>
        <w:rPr>
          <w:rFonts w:ascii="Times New Roman" w:eastAsiaTheme="minorEastAsia" w:hAnsi="Times New Roman" w:cs="Times New Roman"/>
        </w:rPr>
        <w:t xml:space="preserve"> </w:t>
      </w:r>
      <w:r w:rsidRPr="00082310">
        <w:rPr>
          <w:rFonts w:ascii="Times New Roman" w:eastAsiaTheme="minorEastAsia" w:hAnsi="Times New Roman" w:cs="Times New Roman"/>
        </w:rPr>
        <w:t>No. 264, Observer Research Foundation.</w:t>
      </w:r>
    </w:p>
    <w:p w14:paraId="2E505718"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Murshed, M., </w:t>
      </w:r>
      <w:proofErr w:type="spellStart"/>
      <w:r w:rsidRPr="00082310">
        <w:rPr>
          <w:rFonts w:ascii="Times New Roman" w:eastAsiaTheme="minorEastAsia" w:hAnsi="Times New Roman" w:cs="Times New Roman"/>
        </w:rPr>
        <w:t>Elheddad</w:t>
      </w:r>
      <w:proofErr w:type="spellEnd"/>
      <w:r w:rsidRPr="00082310">
        <w:rPr>
          <w:rFonts w:ascii="Times New Roman" w:eastAsiaTheme="minorEastAsia" w:hAnsi="Times New Roman" w:cs="Times New Roman"/>
        </w:rPr>
        <w:t>, M., Ahmed, R., Bassim, M., &amp; Than, E. T. (2021). Foreign Direct Investments, Renewable</w:t>
      </w:r>
      <w:r>
        <w:rPr>
          <w:rFonts w:ascii="Times New Roman" w:eastAsiaTheme="minorEastAsia" w:hAnsi="Times New Roman" w:cs="Times New Roman"/>
        </w:rPr>
        <w:t xml:space="preserve"> </w:t>
      </w:r>
      <w:r w:rsidRPr="00082310">
        <w:rPr>
          <w:rFonts w:ascii="Times New Roman" w:eastAsiaTheme="minorEastAsia" w:hAnsi="Times New Roman" w:cs="Times New Roman"/>
        </w:rPr>
        <w:t xml:space="preserve">Electricity Output, and Ecological Footprints: Do Financial Globalization Facilitate Renewable Energy Transition and Environmental Welfare in Bangladesh? Asia-Pacific Financial Markets. </w:t>
      </w:r>
      <w:hyperlink r:id="rId45" w:history="1">
        <w:r w:rsidRPr="00082310">
          <w:rPr>
            <w:rStyle w:val="Hyperlink"/>
            <w:rFonts w:ascii="Times New Roman" w:eastAsiaTheme="minorEastAsia" w:hAnsi="Times New Roman" w:cs="Times New Roman"/>
          </w:rPr>
          <w:t>https://doi.org/10.1007/s10690-021-09335-7</w:t>
        </w:r>
      </w:hyperlink>
      <w:r w:rsidRPr="00082310">
        <w:rPr>
          <w:rFonts w:ascii="Times New Roman" w:eastAsiaTheme="minorEastAsia" w:hAnsi="Times New Roman" w:cs="Times New Roman"/>
        </w:rPr>
        <w:t xml:space="preserve">. </w:t>
      </w:r>
    </w:p>
    <w:p w14:paraId="5B2A0743"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Nathaniel, S. P.,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(2020). Environmental management amidst energy use, urbanisation, trade openness, and deforestation: The Nigerian experience. Journal of Public Affairs, 20(2). </w:t>
      </w:r>
      <w:hyperlink r:id="rId46" w:history="1">
        <w:r w:rsidRPr="00082310">
          <w:rPr>
            <w:rStyle w:val="Hyperlink"/>
            <w:rFonts w:ascii="Times New Roman" w:eastAsiaTheme="minorEastAsia" w:hAnsi="Times New Roman" w:cs="Times New Roman"/>
          </w:rPr>
          <w:t>https://doi.org/10.1002/pa.2037</w:t>
        </w:r>
      </w:hyperlink>
      <w:r w:rsidRPr="00082310">
        <w:rPr>
          <w:rFonts w:ascii="Times New Roman" w:eastAsiaTheme="minorEastAsia" w:hAnsi="Times New Roman" w:cs="Times New Roman"/>
        </w:rPr>
        <w:t>.</w:t>
      </w:r>
    </w:p>
    <w:p w14:paraId="7665837B"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Nguyen, K. H., &amp; </w:t>
      </w:r>
      <w:proofErr w:type="spellStart"/>
      <w:r w:rsidRPr="00082310">
        <w:rPr>
          <w:rFonts w:ascii="Times New Roman" w:eastAsiaTheme="minorEastAsia" w:hAnsi="Times New Roman" w:cs="Times New Roman"/>
        </w:rPr>
        <w:t>Kakinaka</w:t>
      </w:r>
      <w:proofErr w:type="spellEnd"/>
      <w:r w:rsidRPr="00082310">
        <w:rPr>
          <w:rFonts w:ascii="Times New Roman" w:eastAsiaTheme="minorEastAsia" w:hAnsi="Times New Roman" w:cs="Times New Roman"/>
        </w:rPr>
        <w:t xml:space="preserve">, M. (2019). Renewable energy consumption, carbon emissions, and development stages: Some evidence from panel co-integration analysis. Renewable Energy, 132, 1049–1057. </w:t>
      </w:r>
      <w:hyperlink r:id="rId47" w:history="1">
        <w:r w:rsidRPr="00A9704C">
          <w:rPr>
            <w:rStyle w:val="Hyperlink"/>
            <w:rFonts w:ascii="Times New Roman" w:eastAsiaTheme="minorEastAsia" w:hAnsi="Times New Roman" w:cs="Times New Roman"/>
          </w:rPr>
          <w:t>https://doi.org/10.1016/j.renene.2018.08.069</w:t>
        </w:r>
      </w:hyperlink>
      <w:r>
        <w:rPr>
          <w:rFonts w:ascii="Times New Roman" w:eastAsiaTheme="minorEastAsia" w:hAnsi="Times New Roman" w:cs="Times New Roman"/>
        </w:rPr>
        <w:t xml:space="preserve">. </w:t>
      </w:r>
    </w:p>
    <w:p w14:paraId="2F720656"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Nketiah, E., Cai, X., Adjei, M., &amp; Boamah, B. B. (2020). Foreign Direct Investment, Trade Openness and Economic Growth: Evidence from Ghana. Open Journal of Business and Management, 08(01), 39–55. </w:t>
      </w:r>
      <w:hyperlink r:id="rId48" w:history="1">
        <w:r w:rsidRPr="00A9704C">
          <w:rPr>
            <w:rStyle w:val="Hyperlink"/>
            <w:rFonts w:ascii="Times New Roman" w:eastAsiaTheme="minorEastAsia" w:hAnsi="Times New Roman" w:cs="Times New Roman"/>
          </w:rPr>
          <w:t>https://doi.org/10.4236/ojbm.2020.81003</w:t>
        </w:r>
      </w:hyperlink>
      <w:r>
        <w:rPr>
          <w:rFonts w:ascii="Times New Roman" w:eastAsiaTheme="minorEastAsia" w:hAnsi="Times New Roman" w:cs="Times New Roman"/>
        </w:rPr>
        <w:t xml:space="preserve">. </w:t>
      </w:r>
    </w:p>
    <w:p w14:paraId="4469E670"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Olorogun</w:t>
      </w:r>
      <w:proofErr w:type="spellEnd"/>
      <w:r w:rsidRPr="00082310">
        <w:rPr>
          <w:rFonts w:ascii="Times New Roman" w:eastAsiaTheme="minorEastAsia" w:hAnsi="Times New Roman" w:cs="Times New Roman"/>
        </w:rPr>
        <w:t xml:space="preserve">, L. A., Salami, M. A., &amp;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(2020). Revisiting the Nexus between FDI, financial development and economic growth: Empirical evidence from Nigeria. Journal of Public Affairs. </w:t>
      </w:r>
      <w:hyperlink r:id="rId49" w:history="1">
        <w:r w:rsidRPr="00A9704C">
          <w:rPr>
            <w:rStyle w:val="Hyperlink"/>
            <w:rFonts w:ascii="Times New Roman" w:eastAsiaTheme="minorEastAsia" w:hAnsi="Times New Roman" w:cs="Times New Roman"/>
          </w:rPr>
          <w:t>https://doi.org/10.1002/pa.2561</w:t>
        </w:r>
      </w:hyperlink>
      <w:r>
        <w:rPr>
          <w:rFonts w:ascii="Times New Roman" w:eastAsiaTheme="minorEastAsia" w:hAnsi="Times New Roman" w:cs="Times New Roman"/>
        </w:rPr>
        <w:t xml:space="preserve">. </w:t>
      </w:r>
    </w:p>
    <w:p w14:paraId="2DBA1E52"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Pahl, S., &amp; Timmer, M. P. (2020). Do Global Value Chains Enhance Economic Upgrading? A Long View. Journal of Development Studies, 56(9), 1683–1705. </w:t>
      </w:r>
      <w:hyperlink r:id="rId50" w:history="1">
        <w:r w:rsidRPr="00A9704C">
          <w:rPr>
            <w:rStyle w:val="Hyperlink"/>
            <w:rFonts w:ascii="Times New Roman" w:eastAsiaTheme="minorEastAsia" w:hAnsi="Times New Roman" w:cs="Times New Roman"/>
          </w:rPr>
          <w:t>https://doi.org/10.1080/00220388.2019.1702159</w:t>
        </w:r>
      </w:hyperlink>
      <w:r>
        <w:rPr>
          <w:rFonts w:ascii="Times New Roman" w:eastAsiaTheme="minorEastAsia" w:hAnsi="Times New Roman" w:cs="Times New Roman"/>
        </w:rPr>
        <w:t xml:space="preserve">. </w:t>
      </w:r>
    </w:p>
    <w:p w14:paraId="5829FC24"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Pesaran</w:t>
      </w:r>
      <w:proofErr w:type="spellEnd"/>
      <w:r w:rsidRPr="00082310">
        <w:rPr>
          <w:rFonts w:ascii="Times New Roman" w:eastAsiaTheme="minorEastAsia" w:hAnsi="Times New Roman" w:cs="Times New Roman"/>
        </w:rPr>
        <w:t xml:space="preserve">, M. H., Shin, Y., &amp; Smith, R. P. (1999). Pooled Mean Group Estimation of Dynamic Heterogeneous Panels. Journal of the American Statistical Association, 94(446), 621. </w:t>
      </w:r>
      <w:hyperlink r:id="rId51" w:history="1">
        <w:r w:rsidRPr="00A9704C">
          <w:rPr>
            <w:rStyle w:val="Hyperlink"/>
            <w:rFonts w:ascii="Times New Roman" w:eastAsiaTheme="minorEastAsia" w:hAnsi="Times New Roman" w:cs="Times New Roman"/>
          </w:rPr>
          <w:t>https://doi.org/10.2307/2670182</w:t>
        </w:r>
      </w:hyperlink>
      <w:r>
        <w:rPr>
          <w:rFonts w:ascii="Times New Roman" w:eastAsiaTheme="minorEastAsia" w:hAnsi="Times New Roman" w:cs="Times New Roman"/>
        </w:rPr>
        <w:t xml:space="preserve">. </w:t>
      </w:r>
    </w:p>
    <w:p w14:paraId="5DBACE70"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Piddington, K. W. (1990). Third World dilemma: development, environment. Forum for Applied Research &amp;amp; Public Policy, 5(3), 26–29.</w:t>
      </w:r>
    </w:p>
    <w:p w14:paraId="628E84F6"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lastRenderedPageBreak/>
        <w:t xml:space="preserve">Rafiq, S., Salim, R., &amp; Nielsen, I. (2016). Urbanisation, openness, emissions, and energy intensity: A study of increasingly urbanised emerging economies. Energy Economics, 56, 20–28. </w:t>
      </w:r>
      <w:hyperlink r:id="rId52" w:history="1">
        <w:r w:rsidRPr="00A9704C">
          <w:rPr>
            <w:rStyle w:val="Hyperlink"/>
            <w:rFonts w:ascii="Times New Roman" w:eastAsiaTheme="minorEastAsia" w:hAnsi="Times New Roman" w:cs="Times New Roman"/>
          </w:rPr>
          <w:t>https://doi.org/10.1016/j.eneco.2016.02.007</w:t>
        </w:r>
      </w:hyperlink>
      <w:r>
        <w:rPr>
          <w:rFonts w:ascii="Times New Roman" w:eastAsiaTheme="minorEastAsia" w:hAnsi="Times New Roman" w:cs="Times New Roman"/>
        </w:rPr>
        <w:t xml:space="preserve">. </w:t>
      </w:r>
    </w:p>
    <w:p w14:paraId="108FCF40"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Sarkodie, S. A. (2018). The invisible hand and EKC hypothesis: what are the drivers of environmental degradation and pollution in Africa? Environmental Science and Pollution Research, 25(22), 21993–22022. </w:t>
      </w:r>
      <w:hyperlink r:id="rId53" w:history="1">
        <w:r w:rsidRPr="00A9704C">
          <w:rPr>
            <w:rStyle w:val="Hyperlink"/>
            <w:rFonts w:ascii="Times New Roman" w:eastAsiaTheme="minorEastAsia" w:hAnsi="Times New Roman" w:cs="Times New Roman"/>
          </w:rPr>
          <w:t>https://doi.org/10.1007/s11356-018-2347-x</w:t>
        </w:r>
      </w:hyperlink>
      <w:r>
        <w:rPr>
          <w:rFonts w:ascii="Times New Roman" w:eastAsiaTheme="minorEastAsia" w:hAnsi="Times New Roman" w:cs="Times New Roman"/>
        </w:rPr>
        <w:t xml:space="preserve">. </w:t>
      </w:r>
    </w:p>
    <w:p w14:paraId="780E83B8"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Sarkodie, S. A., &amp; </w:t>
      </w:r>
      <w:proofErr w:type="spellStart"/>
      <w:r w:rsidRPr="00082310">
        <w:rPr>
          <w:rFonts w:ascii="Times New Roman" w:eastAsiaTheme="minorEastAsia" w:hAnsi="Times New Roman" w:cs="Times New Roman"/>
        </w:rPr>
        <w:t>Strezov</w:t>
      </w:r>
      <w:proofErr w:type="spellEnd"/>
      <w:r w:rsidRPr="00082310">
        <w:rPr>
          <w:rFonts w:ascii="Times New Roman" w:eastAsiaTheme="minorEastAsia" w:hAnsi="Times New Roman" w:cs="Times New Roman"/>
        </w:rPr>
        <w:t xml:space="preserve">, V. (2018). Empirical study of the Environmental Kuznets curve and Environmental Sustainability curve hypothesis for Australia, China, Ghana and USA. Journal of Cleaner Production, 201, 98–110. </w:t>
      </w:r>
      <w:hyperlink r:id="rId54" w:history="1">
        <w:r w:rsidRPr="00A9704C">
          <w:rPr>
            <w:rStyle w:val="Hyperlink"/>
            <w:rFonts w:ascii="Times New Roman" w:eastAsiaTheme="minorEastAsia" w:hAnsi="Times New Roman" w:cs="Times New Roman"/>
          </w:rPr>
          <w:t>https://doi.org/10.1016/j.jclepro.2018.08.039</w:t>
        </w:r>
      </w:hyperlink>
      <w:r>
        <w:rPr>
          <w:rFonts w:ascii="Times New Roman" w:eastAsiaTheme="minorEastAsia" w:hAnsi="Times New Roman" w:cs="Times New Roman"/>
        </w:rPr>
        <w:t xml:space="preserve">. </w:t>
      </w:r>
    </w:p>
    <w:p w14:paraId="5FE00FE5"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Sarkodie, S. A., &amp; </w:t>
      </w:r>
      <w:proofErr w:type="spellStart"/>
      <w:r w:rsidRPr="00082310">
        <w:rPr>
          <w:rFonts w:ascii="Times New Roman" w:eastAsiaTheme="minorEastAsia" w:hAnsi="Times New Roman" w:cs="Times New Roman"/>
        </w:rPr>
        <w:t>Strezov</w:t>
      </w:r>
      <w:proofErr w:type="spellEnd"/>
      <w:r w:rsidRPr="00082310">
        <w:rPr>
          <w:rFonts w:ascii="Times New Roman" w:eastAsiaTheme="minorEastAsia" w:hAnsi="Times New Roman" w:cs="Times New Roman"/>
        </w:rPr>
        <w:t xml:space="preserve">, V. (2019). Effect of foreign direct investments, economic development and energy consumption on greenhouse gas emissions in developing countries. Science of the Total Environment, 646, 862–871. </w:t>
      </w:r>
      <w:hyperlink r:id="rId55" w:history="1">
        <w:r w:rsidRPr="00A9704C">
          <w:rPr>
            <w:rStyle w:val="Hyperlink"/>
            <w:rFonts w:ascii="Times New Roman" w:eastAsiaTheme="minorEastAsia" w:hAnsi="Times New Roman" w:cs="Times New Roman"/>
          </w:rPr>
          <w:t>https://doi.org/10.1016/j.scitotenv.2018.07.365</w:t>
        </w:r>
      </w:hyperlink>
      <w:r>
        <w:rPr>
          <w:rFonts w:ascii="Times New Roman" w:eastAsiaTheme="minorEastAsia" w:hAnsi="Times New Roman" w:cs="Times New Roman"/>
        </w:rPr>
        <w:t xml:space="preserve">. </w:t>
      </w:r>
    </w:p>
    <w:p w14:paraId="31CEAD2B"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Shakouri, B., &amp; </w:t>
      </w:r>
      <w:proofErr w:type="spellStart"/>
      <w:r w:rsidRPr="00082310">
        <w:rPr>
          <w:rFonts w:ascii="Times New Roman" w:eastAsiaTheme="minorEastAsia" w:hAnsi="Times New Roman" w:cs="Times New Roman"/>
        </w:rPr>
        <w:t>Khoshnevis</w:t>
      </w:r>
      <w:proofErr w:type="spellEnd"/>
      <w:r w:rsidRPr="00082310">
        <w:rPr>
          <w:rFonts w:ascii="Times New Roman" w:eastAsiaTheme="minorEastAsia" w:hAnsi="Times New Roman" w:cs="Times New Roman"/>
        </w:rPr>
        <w:t xml:space="preserve"> </w:t>
      </w:r>
      <w:proofErr w:type="spellStart"/>
      <w:r w:rsidRPr="00082310">
        <w:rPr>
          <w:rFonts w:ascii="Times New Roman" w:eastAsiaTheme="minorEastAsia" w:hAnsi="Times New Roman" w:cs="Times New Roman"/>
        </w:rPr>
        <w:t>Yazdi</w:t>
      </w:r>
      <w:proofErr w:type="spellEnd"/>
      <w:r w:rsidRPr="00082310">
        <w:rPr>
          <w:rFonts w:ascii="Times New Roman" w:eastAsiaTheme="minorEastAsia" w:hAnsi="Times New Roman" w:cs="Times New Roman"/>
        </w:rPr>
        <w:t xml:space="preserve">, S. (2017). Causality between renewable energy, energy consumption, and economic growth. Energy Sources, Part B: Economics, Planning and Policy, 12(9), 838–845. </w:t>
      </w:r>
      <w:hyperlink r:id="rId56" w:history="1">
        <w:r w:rsidRPr="00A9704C">
          <w:rPr>
            <w:rStyle w:val="Hyperlink"/>
            <w:rFonts w:ascii="Times New Roman" w:eastAsiaTheme="minorEastAsia" w:hAnsi="Times New Roman" w:cs="Times New Roman"/>
          </w:rPr>
          <w:t>https://doi.org/10.1080/15567249.2017.1312640</w:t>
        </w:r>
      </w:hyperlink>
      <w:r>
        <w:rPr>
          <w:rFonts w:ascii="Times New Roman" w:eastAsiaTheme="minorEastAsia" w:hAnsi="Times New Roman" w:cs="Times New Roman"/>
        </w:rPr>
        <w:t xml:space="preserve">. </w:t>
      </w:r>
    </w:p>
    <w:p w14:paraId="60D61074"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Sheikh, M. A., Malik, M. A., &amp; Masood, R. Z. (2020). Assessing the effects of trade openness on sustainable development: evidence from India. Asian Journal of Sustainability and Social Responsibility, 5(1). </w:t>
      </w:r>
      <w:hyperlink r:id="rId57" w:history="1">
        <w:r w:rsidRPr="00A9704C">
          <w:rPr>
            <w:rStyle w:val="Hyperlink"/>
            <w:rFonts w:ascii="Times New Roman" w:eastAsiaTheme="minorEastAsia" w:hAnsi="Times New Roman" w:cs="Times New Roman"/>
          </w:rPr>
          <w:t>https://doi.org/10.1186/s41180-019-0030-x</w:t>
        </w:r>
      </w:hyperlink>
      <w:r>
        <w:rPr>
          <w:rFonts w:ascii="Times New Roman" w:eastAsiaTheme="minorEastAsia" w:hAnsi="Times New Roman" w:cs="Times New Roman"/>
        </w:rPr>
        <w:t xml:space="preserve">. </w:t>
      </w:r>
    </w:p>
    <w:p w14:paraId="0F421713"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Staniškis, J. K. (2020). Future is now: science for achieving sustainable development– the global sustainable development report 2019. In G. Zilahy (Ed.), sustainability in transforming societies: proceedings of the 26th annual conference of the international sustainable development research society (ISDRS 2020) (pp. 831–839). Budapest University of Technology and Economics.</w:t>
      </w:r>
    </w:p>
    <w:p w14:paraId="757BDAB6"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t>Tecel</w:t>
      </w:r>
      <w:proofErr w:type="spellEnd"/>
      <w:r w:rsidRPr="00082310">
        <w:rPr>
          <w:rFonts w:ascii="Times New Roman" w:eastAsiaTheme="minorEastAsia" w:hAnsi="Times New Roman" w:cs="Times New Roman"/>
        </w:rPr>
        <w:t xml:space="preserve">, A., </w:t>
      </w:r>
      <w:proofErr w:type="spellStart"/>
      <w:r w:rsidRPr="00082310">
        <w:rPr>
          <w:rFonts w:ascii="Times New Roman" w:eastAsiaTheme="minorEastAsia" w:hAnsi="Times New Roman" w:cs="Times New Roman"/>
        </w:rPr>
        <w:t>Katircioğlu</w:t>
      </w:r>
      <w:proofErr w:type="spellEnd"/>
      <w:r w:rsidRPr="00082310">
        <w:rPr>
          <w:rFonts w:ascii="Times New Roman" w:eastAsiaTheme="minorEastAsia" w:hAnsi="Times New Roman" w:cs="Times New Roman"/>
        </w:rPr>
        <w:t xml:space="preserve">, S., Taheri, E., &amp; Victor Bekun, F. (2020). Causal interactions among tourism, foreign direct investment, domestic credits, and economic growth: evidence from selected Mediterranean countries. Portuguese Economic Journal, 19(3), 195–212. </w:t>
      </w:r>
      <w:hyperlink r:id="rId58" w:history="1">
        <w:r w:rsidRPr="00A9704C">
          <w:rPr>
            <w:rStyle w:val="Hyperlink"/>
            <w:rFonts w:ascii="Times New Roman" w:eastAsiaTheme="minorEastAsia" w:hAnsi="Times New Roman" w:cs="Times New Roman"/>
          </w:rPr>
          <w:t>https://doi.org/10.1007/s10258-020-00181-5</w:t>
        </w:r>
      </w:hyperlink>
      <w:r>
        <w:rPr>
          <w:rFonts w:ascii="Times New Roman" w:eastAsiaTheme="minorEastAsia" w:hAnsi="Times New Roman" w:cs="Times New Roman"/>
        </w:rPr>
        <w:t xml:space="preserve">.  </w:t>
      </w:r>
    </w:p>
    <w:p w14:paraId="2B827BC5"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Udi, J., </w:t>
      </w:r>
      <w:proofErr w:type="spellStart"/>
      <w:r w:rsidRPr="00082310">
        <w:rPr>
          <w:rFonts w:ascii="Times New Roman" w:eastAsiaTheme="minorEastAsia" w:hAnsi="Times New Roman" w:cs="Times New Roman"/>
        </w:rPr>
        <w:t>Bekun</w:t>
      </w:r>
      <w:proofErr w:type="spellEnd"/>
      <w:r w:rsidRPr="00082310">
        <w:rPr>
          <w:rFonts w:ascii="Times New Roman" w:eastAsiaTheme="minorEastAsia" w:hAnsi="Times New Roman" w:cs="Times New Roman"/>
        </w:rPr>
        <w:t xml:space="preserve">, F. V., &amp; Adedoyin, F. F. (2020). </w:t>
      </w:r>
      <w:proofErr w:type="spellStart"/>
      <w:r w:rsidRPr="00082310">
        <w:rPr>
          <w:rFonts w:ascii="Times New Roman" w:eastAsiaTheme="minorEastAsia" w:hAnsi="Times New Roman" w:cs="Times New Roman"/>
        </w:rPr>
        <w:t>Modeling</w:t>
      </w:r>
      <w:proofErr w:type="spellEnd"/>
      <w:r w:rsidRPr="00082310">
        <w:rPr>
          <w:rFonts w:ascii="Times New Roman" w:eastAsiaTheme="minorEastAsia" w:hAnsi="Times New Roman" w:cs="Times New Roman"/>
        </w:rPr>
        <w:t xml:space="preserve"> the nexus between coal consumption, FDI inflow and economic expansion: does industrialisation matter in South Africa? Environmental Science and Pollution Research, 27(10), 10553–10564. </w:t>
      </w:r>
      <w:hyperlink r:id="rId59" w:history="1">
        <w:r w:rsidRPr="00A9704C">
          <w:rPr>
            <w:rStyle w:val="Hyperlink"/>
            <w:rFonts w:ascii="Times New Roman" w:eastAsiaTheme="minorEastAsia" w:hAnsi="Times New Roman" w:cs="Times New Roman"/>
          </w:rPr>
          <w:t>https://doi.org/10.1007/s11356-020-07691-x</w:t>
        </w:r>
      </w:hyperlink>
      <w:r>
        <w:rPr>
          <w:rFonts w:ascii="Times New Roman" w:eastAsiaTheme="minorEastAsia" w:hAnsi="Times New Roman" w:cs="Times New Roman"/>
        </w:rPr>
        <w:t xml:space="preserve">.  </w:t>
      </w:r>
    </w:p>
    <w:p w14:paraId="47D2ED96"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proofErr w:type="spellStart"/>
      <w:r w:rsidRPr="00082310">
        <w:rPr>
          <w:rFonts w:ascii="Times New Roman" w:eastAsiaTheme="minorEastAsia" w:hAnsi="Times New Roman" w:cs="Times New Roman"/>
        </w:rPr>
        <w:lastRenderedPageBreak/>
        <w:t>Vitenu</w:t>
      </w:r>
      <w:proofErr w:type="spellEnd"/>
      <w:r w:rsidRPr="00082310">
        <w:rPr>
          <w:rFonts w:ascii="Times New Roman" w:eastAsiaTheme="minorEastAsia" w:hAnsi="Times New Roman" w:cs="Times New Roman"/>
        </w:rPr>
        <w:t xml:space="preserve">-Sackey, P. A., &amp; Barfi, R. (2021). The Impact of Covid-19 Pandemic on the Global Economy: Emphasis on Poverty Alleviation and Economic Growth. The Economics and Finance Letters, 8(1), 32–43. </w:t>
      </w:r>
      <w:hyperlink r:id="rId60" w:history="1">
        <w:r w:rsidRPr="00A9704C">
          <w:rPr>
            <w:rStyle w:val="Hyperlink"/>
            <w:rFonts w:ascii="Times New Roman" w:eastAsiaTheme="minorEastAsia" w:hAnsi="Times New Roman" w:cs="Times New Roman"/>
          </w:rPr>
          <w:t>https://doi.org/10.18488/journal.29.2021.81.32.43</w:t>
        </w:r>
      </w:hyperlink>
      <w:r>
        <w:rPr>
          <w:rFonts w:ascii="Times New Roman" w:eastAsiaTheme="minorEastAsia" w:hAnsi="Times New Roman" w:cs="Times New Roman"/>
        </w:rPr>
        <w:t xml:space="preserve">. </w:t>
      </w:r>
    </w:p>
    <w:p w14:paraId="01F1761A"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Were, M. (2015). Differential effects of trade on economic growth and investment: A cross-country empirical investigation</w:t>
      </w:r>
      <w:r w:rsidRPr="00082310">
        <w:rPr>
          <w:rFonts w:ascii="Segoe UI Symbol" w:eastAsiaTheme="minorEastAsia" w:hAnsi="Segoe UI Symbol" w:cs="Segoe UI Symbol"/>
        </w:rPr>
        <w:t>☆</w:t>
      </w:r>
      <w:r w:rsidRPr="00082310">
        <w:rPr>
          <w:rFonts w:ascii="Times New Roman" w:eastAsiaTheme="minorEastAsia" w:hAnsi="Times New Roman" w:cs="Times New Roman"/>
        </w:rPr>
        <w:t xml:space="preserve">. Journal of African Trade, 2(1–2), 71. </w:t>
      </w:r>
      <w:hyperlink r:id="rId61" w:history="1">
        <w:r w:rsidRPr="00A9704C">
          <w:rPr>
            <w:rStyle w:val="Hyperlink"/>
            <w:rFonts w:ascii="Times New Roman" w:eastAsiaTheme="minorEastAsia" w:hAnsi="Times New Roman" w:cs="Times New Roman"/>
          </w:rPr>
          <w:t>https://doi.org/10.1016/j.joat.2015.08.002</w:t>
        </w:r>
      </w:hyperlink>
      <w:r>
        <w:rPr>
          <w:rFonts w:ascii="Times New Roman" w:eastAsiaTheme="minorEastAsia" w:hAnsi="Times New Roman" w:cs="Times New Roman"/>
        </w:rPr>
        <w:t xml:space="preserve">. </w:t>
      </w:r>
    </w:p>
    <w:p w14:paraId="274C786C" w14:textId="77777777" w:rsidR="000A5D73" w:rsidRPr="00082310"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World Economic Forum. (2021). The Global Risks Report 2021: 16th Edition. In Weforum.Org.</w:t>
      </w:r>
      <w:r>
        <w:rPr>
          <w:rFonts w:ascii="Times New Roman" w:eastAsiaTheme="minorEastAsia" w:hAnsi="Times New Roman" w:cs="Times New Roman"/>
        </w:rPr>
        <w:t xml:space="preserve"> </w:t>
      </w:r>
      <w:hyperlink r:id="rId62" w:history="1">
        <w:r w:rsidRPr="00A9704C">
          <w:rPr>
            <w:rStyle w:val="Hyperlink"/>
            <w:rFonts w:ascii="Times New Roman" w:eastAsiaTheme="minorEastAsia" w:hAnsi="Times New Roman" w:cs="Times New Roman"/>
          </w:rPr>
          <w:t>http://www3.weforum.org/docs/WEF_The_Global_Risks_Report_2021.pdf</w:t>
        </w:r>
      </w:hyperlink>
      <w:r>
        <w:rPr>
          <w:rFonts w:ascii="Times New Roman" w:eastAsiaTheme="minorEastAsia" w:hAnsi="Times New Roman" w:cs="Times New Roman"/>
        </w:rPr>
        <w:t xml:space="preserve">. </w:t>
      </w:r>
    </w:p>
    <w:p w14:paraId="08138C64" w14:textId="77777777" w:rsidR="000A5D73"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82310">
        <w:rPr>
          <w:rFonts w:ascii="Times New Roman" w:eastAsiaTheme="minorEastAsia" w:hAnsi="Times New Roman" w:cs="Times New Roman"/>
        </w:rPr>
        <w:t xml:space="preserve">Yang, B., </w:t>
      </w:r>
      <w:proofErr w:type="spellStart"/>
      <w:r w:rsidRPr="00082310">
        <w:rPr>
          <w:rFonts w:ascii="Times New Roman" w:eastAsiaTheme="minorEastAsia" w:hAnsi="Times New Roman" w:cs="Times New Roman"/>
        </w:rPr>
        <w:t>Jahanger</w:t>
      </w:r>
      <w:proofErr w:type="spellEnd"/>
      <w:r w:rsidRPr="00082310">
        <w:rPr>
          <w:rFonts w:ascii="Times New Roman" w:eastAsiaTheme="minorEastAsia" w:hAnsi="Times New Roman" w:cs="Times New Roman"/>
        </w:rPr>
        <w:t xml:space="preserve">, A., Usman, M., &amp; Khan, M. A. (2021). The dynamic linkage between globalisation, financial development, energy utilisation, and environmental sustainability in GCC countries. Environmental Science and Pollution Research, 28(13), 16568–16588. </w:t>
      </w:r>
      <w:hyperlink r:id="rId63" w:history="1">
        <w:r w:rsidRPr="00A9704C">
          <w:rPr>
            <w:rStyle w:val="Hyperlink"/>
            <w:rFonts w:ascii="Times New Roman" w:eastAsiaTheme="minorEastAsia" w:hAnsi="Times New Roman" w:cs="Times New Roman"/>
          </w:rPr>
          <w:t>https://doi.org/10.1007/s11356-020-11576-4</w:t>
        </w:r>
      </w:hyperlink>
      <w:r>
        <w:rPr>
          <w:rFonts w:ascii="Times New Roman" w:eastAsiaTheme="minorEastAsia" w:hAnsi="Times New Roman" w:cs="Times New Roman"/>
        </w:rPr>
        <w:t xml:space="preserve">. </w:t>
      </w:r>
    </w:p>
    <w:p w14:paraId="1A4A6408" w14:textId="5921FDD4" w:rsidR="00EC3518" w:rsidRPr="000A5D73" w:rsidRDefault="000A5D73" w:rsidP="000A5D73">
      <w:pPr>
        <w:pStyle w:val="ListParagraph"/>
        <w:numPr>
          <w:ilvl w:val="0"/>
          <w:numId w:val="5"/>
        </w:numPr>
        <w:tabs>
          <w:tab w:val="left" w:pos="2024"/>
        </w:tabs>
        <w:spacing w:line="360" w:lineRule="auto"/>
        <w:jc w:val="both"/>
        <w:rPr>
          <w:rFonts w:ascii="Times New Roman" w:eastAsiaTheme="minorEastAsia" w:hAnsi="Times New Roman" w:cs="Times New Roman"/>
        </w:rPr>
      </w:pPr>
      <w:r w:rsidRPr="000A5D73">
        <w:rPr>
          <w:rFonts w:ascii="Times New Roman" w:eastAsiaTheme="minorEastAsia" w:hAnsi="Times New Roman" w:cs="Times New Roman"/>
        </w:rPr>
        <w:t xml:space="preserve">Zhang, Q., Naqvi, S. A. A., &amp; Shah, S. A. R. (2021). The contribution of outward foreign direct investment, human well-being, and technology toward a sustainable environment. Sustainability (Switzerland), 13(20). </w:t>
      </w:r>
      <w:hyperlink r:id="rId64" w:history="1">
        <w:r w:rsidRPr="000A5D73">
          <w:rPr>
            <w:rStyle w:val="Hyperlink"/>
            <w:rFonts w:ascii="Times New Roman" w:eastAsiaTheme="minorEastAsia" w:hAnsi="Times New Roman" w:cs="Times New Roman"/>
          </w:rPr>
          <w:t>https://doi.org/10.3390/su132011430</w:t>
        </w:r>
      </w:hyperlink>
      <w:r w:rsidRPr="000A5D73">
        <w:rPr>
          <w:rFonts w:ascii="Times New Roman" w:eastAsiaTheme="minorEastAsia" w:hAnsi="Times New Roman" w:cs="Times New Roman"/>
        </w:rPr>
        <w:t>.</w:t>
      </w:r>
    </w:p>
    <w:sectPr w:rsidR="00EC3518" w:rsidRPr="000A5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431D3"/>
    <w:multiLevelType w:val="hybridMultilevel"/>
    <w:tmpl w:val="5E80E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420A11"/>
    <w:multiLevelType w:val="hybridMultilevel"/>
    <w:tmpl w:val="C644C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763F34"/>
    <w:multiLevelType w:val="hybridMultilevel"/>
    <w:tmpl w:val="D3BC8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435B8F"/>
    <w:multiLevelType w:val="hybridMultilevel"/>
    <w:tmpl w:val="88742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A2089D"/>
    <w:multiLevelType w:val="hybridMultilevel"/>
    <w:tmpl w:val="450C6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56"/>
    <w:rsid w:val="000001F1"/>
    <w:rsid w:val="0001176C"/>
    <w:rsid w:val="00067518"/>
    <w:rsid w:val="00070A7D"/>
    <w:rsid w:val="000809E8"/>
    <w:rsid w:val="000846EC"/>
    <w:rsid w:val="000A5D73"/>
    <w:rsid w:val="000D69F2"/>
    <w:rsid w:val="000F12C3"/>
    <w:rsid w:val="00147ACC"/>
    <w:rsid w:val="00154B1D"/>
    <w:rsid w:val="001767B7"/>
    <w:rsid w:val="001C0D67"/>
    <w:rsid w:val="00240926"/>
    <w:rsid w:val="0024291E"/>
    <w:rsid w:val="0025142C"/>
    <w:rsid w:val="00262646"/>
    <w:rsid w:val="002B1A9E"/>
    <w:rsid w:val="002C03D7"/>
    <w:rsid w:val="002C53B9"/>
    <w:rsid w:val="00333D65"/>
    <w:rsid w:val="00363B41"/>
    <w:rsid w:val="00394013"/>
    <w:rsid w:val="003A0200"/>
    <w:rsid w:val="003E7553"/>
    <w:rsid w:val="00411F2D"/>
    <w:rsid w:val="004458F8"/>
    <w:rsid w:val="00447019"/>
    <w:rsid w:val="0045513A"/>
    <w:rsid w:val="004658B8"/>
    <w:rsid w:val="004675B2"/>
    <w:rsid w:val="00476B80"/>
    <w:rsid w:val="00496653"/>
    <w:rsid w:val="004E44D4"/>
    <w:rsid w:val="00504903"/>
    <w:rsid w:val="005400D5"/>
    <w:rsid w:val="00542205"/>
    <w:rsid w:val="00546FF2"/>
    <w:rsid w:val="00592DE8"/>
    <w:rsid w:val="00610CC1"/>
    <w:rsid w:val="00614F50"/>
    <w:rsid w:val="00645045"/>
    <w:rsid w:val="006B093F"/>
    <w:rsid w:val="006D3625"/>
    <w:rsid w:val="00720910"/>
    <w:rsid w:val="007409FB"/>
    <w:rsid w:val="007672AF"/>
    <w:rsid w:val="007F2EE1"/>
    <w:rsid w:val="0085709C"/>
    <w:rsid w:val="00877E02"/>
    <w:rsid w:val="00896056"/>
    <w:rsid w:val="0089719D"/>
    <w:rsid w:val="008A50A5"/>
    <w:rsid w:val="008B4CBE"/>
    <w:rsid w:val="00954B61"/>
    <w:rsid w:val="009B2528"/>
    <w:rsid w:val="009B45CA"/>
    <w:rsid w:val="009B4CAA"/>
    <w:rsid w:val="00A254D1"/>
    <w:rsid w:val="00A46925"/>
    <w:rsid w:val="00A5265C"/>
    <w:rsid w:val="00A5289D"/>
    <w:rsid w:val="00A95E72"/>
    <w:rsid w:val="00AB5894"/>
    <w:rsid w:val="00AF0A0F"/>
    <w:rsid w:val="00B3079D"/>
    <w:rsid w:val="00B50196"/>
    <w:rsid w:val="00B5046F"/>
    <w:rsid w:val="00C0344F"/>
    <w:rsid w:val="00C43939"/>
    <w:rsid w:val="00C73F6A"/>
    <w:rsid w:val="00C80E94"/>
    <w:rsid w:val="00CA29DC"/>
    <w:rsid w:val="00CD6BDA"/>
    <w:rsid w:val="00D06EF6"/>
    <w:rsid w:val="00D100B8"/>
    <w:rsid w:val="00D26A22"/>
    <w:rsid w:val="00DB6A21"/>
    <w:rsid w:val="00E36E58"/>
    <w:rsid w:val="00E459F4"/>
    <w:rsid w:val="00EC3518"/>
    <w:rsid w:val="00EE79FB"/>
    <w:rsid w:val="00F2707A"/>
    <w:rsid w:val="00F40ADE"/>
    <w:rsid w:val="00F525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E5C7"/>
  <w15:chartTrackingRefBased/>
  <w15:docId w15:val="{DBA4C4D5-CEEE-6A41-8541-444D159A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056"/>
    <w:rPr>
      <w:lang w:val="en-GB"/>
    </w:rPr>
  </w:style>
  <w:style w:type="paragraph" w:styleId="Heading1">
    <w:name w:val="heading 1"/>
    <w:basedOn w:val="Normal"/>
    <w:next w:val="Normal"/>
    <w:link w:val="Heading1Char"/>
    <w:uiPriority w:val="9"/>
    <w:qFormat/>
    <w:rsid w:val="0089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0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0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0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0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ody"/>
    <w:basedOn w:val="Normal"/>
    <w:next w:val="Normal"/>
    <w:autoRedefine/>
    <w:uiPriority w:val="39"/>
    <w:unhideWhenUsed/>
    <w:qFormat/>
    <w:rsid w:val="00AF0A0F"/>
    <w:pPr>
      <w:spacing w:before="120" w:line="259" w:lineRule="auto"/>
    </w:pPr>
    <w:rPr>
      <w:rFonts w:ascii="Times New Roman" w:hAnsi="Times New Roman"/>
      <w:bCs/>
      <w:iCs/>
      <w:color w:val="000000" w:themeColor="text1"/>
      <w:lang w:bidi="hi-IN"/>
    </w:rPr>
  </w:style>
  <w:style w:type="paragraph" w:styleId="Bibliography">
    <w:name w:val="Bibliography"/>
    <w:basedOn w:val="Normal"/>
    <w:next w:val="Normal"/>
    <w:uiPriority w:val="37"/>
    <w:unhideWhenUsed/>
    <w:rsid w:val="00EE79FB"/>
    <w:rPr>
      <w:lang w:val="en-IN"/>
    </w:rPr>
  </w:style>
  <w:style w:type="character" w:customStyle="1" w:styleId="Heading1Char">
    <w:name w:val="Heading 1 Char"/>
    <w:basedOn w:val="DefaultParagraphFont"/>
    <w:link w:val="Heading1"/>
    <w:uiPriority w:val="9"/>
    <w:rsid w:val="008960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960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9605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960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960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960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960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960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960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960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0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60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0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60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056"/>
    <w:rPr>
      <w:i/>
      <w:iCs/>
      <w:color w:val="404040" w:themeColor="text1" w:themeTint="BF"/>
      <w:lang w:val="en-GB"/>
    </w:rPr>
  </w:style>
  <w:style w:type="paragraph" w:styleId="ListParagraph">
    <w:name w:val="List Paragraph"/>
    <w:basedOn w:val="Normal"/>
    <w:uiPriority w:val="34"/>
    <w:qFormat/>
    <w:rsid w:val="00896056"/>
    <w:pPr>
      <w:ind w:left="720"/>
      <w:contextualSpacing/>
    </w:pPr>
  </w:style>
  <w:style w:type="character" w:styleId="IntenseEmphasis">
    <w:name w:val="Intense Emphasis"/>
    <w:basedOn w:val="DefaultParagraphFont"/>
    <w:uiPriority w:val="21"/>
    <w:qFormat/>
    <w:rsid w:val="00896056"/>
    <w:rPr>
      <w:i/>
      <w:iCs/>
      <w:color w:val="0F4761" w:themeColor="accent1" w:themeShade="BF"/>
    </w:rPr>
  </w:style>
  <w:style w:type="paragraph" w:styleId="IntenseQuote">
    <w:name w:val="Intense Quote"/>
    <w:basedOn w:val="Normal"/>
    <w:next w:val="Normal"/>
    <w:link w:val="IntenseQuoteChar"/>
    <w:uiPriority w:val="30"/>
    <w:qFormat/>
    <w:rsid w:val="0089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056"/>
    <w:rPr>
      <w:i/>
      <w:iCs/>
      <w:color w:val="0F4761" w:themeColor="accent1" w:themeShade="BF"/>
      <w:lang w:val="en-GB"/>
    </w:rPr>
  </w:style>
  <w:style w:type="character" w:styleId="IntenseReference">
    <w:name w:val="Intense Reference"/>
    <w:basedOn w:val="DefaultParagraphFont"/>
    <w:uiPriority w:val="32"/>
    <w:qFormat/>
    <w:rsid w:val="00896056"/>
    <w:rPr>
      <w:b/>
      <w:bCs/>
      <w:smallCaps/>
      <w:color w:val="0F4761" w:themeColor="accent1" w:themeShade="BF"/>
      <w:spacing w:val="5"/>
    </w:rPr>
  </w:style>
  <w:style w:type="character" w:styleId="Hyperlink">
    <w:name w:val="Hyperlink"/>
    <w:basedOn w:val="DefaultParagraphFont"/>
    <w:uiPriority w:val="99"/>
    <w:unhideWhenUsed/>
    <w:rsid w:val="00154B1D"/>
    <w:rPr>
      <w:color w:val="467886" w:themeColor="hyperlink"/>
      <w:u w:val="single"/>
    </w:rPr>
  </w:style>
  <w:style w:type="table" w:styleId="TableGrid">
    <w:name w:val="Table Grid"/>
    <w:basedOn w:val="TableNormal"/>
    <w:uiPriority w:val="39"/>
    <w:rsid w:val="0036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0A5D7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0A5D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A5D73"/>
    <w:rPr>
      <w:color w:val="666666"/>
    </w:rPr>
  </w:style>
  <w:style w:type="character" w:styleId="UnresolvedMention">
    <w:name w:val="Unresolved Mention"/>
    <w:basedOn w:val="DefaultParagraphFont"/>
    <w:uiPriority w:val="99"/>
    <w:semiHidden/>
    <w:unhideWhenUsed/>
    <w:rsid w:val="000A5D73"/>
    <w:rPr>
      <w:color w:val="605E5C"/>
      <w:shd w:val="clear" w:color="auto" w:fill="E1DFDD"/>
    </w:rPr>
  </w:style>
  <w:style w:type="character" w:styleId="FollowedHyperlink">
    <w:name w:val="FollowedHyperlink"/>
    <w:basedOn w:val="DefaultParagraphFont"/>
    <w:uiPriority w:val="99"/>
    <w:semiHidden/>
    <w:unhideWhenUsed/>
    <w:rsid w:val="000A5D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deveco.2008.06.011" TargetMode="External"/><Relationship Id="rId21" Type="http://schemas.openxmlformats.org/officeDocument/2006/relationships/hyperlink" Target="https://doi.org/10.1002/bse.2615" TargetMode="External"/><Relationship Id="rId34" Type="http://schemas.openxmlformats.org/officeDocument/2006/relationships/hyperlink" Target="https://doi.org/10.28992/ijsam.v4i2.283" TargetMode="External"/><Relationship Id="rId42" Type="http://schemas.openxmlformats.org/officeDocument/2006/relationships/hyperlink" Target="https://doi.org/10.32479/ijeep.8506" TargetMode="External"/><Relationship Id="rId47" Type="http://schemas.openxmlformats.org/officeDocument/2006/relationships/hyperlink" Target="https://doi.org/10.1016/j.renene.2018.08.069" TargetMode="External"/><Relationship Id="rId50" Type="http://schemas.openxmlformats.org/officeDocument/2006/relationships/hyperlink" Target="https://doi.org/10.1080/00220388.2019.1702159" TargetMode="External"/><Relationship Id="rId55" Type="http://schemas.openxmlformats.org/officeDocument/2006/relationships/hyperlink" Target="https://doi.org/10.1016/j.scitotenv.2018.07.365" TargetMode="External"/><Relationship Id="rId63" Type="http://schemas.openxmlformats.org/officeDocument/2006/relationships/hyperlink" Target="https://doi.org/10.1007/s11356-020-11576-4" TargetMode="External"/><Relationship Id="rId7" Type="http://schemas.openxmlformats.org/officeDocument/2006/relationships/hyperlink" Target="https://doi.org/10.3390/su132413747" TargetMode="External"/><Relationship Id="rId2" Type="http://schemas.openxmlformats.org/officeDocument/2006/relationships/numbering" Target="numbering.xml"/><Relationship Id="rId16" Type="http://schemas.openxmlformats.org/officeDocument/2006/relationships/hyperlink" Target="https://doi.org/10.1007/s11356-020-07768-7" TargetMode="External"/><Relationship Id="rId29" Type="http://schemas.openxmlformats.org/officeDocument/2006/relationships/hyperlink" Target="https://doi.org/10.1016/j.cosust.2012.07.005" TargetMode="External"/><Relationship Id="rId11" Type="http://schemas.openxmlformats.org/officeDocument/2006/relationships/hyperlink" Target="https://doi.org/10.3390/su13084371" TargetMode="External"/><Relationship Id="rId24" Type="http://schemas.openxmlformats.org/officeDocument/2006/relationships/hyperlink" Target="https://doi.org/10.1016/j.scitotenv.2018.12.104" TargetMode="External"/><Relationship Id="rId32" Type="http://schemas.openxmlformats.org/officeDocument/2006/relationships/hyperlink" Target="https://doi.org/10.1016/j.jdeveco.2007.11.003" TargetMode="External"/><Relationship Id="rId37" Type="http://schemas.openxmlformats.org/officeDocument/2006/relationships/hyperlink" Target="https://doi.org/10.1007/s11356-018-3034-7" TargetMode="External"/><Relationship Id="rId40" Type="http://schemas.openxmlformats.org/officeDocument/2006/relationships/hyperlink" Target="https://doi.org/10.3390/su12072930" TargetMode="External"/><Relationship Id="rId45" Type="http://schemas.openxmlformats.org/officeDocument/2006/relationships/hyperlink" Target="https://doi.org/10.1007/s10690-021-09335-7" TargetMode="External"/><Relationship Id="rId53" Type="http://schemas.openxmlformats.org/officeDocument/2006/relationships/hyperlink" Target="https://doi.org/10.1007/s11356-018-2347-x" TargetMode="External"/><Relationship Id="rId58" Type="http://schemas.openxmlformats.org/officeDocument/2006/relationships/hyperlink" Target="https://doi.org/10.1007/s10258-020-00181-5"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j.joat.2015.08.002" TargetMode="External"/><Relationship Id="rId19" Type="http://schemas.openxmlformats.org/officeDocument/2006/relationships/hyperlink" Target="https://doi.org/10.1080/15567249.2016.1217285" TargetMode="External"/><Relationship Id="rId14" Type="http://schemas.openxmlformats.org/officeDocument/2006/relationships/hyperlink" Target="https://doi.org/10.1016/j.enpol.2021.112520" TargetMode="External"/><Relationship Id="rId22" Type="http://schemas.openxmlformats.org/officeDocument/2006/relationships/hyperlink" Target="https://doi.org/10.1007/s10098-020-01828-9" TargetMode="External"/><Relationship Id="rId27" Type="http://schemas.openxmlformats.org/officeDocument/2006/relationships/hyperlink" Target="https://doi.org/10.1007/s10640-013-9745-9" TargetMode="External"/><Relationship Id="rId30" Type="http://schemas.openxmlformats.org/officeDocument/2006/relationships/hyperlink" Target="https://doi.org/10.1080/1331677X.2018.1438907" TargetMode="External"/><Relationship Id="rId35" Type="http://schemas.openxmlformats.org/officeDocument/2006/relationships/hyperlink" Target="https://doi.org/10.1002/bbb.2206" TargetMode="External"/><Relationship Id="rId43" Type="http://schemas.openxmlformats.org/officeDocument/2006/relationships/hyperlink" Target="https://doi.org/10.1016/j.suscom.2018.11.007" TargetMode="External"/><Relationship Id="rId48" Type="http://schemas.openxmlformats.org/officeDocument/2006/relationships/hyperlink" Target="https://doi.org/10.4236/ojbm.2020.81003" TargetMode="External"/><Relationship Id="rId56" Type="http://schemas.openxmlformats.org/officeDocument/2006/relationships/hyperlink" Target="https://doi.org/10.1080/15567249.2017.1312640" TargetMode="External"/><Relationship Id="rId64" Type="http://schemas.openxmlformats.org/officeDocument/2006/relationships/hyperlink" Target="https://doi.org/10.3390/su132011430" TargetMode="External"/><Relationship Id="rId8" Type="http://schemas.openxmlformats.org/officeDocument/2006/relationships/hyperlink" Target="https://doi.org/10.3389/frevc.2024.1428754" TargetMode="External"/><Relationship Id="rId51" Type="http://schemas.openxmlformats.org/officeDocument/2006/relationships/hyperlink" Target="https://doi.org/10.2307/2670182" TargetMode="External"/><Relationship Id="rId3" Type="http://schemas.openxmlformats.org/officeDocument/2006/relationships/styles" Target="styles.xml"/><Relationship Id="rId12" Type="http://schemas.openxmlformats.org/officeDocument/2006/relationships/hyperlink" Target="https://doi.org/10.1016/j.scitotenv.2020.136726" TargetMode="External"/><Relationship Id="rId17" Type="http://schemas.openxmlformats.org/officeDocument/2006/relationships/hyperlink" Target="https://doi.org/10.1080/20430795.2020.1861865" TargetMode="External"/><Relationship Id="rId25" Type="http://schemas.openxmlformats.org/officeDocument/2006/relationships/hyperlink" Target="https://doi.org/10.3390/su12135421" TargetMode="External"/><Relationship Id="rId33" Type="http://schemas.openxmlformats.org/officeDocument/2006/relationships/hyperlink" Target="http://www.C-I-E.org" TargetMode="External"/><Relationship Id="rId38" Type="http://schemas.openxmlformats.org/officeDocument/2006/relationships/hyperlink" Target="http://clok.uclan.ac.uk/25161/1/25161Education-in-the-Diffusion-of-Knowledge-with-Mobile-for-Inclusive-dev.pd.pdf" TargetMode="External"/><Relationship Id="rId46" Type="http://schemas.openxmlformats.org/officeDocument/2006/relationships/hyperlink" Target="https://doi.org/10.1002/pa.2037" TargetMode="External"/><Relationship Id="rId59" Type="http://schemas.openxmlformats.org/officeDocument/2006/relationships/hyperlink" Target="https://doi.org/10.1007/s11356-020-07691-x" TargetMode="External"/><Relationship Id="rId20" Type="http://schemas.openxmlformats.org/officeDocument/2006/relationships/hyperlink" Target="https://doi.org/10.1021/es202329f" TargetMode="External"/><Relationship Id="rId41" Type="http://schemas.openxmlformats.org/officeDocument/2006/relationships/hyperlink" Target="https://doi.org/10.1080/23322039.2017.1332820" TargetMode="External"/><Relationship Id="rId54" Type="http://schemas.openxmlformats.org/officeDocument/2006/relationships/hyperlink" Target="https://doi.org/10.1016/j.jclepro.2018.08.039" TargetMode="External"/><Relationship Id="rId62" Type="http://schemas.openxmlformats.org/officeDocument/2006/relationships/hyperlink" Target="http://www3.weforum.org/docs/WEF_The_Global_Risks_Report_2021.pdf" TargetMode="External"/><Relationship Id="rId1" Type="http://schemas.openxmlformats.org/officeDocument/2006/relationships/customXml" Target="../customXml/item1.xml"/><Relationship Id="rId6" Type="http://schemas.openxmlformats.org/officeDocument/2006/relationships/hyperlink" Target="https://doi.org/10.3389/frevc.2024.1428754" TargetMode="External"/><Relationship Id="rId15" Type="http://schemas.openxmlformats.org/officeDocument/2006/relationships/hyperlink" Target="https://doi.org/10.1016/j.heliyon.2020.e03400" TargetMode="External"/><Relationship Id="rId23" Type="http://schemas.openxmlformats.org/officeDocument/2006/relationships/hyperlink" Target="https://doi.org/10.1016/j.rser.2016.11.201" TargetMode="External"/><Relationship Id="rId28" Type="http://schemas.openxmlformats.org/officeDocument/2006/relationships/hyperlink" Target="https://doi.org/10.1016/j.scitotenv.2018.10.017" TargetMode="External"/><Relationship Id="rId36" Type="http://schemas.openxmlformats.org/officeDocument/2006/relationships/hyperlink" Target="https://doi.org/10.21203/rs.3.rs-1000201/v1" TargetMode="External"/><Relationship Id="rId49" Type="http://schemas.openxmlformats.org/officeDocument/2006/relationships/hyperlink" Target="https://doi.org/10.1002/pa.2561" TargetMode="External"/><Relationship Id="rId57" Type="http://schemas.openxmlformats.org/officeDocument/2006/relationships/hyperlink" Target="https://doi.org/10.1186/s41180-019-0030-x" TargetMode="External"/><Relationship Id="rId10" Type="http://schemas.openxmlformats.org/officeDocument/2006/relationships/hyperlink" Target="http://dx.doi.org/10.3389/fenvs.2022.930728" TargetMode="External"/><Relationship Id="rId31" Type="http://schemas.openxmlformats.org/officeDocument/2006/relationships/hyperlink" Target="https://doi.org/10.1088/1748-9326/aadbf8" TargetMode="External"/><Relationship Id="rId44" Type="http://schemas.openxmlformats.org/officeDocument/2006/relationships/hyperlink" Target="https://doi.org/10.3390/SU12187747" TargetMode="External"/><Relationship Id="rId52" Type="http://schemas.openxmlformats.org/officeDocument/2006/relationships/hyperlink" Target="https://doi.org/10.1016/j.eneco.2016.02.007" TargetMode="External"/><Relationship Id="rId60" Type="http://schemas.openxmlformats.org/officeDocument/2006/relationships/hyperlink" Target="https://doi.org/10.18488/journal.29.2021.81.32.4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11786302241288856" TargetMode="External"/><Relationship Id="rId13" Type="http://schemas.openxmlformats.org/officeDocument/2006/relationships/hyperlink" Target="https://doi.org/10.1016/j.jenvman.2020.110628" TargetMode="External"/><Relationship Id="rId18" Type="http://schemas.openxmlformats.org/officeDocument/2006/relationships/hyperlink" Target="https://doi.org/10.5539/ass.v11n21p270" TargetMode="External"/><Relationship Id="rId39" Type="http://schemas.openxmlformats.org/officeDocument/2006/relationships/hyperlink" Target="https://doi.org/10.1016/j.renene.2018.02.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Sar21</b:Tag>
    <b:SourceType>Report</b:SourceType>
    <b:Guid>{BDCC0679-9952-A84F-841C-06E4213F496F}</b:Guid>
    <b:Title>Methanol: A Competitive Alternate Fuel</b:Title>
    <b:Publisher>NITI Aayog, Government of India</b:Publisher>
    <b:City>New Delhi</b:City>
    <b:Year>2021</b:Year>
    <b:Author>
      <b:Author>
        <b:NameList>
          <b:Person>
            <b:Last>Saraswat</b:Last>
            <b:First>V.</b:First>
            <b:Middle>K.</b:Middle>
          </b:Person>
          <b:Person>
            <b:Last>Bansal</b:Last>
            <b:First>Ripunjaya</b:First>
          </b:Person>
        </b:NameList>
      </b:Author>
    </b:Author>
    <b:Institution>NITI Aayog</b:Institution>
    <b:ThesisType>Working Paper</b:ThesisType>
    <b:RefOrder>2</b:RefOrder>
  </b:Source>
  <b:Source>
    <b:Tag>Zha20</b:Tag>
    <b:SourceType>JournalArticle</b:SourceType>
    <b:Guid>{41E2CDFD-47CD-234B-956C-AC3629F66B29}</b:Guid>
    <b:Title>Does Financial Development influence CO2 Emissions? A Chinese Province-Level Study</b:Title>
    <b:JournalName>Energy</b:JournalName>
    <b:Year>2020</b:Year>
    <b:Author>
      <b:Author>
        <b:NameList>
          <b:Person>
            <b:Last>Zhao</b:Last>
            <b:First>B.</b:First>
          </b:Person>
          <b:Person>
            <b:Last>Yang</b:Last>
            <b:First>W.</b:First>
          </b:Person>
        </b:NameList>
      </b:Author>
    </b:Author>
    <b:RefOrder>19</b:RefOrder>
  </b:Source>
  <b:Source>
    <b:Tag>Fra99</b:Tag>
    <b:SourceType>JournalArticle</b:SourceType>
    <b:Guid>{3C2A400A-C00B-234D-B68F-9DC65A67E16D}</b:Guid>
    <b:Title>Does trade cause growth?</b:Title>
    <b:JournalName>American Economic Review</b:JournalName>
    <b:Year>1999</b:Year>
    <b:Pages>379–399</b:Pages>
    <b:Author>
      <b:Author>
        <b:NameList>
          <b:Person>
            <b:Last>Frankel</b:Last>
            <b:Middle>A.</b:Middle>
            <b:First>J.</b:First>
          </b:Person>
          <b:Person>
            <b:Last>Romer</b:Last>
            <b:Middle>H.</b:Middle>
            <b:First>D.</b:First>
          </b:Person>
        </b:NameList>
      </b:Author>
    </b:Author>
    <b:Volume>89</b:Volume>
    <b:Issue>3</b:Issue>
    <b:RefOrder>14</b:RefOrder>
  </b:Source>
  <b:Source>
    <b:Tag>Gök20</b:Tag>
    <b:SourceType>JournalArticle</b:SourceType>
    <b:Guid>{E01F6A26-4629-A84A-8FE8-E60766E78D15}</b:Guid>
    <b:Title>The Role of Financial Development on Carbon Emissions: A Meta Regression Analysis</b:Title>
    <b:JournalName>Environmental Science and Pollution Research</b:JournalName>
    <b:Year>2020</b:Year>
    <b:Pages>1-19</b:Pages>
    <b:Author>
      <b:Author>
        <b:NameList>
          <b:Person>
            <b:Last>Gök</b:Last>
            <b:First>A.</b:First>
          </b:Person>
        </b:NameList>
      </b:Author>
    </b:Author>
    <b:RefOrder>20</b:RefOrder>
  </b:Source>
</b:Sources>
</file>

<file path=customXml/itemProps1.xml><?xml version="1.0" encoding="utf-8"?>
<ds:datastoreItem xmlns:ds="http://schemas.openxmlformats.org/officeDocument/2006/customXml" ds:itemID="{B18AC02A-C782-491E-9401-3BBF2D48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6908</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Agarwal</dc:creator>
  <cp:keywords/>
  <dc:description/>
  <cp:lastModifiedBy>SDI 1084</cp:lastModifiedBy>
  <cp:revision>17</cp:revision>
  <dcterms:created xsi:type="dcterms:W3CDTF">2025-07-26T15:13:00Z</dcterms:created>
  <dcterms:modified xsi:type="dcterms:W3CDTF">2025-10-14T11:11:00Z</dcterms:modified>
</cp:coreProperties>
</file>