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E966D" w14:textId="1CA5533F" w:rsidR="00C412B3" w:rsidRDefault="00F436A9" w:rsidP="00D0136C">
      <w:pPr>
        <w:spacing w:beforeAutospacing="0" w:after="0" w:afterAutospacing="0" w:line="240" w:lineRule="auto"/>
        <w:jc w:val="center"/>
        <w:outlineLvl w:val="9"/>
        <w:rPr>
          <w:rFonts w:eastAsia="Times New Roman"/>
          <w:b/>
          <w:bCs/>
          <w:color w:val="000000" w:themeColor="text1"/>
          <w:szCs w:val="24"/>
        </w:rPr>
      </w:pPr>
      <w:bookmarkStart w:id="0" w:name="_Toc25033"/>
      <w:bookmarkStart w:id="1" w:name="_Toc1538"/>
      <w:r w:rsidRPr="00D0136C">
        <w:rPr>
          <w:rFonts w:eastAsia="Times New Roman"/>
          <w:b/>
          <w:bCs/>
          <w:color w:val="000000" w:themeColor="text1"/>
          <w:szCs w:val="24"/>
        </w:rPr>
        <w:t xml:space="preserve">Assessing The Prevalence of </w:t>
      </w:r>
      <w:r w:rsidRPr="00D0136C">
        <w:rPr>
          <w:rStyle w:val="Emphasis"/>
          <w:b/>
          <w:bCs/>
          <w:iCs w:val="0"/>
          <w:color w:val="000000" w:themeColor="text1"/>
          <w:szCs w:val="24"/>
        </w:rPr>
        <w:t>Chlamydia trachomatis</w:t>
      </w:r>
      <w:r w:rsidRPr="00D0136C">
        <w:rPr>
          <w:rFonts w:eastAsia="Times New Roman"/>
          <w:b/>
          <w:bCs/>
          <w:color w:val="000000" w:themeColor="text1"/>
          <w:szCs w:val="24"/>
        </w:rPr>
        <w:t xml:space="preserve"> Infections among Female Tertiary Students Using Lateral Flow Assays</w:t>
      </w:r>
    </w:p>
    <w:p w14:paraId="2E73B971" w14:textId="77777777" w:rsidR="007F7226" w:rsidRDefault="007F7226" w:rsidP="00D0136C">
      <w:pPr>
        <w:spacing w:beforeAutospacing="0" w:after="0" w:afterAutospacing="0" w:line="240" w:lineRule="auto"/>
        <w:jc w:val="center"/>
        <w:outlineLvl w:val="9"/>
        <w:rPr>
          <w:rFonts w:eastAsia="Times New Roman"/>
          <w:b/>
          <w:bCs/>
          <w:color w:val="000000" w:themeColor="text1"/>
          <w:szCs w:val="24"/>
        </w:rPr>
      </w:pPr>
    </w:p>
    <w:p w14:paraId="14E3794C" w14:textId="1AF1B95F" w:rsidR="00D0136C" w:rsidRDefault="00D0136C" w:rsidP="00D0136C">
      <w:pPr>
        <w:spacing w:beforeAutospacing="0" w:after="0" w:afterAutospacing="0" w:line="240" w:lineRule="auto"/>
        <w:jc w:val="both"/>
        <w:outlineLvl w:val="9"/>
        <w:rPr>
          <w:rFonts w:eastAsia="Times New Roman"/>
          <w:b/>
          <w:bCs/>
          <w:color w:val="000000" w:themeColor="text1"/>
          <w:szCs w:val="24"/>
        </w:rPr>
      </w:pPr>
    </w:p>
    <w:p w14:paraId="466138B2" w14:textId="77777777" w:rsidR="00783AEA" w:rsidRPr="00D0136C" w:rsidRDefault="00783AEA" w:rsidP="00D0136C">
      <w:pPr>
        <w:spacing w:beforeAutospacing="0" w:after="0" w:afterAutospacing="0" w:line="240" w:lineRule="auto"/>
        <w:jc w:val="both"/>
        <w:outlineLvl w:val="9"/>
        <w:rPr>
          <w:rFonts w:eastAsia="Times New Roman"/>
          <w:b/>
          <w:bCs/>
          <w:color w:val="000000" w:themeColor="text1"/>
          <w:szCs w:val="24"/>
        </w:rPr>
      </w:pPr>
    </w:p>
    <w:p w14:paraId="084BF09A" w14:textId="3E174C88" w:rsidR="00EB4FDB" w:rsidRPr="00D0136C" w:rsidRDefault="002C1E7B" w:rsidP="00D0136C">
      <w:pPr>
        <w:spacing w:beforeAutospacing="0" w:after="0" w:afterAutospacing="0" w:line="240" w:lineRule="auto"/>
        <w:jc w:val="center"/>
        <w:outlineLvl w:val="9"/>
        <w:rPr>
          <w:rFonts w:eastAsia="Times New Roman"/>
          <w:b/>
          <w:bCs/>
          <w:color w:val="000000" w:themeColor="text1"/>
          <w:szCs w:val="24"/>
        </w:rPr>
      </w:pPr>
      <w:r w:rsidRPr="00D0136C">
        <w:rPr>
          <w:b/>
          <w:bCs/>
          <w:szCs w:val="24"/>
        </w:rPr>
        <w:t>ABSTRACT</w:t>
      </w:r>
      <w:bookmarkEnd w:id="0"/>
      <w:bookmarkEnd w:id="1"/>
    </w:p>
    <w:p w14:paraId="59026B71" w14:textId="77777777" w:rsidR="00EB4FDB" w:rsidRDefault="002C1E7B" w:rsidP="00D0136C">
      <w:pPr>
        <w:pStyle w:val="NormalWeb"/>
        <w:spacing w:beforeAutospacing="0" w:afterAutospacing="0"/>
        <w:jc w:val="both"/>
      </w:pPr>
      <w:r w:rsidRPr="00D0136C">
        <w:rPr>
          <w:rStyle w:val="Emphasis"/>
        </w:rPr>
        <w:t>Chlamydia trachomatis</w:t>
      </w:r>
      <w:r w:rsidRPr="00D0136C">
        <w:t xml:space="preserve"> is a leading cause of sexually transmitted infections (STIs) globally, disproportionately affecting young women, including tertiary students, due to behavioral risk factors like unprotected sex. This study aimed to assess </w:t>
      </w:r>
      <w:r w:rsidRPr="00D0136C">
        <w:rPr>
          <w:rStyle w:val="Emphasis"/>
        </w:rPr>
        <w:t>C. trachomatis</w:t>
      </w:r>
      <w:r w:rsidRPr="00D0136C">
        <w:t xml:space="preserve"> prevalence among female students of Rivers State University, Port Harcourt, using lateral flow assays (LFAs) and identify associated risk factors. A cross-sectional study was conducted with 150 female students aged 18–30 years, recruited via convenience sampling. Urine samples were tested for </w:t>
      </w:r>
      <w:r w:rsidRPr="00D0136C">
        <w:rPr>
          <w:rStyle w:val="Emphasis"/>
        </w:rPr>
        <w:t>C. trachomatis</w:t>
      </w:r>
      <w:r w:rsidRPr="00D0136C">
        <w:t xml:space="preserve"> antigens using the ROSTEC Chlamydia Rapid Test Cassette. Structured questionnaires collected data on socio-demographics, sexual behaviors, and </w:t>
      </w:r>
      <w:r w:rsidRPr="00D0136C">
        <w:rPr>
          <w:rStyle w:val="Emphasis"/>
        </w:rPr>
        <w:t>C. trachomatis</w:t>
      </w:r>
      <w:r w:rsidRPr="00D0136C">
        <w:t xml:space="preserve"> knowledge. Prevalence was calculated as the proportion of positive LFA results, and chi-square tests analyzed risk factor associations, with significance set at p&lt;0.05. Participants had a mean age of 20 ± 1.82 </w:t>
      </w:r>
      <w:proofErr w:type="spellStart"/>
      <w:proofErr w:type="gramStart"/>
      <w:r w:rsidRPr="00D0136C">
        <w:t>years.with</w:t>
      </w:r>
      <w:proofErr w:type="spellEnd"/>
      <w:proofErr w:type="gramEnd"/>
      <w:r w:rsidRPr="00D0136C">
        <w:t xml:space="preserve"> 60.0% single and 65.3% on-campus residents. Sexual education exposure was high (92.7%), but </w:t>
      </w:r>
      <w:r w:rsidRPr="00D0136C">
        <w:rPr>
          <w:rStyle w:val="Emphasis"/>
        </w:rPr>
        <w:t>C. trachomatis</w:t>
      </w:r>
      <w:r w:rsidRPr="00D0136C">
        <w:t xml:space="preserve"> awareness was low (12.7%), with only 0.7% ever tested. Sexual activity was reported by 45.3%, unprotected sex by 26.0%, and contraceptive use by 36.0%. Prevalence was 0.0% (100.0% negative LFA results), with no significant risk factor associations. The zero prevalence suggests ether a low infection burden or LFA limitations or both</w:t>
      </w:r>
      <w:r w:rsidRPr="00D0136C">
        <w:rPr>
          <w:color w:val="EE0000"/>
        </w:rPr>
        <w:t xml:space="preserve">. </w:t>
      </w:r>
      <w:r w:rsidRPr="00D0136C">
        <w:t>Low awareness and testing rates highlight the need for targeted education and routine LFA-based screening to enhance STI control in Nigerian universiti</w:t>
      </w:r>
      <w:r w:rsidR="00C412B3" w:rsidRPr="00D0136C">
        <w:t>es.</w:t>
      </w:r>
    </w:p>
    <w:p w14:paraId="5CC1F7F2" w14:textId="470B0899" w:rsidR="00561507" w:rsidRPr="00561507" w:rsidRDefault="00561507" w:rsidP="00D0136C">
      <w:pPr>
        <w:pStyle w:val="NormalWeb"/>
        <w:spacing w:beforeAutospacing="0" w:afterAutospacing="0"/>
        <w:jc w:val="both"/>
        <w:rPr>
          <w:i/>
          <w:iCs/>
        </w:rPr>
      </w:pPr>
      <w:r w:rsidRPr="00561507">
        <w:rPr>
          <w:i/>
          <w:iCs/>
        </w:rPr>
        <w:t>Keywords: Chlamydia trachomatis, Lateral flow assays, Female tertiary students</w:t>
      </w:r>
    </w:p>
    <w:p w14:paraId="65E295F7" w14:textId="77777777" w:rsidR="00C412B3" w:rsidRPr="00D0136C" w:rsidRDefault="00C412B3" w:rsidP="00D0136C">
      <w:pPr>
        <w:pStyle w:val="NormalWeb"/>
        <w:spacing w:beforeAutospacing="0" w:afterAutospacing="0"/>
        <w:jc w:val="both"/>
      </w:pPr>
    </w:p>
    <w:p w14:paraId="7D690825" w14:textId="77777777" w:rsidR="00C412B3" w:rsidRPr="00561507" w:rsidRDefault="00C412B3" w:rsidP="00D0136C">
      <w:pPr>
        <w:pStyle w:val="NormalWeb"/>
        <w:spacing w:beforeAutospacing="0" w:afterAutospacing="0"/>
        <w:jc w:val="both"/>
        <w:rPr>
          <w:b/>
          <w:bCs/>
        </w:rPr>
      </w:pPr>
      <w:r w:rsidRPr="00561507">
        <w:rPr>
          <w:b/>
          <w:bCs/>
        </w:rPr>
        <w:t>INTRODUCTION</w:t>
      </w:r>
    </w:p>
    <w:p w14:paraId="2C1FAFE6" w14:textId="77777777" w:rsidR="00C412B3" w:rsidRPr="00D0136C" w:rsidRDefault="00C412B3" w:rsidP="00D0136C">
      <w:pPr>
        <w:pStyle w:val="NormalWeb"/>
        <w:spacing w:beforeAutospacing="0" w:afterAutospacing="0"/>
        <w:jc w:val="both"/>
      </w:pPr>
    </w:p>
    <w:p w14:paraId="56ABDA21" w14:textId="77777777" w:rsidR="00C412B3" w:rsidRPr="00D0136C" w:rsidRDefault="00C412B3" w:rsidP="00D0136C">
      <w:pPr>
        <w:pStyle w:val="NormalWeb"/>
        <w:spacing w:beforeAutospacing="0" w:afterAutospacing="0"/>
        <w:jc w:val="both"/>
        <w:rPr>
          <w:color w:val="000000" w:themeColor="text1"/>
        </w:rPr>
      </w:pPr>
      <w:r w:rsidRPr="00D0136C">
        <w:rPr>
          <w:rStyle w:val="Emphasis"/>
          <w:color w:val="000000" w:themeColor="text1"/>
        </w:rPr>
        <w:t>Chlamydia trachomatis</w:t>
      </w:r>
      <w:r w:rsidRPr="00D0136C">
        <w:rPr>
          <w:color w:val="000000" w:themeColor="text1"/>
        </w:rPr>
        <w:t xml:space="preserve"> is a leading cause of sexually transmitted infections (STIs) globally, contributing to an estimated 129 million new cases annually, with young women aged 15–24 years disproportionately affected (WHO, 2023). In Nigeria, a high-burden region for STIs, the prevalence of </w:t>
      </w:r>
      <w:r w:rsidRPr="00D0136C">
        <w:rPr>
          <w:rStyle w:val="Emphasis"/>
          <w:color w:val="000000" w:themeColor="text1"/>
        </w:rPr>
        <w:t>C. trachomatis</w:t>
      </w:r>
      <w:r w:rsidRPr="00D0136C">
        <w:rPr>
          <w:color w:val="000000" w:themeColor="text1"/>
        </w:rPr>
        <w:t xml:space="preserve"> among female tertiary students remains poorly documented, despite their elevated risk due to behavioral factors such as unprotected sexual activity and multiple sexual partners (Otu </w:t>
      </w:r>
      <w:r w:rsidRPr="00D0136C">
        <w:rPr>
          <w:i/>
          <w:color w:val="000000" w:themeColor="text1"/>
        </w:rPr>
        <w:t>et al</w:t>
      </w:r>
      <w:r w:rsidRPr="00D0136C">
        <w:rPr>
          <w:color w:val="000000" w:themeColor="text1"/>
        </w:rPr>
        <w:t>., 2020). The asymptomatic nature of many chlamydia infections complicates early detection, increasing the risk of severe complications, including pelvic inflammatory disease (PID), infertility, and ectopic pregnancy, which pose significant public health challenges (</w:t>
      </w:r>
      <w:proofErr w:type="spellStart"/>
      <w:r w:rsidRPr="00D0136C">
        <w:rPr>
          <w:color w:val="000000" w:themeColor="text1"/>
        </w:rPr>
        <w:t>Adesiji</w:t>
      </w:r>
      <w:proofErr w:type="spellEnd"/>
      <w:r w:rsidRPr="00D0136C">
        <w:rPr>
          <w:color w:val="000000" w:themeColor="text1"/>
        </w:rPr>
        <w:t xml:space="preserve"> </w:t>
      </w:r>
      <w:r w:rsidRPr="00D0136C">
        <w:rPr>
          <w:i/>
          <w:color w:val="000000" w:themeColor="text1"/>
        </w:rPr>
        <w:t>et al</w:t>
      </w:r>
      <w:r w:rsidRPr="00D0136C">
        <w:rPr>
          <w:color w:val="000000" w:themeColor="text1"/>
        </w:rPr>
        <w:t>., 2018). Addressing this issue in university populations is critical, as tertiary students represent a high-risk group with unique social and behavioral dynamics that may amplify STI transmission.</w:t>
      </w:r>
    </w:p>
    <w:p w14:paraId="19DBFA15"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Lateral flow assays (LFAs) have emerged as rapid, cost-effective diagnostic tools for detecting </w:t>
      </w:r>
      <w:r w:rsidRPr="00D0136C">
        <w:rPr>
          <w:rStyle w:val="Emphasis"/>
          <w:color w:val="000000" w:themeColor="text1"/>
        </w:rPr>
        <w:t>C. trachomatis</w:t>
      </w:r>
      <w:r w:rsidRPr="00D0136C">
        <w:rPr>
          <w:color w:val="000000" w:themeColor="text1"/>
        </w:rPr>
        <w:t xml:space="preserve"> antigens or antibodies (IgG/IgM) in biological samples such as urine, vaginal swabs, or serum, offering high sensitivity and specificity in resource-limited settings (Ogbu </w:t>
      </w:r>
      <w:r w:rsidRPr="00D0136C">
        <w:rPr>
          <w:i/>
          <w:color w:val="000000" w:themeColor="text1"/>
        </w:rPr>
        <w:t>et al</w:t>
      </w:r>
      <w:r w:rsidRPr="00D0136C">
        <w:rPr>
          <w:color w:val="000000" w:themeColor="text1"/>
        </w:rPr>
        <w:t xml:space="preserve">., 2021). Unlike traditional diagnostic methods like polymerase chain reaction (PCR), which require specialized equipment, trained personnel, and longer processing times, LFAs are portable, require minimal training, </w:t>
      </w:r>
      <w:r w:rsidRPr="00D0136C">
        <w:rPr>
          <w:color w:val="000000" w:themeColor="text1"/>
        </w:rPr>
        <w:lastRenderedPageBreak/>
        <w:t xml:space="preserve">and deliver results within 15–30 minutes (Workowski </w:t>
      </w:r>
      <w:r w:rsidRPr="00D0136C">
        <w:rPr>
          <w:i/>
          <w:color w:val="000000" w:themeColor="text1"/>
        </w:rPr>
        <w:t>et al</w:t>
      </w:r>
      <w:r w:rsidRPr="00D0136C">
        <w:rPr>
          <w:color w:val="000000" w:themeColor="text1"/>
        </w:rPr>
        <w:t xml:space="preserve">., 2021). These characteristics make LFAs particularly suitable for screening in university health centers, where rapid, accessible diagnostics can facilitate early intervention and reduce the burden of untreated </w:t>
      </w:r>
      <w:proofErr w:type="gramStart"/>
      <w:r w:rsidRPr="00D0136C">
        <w:rPr>
          <w:color w:val="000000" w:themeColor="text1"/>
        </w:rPr>
        <w:t>infections(</w:t>
      </w:r>
      <w:proofErr w:type="gramEnd"/>
      <w:r w:rsidRPr="00D0136C">
        <w:rPr>
          <w:color w:val="000000" w:themeColor="text1"/>
        </w:rPr>
        <w:t xml:space="preserve">Workowski </w:t>
      </w:r>
      <w:r w:rsidRPr="00D0136C">
        <w:rPr>
          <w:i/>
          <w:color w:val="000000" w:themeColor="text1"/>
        </w:rPr>
        <w:t>et al</w:t>
      </w:r>
      <w:r w:rsidRPr="00D0136C">
        <w:rPr>
          <w:color w:val="000000" w:themeColor="text1"/>
        </w:rPr>
        <w:t xml:space="preserve">., 2021). </w:t>
      </w:r>
    </w:p>
    <w:p w14:paraId="2715C628"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Preliminary studies in Nigeria indicate </w:t>
      </w:r>
      <w:r w:rsidRPr="00D0136C">
        <w:rPr>
          <w:rStyle w:val="Emphasis"/>
          <w:color w:val="000000" w:themeColor="text1"/>
        </w:rPr>
        <w:t>C. trachomatis</w:t>
      </w:r>
      <w:r w:rsidRPr="00D0136C">
        <w:rPr>
          <w:color w:val="000000" w:themeColor="text1"/>
        </w:rPr>
        <w:t xml:space="preserve"> prevalence rates of 5–15% among young women, but these studies predominantly rely on hospital-based samples, which may not accurately reflect the prevalence in university populations (</w:t>
      </w:r>
      <w:proofErr w:type="spellStart"/>
      <w:r w:rsidRPr="00D0136C">
        <w:rPr>
          <w:color w:val="000000" w:themeColor="text1"/>
        </w:rPr>
        <w:t>Okoror</w:t>
      </w:r>
      <w:proofErr w:type="spellEnd"/>
      <w:r w:rsidRPr="00D0136C">
        <w:rPr>
          <w:color w:val="000000" w:themeColor="text1"/>
        </w:rPr>
        <w:t xml:space="preserve"> </w:t>
      </w:r>
      <w:r w:rsidRPr="00D0136C">
        <w:rPr>
          <w:i/>
          <w:color w:val="000000" w:themeColor="text1"/>
        </w:rPr>
        <w:t>et al</w:t>
      </w:r>
      <w:r w:rsidRPr="00D0136C">
        <w:rPr>
          <w:color w:val="000000" w:themeColor="text1"/>
        </w:rPr>
        <w:t xml:space="preserve">., 2019). Tertiary students face unique challenges, including low STI awareness, limited access to diagnostic facilities, and social stigma surrounding STI testing, all of which contribute to underdiagnosis and delayed treatment (Otu </w:t>
      </w:r>
      <w:r w:rsidRPr="00D0136C">
        <w:rPr>
          <w:i/>
          <w:color w:val="000000" w:themeColor="text1"/>
        </w:rPr>
        <w:t>et al</w:t>
      </w:r>
      <w:r w:rsidRPr="00D0136C">
        <w:rPr>
          <w:color w:val="000000" w:themeColor="text1"/>
        </w:rPr>
        <w:t xml:space="preserve">., 2020). These factors underscore the need for targeted prevalence studies in university settings to quantify the burden of </w:t>
      </w:r>
      <w:r w:rsidRPr="00D0136C">
        <w:rPr>
          <w:rStyle w:val="Emphasis"/>
          <w:color w:val="000000" w:themeColor="text1"/>
        </w:rPr>
        <w:t>C. trachomatis</w:t>
      </w:r>
      <w:r w:rsidRPr="00D0136C">
        <w:rPr>
          <w:color w:val="000000" w:themeColor="text1"/>
        </w:rPr>
        <w:t xml:space="preserve"> infections and inform public health strategies. The lack of data specific to tertiary female students hinders the development of evidence-based interventions, such as routine screening or educational campaigns, to mitigate the long-term consequences of chlamydia infections.</w:t>
      </w:r>
    </w:p>
    <w:p w14:paraId="095FADCC"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The use of LFAs in this context offers a practical solution to address the diagnostic gap in resource-constrained settings like Nigeria. By detecting </w:t>
      </w:r>
      <w:r w:rsidRPr="00D0136C">
        <w:rPr>
          <w:rStyle w:val="Emphasis"/>
          <w:color w:val="000000" w:themeColor="text1"/>
        </w:rPr>
        <w:t>C. trachomatis</w:t>
      </w:r>
      <w:r w:rsidRPr="00D0136C">
        <w:rPr>
          <w:color w:val="000000" w:themeColor="text1"/>
        </w:rPr>
        <w:t xml:space="preserve"> infection markers, such as antigens or antibodies, LFAs can provide rapid insights into infection rates, enabling timely treatment and reducing the risk of complications (Ogbu </w:t>
      </w:r>
      <w:r w:rsidRPr="00D0136C">
        <w:rPr>
          <w:i/>
          <w:color w:val="000000" w:themeColor="text1"/>
        </w:rPr>
        <w:t>et al</w:t>
      </w:r>
      <w:r w:rsidRPr="00D0136C">
        <w:rPr>
          <w:color w:val="000000" w:themeColor="text1"/>
        </w:rPr>
        <w:t xml:space="preserve">., 2021). Moreover, identifying associated risk factors—such as age, sexual behavior, and contraceptive use—can guide targeted prevention efforts tailored to the university population. For instance, studies suggest that inconsistent condom use and multiple sexual partners are significant risk factors among young women, yet these have not been adequately explored in Nigerian tertiary students (Otu </w:t>
      </w:r>
      <w:r w:rsidRPr="00D0136C">
        <w:rPr>
          <w:i/>
          <w:color w:val="000000" w:themeColor="text1"/>
        </w:rPr>
        <w:t>et al</w:t>
      </w:r>
      <w:r w:rsidRPr="00D0136C">
        <w:rPr>
          <w:color w:val="000000" w:themeColor="text1"/>
        </w:rPr>
        <w:t xml:space="preserve">., 2020). This study aims to bridge these gaps by assessing </w:t>
      </w:r>
      <w:r w:rsidRPr="00D0136C">
        <w:rPr>
          <w:rStyle w:val="Emphasis"/>
          <w:color w:val="000000" w:themeColor="text1"/>
        </w:rPr>
        <w:t>C. trachomatis</w:t>
      </w:r>
      <w:r w:rsidRPr="00D0136C">
        <w:rPr>
          <w:color w:val="000000" w:themeColor="text1"/>
        </w:rPr>
        <w:t xml:space="preserve"> prevalence using LFAs and evaluating associated risk factors among female students at Rivers State University.</w:t>
      </w:r>
    </w:p>
    <w:p w14:paraId="369B269A"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The choice of Rivers State University as the study site is strategic, given its location in Port Harcourt, a major urban center in Nigeria’s Niger Delta region with high STI and malaria transmission rates (Nigerian Ministry of Health, 2022). The university’s diverse female student population provides an ideal setting to investigate </w:t>
      </w:r>
      <w:r w:rsidRPr="00D0136C">
        <w:rPr>
          <w:rStyle w:val="Emphasis"/>
          <w:color w:val="000000" w:themeColor="text1"/>
        </w:rPr>
        <w:t>C. trachomatis</w:t>
      </w:r>
      <w:r w:rsidRPr="00D0136C">
        <w:rPr>
          <w:color w:val="000000" w:themeColor="text1"/>
        </w:rPr>
        <w:t xml:space="preserve"> prevalence and risk factors, reflecting the broader dynamics of tertiary institutions in Nigeria. By focusing on non-invasive samples like urine, the study ensures participant comfort and compliance, which is critical for achieving sufficient sample sizes in a population often reluctant to seek STI testing due to stigma (</w:t>
      </w:r>
      <w:proofErr w:type="spellStart"/>
      <w:r w:rsidRPr="00D0136C">
        <w:rPr>
          <w:color w:val="000000" w:themeColor="text1"/>
        </w:rPr>
        <w:t>Adesiji</w:t>
      </w:r>
      <w:proofErr w:type="spellEnd"/>
      <w:r w:rsidRPr="00D0136C">
        <w:rPr>
          <w:color w:val="000000" w:themeColor="text1"/>
        </w:rPr>
        <w:t xml:space="preserve"> </w:t>
      </w:r>
      <w:r w:rsidRPr="00D0136C">
        <w:rPr>
          <w:i/>
          <w:color w:val="000000" w:themeColor="text1"/>
        </w:rPr>
        <w:t>et al</w:t>
      </w:r>
      <w:r w:rsidRPr="00D0136C">
        <w:rPr>
          <w:color w:val="000000" w:themeColor="text1"/>
        </w:rPr>
        <w:t xml:space="preserve">., 2018). The findings will provide critical data to support the integration of LFAs for </w:t>
      </w:r>
      <w:r w:rsidRPr="00D0136C">
        <w:rPr>
          <w:rStyle w:val="Emphasis"/>
          <w:color w:val="000000" w:themeColor="text1"/>
        </w:rPr>
        <w:t>C. trachomatis</w:t>
      </w:r>
      <w:r w:rsidRPr="00D0136C">
        <w:rPr>
          <w:color w:val="000000" w:themeColor="text1"/>
        </w:rPr>
        <w:t xml:space="preserve"> into routine health services at university health centers, enhancing STI control efforts.</w:t>
      </w:r>
    </w:p>
    <w:p w14:paraId="7924C453"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This study aims to assess the prevalence of </w:t>
      </w:r>
      <w:r w:rsidRPr="00D0136C">
        <w:rPr>
          <w:rStyle w:val="Emphasis"/>
          <w:color w:val="000000" w:themeColor="text1"/>
        </w:rPr>
        <w:t>C. trachomatis</w:t>
      </w:r>
      <w:r w:rsidRPr="00D0136C">
        <w:rPr>
          <w:color w:val="000000" w:themeColor="text1"/>
        </w:rPr>
        <w:t xml:space="preserve"> infections among female students at Rivers State University using LFAs to detect infection markers in urine samples, while also identifying associated risk factors. By generating prevalence data and evaluating the performance of LFAs, the study will contribute to the evidence base for STI screening and prevention in tertiary institutions. The findings are expected to inform university health policies, promote awareness campaigns, and support the adoption of cost-effective diagnostics like LFAs, ultimately reducing the burden of </w:t>
      </w:r>
      <w:r w:rsidRPr="00D0136C">
        <w:rPr>
          <w:rStyle w:val="Emphasis"/>
          <w:color w:val="000000" w:themeColor="text1"/>
        </w:rPr>
        <w:t>C. trachomatis</w:t>
      </w:r>
      <w:r w:rsidRPr="00D0136C">
        <w:rPr>
          <w:color w:val="000000" w:themeColor="text1"/>
        </w:rPr>
        <w:t>-related complications in Nigeria and similar settings (WHO, 2023).</w:t>
      </w:r>
    </w:p>
    <w:p w14:paraId="35A18A3A" w14:textId="77777777" w:rsidR="00C412B3" w:rsidRPr="00D0136C" w:rsidRDefault="00C412B3" w:rsidP="00D0136C">
      <w:pPr>
        <w:pStyle w:val="NormalWeb"/>
        <w:spacing w:beforeAutospacing="0" w:afterAutospacing="0"/>
        <w:jc w:val="both"/>
        <w:rPr>
          <w:color w:val="000000" w:themeColor="text1"/>
        </w:rPr>
      </w:pPr>
      <w:r w:rsidRPr="00D0136C">
        <w:rPr>
          <w:rStyle w:val="Emphasis"/>
          <w:color w:val="000000" w:themeColor="text1"/>
        </w:rPr>
        <w:t>Chlamydia trachomatis</w:t>
      </w:r>
      <w:r w:rsidRPr="00D0136C">
        <w:rPr>
          <w:color w:val="000000" w:themeColor="text1"/>
        </w:rPr>
        <w:t xml:space="preserve"> is a significant public health concern, particularly among young women, including tertiary female students, who face elevated risks due to behavioral and social factors such as inconsistent condom use and multiple sexual </w:t>
      </w:r>
      <w:r w:rsidRPr="00D0136C">
        <w:rPr>
          <w:color w:val="000000" w:themeColor="text1"/>
        </w:rPr>
        <w:lastRenderedPageBreak/>
        <w:t xml:space="preserve">partners (Otu </w:t>
      </w:r>
      <w:r w:rsidRPr="00D0136C">
        <w:rPr>
          <w:i/>
          <w:color w:val="000000" w:themeColor="text1"/>
        </w:rPr>
        <w:t>et al</w:t>
      </w:r>
      <w:r w:rsidRPr="00D0136C">
        <w:rPr>
          <w:color w:val="000000" w:themeColor="text1"/>
        </w:rPr>
        <w:t xml:space="preserve">., 2020). In Nigeria, a country with a high burden of sexually transmitted infections (STIs), the prevalence of </w:t>
      </w:r>
      <w:r w:rsidRPr="00D0136C">
        <w:rPr>
          <w:rStyle w:val="Emphasis"/>
          <w:color w:val="000000" w:themeColor="text1"/>
        </w:rPr>
        <w:t>C. trachomatis</w:t>
      </w:r>
      <w:r w:rsidRPr="00D0136C">
        <w:rPr>
          <w:color w:val="000000" w:themeColor="text1"/>
        </w:rPr>
        <w:t xml:space="preserve"> among university students remains inadequately documented, posing a barrier to effective STI control programs. Existing studies report prevalence rates ranging from 5–15% among young women, but these primarily rely on hospital-based samples and costly, laboratory-dependent methods like polymerase chain reaction (PCR), which are impractical for widespread screening in resource-constrained settings like university health centers (</w:t>
      </w:r>
      <w:proofErr w:type="spellStart"/>
      <w:r w:rsidRPr="00D0136C">
        <w:rPr>
          <w:color w:val="000000" w:themeColor="text1"/>
        </w:rPr>
        <w:t>Okoror</w:t>
      </w:r>
      <w:proofErr w:type="spellEnd"/>
      <w:r w:rsidRPr="00D0136C">
        <w:rPr>
          <w:color w:val="000000" w:themeColor="text1"/>
        </w:rPr>
        <w:t xml:space="preserve"> </w:t>
      </w:r>
      <w:r w:rsidRPr="00D0136C">
        <w:rPr>
          <w:i/>
          <w:color w:val="000000" w:themeColor="text1"/>
        </w:rPr>
        <w:t>et al</w:t>
      </w:r>
      <w:r w:rsidRPr="00D0136C">
        <w:rPr>
          <w:color w:val="000000" w:themeColor="text1"/>
        </w:rPr>
        <w:t>., 2019). This reliance on inaccessible diagnostics limits the ability to capture accurate prevalence data specific to tertiary student populations.</w:t>
      </w:r>
    </w:p>
    <w:p w14:paraId="1140A5A5"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The underutilization of rapid, cost-effective diagnostic tools, such as lateral flow assays (LFAs), for </w:t>
      </w:r>
      <w:r w:rsidRPr="00D0136C">
        <w:rPr>
          <w:rStyle w:val="Emphasis"/>
          <w:color w:val="000000" w:themeColor="text1"/>
        </w:rPr>
        <w:t>C. trachomatis</w:t>
      </w:r>
      <w:r w:rsidRPr="00D0136C">
        <w:rPr>
          <w:color w:val="000000" w:themeColor="text1"/>
        </w:rPr>
        <w:t xml:space="preserve"> screening in Nigerian tertiary institutions represents a critical gap in public health practice. LFAs, which detect </w:t>
      </w:r>
      <w:r w:rsidRPr="00D0136C">
        <w:rPr>
          <w:rStyle w:val="Emphasis"/>
          <w:color w:val="000000" w:themeColor="text1"/>
        </w:rPr>
        <w:t>C. trachomatis</w:t>
      </w:r>
      <w:r w:rsidRPr="00D0136C">
        <w:rPr>
          <w:color w:val="000000" w:themeColor="text1"/>
        </w:rPr>
        <w:t xml:space="preserve"> antigens or antibodies in urine or vaginal swabs, offer high sensitivity and specificity, require minimal training, and provide results within 15–30 minutes, making them ideal for resource-limited settings (Ogbu </w:t>
      </w:r>
      <w:r w:rsidRPr="00D0136C">
        <w:rPr>
          <w:i/>
          <w:color w:val="000000" w:themeColor="text1"/>
        </w:rPr>
        <w:t>et al</w:t>
      </w:r>
      <w:r w:rsidRPr="00D0136C">
        <w:rPr>
          <w:color w:val="000000" w:themeColor="text1"/>
        </w:rPr>
        <w:t>., 2021). However, their application in university-based screening programs remains largely unexplored, leaving health authorities without sufficient data to justify their integration into routine STI screening protocols. This gap hinders the development of targeted interventions, such as awareness campaigns or accessible screening programs, tailored to the needs of tertiary female students.</w:t>
      </w:r>
    </w:p>
    <w:p w14:paraId="781F64DC"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The lack of prevalence data specific to tertiary female students exacerbates the challenge of addressing </w:t>
      </w:r>
      <w:r w:rsidRPr="00D0136C">
        <w:rPr>
          <w:rStyle w:val="Emphasis"/>
          <w:color w:val="000000" w:themeColor="text1"/>
        </w:rPr>
        <w:t>C. trachomatis</w:t>
      </w:r>
      <w:r w:rsidRPr="00D0136C">
        <w:rPr>
          <w:color w:val="000000" w:themeColor="text1"/>
        </w:rPr>
        <w:t xml:space="preserve"> infections in this high-risk population. Factors such as low STI awareness, limited access to diagnostic facilities, and stigma surrounding STI testing contribute significantly to underdiagnosis, increasing the risk of severe complications like pelvic inflammatory disease (PID), infertility, and ectopic pregnancy (</w:t>
      </w:r>
      <w:proofErr w:type="spellStart"/>
      <w:r w:rsidRPr="00D0136C">
        <w:rPr>
          <w:color w:val="000000" w:themeColor="text1"/>
        </w:rPr>
        <w:t>Adesiji</w:t>
      </w:r>
      <w:proofErr w:type="spellEnd"/>
      <w:r w:rsidRPr="00D0136C">
        <w:rPr>
          <w:color w:val="000000" w:themeColor="text1"/>
        </w:rPr>
        <w:t xml:space="preserve"> </w:t>
      </w:r>
      <w:r w:rsidRPr="00D0136C">
        <w:rPr>
          <w:i/>
          <w:color w:val="000000" w:themeColor="text1"/>
        </w:rPr>
        <w:t>et al</w:t>
      </w:r>
      <w:r w:rsidRPr="00D0136C">
        <w:rPr>
          <w:color w:val="000000" w:themeColor="text1"/>
        </w:rPr>
        <w:t xml:space="preserve">., 2018). Without accurate prevalence estimates, universities cannot effectively prioritize resources for STI prevention, leaving students vulnerable to long-term health consequences. Furthermore, the absence of data on prevalence within university settings limits the ability to assess the true burden of </w:t>
      </w:r>
      <w:r w:rsidRPr="00D0136C">
        <w:rPr>
          <w:rStyle w:val="Emphasis"/>
          <w:color w:val="000000" w:themeColor="text1"/>
        </w:rPr>
        <w:t>C. trachomatis</w:t>
      </w:r>
      <w:r w:rsidRPr="00D0136C">
        <w:rPr>
          <w:color w:val="000000" w:themeColor="text1"/>
        </w:rPr>
        <w:t xml:space="preserve"> and implement evidence-based interventions to reduce transmission.</w:t>
      </w:r>
    </w:p>
    <w:p w14:paraId="676D356B"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Another critical gap is the limited characterization of risk factors associated with </w:t>
      </w:r>
      <w:r w:rsidRPr="00D0136C">
        <w:rPr>
          <w:rStyle w:val="Emphasis"/>
          <w:color w:val="000000" w:themeColor="text1"/>
        </w:rPr>
        <w:t>C. trachomatis</w:t>
      </w:r>
      <w:r w:rsidRPr="00D0136C">
        <w:rPr>
          <w:color w:val="000000" w:themeColor="text1"/>
        </w:rPr>
        <w:t xml:space="preserve"> infections among female tertiary students in Nigeria. While studies suggest that younger age, multiple sexual partners, and inconsistent condom use are significant risk factors, these have not been adequately explored in the context of university populations (Otu </w:t>
      </w:r>
      <w:r w:rsidRPr="00D0136C">
        <w:rPr>
          <w:i/>
          <w:color w:val="000000" w:themeColor="text1"/>
        </w:rPr>
        <w:t>et al</w:t>
      </w:r>
      <w:r w:rsidRPr="00D0136C">
        <w:rPr>
          <w:color w:val="000000" w:themeColor="text1"/>
        </w:rPr>
        <w:t>., 2020). Understanding these risk factors is essential for designing targeted prevention strategies, such as sexual health education or counseling programs, that address the specific behavioral and social dynamics of tertiary students. The lack of such data restricts the ability to develop interventions that resonate with this demographic, further perpetuating the cycle of underdiagnosis and untreated infections.</w:t>
      </w:r>
    </w:p>
    <w:p w14:paraId="63A7407B" w14:textId="77777777" w:rsidR="00C412B3" w:rsidRPr="00D0136C" w:rsidRDefault="00C412B3" w:rsidP="00D0136C">
      <w:pPr>
        <w:pStyle w:val="NormalWeb"/>
        <w:spacing w:beforeAutospacing="0" w:afterAutospacing="0"/>
        <w:jc w:val="both"/>
        <w:rPr>
          <w:color w:val="000000" w:themeColor="text1"/>
        </w:rPr>
      </w:pPr>
      <w:r w:rsidRPr="00D0136C">
        <w:rPr>
          <w:color w:val="000000" w:themeColor="text1"/>
        </w:rPr>
        <w:t xml:space="preserve">The absence of comprehensive prevalence and risk factor data also has broader implications for public health policy in Nigeria. Without evidence on the burden of </w:t>
      </w:r>
      <w:r w:rsidRPr="00D0136C">
        <w:rPr>
          <w:rStyle w:val="Emphasis"/>
          <w:color w:val="000000" w:themeColor="text1"/>
        </w:rPr>
        <w:t>C. trachomatis</w:t>
      </w:r>
      <w:r w:rsidRPr="00D0136C">
        <w:rPr>
          <w:color w:val="000000" w:themeColor="text1"/>
        </w:rPr>
        <w:t xml:space="preserve"> among tertiary students, health authorities cannot effectively advocate for funding or infrastructure to support STI screening and treatment in university health centers. This gap is particularly concerning given the potential for untreated infections to contribute to significant morbidity, including infertility, which carries social and economic consequences (</w:t>
      </w:r>
      <w:proofErr w:type="spellStart"/>
      <w:r w:rsidRPr="00D0136C">
        <w:rPr>
          <w:color w:val="000000" w:themeColor="text1"/>
        </w:rPr>
        <w:t>Adesiji</w:t>
      </w:r>
      <w:proofErr w:type="spellEnd"/>
      <w:r w:rsidRPr="00D0136C">
        <w:rPr>
          <w:color w:val="000000" w:themeColor="text1"/>
        </w:rPr>
        <w:t xml:space="preserve"> </w:t>
      </w:r>
      <w:r w:rsidRPr="00D0136C">
        <w:rPr>
          <w:i/>
          <w:color w:val="000000" w:themeColor="text1"/>
        </w:rPr>
        <w:t>et al</w:t>
      </w:r>
      <w:r w:rsidRPr="00D0136C">
        <w:rPr>
          <w:color w:val="000000" w:themeColor="text1"/>
        </w:rPr>
        <w:t>., 2018). Addressing these gaps requires studies that utilize accessible diagnostics like LFAs to generate reliable prevalence data and identify risk factors, enabling the design of sustainable STI control strategies.</w:t>
      </w:r>
    </w:p>
    <w:p w14:paraId="2247B647" w14:textId="77777777" w:rsidR="00714BE7" w:rsidRPr="00D0136C" w:rsidRDefault="00C412B3" w:rsidP="00D0136C">
      <w:pPr>
        <w:pStyle w:val="NormalWeb"/>
        <w:spacing w:beforeAutospacing="0" w:afterAutospacing="0"/>
        <w:jc w:val="both"/>
        <w:rPr>
          <w:color w:val="000000" w:themeColor="text1"/>
        </w:rPr>
      </w:pPr>
      <w:r w:rsidRPr="00D0136C">
        <w:rPr>
          <w:color w:val="000000" w:themeColor="text1"/>
        </w:rPr>
        <w:lastRenderedPageBreak/>
        <w:t xml:space="preserve">This study addresses these critical gaps by assessing the prevalence of </w:t>
      </w:r>
      <w:r w:rsidRPr="00D0136C">
        <w:rPr>
          <w:rStyle w:val="Emphasis"/>
          <w:color w:val="000000" w:themeColor="text1"/>
        </w:rPr>
        <w:t>C. trachomatis</w:t>
      </w:r>
      <w:r w:rsidRPr="00D0136C">
        <w:rPr>
          <w:color w:val="000000" w:themeColor="text1"/>
        </w:rPr>
        <w:t xml:space="preserve"> infections among female students at Rivers State University using LFAs to detect infection markers (IgG/IgM antibodies) in urine and vaginal swab samples. By evaluating associated risk factors, such as age, sexual behavior, and contraceptive use, the study will provide essential data to guide STI prevention and control strategies in tertiary institutions. The findings will inform university health policies, promote the adoption of LFAs for routine screening, and contribute to reducing the burden of </w:t>
      </w:r>
      <w:r w:rsidRPr="00D0136C">
        <w:rPr>
          <w:rStyle w:val="Emphasis"/>
          <w:color w:val="000000" w:themeColor="text1"/>
        </w:rPr>
        <w:t>C. trachomatis</w:t>
      </w:r>
      <w:r w:rsidRPr="00D0136C">
        <w:rPr>
          <w:color w:val="000000" w:themeColor="text1"/>
        </w:rPr>
        <w:t>-related complications in Nigeria’s high-risk student population.</w:t>
      </w:r>
      <w:bookmarkStart w:id="2" w:name="_Toc19759"/>
      <w:bookmarkStart w:id="3" w:name="_Toc12176"/>
      <w:r w:rsidRPr="00D0136C">
        <w:rPr>
          <w:color w:val="000000" w:themeColor="text1"/>
        </w:rPr>
        <w:t xml:space="preserve"> This study therefore aims at </w:t>
      </w:r>
      <w:bookmarkEnd w:id="2"/>
      <w:bookmarkEnd w:id="3"/>
      <w:r w:rsidRPr="00D0136C">
        <w:rPr>
          <w:color w:val="000000" w:themeColor="text1"/>
        </w:rPr>
        <w:t xml:space="preserve">assessing the prevalence of </w:t>
      </w:r>
      <w:r w:rsidRPr="00D0136C">
        <w:rPr>
          <w:rStyle w:val="Emphasis"/>
          <w:color w:val="000000" w:themeColor="text1"/>
        </w:rPr>
        <w:t>Chlamydia trachomatis</w:t>
      </w:r>
      <w:r w:rsidRPr="00D0136C">
        <w:rPr>
          <w:color w:val="000000" w:themeColor="text1"/>
        </w:rPr>
        <w:t xml:space="preserve"> infections among female tertiary students at Rivers State University by detecting infection markers in urine samples using lateral flow assays and evaluating associated risk factors.</w:t>
      </w:r>
      <w:bookmarkStart w:id="4" w:name="_Toc2897"/>
      <w:bookmarkStart w:id="5" w:name="_Toc28644"/>
    </w:p>
    <w:p w14:paraId="7762A08B" w14:textId="77777777" w:rsidR="00CB3F39" w:rsidRPr="00D0136C" w:rsidRDefault="00C412B3" w:rsidP="00D0136C">
      <w:pPr>
        <w:pStyle w:val="NormalWeb"/>
        <w:spacing w:beforeAutospacing="0" w:afterAutospacing="0"/>
        <w:jc w:val="both"/>
        <w:rPr>
          <w:b/>
          <w:bCs/>
        </w:rPr>
      </w:pPr>
      <w:proofErr w:type="gramStart"/>
      <w:r w:rsidRPr="00D0136C">
        <w:rPr>
          <w:b/>
          <w:bCs/>
        </w:rPr>
        <w:t>MATERIALS  AND</w:t>
      </w:r>
      <w:proofErr w:type="gramEnd"/>
      <w:r w:rsidRPr="00D0136C">
        <w:rPr>
          <w:b/>
          <w:bCs/>
        </w:rPr>
        <w:t xml:space="preserve"> METHOD</w:t>
      </w:r>
      <w:bookmarkEnd w:id="4"/>
      <w:bookmarkEnd w:id="5"/>
      <w:r w:rsidRPr="00D0136C">
        <w:rPr>
          <w:b/>
          <w:bCs/>
        </w:rPr>
        <w:t xml:space="preserve"> </w:t>
      </w:r>
      <w:bookmarkStart w:id="6" w:name="_Toc12533"/>
      <w:bookmarkStart w:id="7" w:name="_Toc3522"/>
    </w:p>
    <w:p w14:paraId="7EA84BE8" w14:textId="2B18F458" w:rsidR="00C412B3" w:rsidRPr="00D0136C" w:rsidRDefault="00C412B3" w:rsidP="00D0136C">
      <w:pPr>
        <w:pStyle w:val="NormalWeb"/>
        <w:spacing w:beforeAutospacing="0" w:afterAutospacing="0"/>
        <w:jc w:val="both"/>
        <w:rPr>
          <w:b/>
          <w:bCs/>
          <w:color w:val="000000" w:themeColor="text1"/>
        </w:rPr>
      </w:pPr>
      <w:r w:rsidRPr="00D0136C">
        <w:rPr>
          <w:b/>
          <w:bCs/>
          <w:color w:val="000000" w:themeColor="text1"/>
        </w:rPr>
        <w:t>Study Area</w:t>
      </w:r>
      <w:bookmarkEnd w:id="6"/>
      <w:bookmarkEnd w:id="7"/>
    </w:p>
    <w:p w14:paraId="177A1D63" w14:textId="77777777" w:rsidR="00CB3F39" w:rsidRPr="00D0136C" w:rsidRDefault="00C412B3" w:rsidP="00D0136C">
      <w:pPr>
        <w:pStyle w:val="NormalWeb"/>
        <w:spacing w:beforeAutospacing="0" w:afterAutospacing="0"/>
        <w:jc w:val="both"/>
      </w:pPr>
      <w:r w:rsidRPr="00D0136C">
        <w:t xml:space="preserve">The study was conducted at the Rivers State University, located in Port Harcourt, Rivers State, Nigeria, a major urban center in the Niger Delta region known for high prevalence rates of both malaria and sexually transmitted infections (STIs), including </w:t>
      </w:r>
      <w:r w:rsidRPr="00D0136C">
        <w:rPr>
          <w:i/>
        </w:rPr>
        <w:t>Chlamydia trachomatis</w:t>
      </w:r>
      <w:r w:rsidRPr="00D0136C">
        <w:t xml:space="preserve"> (Nigerian Ministry of Health, 2022). Port Harcourt’s diverse population and its status as a hub for tertiary education made it an ideal setting for investigating </w:t>
      </w:r>
      <w:r w:rsidRPr="00D0136C">
        <w:rPr>
          <w:i/>
        </w:rPr>
        <w:t>C. trachomatis</w:t>
      </w:r>
      <w:r w:rsidRPr="00D0136C">
        <w:t xml:space="preserve"> prevalence among female university students, a high-risk group due to behavioral and social factors. The health center at Rivers State University was well-equipped for sample collection and lateral flow assay (LFA) testing, providing a controlled environment suitable for the study’s diagnostic procedures.</w:t>
      </w:r>
      <w:bookmarkStart w:id="8" w:name="_Toc10550"/>
      <w:bookmarkStart w:id="9" w:name="_Toc11254"/>
    </w:p>
    <w:p w14:paraId="3B218634" w14:textId="17D9BED1" w:rsidR="00C412B3" w:rsidRPr="00D0136C" w:rsidRDefault="00C412B3" w:rsidP="00D0136C">
      <w:pPr>
        <w:pStyle w:val="NormalWeb"/>
        <w:spacing w:beforeAutospacing="0" w:afterAutospacing="0"/>
        <w:jc w:val="both"/>
        <w:rPr>
          <w:b/>
          <w:bCs/>
        </w:rPr>
      </w:pPr>
      <w:r w:rsidRPr="00D0136C">
        <w:rPr>
          <w:b/>
          <w:bCs/>
        </w:rPr>
        <w:t xml:space="preserve"> Study Design</w:t>
      </w:r>
      <w:bookmarkEnd w:id="8"/>
      <w:bookmarkEnd w:id="9"/>
    </w:p>
    <w:p w14:paraId="102646F8" w14:textId="77777777" w:rsidR="00C412B3" w:rsidRPr="00D0136C" w:rsidRDefault="00C412B3" w:rsidP="00D0136C">
      <w:pPr>
        <w:pStyle w:val="NormalWeb"/>
        <w:spacing w:beforeAutospacing="0" w:afterAutospacing="0"/>
        <w:jc w:val="both"/>
      </w:pPr>
      <w:r w:rsidRPr="00D0136C">
        <w:t xml:space="preserve">This study employed a cross-sectional design to assess the prevalence of </w:t>
      </w:r>
      <w:r w:rsidRPr="00D0136C">
        <w:rPr>
          <w:i/>
        </w:rPr>
        <w:t>Chlamydia trachomatis</w:t>
      </w:r>
      <w:r w:rsidRPr="00D0136C">
        <w:t xml:space="preserve"> infections among 150 female students (after calculation using Cochran's formula below) aged 18–30 years at Rivers State University, Port Harcourt, Nigeria. The cross-sectional approach allowed for a snapshot of </w:t>
      </w:r>
      <w:r w:rsidRPr="00D0136C">
        <w:rPr>
          <w:i/>
        </w:rPr>
        <w:t>C. trachomatis</w:t>
      </w:r>
      <w:r w:rsidRPr="00D0136C">
        <w:t xml:space="preserve"> prevalence at a specific point in time, suitable for determining the burden of infection in this high-risk population and identifying associated risk factors. The study utilized lateral flow assays (LFAs) to detect </w:t>
      </w:r>
      <w:r w:rsidRPr="00D0136C">
        <w:rPr>
          <w:i/>
        </w:rPr>
        <w:t>C. trachomatis</w:t>
      </w:r>
      <w:r w:rsidRPr="00D0136C">
        <w:t xml:space="preserve"> antigens in non-invasive samples, specifically urine, which was chosen to enhance participant compliance and reduce stigma associated with STI testing.</w:t>
      </w:r>
    </w:p>
    <w:p w14:paraId="05E2C16C" w14:textId="64B7F758" w:rsidR="00C412B3" w:rsidRPr="00D0136C" w:rsidRDefault="00C412B3" w:rsidP="00D0136C">
      <w:pPr>
        <w:pStyle w:val="Heading2"/>
        <w:spacing w:line="240" w:lineRule="auto"/>
        <w:jc w:val="both"/>
        <w:rPr>
          <w:szCs w:val="24"/>
        </w:rPr>
      </w:pPr>
      <w:bookmarkStart w:id="10" w:name="_Toc9164"/>
      <w:bookmarkStart w:id="11" w:name="_Toc3701"/>
      <w:r w:rsidRPr="00D0136C">
        <w:rPr>
          <w:szCs w:val="24"/>
        </w:rPr>
        <w:t>Study Population and Sampling</w:t>
      </w:r>
      <w:bookmarkEnd w:id="10"/>
      <w:bookmarkEnd w:id="11"/>
    </w:p>
    <w:p w14:paraId="6723016E" w14:textId="0D55BB90" w:rsidR="00C412B3" w:rsidRPr="00D0136C" w:rsidRDefault="00C412B3" w:rsidP="00D0136C">
      <w:pPr>
        <w:pStyle w:val="Heading3"/>
        <w:spacing w:line="240" w:lineRule="auto"/>
        <w:jc w:val="both"/>
        <w:rPr>
          <w:bCs w:val="0"/>
          <w:szCs w:val="24"/>
        </w:rPr>
      </w:pPr>
      <w:bookmarkStart w:id="12" w:name="_Toc6168"/>
      <w:bookmarkStart w:id="13" w:name="_Toc22381"/>
      <w:r w:rsidRPr="00D0136C">
        <w:rPr>
          <w:bCs w:val="0"/>
          <w:iCs/>
          <w:szCs w:val="24"/>
        </w:rPr>
        <w:t>Study Population</w:t>
      </w:r>
      <w:bookmarkEnd w:id="12"/>
      <w:bookmarkEnd w:id="13"/>
      <w:r w:rsidRPr="00D0136C">
        <w:rPr>
          <w:bCs w:val="0"/>
          <w:szCs w:val="24"/>
        </w:rPr>
        <w:t xml:space="preserve">   </w:t>
      </w:r>
    </w:p>
    <w:p w14:paraId="44FAD7D1" w14:textId="77777777" w:rsidR="00C412B3" w:rsidRPr="00D0136C" w:rsidRDefault="00C412B3" w:rsidP="00D0136C">
      <w:pPr>
        <w:pStyle w:val="NormalWeb"/>
        <w:spacing w:beforeAutospacing="0" w:afterAutospacing="0"/>
        <w:jc w:val="both"/>
      </w:pPr>
      <w:r w:rsidRPr="00D0136C">
        <w:t>Female students at Rivers State University were voluntarily recruited via campus awareness campaigns.</w:t>
      </w:r>
    </w:p>
    <w:p w14:paraId="66363441" w14:textId="19812EE5" w:rsidR="00C412B3" w:rsidRPr="00D0136C" w:rsidRDefault="00C412B3" w:rsidP="00D0136C">
      <w:pPr>
        <w:pStyle w:val="Heading3"/>
        <w:spacing w:line="240" w:lineRule="auto"/>
        <w:jc w:val="both"/>
        <w:rPr>
          <w:szCs w:val="24"/>
        </w:rPr>
      </w:pPr>
      <w:bookmarkStart w:id="14" w:name="_Toc28283"/>
      <w:bookmarkStart w:id="15" w:name="_Toc10769"/>
      <w:r w:rsidRPr="00D0136C">
        <w:rPr>
          <w:szCs w:val="24"/>
        </w:rPr>
        <w:t>Sample Size Calculation</w:t>
      </w:r>
      <w:bookmarkEnd w:id="14"/>
      <w:bookmarkEnd w:id="15"/>
    </w:p>
    <w:p w14:paraId="487F9ED1" w14:textId="77777777" w:rsidR="00C412B3" w:rsidRPr="00D0136C" w:rsidRDefault="00C412B3" w:rsidP="00D0136C">
      <w:pPr>
        <w:spacing w:beforeAutospacing="0" w:after="0" w:afterAutospacing="0" w:line="240" w:lineRule="auto"/>
        <w:jc w:val="both"/>
        <w:rPr>
          <w:color w:val="000000" w:themeColor="text1"/>
          <w:szCs w:val="24"/>
        </w:rPr>
      </w:pPr>
      <w:bookmarkStart w:id="16" w:name="_Toc5681"/>
      <w:bookmarkStart w:id="17" w:name="_Toc29468"/>
      <w:bookmarkStart w:id="18" w:name="_Toc27838"/>
      <w:r w:rsidRPr="00D0136C">
        <w:rPr>
          <w:color w:val="000000" w:themeColor="text1"/>
          <w:szCs w:val="24"/>
        </w:rPr>
        <w:t xml:space="preserve">To determine the minimum sample size of the subjects recruited in this study the prevalence of similar research work was used. The </w:t>
      </w:r>
      <w:r w:rsidRPr="00D0136C">
        <w:rPr>
          <w:szCs w:val="24"/>
        </w:rPr>
        <w:t xml:space="preserve">prevalence </w:t>
      </w:r>
      <w:r w:rsidRPr="00D0136C">
        <w:rPr>
          <w:color w:val="000000" w:themeColor="text1"/>
          <w:szCs w:val="24"/>
        </w:rPr>
        <w:t>of 30.2</w:t>
      </w:r>
      <w:proofErr w:type="gramStart"/>
      <w:r w:rsidRPr="00D0136C">
        <w:rPr>
          <w:color w:val="000000" w:themeColor="text1"/>
          <w:szCs w:val="24"/>
        </w:rPr>
        <w:t>%  (</w:t>
      </w:r>
      <w:proofErr w:type="gramEnd"/>
      <w:r w:rsidRPr="00D0136C">
        <w:rPr>
          <w:color w:val="000000" w:themeColor="text1"/>
          <w:szCs w:val="24"/>
        </w:rPr>
        <w:t xml:space="preserve">Arinze </w:t>
      </w:r>
      <w:r w:rsidRPr="00D0136C">
        <w:rPr>
          <w:i/>
          <w:iCs/>
          <w:color w:val="000000" w:themeColor="text1"/>
          <w:szCs w:val="24"/>
        </w:rPr>
        <w:t>et al</w:t>
      </w:r>
      <w:r w:rsidRPr="00D0136C">
        <w:rPr>
          <w:color w:val="000000" w:themeColor="text1"/>
          <w:szCs w:val="24"/>
        </w:rPr>
        <w:t>., 2014) was reported among female undergraduate students of University of Port Harcourt, Nigeria.</w:t>
      </w:r>
      <w:bookmarkEnd w:id="16"/>
      <w:bookmarkEnd w:id="17"/>
      <w:bookmarkEnd w:id="18"/>
    </w:p>
    <w:p w14:paraId="62FCA5C5" w14:textId="77777777" w:rsidR="00C412B3" w:rsidRPr="00D0136C" w:rsidRDefault="00C412B3" w:rsidP="00D0136C">
      <w:pPr>
        <w:spacing w:after="0" w:afterAutospacing="0" w:line="240" w:lineRule="auto"/>
        <w:jc w:val="both"/>
        <w:rPr>
          <w:color w:val="000000" w:themeColor="text1"/>
          <w:szCs w:val="24"/>
        </w:rPr>
      </w:pPr>
      <w:bookmarkStart w:id="19" w:name="_Toc26828"/>
      <w:bookmarkStart w:id="20" w:name="_Toc23265"/>
      <w:bookmarkStart w:id="21" w:name="_Toc11096"/>
      <w:r w:rsidRPr="00D0136C">
        <w:rPr>
          <w:color w:val="000000" w:themeColor="text1"/>
          <w:szCs w:val="24"/>
        </w:rPr>
        <w:t>Using the formula:</w:t>
      </w:r>
      <w:bookmarkEnd w:id="19"/>
      <w:bookmarkEnd w:id="20"/>
      <w:bookmarkEnd w:id="21"/>
    </w:p>
    <w:p w14:paraId="11705B59" w14:textId="77777777" w:rsidR="00C412B3" w:rsidRPr="00D0136C" w:rsidRDefault="00C412B3" w:rsidP="00D0136C">
      <w:pPr>
        <w:spacing w:after="0" w:afterAutospacing="0" w:line="240" w:lineRule="auto"/>
        <w:jc w:val="both"/>
        <w:rPr>
          <w:color w:val="000000" w:themeColor="text1"/>
          <w:szCs w:val="24"/>
        </w:rPr>
      </w:pPr>
      <w:bookmarkStart w:id="22" w:name="_Toc30811"/>
      <w:bookmarkStart w:id="23" w:name="_Toc28897"/>
      <w:bookmarkStart w:id="24" w:name="_Toc27702"/>
      <m:oMath>
        <m:r>
          <m:rPr>
            <m:nor/>
          </m:rPr>
          <w:rPr>
            <w:rFonts w:eastAsia="Cambria Math"/>
            <w:i/>
            <w:color w:val="000000" w:themeColor="text1"/>
            <w:szCs w:val="24"/>
          </w:rPr>
          <m:t>n</m:t>
        </m:r>
        <m:r>
          <m:rPr>
            <m:nor/>
          </m:rPr>
          <w:rPr>
            <w:rFonts w:eastAsia="Cambria Math"/>
            <w:color w:val="000000" w:themeColor="text1"/>
            <w:szCs w:val="24"/>
          </w:rPr>
          <m:t xml:space="preserve">= </m:t>
        </m:r>
        <m:f>
          <m:fPr>
            <m:ctrlPr>
              <w:rPr>
                <w:rFonts w:ascii="Cambria Math" w:eastAsia="Cambria Math" w:hAnsi="Cambria Math"/>
                <w:color w:val="000000" w:themeColor="text1"/>
                <w:szCs w:val="24"/>
              </w:rPr>
            </m:ctrlPr>
          </m:fPr>
          <m:num>
            <m:sSup>
              <m:sSupPr>
                <m:ctrlPr>
                  <w:rPr>
                    <w:rFonts w:ascii="Cambria Math" w:eastAsia="Cambria Math" w:hAnsi="Cambria Math"/>
                    <w:color w:val="000000" w:themeColor="text1"/>
                    <w:szCs w:val="24"/>
                  </w:rPr>
                </m:ctrlPr>
              </m:sSupPr>
              <m:e>
                <m:r>
                  <m:rPr>
                    <m:nor/>
                  </m:rPr>
                  <w:rPr>
                    <w:rFonts w:eastAsia="Cambria Math"/>
                    <w:i/>
                    <w:color w:val="000000" w:themeColor="text1"/>
                    <w:szCs w:val="24"/>
                  </w:rPr>
                  <m:t>z</m:t>
                </m:r>
              </m:e>
              <m:sup>
                <m:r>
                  <m:rPr>
                    <m:nor/>
                  </m:rPr>
                  <w:rPr>
                    <w:rFonts w:eastAsia="Cambria Math"/>
                    <w:color w:val="000000" w:themeColor="text1"/>
                    <w:szCs w:val="24"/>
                  </w:rPr>
                  <m:t>2</m:t>
                </m:r>
              </m:sup>
            </m:sSup>
            <m:r>
              <m:rPr>
                <m:nor/>
              </m:rPr>
              <w:rPr>
                <w:rFonts w:eastAsia="Cambria Math"/>
                <w:i/>
                <w:color w:val="000000" w:themeColor="text1"/>
                <w:szCs w:val="24"/>
              </w:rPr>
              <m:t>pq</m:t>
            </m:r>
          </m:num>
          <m:den>
            <m:sSup>
              <m:sSupPr>
                <m:ctrlPr>
                  <w:rPr>
                    <w:rFonts w:ascii="Cambria Math" w:eastAsia="Cambria Math" w:hAnsi="Cambria Math"/>
                    <w:color w:val="000000" w:themeColor="text1"/>
                    <w:szCs w:val="24"/>
                  </w:rPr>
                </m:ctrlPr>
              </m:sSupPr>
              <m:e>
                <m:r>
                  <m:rPr>
                    <m:nor/>
                  </m:rPr>
                  <w:rPr>
                    <w:rFonts w:eastAsia="Cambria Math"/>
                    <w:i/>
                    <w:color w:val="000000" w:themeColor="text1"/>
                    <w:szCs w:val="24"/>
                  </w:rPr>
                  <m:t>d</m:t>
                </m:r>
              </m:e>
              <m:sup>
                <m:r>
                  <m:rPr>
                    <m:nor/>
                  </m:rPr>
                  <w:rPr>
                    <w:rFonts w:eastAsia="Cambria Math"/>
                    <w:color w:val="000000" w:themeColor="text1"/>
                    <w:szCs w:val="24"/>
                  </w:rPr>
                  <m:t>2</m:t>
                </m:r>
              </m:sup>
            </m:sSup>
          </m:den>
        </m:f>
      </m:oMath>
      <w:r w:rsidRPr="00D0136C">
        <w:rPr>
          <w:color w:val="000000" w:themeColor="text1"/>
          <w:szCs w:val="24"/>
        </w:rPr>
        <w:tab/>
        <w:t>     (Cochran, 1977)</w:t>
      </w:r>
      <w:bookmarkEnd w:id="22"/>
      <w:bookmarkEnd w:id="23"/>
      <w:bookmarkEnd w:id="24"/>
    </w:p>
    <w:p w14:paraId="1E6D2493" w14:textId="77777777" w:rsidR="00C412B3" w:rsidRPr="00D0136C" w:rsidRDefault="00C412B3" w:rsidP="00D0136C">
      <w:pPr>
        <w:spacing w:after="0" w:afterAutospacing="0" w:line="240" w:lineRule="auto"/>
        <w:jc w:val="both"/>
        <w:rPr>
          <w:color w:val="000000" w:themeColor="text1"/>
          <w:szCs w:val="24"/>
        </w:rPr>
      </w:pPr>
      <w:bookmarkStart w:id="25" w:name="_Toc354"/>
      <w:bookmarkStart w:id="26" w:name="_Toc24780"/>
      <w:bookmarkStart w:id="27" w:name="_Toc9977"/>
      <w:r w:rsidRPr="00D0136C">
        <w:rPr>
          <w:color w:val="000000" w:themeColor="text1"/>
          <w:szCs w:val="24"/>
        </w:rPr>
        <w:t>Where n = Minimum sample size</w:t>
      </w:r>
      <w:bookmarkEnd w:id="25"/>
      <w:bookmarkEnd w:id="26"/>
      <w:bookmarkEnd w:id="27"/>
    </w:p>
    <w:p w14:paraId="5C20DA91" w14:textId="77777777" w:rsidR="00C412B3" w:rsidRPr="00D0136C" w:rsidRDefault="00C412B3" w:rsidP="00D0136C">
      <w:pPr>
        <w:spacing w:after="0" w:afterAutospacing="0" w:line="240" w:lineRule="auto"/>
        <w:jc w:val="both"/>
        <w:rPr>
          <w:color w:val="000000" w:themeColor="text1"/>
          <w:szCs w:val="24"/>
        </w:rPr>
      </w:pPr>
      <w:bookmarkStart w:id="28" w:name="_Toc15160"/>
      <w:bookmarkStart w:id="29" w:name="_Toc7247"/>
      <w:bookmarkStart w:id="30" w:name="_Toc4186"/>
      <w:r w:rsidRPr="00D0136C">
        <w:rPr>
          <w:color w:val="000000" w:themeColor="text1"/>
          <w:szCs w:val="24"/>
        </w:rPr>
        <w:lastRenderedPageBreak/>
        <w:t>Z = Standard normal deviation corresponding to 95% confidence level set at 1.96</w:t>
      </w:r>
      <w:bookmarkEnd w:id="28"/>
      <w:bookmarkEnd w:id="29"/>
      <w:bookmarkEnd w:id="30"/>
    </w:p>
    <w:p w14:paraId="736DCB3C" w14:textId="77777777" w:rsidR="00C412B3" w:rsidRPr="00D0136C" w:rsidRDefault="00C412B3" w:rsidP="00D0136C">
      <w:pPr>
        <w:spacing w:after="0" w:afterAutospacing="0" w:line="240" w:lineRule="auto"/>
        <w:jc w:val="both"/>
        <w:rPr>
          <w:color w:val="000000" w:themeColor="text1"/>
          <w:szCs w:val="24"/>
        </w:rPr>
      </w:pPr>
      <w:bookmarkStart w:id="31" w:name="_Toc23147"/>
      <w:bookmarkStart w:id="32" w:name="_Toc3372"/>
      <w:bookmarkStart w:id="33" w:name="_Toc10790"/>
      <w:r w:rsidRPr="00D0136C">
        <w:rPr>
          <w:color w:val="000000" w:themeColor="text1"/>
          <w:szCs w:val="24"/>
        </w:rPr>
        <w:t>p =30.2% = 0.30.2,</w:t>
      </w:r>
      <w:bookmarkEnd w:id="31"/>
      <w:bookmarkEnd w:id="32"/>
      <w:bookmarkEnd w:id="33"/>
      <w:r w:rsidRPr="00D0136C">
        <w:rPr>
          <w:color w:val="000000" w:themeColor="text1"/>
          <w:szCs w:val="24"/>
        </w:rPr>
        <w:t xml:space="preserve"> </w:t>
      </w:r>
    </w:p>
    <w:p w14:paraId="561A9F7A" w14:textId="77777777" w:rsidR="00C412B3" w:rsidRPr="00D0136C" w:rsidRDefault="00C412B3" w:rsidP="00D0136C">
      <w:pPr>
        <w:spacing w:after="0" w:afterAutospacing="0" w:line="240" w:lineRule="auto"/>
        <w:jc w:val="both"/>
        <w:rPr>
          <w:color w:val="000000" w:themeColor="text1"/>
          <w:szCs w:val="24"/>
        </w:rPr>
      </w:pPr>
      <w:bookmarkStart w:id="34" w:name="_Toc22241"/>
      <w:bookmarkStart w:id="35" w:name="_Toc6661"/>
      <w:bookmarkStart w:id="36" w:name="_Toc30328"/>
      <w:r w:rsidRPr="00D0136C">
        <w:rPr>
          <w:color w:val="000000" w:themeColor="text1"/>
          <w:szCs w:val="24"/>
        </w:rPr>
        <w:t>q = 1-p = 0.698,</w:t>
      </w:r>
      <w:bookmarkEnd w:id="34"/>
      <w:bookmarkEnd w:id="35"/>
      <w:bookmarkEnd w:id="36"/>
      <w:r w:rsidRPr="00D0136C">
        <w:rPr>
          <w:color w:val="000000" w:themeColor="text1"/>
          <w:szCs w:val="24"/>
        </w:rPr>
        <w:t xml:space="preserve"> </w:t>
      </w:r>
    </w:p>
    <w:p w14:paraId="5664EDB3" w14:textId="77777777" w:rsidR="00C412B3" w:rsidRPr="00D0136C" w:rsidRDefault="00C412B3" w:rsidP="00D0136C">
      <w:pPr>
        <w:spacing w:after="0" w:afterAutospacing="0" w:line="240" w:lineRule="auto"/>
        <w:jc w:val="both"/>
        <w:rPr>
          <w:color w:val="000000" w:themeColor="text1"/>
          <w:szCs w:val="24"/>
        </w:rPr>
      </w:pPr>
      <w:bookmarkStart w:id="37" w:name="_Toc21202"/>
      <w:bookmarkStart w:id="38" w:name="_Toc7934"/>
      <w:bookmarkStart w:id="39" w:name="_Toc19230"/>
      <w:r w:rsidRPr="00D0136C">
        <w:rPr>
          <w:color w:val="000000" w:themeColor="text1"/>
          <w:szCs w:val="24"/>
        </w:rPr>
        <w:t>d = desired precision, 7.35% (0.735)</w:t>
      </w:r>
      <w:bookmarkEnd w:id="37"/>
      <w:bookmarkEnd w:id="38"/>
      <w:bookmarkEnd w:id="39"/>
    </w:p>
    <w:p w14:paraId="78FFD8D2" w14:textId="77777777" w:rsidR="00C412B3" w:rsidRPr="00D0136C" w:rsidRDefault="00C412B3" w:rsidP="00D0136C">
      <w:pPr>
        <w:spacing w:after="0" w:afterAutospacing="0" w:line="240" w:lineRule="auto"/>
        <w:jc w:val="both"/>
        <w:rPr>
          <w:rFonts w:eastAsia="Cambria Math"/>
          <w:color w:val="000000" w:themeColor="text1"/>
          <w:szCs w:val="24"/>
        </w:rPr>
      </w:pPr>
      <w:bookmarkStart w:id="40" w:name="_Toc2549"/>
      <w:bookmarkStart w:id="41" w:name="_Toc20877"/>
      <w:bookmarkStart w:id="42" w:name="_Toc11573"/>
      <m:oMathPara>
        <m:oMath>
          <m:r>
            <m:rPr>
              <m:nor/>
            </m:rPr>
            <w:rPr>
              <w:rFonts w:eastAsia="Cambria Math"/>
              <w:i/>
              <w:color w:val="000000" w:themeColor="text1"/>
              <w:szCs w:val="24"/>
            </w:rPr>
            <m:t>n</m:t>
          </m:r>
          <m:r>
            <m:rPr>
              <m:nor/>
            </m:rPr>
            <w:rPr>
              <w:rFonts w:eastAsia="Cambria Math"/>
              <w:color w:val="000000" w:themeColor="text1"/>
              <w:szCs w:val="24"/>
            </w:rPr>
            <m:t xml:space="preserve">= </m:t>
          </m:r>
          <m:f>
            <m:fPr>
              <m:ctrlPr>
                <w:rPr>
                  <w:rFonts w:ascii="Cambria Math" w:eastAsia="Cambria Math" w:hAnsi="Cambria Math"/>
                  <w:color w:val="000000" w:themeColor="text1"/>
                  <w:szCs w:val="24"/>
                </w:rPr>
              </m:ctrlPr>
            </m:fPr>
            <m:num>
              <m:sSup>
                <m:sSupPr>
                  <m:ctrlPr>
                    <w:rPr>
                      <w:rFonts w:ascii="Cambria Math" w:eastAsia="Cambria Math" w:hAnsi="Cambria Math"/>
                      <w:color w:val="000000" w:themeColor="text1"/>
                      <w:szCs w:val="24"/>
                    </w:rPr>
                  </m:ctrlPr>
                </m:sSupPr>
                <m:e>
                  <m:r>
                    <m:rPr>
                      <m:nor/>
                    </m:rPr>
                    <w:rPr>
                      <w:rFonts w:eastAsia="Cambria Math"/>
                      <w:color w:val="000000" w:themeColor="text1"/>
                      <w:szCs w:val="24"/>
                    </w:rPr>
                    <m:t>1.96</m:t>
                  </m:r>
                </m:e>
                <m:sup>
                  <m:r>
                    <m:rPr>
                      <m:nor/>
                    </m:rPr>
                    <w:rPr>
                      <w:rFonts w:eastAsia="Cambria Math"/>
                      <w:color w:val="000000" w:themeColor="text1"/>
                      <w:szCs w:val="24"/>
                    </w:rPr>
                    <m:t>2</m:t>
                  </m:r>
                </m:sup>
              </m:sSup>
              <m:r>
                <m:rPr>
                  <m:nor/>
                </m:rPr>
                <w:rPr>
                  <w:rFonts w:eastAsia="Cambria Math"/>
                  <w:i/>
                  <w:color w:val="000000" w:themeColor="text1"/>
                  <w:szCs w:val="24"/>
                </w:rPr>
                <m:t>x</m:t>
              </m:r>
              <m:r>
                <m:rPr>
                  <m:nor/>
                </m:rPr>
                <w:rPr>
                  <w:rFonts w:eastAsia="Cambria Math"/>
                  <w:color w:val="000000" w:themeColor="text1"/>
                  <w:szCs w:val="24"/>
                </w:rPr>
                <m:t>0.30.2</m:t>
              </m:r>
              <m:r>
                <m:rPr>
                  <m:nor/>
                </m:rPr>
                <w:rPr>
                  <w:rFonts w:eastAsia="Cambria Math"/>
                  <w:i/>
                  <w:color w:val="000000" w:themeColor="text1"/>
                  <w:szCs w:val="24"/>
                </w:rPr>
                <m:t>x</m:t>
              </m:r>
              <m:r>
                <m:rPr>
                  <m:nor/>
                </m:rPr>
                <w:rPr>
                  <w:rFonts w:eastAsia="Cambria Math"/>
                  <w:color w:val="000000" w:themeColor="text1"/>
                  <w:szCs w:val="24"/>
                </w:rPr>
                <m:t>0.698</m:t>
              </m:r>
            </m:num>
            <m:den>
              <m:sSup>
                <m:sSupPr>
                  <m:ctrlPr>
                    <w:rPr>
                      <w:rFonts w:ascii="Cambria Math" w:eastAsia="Cambria Math" w:hAnsi="Cambria Math"/>
                      <w:color w:val="000000" w:themeColor="text1"/>
                      <w:szCs w:val="24"/>
                    </w:rPr>
                  </m:ctrlPr>
                </m:sSupPr>
                <m:e>
                  <m:r>
                    <m:rPr>
                      <m:nor/>
                    </m:rPr>
                    <w:rPr>
                      <w:rFonts w:eastAsia="Cambria Math"/>
                      <w:color w:val="000000" w:themeColor="text1"/>
                      <w:szCs w:val="24"/>
                    </w:rPr>
                    <m:t>0.735</m:t>
                  </m:r>
                </m:e>
                <m:sup>
                  <m:r>
                    <m:rPr>
                      <m:nor/>
                    </m:rPr>
                    <w:rPr>
                      <w:rFonts w:eastAsia="Cambria Math"/>
                      <w:color w:val="000000" w:themeColor="text1"/>
                      <w:szCs w:val="24"/>
                    </w:rPr>
                    <m:t>2</m:t>
                  </m:r>
                </m:sup>
              </m:sSup>
            </m:den>
          </m:f>
        </m:oMath>
      </m:oMathPara>
      <w:bookmarkEnd w:id="40"/>
      <w:bookmarkEnd w:id="41"/>
      <w:bookmarkEnd w:id="42"/>
    </w:p>
    <w:p w14:paraId="0A2DE69B" w14:textId="77777777" w:rsidR="00C412B3" w:rsidRPr="00D0136C" w:rsidRDefault="00C412B3" w:rsidP="00D0136C">
      <w:pPr>
        <w:spacing w:after="0" w:afterAutospacing="0" w:line="240" w:lineRule="auto"/>
        <w:jc w:val="both"/>
        <w:rPr>
          <w:rStyle w:val="Strong"/>
          <w:color w:val="000000" w:themeColor="text1"/>
          <w:szCs w:val="24"/>
        </w:rPr>
      </w:pPr>
      <w:bookmarkStart w:id="43" w:name="_Toc3095"/>
      <w:bookmarkStart w:id="44" w:name="_Toc9943"/>
      <w:bookmarkStart w:id="45" w:name="_Toc23949"/>
      <w:r w:rsidRPr="00D0136C">
        <w:rPr>
          <w:rFonts w:eastAsia="Cambria Math"/>
          <w:color w:val="000000" w:themeColor="text1"/>
          <w:szCs w:val="24"/>
        </w:rPr>
        <w:t xml:space="preserve">n = 150 </w:t>
      </w:r>
      <w:proofErr w:type="spellStart"/>
      <w:r w:rsidRPr="00D0136C">
        <w:rPr>
          <w:rFonts w:eastAsia="Cambria Math"/>
          <w:color w:val="000000" w:themeColor="text1"/>
          <w:szCs w:val="24"/>
        </w:rPr>
        <w:t>paticipant</w:t>
      </w:r>
      <w:bookmarkEnd w:id="43"/>
      <w:bookmarkEnd w:id="44"/>
      <w:bookmarkEnd w:id="45"/>
      <w:proofErr w:type="spellEnd"/>
    </w:p>
    <w:p w14:paraId="4629AC1B" w14:textId="600A77C7" w:rsidR="00C412B3" w:rsidRPr="00D0136C" w:rsidRDefault="00C412B3" w:rsidP="00D0136C">
      <w:pPr>
        <w:pStyle w:val="Heading3"/>
        <w:spacing w:line="240" w:lineRule="auto"/>
        <w:jc w:val="both"/>
        <w:rPr>
          <w:b/>
          <w:bCs w:val="0"/>
          <w:szCs w:val="24"/>
        </w:rPr>
      </w:pPr>
      <w:bookmarkStart w:id="46" w:name="_Toc28689"/>
      <w:bookmarkStart w:id="47" w:name="_Toc5714"/>
      <w:r w:rsidRPr="00D0136C">
        <w:rPr>
          <w:b/>
          <w:bCs w:val="0"/>
          <w:szCs w:val="24"/>
        </w:rPr>
        <w:t>Sampling Method</w:t>
      </w:r>
      <w:bookmarkEnd w:id="46"/>
      <w:bookmarkEnd w:id="47"/>
    </w:p>
    <w:p w14:paraId="16E1B89E" w14:textId="77777777" w:rsidR="004D2FA9" w:rsidRPr="00D0136C" w:rsidRDefault="00C412B3" w:rsidP="00D0136C">
      <w:pPr>
        <w:pStyle w:val="NormalWeb"/>
        <w:spacing w:beforeAutospacing="0" w:afterAutospacing="0"/>
        <w:jc w:val="both"/>
      </w:pPr>
      <w:r w:rsidRPr="00D0136C">
        <w:t xml:space="preserve">Convenience sampling was used. Recruitment occurred via campus awareness campaigns (posters, social media, notices at the university health </w:t>
      </w:r>
      <w:proofErr w:type="spellStart"/>
      <w:r w:rsidRPr="00D0136C">
        <w:t>centre</w:t>
      </w:r>
      <w:proofErr w:type="spellEnd"/>
      <w:r w:rsidRPr="00D0136C">
        <w:t>) and on-site voluntary enrollment. Efforts were made to recruit across different faculties and year-groups to enhance representativeness.</w:t>
      </w:r>
      <w:bookmarkStart w:id="48" w:name="_Toc26026"/>
      <w:bookmarkStart w:id="49" w:name="_Toc10931"/>
    </w:p>
    <w:p w14:paraId="2C0A7960" w14:textId="2FE8F3E7" w:rsidR="00C412B3" w:rsidRPr="00D0136C" w:rsidRDefault="00C412B3" w:rsidP="00D0136C">
      <w:pPr>
        <w:pStyle w:val="NormalWeb"/>
        <w:spacing w:beforeAutospacing="0" w:afterAutospacing="0"/>
        <w:jc w:val="both"/>
        <w:rPr>
          <w:b/>
          <w:bCs/>
        </w:rPr>
      </w:pPr>
      <w:r w:rsidRPr="00D0136C">
        <w:rPr>
          <w:b/>
          <w:bCs/>
        </w:rPr>
        <w:t>Inclusion Criteria</w:t>
      </w:r>
      <w:bookmarkEnd w:id="48"/>
      <w:bookmarkEnd w:id="49"/>
      <w:r w:rsidRPr="00D0136C">
        <w:rPr>
          <w:b/>
          <w:bCs/>
        </w:rPr>
        <w:t xml:space="preserve"> </w:t>
      </w:r>
    </w:p>
    <w:p w14:paraId="280B3BAF" w14:textId="77777777" w:rsidR="004D2FA9" w:rsidRPr="00D0136C" w:rsidRDefault="00C412B3" w:rsidP="00D0136C">
      <w:pPr>
        <w:pStyle w:val="NormalWeb"/>
        <w:spacing w:beforeAutospacing="0" w:afterAutospacing="0"/>
        <w:jc w:val="both"/>
      </w:pPr>
      <w:r w:rsidRPr="00D0136C">
        <w:t>The inclusion criteria for this study consisted of female students currently enrolled at Rivers State University who fell within the age range of 18–30 years. Eligible participants were able and willing to provide informed consent and agreed to provide the required biological samples, which included urine, as well as complete the structured questionnaire.</w:t>
      </w:r>
      <w:bookmarkStart w:id="50" w:name="_Toc6879"/>
      <w:bookmarkStart w:id="51" w:name="_Toc19912"/>
    </w:p>
    <w:p w14:paraId="10EB600D" w14:textId="05BC68C0" w:rsidR="00C412B3" w:rsidRPr="00D0136C" w:rsidRDefault="00C412B3" w:rsidP="00D0136C">
      <w:pPr>
        <w:pStyle w:val="NormalWeb"/>
        <w:spacing w:beforeAutospacing="0" w:afterAutospacing="0"/>
        <w:jc w:val="both"/>
        <w:rPr>
          <w:b/>
          <w:bCs/>
        </w:rPr>
      </w:pPr>
      <w:r w:rsidRPr="00D0136C">
        <w:rPr>
          <w:b/>
          <w:bCs/>
        </w:rPr>
        <w:t>Exclusion Criteria</w:t>
      </w:r>
      <w:bookmarkEnd w:id="50"/>
      <w:bookmarkEnd w:id="51"/>
      <w:r w:rsidRPr="00D0136C">
        <w:rPr>
          <w:b/>
          <w:bCs/>
        </w:rPr>
        <w:t xml:space="preserve"> </w:t>
      </w:r>
    </w:p>
    <w:p w14:paraId="46375A85" w14:textId="77777777" w:rsidR="004D2FA9" w:rsidRPr="00D0136C" w:rsidRDefault="00C412B3" w:rsidP="00D0136C">
      <w:pPr>
        <w:pStyle w:val="NormalWeb"/>
        <w:spacing w:beforeAutospacing="0" w:afterAutospacing="0"/>
        <w:jc w:val="both"/>
      </w:pPr>
      <w:r w:rsidRPr="00D0136C">
        <w:t>The exclusion criteria applied to students who had used systemic antibiotics within the past two weeks, as this may have interfered with detectable antigens. Students who were currently pregnant were also excluded for safety and ethical considerations unless otherwise specified in the protocol. In addition, participants already undergoing treatment for a known sexually transmitted infection were not included to avoid bias in the detection of untreated cases. Furthermore, refusal or inability to provide informed consent or the required samples constituted grounds for exclusion, as did the presence of any serious illness that may have hindered participation or sample collection.</w:t>
      </w:r>
      <w:bookmarkStart w:id="52" w:name="_Toc6026"/>
      <w:bookmarkStart w:id="53" w:name="_Toc8441"/>
    </w:p>
    <w:p w14:paraId="4A49093E" w14:textId="393520C8" w:rsidR="00C412B3" w:rsidRPr="00D0136C" w:rsidRDefault="00C412B3" w:rsidP="00D0136C">
      <w:pPr>
        <w:pStyle w:val="NormalWeb"/>
        <w:spacing w:beforeAutospacing="0" w:afterAutospacing="0"/>
        <w:jc w:val="both"/>
        <w:rPr>
          <w:b/>
          <w:bCs/>
        </w:rPr>
      </w:pPr>
      <w:r w:rsidRPr="00D0136C">
        <w:rPr>
          <w:b/>
          <w:bCs/>
        </w:rPr>
        <w:t>Materials and Equipment</w:t>
      </w:r>
      <w:bookmarkEnd w:id="52"/>
      <w:bookmarkEnd w:id="53"/>
      <w:r w:rsidRPr="00D0136C">
        <w:rPr>
          <w:b/>
          <w:bCs/>
        </w:rPr>
        <w:t xml:space="preserve"> </w:t>
      </w:r>
    </w:p>
    <w:p w14:paraId="70FCAB4D" w14:textId="28449685" w:rsidR="004D2FA9" w:rsidRPr="00D0136C" w:rsidRDefault="00C412B3" w:rsidP="00D0136C">
      <w:pPr>
        <w:pStyle w:val="NormalWeb"/>
        <w:spacing w:beforeAutospacing="0" w:afterAutospacing="0"/>
        <w:jc w:val="both"/>
        <w:rPr>
          <w:b/>
          <w:bCs/>
        </w:rPr>
      </w:pPr>
      <w:r w:rsidRPr="00D0136C">
        <w:rPr>
          <w:b/>
          <w:bCs/>
        </w:rPr>
        <w:t>Lateral Flow Assay (LFA) Kits</w:t>
      </w:r>
    </w:p>
    <w:p w14:paraId="6EF4702E" w14:textId="39FE6F32" w:rsidR="00C412B3" w:rsidRPr="00D0136C" w:rsidRDefault="00C412B3" w:rsidP="00D0136C">
      <w:pPr>
        <w:pStyle w:val="NormalWeb"/>
        <w:spacing w:beforeAutospacing="0" w:afterAutospacing="0"/>
        <w:jc w:val="both"/>
      </w:pPr>
      <w:r w:rsidRPr="00D0136C">
        <w:t xml:space="preserve">Commercial </w:t>
      </w:r>
      <w:r w:rsidRPr="00D0136C">
        <w:rPr>
          <w:i/>
        </w:rPr>
        <w:t>Chlamydia trachomatis</w:t>
      </w:r>
      <w:r w:rsidRPr="00D0136C">
        <w:t xml:space="preserve"> antigen detection kits (ROSTEC Chlamydia Rapid Test Cassette) suitable for urine specimens. The kit included test cassettes, extraction tubes, Extraction Solution A (sodium hydroxide), Extraction Solution B (hydrochloric acid), and one package insert.</w:t>
      </w:r>
    </w:p>
    <w:p w14:paraId="32807AB1" w14:textId="77777777" w:rsidR="00C412B3" w:rsidRPr="00D0136C" w:rsidRDefault="00C412B3" w:rsidP="00D0136C">
      <w:pPr>
        <w:pStyle w:val="NormalWeb"/>
        <w:spacing w:beforeAutospacing="0" w:afterAutospacing="0"/>
        <w:jc w:val="both"/>
      </w:pPr>
      <w:r w:rsidRPr="00D0136C">
        <w:rPr>
          <w:rStyle w:val="Emphasis"/>
          <w:i w:val="0"/>
          <w:iCs w:val="0"/>
        </w:rPr>
        <w:t xml:space="preserve">The principle of the ROSTEC Chlamydia Rapid Test Cassette using urine samples was based on immunochromatographic detection of specific infection markers—primarily antigens shed by the bacteria into the urogenital tract. When a urine specimen was applied to the sample pad of the test device, capillary action drove the fluid along a nitrocellulose strip impregnated with antibodies that were conjugated to visible labels, often colloidal gold or latex beads. If </w:t>
      </w:r>
      <w:r w:rsidRPr="00D0136C">
        <w:rPr>
          <w:rStyle w:val="Emphasis"/>
          <w:iCs w:val="0"/>
        </w:rPr>
        <w:t>C. trachomatis</w:t>
      </w:r>
      <w:r w:rsidRPr="00D0136C">
        <w:rPr>
          <w:rStyle w:val="Emphasis"/>
          <w:i w:val="0"/>
          <w:iCs w:val="0"/>
        </w:rPr>
        <w:t xml:space="preserve"> antigens were present, they bound to these labeled antibodies to form antigen–antibody complexes. As the complexes migrated along the strip, they encountered immobilized capture antibodies in the test line region that were specific to the same </w:t>
      </w:r>
      <w:r w:rsidRPr="00D0136C">
        <w:rPr>
          <w:rStyle w:val="Emphasis"/>
          <w:iCs w:val="0"/>
        </w:rPr>
        <w:t>C. trachomatis</w:t>
      </w:r>
      <w:r w:rsidRPr="00D0136C">
        <w:rPr>
          <w:rStyle w:val="Emphasis"/>
          <w:i w:val="0"/>
          <w:iCs w:val="0"/>
        </w:rPr>
        <w:t xml:space="preserve"> antigens. This binding resulted in the accumulation of the labeled complexes, producing a visible colored line that indicated a positive result. A second control line, </w:t>
      </w:r>
      <w:r w:rsidRPr="00D0136C">
        <w:rPr>
          <w:rStyle w:val="Emphasis"/>
          <w:i w:val="0"/>
          <w:iCs w:val="0"/>
        </w:rPr>
        <w:lastRenderedPageBreak/>
        <w:t>containing antibodies that bind the conjugated label regardless of the presence of antigen, had to appear to validate the test, confirming proper sample flow and reagent functionality.</w:t>
      </w:r>
    </w:p>
    <w:p w14:paraId="61832659" w14:textId="77777777" w:rsidR="004D2FA9" w:rsidRPr="00D0136C" w:rsidRDefault="00C412B3" w:rsidP="00D0136C">
      <w:pPr>
        <w:pStyle w:val="NormalWeb"/>
        <w:spacing w:beforeAutospacing="0" w:afterAutospacing="0"/>
        <w:jc w:val="both"/>
        <w:rPr>
          <w:b/>
          <w:bCs/>
        </w:rPr>
      </w:pPr>
      <w:r w:rsidRPr="00D0136C">
        <w:rPr>
          <w:b/>
          <w:bCs/>
        </w:rPr>
        <w:t>Sample Collection Materials</w:t>
      </w:r>
    </w:p>
    <w:p w14:paraId="1928DE6D" w14:textId="0992D85D" w:rsidR="004D2FA9" w:rsidRPr="00D0136C" w:rsidRDefault="00C412B3" w:rsidP="00D0136C">
      <w:pPr>
        <w:pStyle w:val="NormalWeb"/>
        <w:spacing w:beforeAutospacing="0" w:afterAutospacing="0"/>
        <w:jc w:val="both"/>
      </w:pPr>
      <w:r w:rsidRPr="00D0136C">
        <w:t>Sterile urine collection cups and sealable specimen transport containers.</w:t>
      </w:r>
    </w:p>
    <w:p w14:paraId="42303880" w14:textId="77777777" w:rsidR="004D2FA9" w:rsidRPr="00D0136C" w:rsidRDefault="00C412B3" w:rsidP="00D0136C">
      <w:pPr>
        <w:pStyle w:val="NormalWeb"/>
        <w:spacing w:beforeAutospacing="0" w:afterAutospacing="0"/>
        <w:jc w:val="both"/>
        <w:rPr>
          <w:b/>
          <w:bCs/>
        </w:rPr>
      </w:pPr>
      <w:r w:rsidRPr="00D0136C">
        <w:rPr>
          <w:b/>
          <w:bCs/>
        </w:rPr>
        <w:t xml:space="preserve"> Questionnaires</w:t>
      </w:r>
    </w:p>
    <w:p w14:paraId="530E54BD" w14:textId="57AA7AA7" w:rsidR="00C412B3" w:rsidRPr="00D0136C" w:rsidRDefault="00C412B3" w:rsidP="00D0136C">
      <w:pPr>
        <w:pStyle w:val="NormalWeb"/>
        <w:spacing w:beforeAutospacing="0" w:afterAutospacing="0"/>
        <w:jc w:val="both"/>
      </w:pPr>
      <w:r w:rsidRPr="00D0136C">
        <w:t>Structured, pretested forms designed to collect demographic information and data on potential risk factors (e.g., age, sexual history, contraceptive use).</w:t>
      </w:r>
    </w:p>
    <w:p w14:paraId="70E188D9" w14:textId="77777777" w:rsidR="004D2FA9" w:rsidRPr="00D0136C" w:rsidRDefault="00C412B3" w:rsidP="00D0136C">
      <w:pPr>
        <w:pStyle w:val="NormalWeb"/>
        <w:spacing w:beforeAutospacing="0" w:afterAutospacing="0"/>
        <w:jc w:val="both"/>
        <w:rPr>
          <w:b/>
          <w:bCs/>
        </w:rPr>
      </w:pPr>
      <w:r w:rsidRPr="00D0136C">
        <w:rPr>
          <w:b/>
          <w:bCs/>
        </w:rPr>
        <w:t>Personal Protective Equipment (PPE)</w:t>
      </w:r>
    </w:p>
    <w:p w14:paraId="67D5B717" w14:textId="3FB07E14" w:rsidR="00C412B3" w:rsidRPr="00D0136C" w:rsidRDefault="00C412B3" w:rsidP="00D0136C">
      <w:pPr>
        <w:pStyle w:val="NormalWeb"/>
        <w:spacing w:beforeAutospacing="0" w:afterAutospacing="0"/>
        <w:jc w:val="both"/>
      </w:pPr>
      <w:r w:rsidRPr="00D0136C">
        <w:t xml:space="preserve"> Disposable gloves, laboratory coats, and face masks for sample handling and testing to ensure biosafety.</w:t>
      </w:r>
    </w:p>
    <w:p w14:paraId="5042345D" w14:textId="77777777" w:rsidR="004D2FA9" w:rsidRPr="00D0136C" w:rsidRDefault="00C412B3" w:rsidP="00D0136C">
      <w:pPr>
        <w:pStyle w:val="NormalWeb"/>
        <w:spacing w:beforeAutospacing="0" w:afterAutospacing="0"/>
        <w:jc w:val="both"/>
        <w:rPr>
          <w:b/>
          <w:bCs/>
        </w:rPr>
      </w:pPr>
      <w:r w:rsidRPr="00D0136C">
        <w:rPr>
          <w:b/>
          <w:bCs/>
        </w:rPr>
        <w:t>Ancillary Materials</w:t>
      </w:r>
    </w:p>
    <w:p w14:paraId="27C7E633" w14:textId="77777777" w:rsidR="004D2FA9" w:rsidRPr="00D0136C" w:rsidRDefault="00C412B3" w:rsidP="00D0136C">
      <w:pPr>
        <w:pStyle w:val="NormalWeb"/>
        <w:spacing w:beforeAutospacing="0" w:afterAutospacing="0"/>
        <w:jc w:val="both"/>
      </w:pPr>
      <w:r w:rsidRPr="00D0136C">
        <w:t>Hand sanitizers, biohazard disposal containers, permanent markers for labeling, and record-keeping sheets/logbooks for sample tracking and result documentation.</w:t>
      </w:r>
      <w:bookmarkStart w:id="54" w:name="_Toc12080"/>
      <w:bookmarkStart w:id="55" w:name="_Toc23922"/>
    </w:p>
    <w:p w14:paraId="379F07C1" w14:textId="78747C0D" w:rsidR="00C412B3" w:rsidRPr="00D0136C" w:rsidRDefault="00C412B3" w:rsidP="00D0136C">
      <w:pPr>
        <w:pStyle w:val="NormalWeb"/>
        <w:spacing w:beforeAutospacing="0" w:afterAutospacing="0"/>
        <w:jc w:val="both"/>
        <w:rPr>
          <w:b/>
          <w:bCs/>
        </w:rPr>
      </w:pPr>
      <w:r w:rsidRPr="00D0136C">
        <w:rPr>
          <w:b/>
          <w:bCs/>
        </w:rPr>
        <w:t>Participant Recruitment and Consent</w:t>
      </w:r>
      <w:bookmarkEnd w:id="54"/>
      <w:bookmarkEnd w:id="55"/>
    </w:p>
    <w:p w14:paraId="0D79EAFC" w14:textId="77777777" w:rsidR="004D2FA9" w:rsidRPr="00D0136C" w:rsidRDefault="00C412B3" w:rsidP="00D0136C">
      <w:pPr>
        <w:pStyle w:val="NormalWeb"/>
        <w:spacing w:beforeAutospacing="0" w:afterAutospacing="0"/>
        <w:jc w:val="both"/>
      </w:pPr>
      <w:r w:rsidRPr="00D0136C">
        <w:t xml:space="preserve">Eligible female students were recruited through campus awareness campaigns, including posters, social media announcements, and information sessions at the university health </w:t>
      </w:r>
      <w:proofErr w:type="spellStart"/>
      <w:r w:rsidRPr="00D0136C">
        <w:t>centre</w:t>
      </w:r>
      <w:proofErr w:type="spellEnd"/>
      <w:r w:rsidRPr="00D0136C">
        <w:t>. Interested participants were screened for eligibility using the inclusion and exclusion criteria. Written informed consent was obtained before any data or sample collection.</w:t>
      </w:r>
      <w:bookmarkStart w:id="56" w:name="_Toc11751"/>
      <w:bookmarkStart w:id="57" w:name="_Toc11685"/>
    </w:p>
    <w:p w14:paraId="7716EFAB" w14:textId="517B97C3" w:rsidR="00C412B3" w:rsidRPr="00D0136C" w:rsidRDefault="00C412B3" w:rsidP="00D0136C">
      <w:pPr>
        <w:pStyle w:val="NormalWeb"/>
        <w:spacing w:beforeAutospacing="0" w:afterAutospacing="0"/>
        <w:jc w:val="both"/>
        <w:rPr>
          <w:b/>
          <w:bCs/>
        </w:rPr>
      </w:pPr>
      <w:r w:rsidRPr="00D0136C">
        <w:rPr>
          <w:b/>
          <w:bCs/>
        </w:rPr>
        <w:t>Questionnaire Administration</w:t>
      </w:r>
      <w:bookmarkEnd w:id="56"/>
      <w:bookmarkEnd w:id="57"/>
    </w:p>
    <w:p w14:paraId="45F55B59" w14:textId="77777777" w:rsidR="00C412B3" w:rsidRPr="00D0136C" w:rsidRDefault="00C412B3" w:rsidP="00D0136C">
      <w:pPr>
        <w:pStyle w:val="NormalWeb"/>
        <w:spacing w:beforeAutospacing="0" w:afterAutospacing="0"/>
        <w:jc w:val="both"/>
      </w:pPr>
      <w:r w:rsidRPr="00D0136C">
        <w:t>Each consenting participant completed a structured questionnaire to collect demographic information and data on potential risk factors, including age, sexual behavior (e.g., number of partners, condom use), and contraceptive history.</w:t>
      </w:r>
    </w:p>
    <w:p w14:paraId="70BE3248" w14:textId="1DA21279" w:rsidR="00C412B3" w:rsidRPr="00D0136C" w:rsidRDefault="00C412B3" w:rsidP="00D0136C">
      <w:pPr>
        <w:pStyle w:val="Heading2"/>
        <w:spacing w:line="240" w:lineRule="auto"/>
        <w:jc w:val="both"/>
        <w:rPr>
          <w:szCs w:val="24"/>
        </w:rPr>
      </w:pPr>
      <w:bookmarkStart w:id="58" w:name="_Toc29945"/>
      <w:bookmarkStart w:id="59" w:name="_Toc21721"/>
      <w:r w:rsidRPr="00D0136C">
        <w:rPr>
          <w:szCs w:val="24"/>
        </w:rPr>
        <w:t>Sample Collection</w:t>
      </w:r>
      <w:bookmarkEnd w:id="58"/>
      <w:bookmarkEnd w:id="59"/>
    </w:p>
    <w:p w14:paraId="4B9BE2E6" w14:textId="77777777" w:rsidR="00C412B3" w:rsidRPr="00D0136C" w:rsidRDefault="00C412B3" w:rsidP="00D0136C">
      <w:pPr>
        <w:pStyle w:val="NormalWeb"/>
        <w:spacing w:beforeAutospacing="0" w:afterAutospacing="0"/>
        <w:jc w:val="both"/>
      </w:pPr>
      <w:r w:rsidRPr="00D0136C">
        <w:t>Participants provided a midstream urine sample (approximately 20–30 mL) in a sterile urine collection cup. Patients were instructed not to urinate at least one hour prior to specimen collection. The quality of the specimen obtained was of extreme importance. Specimens were collected under aseptic conditions and transported to the testing area laboratory</w:t>
      </w:r>
      <w:r w:rsidRPr="00D0136C">
        <w:rPr>
          <w:color w:val="EE0000"/>
        </w:rPr>
        <w:t xml:space="preserve"> </w:t>
      </w:r>
      <w:r w:rsidRPr="00D0136C">
        <w:t>immediately. If immediate testing was not possible, the patient sample was stored at 2-8°C and tested within 24 hours after refrigeration (4-8°C). All specimens were considered potentially infectious and handled with appropriate precautions.</w:t>
      </w:r>
    </w:p>
    <w:p w14:paraId="365C7D61" w14:textId="1203CE14" w:rsidR="00C412B3" w:rsidRPr="00D0136C" w:rsidRDefault="00C412B3" w:rsidP="00D0136C">
      <w:pPr>
        <w:pStyle w:val="Heading2"/>
        <w:spacing w:line="240" w:lineRule="auto"/>
        <w:jc w:val="both"/>
        <w:rPr>
          <w:szCs w:val="24"/>
        </w:rPr>
      </w:pPr>
      <w:bookmarkStart w:id="60" w:name="_Toc24100"/>
      <w:bookmarkStart w:id="61" w:name="_Toc22834"/>
      <w:r w:rsidRPr="00D0136C">
        <w:rPr>
          <w:szCs w:val="24"/>
        </w:rPr>
        <w:t>LFA Testing</w:t>
      </w:r>
      <w:bookmarkEnd w:id="60"/>
      <w:bookmarkEnd w:id="61"/>
    </w:p>
    <w:p w14:paraId="1542B454" w14:textId="77777777" w:rsidR="00C412B3" w:rsidRPr="00D0136C" w:rsidRDefault="00C412B3" w:rsidP="00D0136C">
      <w:pPr>
        <w:pStyle w:val="NormalWeb"/>
        <w:spacing w:beforeAutospacing="0" w:afterAutospacing="0"/>
        <w:jc w:val="both"/>
      </w:pPr>
      <w:r w:rsidRPr="00D0136C">
        <w:t xml:space="preserve">Each specimen collected during the study was analyzed using the ROSTEC Chlamydia Rapid Test Cassette, following the manufacturer's instructions to ensure accuracy and reliability of results. For each test, an aliquot of the urine sample was placed into the extraction tube. Six drops of Extraction Solution A were added to the extraction tube. The mixture was allowed to stand for 1 minute. Six drops of Extraction Solution B were then added to the extraction tube. The tube was shaken firmly to mix the contents from different lots. The extracted sample was allowed to stand for 1 minute to settle any particles. The test device was removed from its sealed pouch. Three drops (approximately 150 µL) of the extracted sample were added to the sample well (S) of the test device using a circular motion to ensure proper expulsion from the extraction tube end. The swab following guidelines for handling infectious agents was discarded. The test was interpreted after 10 minutes, but no interpretation was made after 15 minutes. Positive results may have appeared as early as 1 minute, depending on the concentration of Chlamydia antigen organisms in the specimen. To confirm a negative result, the complete reaction time of 15 minutes was required. The presence of </w:t>
      </w:r>
      <w:proofErr w:type="gramStart"/>
      <w:r w:rsidRPr="00D0136C">
        <w:t>two colored</w:t>
      </w:r>
      <w:proofErr w:type="gramEnd"/>
      <w:r w:rsidRPr="00D0136C">
        <w:t xml:space="preserve"> lines—one in the test region (T) and one in the control region (C)—indicated a positive result. The appearance of only the control line indicated a </w:t>
      </w:r>
      <w:r w:rsidRPr="00D0136C">
        <w:lastRenderedPageBreak/>
        <w:t>negative result. If no line appeared in the control region, the test was considered invalid, and the procedure was repeated with a new device. Quality control measures were observed daily. Positive and negative control tests were conducted at the beginning of each testing day to verify the functionality of the kits and confirm the integrity of the reagents. Only if these control results fell within the acceptable range were participant samples tested, thereby guaranteeing the consistency and reliability of diagnostic outcomes throughout the study.</w:t>
      </w:r>
    </w:p>
    <w:p w14:paraId="3B0CB5EF" w14:textId="4602AD52" w:rsidR="00C412B3" w:rsidRPr="00D0136C" w:rsidRDefault="00C412B3" w:rsidP="00D0136C">
      <w:pPr>
        <w:pStyle w:val="Heading2"/>
        <w:spacing w:line="240" w:lineRule="auto"/>
        <w:jc w:val="both"/>
        <w:rPr>
          <w:szCs w:val="24"/>
        </w:rPr>
      </w:pPr>
      <w:bookmarkStart w:id="62" w:name="_Toc28761"/>
      <w:bookmarkStart w:id="63" w:name="_Toc31051"/>
      <w:r w:rsidRPr="00D0136C">
        <w:rPr>
          <w:szCs w:val="24"/>
        </w:rPr>
        <w:t>Biosafety and Waste Disposal</w:t>
      </w:r>
      <w:bookmarkEnd w:id="62"/>
      <w:bookmarkEnd w:id="63"/>
    </w:p>
    <w:p w14:paraId="71AC6D3C" w14:textId="77777777" w:rsidR="00C412B3" w:rsidRPr="00D0136C" w:rsidRDefault="00C412B3" w:rsidP="00D0136C">
      <w:pPr>
        <w:pStyle w:val="NormalWeb"/>
        <w:spacing w:beforeAutospacing="0" w:afterAutospacing="0"/>
        <w:jc w:val="both"/>
      </w:pPr>
      <w:r w:rsidRPr="00D0136C">
        <w:t>All personnel wore gloves, lab coats, and face masks when handling specimens. Used materials, including urine cups and test devices, were disposed of in biohazard containers and treated according to institutional biosafety protocols.</w:t>
      </w:r>
    </w:p>
    <w:p w14:paraId="7EE787B6" w14:textId="3C0EC832" w:rsidR="00C412B3" w:rsidRPr="00D0136C" w:rsidRDefault="00C412B3" w:rsidP="00D0136C">
      <w:pPr>
        <w:pStyle w:val="Heading2"/>
        <w:spacing w:line="240" w:lineRule="auto"/>
        <w:jc w:val="both"/>
        <w:rPr>
          <w:szCs w:val="24"/>
        </w:rPr>
      </w:pPr>
      <w:bookmarkStart w:id="64" w:name="_Toc1921"/>
      <w:bookmarkStart w:id="65" w:name="_Toc28429"/>
      <w:r w:rsidRPr="00D0136C">
        <w:rPr>
          <w:szCs w:val="24"/>
        </w:rPr>
        <w:t>Data Recording and Management</w:t>
      </w:r>
      <w:bookmarkEnd w:id="64"/>
      <w:bookmarkEnd w:id="65"/>
    </w:p>
    <w:p w14:paraId="134E4722" w14:textId="77777777" w:rsidR="00C412B3" w:rsidRPr="00D0136C" w:rsidRDefault="00C412B3" w:rsidP="00D0136C">
      <w:pPr>
        <w:pStyle w:val="NormalWeb"/>
        <w:spacing w:beforeAutospacing="0" w:afterAutospacing="0"/>
        <w:jc w:val="both"/>
      </w:pPr>
      <w:r w:rsidRPr="00D0136C">
        <w:t>Questionnaire responses, test results, and participant codes were entered into a secure database. Only the research team had access to identifiable information, which was kept separate from laboratory results to maintain confidentiality.</w:t>
      </w:r>
    </w:p>
    <w:p w14:paraId="3D0B9A20" w14:textId="12CD921F" w:rsidR="00C412B3" w:rsidRPr="00D0136C" w:rsidRDefault="00C412B3" w:rsidP="00D0136C">
      <w:pPr>
        <w:pStyle w:val="Heading2"/>
        <w:spacing w:line="240" w:lineRule="auto"/>
        <w:jc w:val="both"/>
        <w:rPr>
          <w:szCs w:val="24"/>
        </w:rPr>
      </w:pPr>
      <w:bookmarkStart w:id="66" w:name="_Toc14252"/>
      <w:bookmarkStart w:id="67" w:name="_Toc28554"/>
      <w:r w:rsidRPr="00D0136C">
        <w:rPr>
          <w:szCs w:val="24"/>
        </w:rPr>
        <w:t>Data Collection and Analysis</w:t>
      </w:r>
      <w:bookmarkEnd w:id="66"/>
      <w:bookmarkEnd w:id="67"/>
    </w:p>
    <w:p w14:paraId="01248F00" w14:textId="77777777" w:rsidR="00C412B3" w:rsidRPr="00D0136C" w:rsidRDefault="00C412B3" w:rsidP="00D0136C">
      <w:pPr>
        <w:pStyle w:val="NormalWeb"/>
        <w:spacing w:beforeAutospacing="0" w:afterAutospacing="0"/>
        <w:jc w:val="both"/>
      </w:pPr>
      <w:r w:rsidRPr="00D0136C">
        <w:t xml:space="preserve">The prevalence of </w:t>
      </w:r>
      <w:r w:rsidRPr="00D0136C">
        <w:rPr>
          <w:i/>
        </w:rPr>
        <w:t>Chlamydia trachomatis</w:t>
      </w:r>
      <w:r w:rsidRPr="00D0136C">
        <w:t xml:space="preserve"> infection in the study population was determined by calculating the proportion of participants who tested positive using the lateral flow assay (LFA). To explore the relationship between potential risk factors and infection status, chi-square tests were employed to identify any significant associations with positive cases. The diagnostic performance of the LFA was further evaluated by comparing its results with those obtained from polymerase chain reaction (PCR), enabling the calculation of sensitivity and specificity values. All statistical analyses were conducted using SPSS software (version 25), with statistical significance set at a p-value of less than 0.05 to ensure rigorous interpretation of the data.</w:t>
      </w:r>
    </w:p>
    <w:p w14:paraId="728EB083" w14:textId="1133924A" w:rsidR="00C412B3" w:rsidRPr="00D0136C" w:rsidRDefault="00C412B3" w:rsidP="00D0136C">
      <w:pPr>
        <w:pStyle w:val="Heading2"/>
        <w:spacing w:line="240" w:lineRule="auto"/>
        <w:jc w:val="both"/>
        <w:rPr>
          <w:szCs w:val="24"/>
        </w:rPr>
      </w:pPr>
      <w:bookmarkStart w:id="68" w:name="_Toc9441"/>
      <w:bookmarkStart w:id="69" w:name="_Toc8587"/>
      <w:r w:rsidRPr="00D0136C">
        <w:rPr>
          <w:szCs w:val="24"/>
        </w:rPr>
        <w:t>Ethical Considerations</w:t>
      </w:r>
      <w:bookmarkEnd w:id="68"/>
      <w:bookmarkEnd w:id="69"/>
    </w:p>
    <w:p w14:paraId="671696A9" w14:textId="77777777" w:rsidR="00C412B3" w:rsidRPr="00D0136C" w:rsidRDefault="00C412B3" w:rsidP="00D0136C">
      <w:pPr>
        <w:pStyle w:val="NormalWeb"/>
        <w:spacing w:beforeAutospacing="0" w:afterAutospacing="0"/>
        <w:jc w:val="both"/>
      </w:pPr>
      <w:r w:rsidRPr="00D0136C">
        <w:t xml:space="preserve">Ethical approval for this study was obtained from the Rivers State Ministry of Health Ethics Committee. Participation was entirely voluntary, with informed consent obtained from all students prior to recruitment. Confidentiality and anonymity were strictly maintained by using unique participant codes and securely storing data. Students testing positive for </w:t>
      </w:r>
      <w:r w:rsidRPr="00D0136C">
        <w:rPr>
          <w:i/>
        </w:rPr>
        <w:t>Chlamydia trachomatis</w:t>
      </w:r>
      <w:r w:rsidRPr="00D0136C">
        <w:t xml:space="preserve"> received post-test counseling and were referred to the university health center or designated clinics for confirmatory testing and treatment in line with national STI management guidelines. The study design minimized risks by using non-invasive sampling methods, and all procedures adhered to ethical principles of respect for persons, beneficence, and justice, ensuring the protection and well-being of participants throughout the research process.</w:t>
      </w:r>
    </w:p>
    <w:p w14:paraId="689ECD8C" w14:textId="77777777" w:rsidR="00C412B3" w:rsidRPr="00D0136C" w:rsidRDefault="00C412B3" w:rsidP="00D0136C">
      <w:pPr>
        <w:spacing w:after="0" w:afterAutospacing="0" w:line="240" w:lineRule="auto"/>
        <w:jc w:val="both"/>
        <w:outlineLvl w:val="9"/>
        <w:rPr>
          <w:color w:val="000000" w:themeColor="text1"/>
          <w:szCs w:val="24"/>
        </w:rPr>
      </w:pPr>
      <w:r w:rsidRPr="00D0136C">
        <w:rPr>
          <w:color w:val="000000" w:themeColor="text1"/>
          <w:szCs w:val="24"/>
        </w:rPr>
        <w:br w:type="page"/>
      </w:r>
    </w:p>
    <w:p w14:paraId="5691BCE8" w14:textId="77777777" w:rsidR="00C412B3" w:rsidRPr="00D0136C" w:rsidRDefault="00C412B3" w:rsidP="00D0136C">
      <w:pPr>
        <w:pStyle w:val="Heading1"/>
        <w:spacing w:line="240" w:lineRule="auto"/>
        <w:ind w:leftChars="0" w:left="0"/>
        <w:jc w:val="both"/>
        <w:rPr>
          <w:color w:val="EE0000"/>
          <w:szCs w:val="24"/>
        </w:rPr>
      </w:pPr>
      <w:bookmarkStart w:id="70" w:name="_Toc4349"/>
      <w:bookmarkStart w:id="71" w:name="_Toc852"/>
      <w:r w:rsidRPr="00D0136C">
        <w:rPr>
          <w:szCs w:val="24"/>
        </w:rPr>
        <w:lastRenderedPageBreak/>
        <w:t>RESULT</w:t>
      </w:r>
      <w:bookmarkEnd w:id="70"/>
      <w:bookmarkEnd w:id="71"/>
      <w:r w:rsidRPr="00D0136C">
        <w:rPr>
          <w:szCs w:val="24"/>
        </w:rPr>
        <w:t>S</w:t>
      </w:r>
    </w:p>
    <w:p w14:paraId="3008F0A4" w14:textId="72E0766D" w:rsidR="00C412B3" w:rsidRPr="00D0136C" w:rsidRDefault="00C412B3" w:rsidP="00D0136C">
      <w:pPr>
        <w:pStyle w:val="Heading2"/>
        <w:spacing w:line="240" w:lineRule="auto"/>
        <w:jc w:val="both"/>
        <w:rPr>
          <w:szCs w:val="24"/>
        </w:rPr>
      </w:pPr>
      <w:bookmarkStart w:id="72" w:name="_Toc4151"/>
      <w:bookmarkStart w:id="73" w:name="_Toc8051"/>
      <w:r w:rsidRPr="00D0136C">
        <w:rPr>
          <w:szCs w:val="24"/>
        </w:rPr>
        <w:t>Socio-Demographic Characteristics of Respondents</w:t>
      </w:r>
      <w:bookmarkEnd w:id="72"/>
      <w:bookmarkEnd w:id="73"/>
    </w:p>
    <w:p w14:paraId="62048DAE" w14:textId="2F2FB0DE" w:rsidR="00C412B3" w:rsidRPr="00D0136C" w:rsidRDefault="00C412B3" w:rsidP="00D0136C">
      <w:pPr>
        <w:pStyle w:val="NormalWeb"/>
        <w:spacing w:beforeAutospacing="0" w:afterAutospacing="0"/>
        <w:jc w:val="both"/>
        <w:rPr>
          <w:iCs/>
        </w:rPr>
      </w:pPr>
      <w:r w:rsidRPr="00D0136C">
        <w:rPr>
          <w:iCs/>
        </w:rPr>
        <w:t xml:space="preserve">A total of 150 female students participated in the study. As shown in </w:t>
      </w:r>
      <w:r w:rsidRPr="00D0136C">
        <w:rPr>
          <w:rStyle w:val="Strong"/>
          <w:b w:val="0"/>
          <w:bCs w:val="0"/>
          <w:iCs/>
        </w:rPr>
        <w:t>Table 1</w:t>
      </w:r>
      <w:r w:rsidRPr="00D0136C">
        <w:rPr>
          <w:iCs/>
        </w:rPr>
        <w:t xml:space="preserve">, the participants’ ages ranged from 18 to 27 years, with a mean age of </w:t>
      </w:r>
      <w:r w:rsidRPr="00D0136C">
        <w:rPr>
          <w:rStyle w:val="Strong"/>
          <w:b w:val="0"/>
          <w:bCs w:val="0"/>
          <w:iCs/>
        </w:rPr>
        <w:t xml:space="preserve">20 ± 1.82 </w:t>
      </w:r>
      <w:proofErr w:type="gramStart"/>
      <w:r w:rsidRPr="00D0136C">
        <w:rPr>
          <w:rStyle w:val="Strong"/>
          <w:b w:val="0"/>
          <w:bCs w:val="0"/>
          <w:iCs/>
        </w:rPr>
        <w:t>years</w:t>
      </w:r>
      <w:r w:rsidRPr="00D0136C">
        <w:rPr>
          <w:iCs/>
        </w:rPr>
        <w:t>,  indicating</w:t>
      </w:r>
      <w:proofErr w:type="gramEnd"/>
      <w:r w:rsidRPr="00D0136C">
        <w:rPr>
          <w:iCs/>
        </w:rPr>
        <w:t xml:space="preserve"> a youthful population. The </w:t>
      </w:r>
      <w:r w:rsidRPr="00D0136C">
        <w:rPr>
          <w:rStyle w:val="Strong"/>
          <w:b w:val="0"/>
          <w:bCs w:val="0"/>
          <w:iCs/>
        </w:rPr>
        <w:t>histogram (Figure 1)</w:t>
      </w:r>
      <w:r w:rsidRPr="00D0136C">
        <w:rPr>
          <w:iCs/>
        </w:rPr>
        <w:t xml:space="preserve"> shows that most respondents were between 18 and 22 years old, forming the dominant age group.</w:t>
      </w:r>
    </w:p>
    <w:p w14:paraId="63BC3EB3" w14:textId="4D0908C3" w:rsidR="00C412B3" w:rsidRPr="00D0136C" w:rsidRDefault="00C412B3" w:rsidP="00D0136C">
      <w:pPr>
        <w:pStyle w:val="NormalWeb"/>
        <w:spacing w:beforeAutospacing="0" w:afterAutospacing="0"/>
        <w:jc w:val="both"/>
        <w:rPr>
          <w:iCs/>
        </w:rPr>
      </w:pPr>
      <w:r w:rsidRPr="00D0136C">
        <w:rPr>
          <w:iCs/>
        </w:rPr>
        <w:t>Regarding marital statu</w:t>
      </w:r>
      <w:r w:rsidRPr="00D0136C">
        <w:t xml:space="preserve">s, 60% of the respondents were single, while 40% reported being in a relationship. The pie chart (Figure 2) illustrates this distribution, reflecting that the majority of participants were unmarried. Concerning the place of residence, </w:t>
      </w:r>
      <w:r w:rsidRPr="00D0136C">
        <w:rPr>
          <w:rStyle w:val="Strong"/>
          <w:b w:val="0"/>
          <w:bCs w:val="0"/>
          <w:iCs/>
        </w:rPr>
        <w:t>65.3%</w:t>
      </w:r>
      <w:r w:rsidRPr="00D0136C">
        <w:rPr>
          <w:iCs/>
        </w:rPr>
        <w:t xml:space="preserve"> of the students lived on campus, </w:t>
      </w:r>
      <w:r w:rsidRPr="00D0136C">
        <w:rPr>
          <w:rStyle w:val="Strong"/>
          <w:b w:val="0"/>
          <w:bCs w:val="0"/>
          <w:iCs/>
        </w:rPr>
        <w:t>34%</w:t>
      </w:r>
      <w:r w:rsidRPr="00D0136C">
        <w:rPr>
          <w:iCs/>
        </w:rPr>
        <w:t xml:space="preserve"> lived off campus, and </w:t>
      </w:r>
      <w:r w:rsidRPr="00D0136C">
        <w:rPr>
          <w:rStyle w:val="Strong"/>
          <w:b w:val="0"/>
          <w:bCs w:val="0"/>
          <w:iCs/>
        </w:rPr>
        <w:t>0.7%</w:t>
      </w:r>
      <w:r w:rsidRPr="00D0136C">
        <w:rPr>
          <w:iCs/>
        </w:rPr>
        <w:t xml:space="preserve"> resided with family members (Figure 3). This distribution indicates that most respondents were closely situated within the academic environment.</w:t>
      </w:r>
    </w:p>
    <w:p w14:paraId="47BE47D9" w14:textId="77777777" w:rsidR="00C412B3" w:rsidRPr="00D0136C" w:rsidRDefault="00C412B3" w:rsidP="00D0136C">
      <w:pPr>
        <w:pStyle w:val="NormalWeb"/>
        <w:spacing w:beforeAutospacing="0" w:afterAutospacing="0"/>
        <w:jc w:val="both"/>
        <w:rPr>
          <w:iCs/>
        </w:rPr>
      </w:pPr>
      <w:r w:rsidRPr="00D0136C">
        <w:rPr>
          <w:iCs/>
        </w:rPr>
        <w:t xml:space="preserve">The academic year distribution showed that </w:t>
      </w:r>
      <w:r w:rsidRPr="00D0136C">
        <w:rPr>
          <w:rStyle w:val="Strong"/>
          <w:b w:val="0"/>
          <w:bCs w:val="0"/>
          <w:iCs/>
        </w:rPr>
        <w:t>25.3%</w:t>
      </w:r>
      <w:r w:rsidRPr="00D0136C">
        <w:rPr>
          <w:iCs/>
        </w:rPr>
        <w:t xml:space="preserve"> were in their 400 level, </w:t>
      </w:r>
      <w:r w:rsidRPr="00D0136C">
        <w:rPr>
          <w:rStyle w:val="Strong"/>
          <w:b w:val="0"/>
          <w:bCs w:val="0"/>
          <w:iCs/>
        </w:rPr>
        <w:t>24.7%</w:t>
      </w:r>
      <w:r w:rsidRPr="00D0136C">
        <w:rPr>
          <w:iCs/>
        </w:rPr>
        <w:t xml:space="preserve"> in 200 level, </w:t>
      </w:r>
      <w:r w:rsidRPr="00D0136C">
        <w:rPr>
          <w:rStyle w:val="Strong"/>
          <w:b w:val="0"/>
          <w:bCs w:val="0"/>
          <w:iCs/>
        </w:rPr>
        <w:t>21.3%</w:t>
      </w:r>
      <w:r w:rsidRPr="00D0136C">
        <w:rPr>
          <w:iCs/>
        </w:rPr>
        <w:t xml:space="preserve"> in 100 level, </w:t>
      </w:r>
      <w:r w:rsidRPr="00D0136C">
        <w:rPr>
          <w:rStyle w:val="Strong"/>
          <w:b w:val="0"/>
          <w:bCs w:val="0"/>
          <w:iCs/>
        </w:rPr>
        <w:t>16.7%</w:t>
      </w:r>
      <w:r w:rsidRPr="00D0136C">
        <w:rPr>
          <w:iCs/>
        </w:rPr>
        <w:t xml:space="preserve"> in 300 level, and </w:t>
      </w:r>
      <w:r w:rsidRPr="00D0136C">
        <w:rPr>
          <w:rStyle w:val="Strong"/>
          <w:b w:val="0"/>
          <w:bCs w:val="0"/>
          <w:iCs/>
        </w:rPr>
        <w:t>12%</w:t>
      </w:r>
      <w:r w:rsidRPr="00D0136C">
        <w:rPr>
          <w:iCs/>
        </w:rPr>
        <w:t xml:space="preserve"> in 500 </w:t>
      </w:r>
      <w:proofErr w:type="spellStart"/>
      <w:proofErr w:type="gramStart"/>
      <w:r w:rsidRPr="00D0136C">
        <w:rPr>
          <w:iCs/>
        </w:rPr>
        <w:t>level</w:t>
      </w:r>
      <w:r w:rsidRPr="00D0136C">
        <w:rPr>
          <w:iCs/>
          <w:color w:val="EE0000"/>
        </w:rPr>
        <w:t>.</w:t>
      </w:r>
      <w:r w:rsidRPr="00D0136C">
        <w:rPr>
          <w:iCs/>
        </w:rPr>
        <w:t>These</w:t>
      </w:r>
      <w:proofErr w:type="spellEnd"/>
      <w:proofErr w:type="gramEnd"/>
      <w:r w:rsidRPr="00D0136C">
        <w:rPr>
          <w:iCs/>
        </w:rPr>
        <w:t xml:space="preserve"> findings demonstrate that all levels were represented, ensuring adequate academic diversity within the sample population.</w:t>
      </w:r>
    </w:p>
    <w:p w14:paraId="69D71C1B" w14:textId="77777777" w:rsidR="00C412B3" w:rsidRPr="00D0136C" w:rsidRDefault="00C412B3" w:rsidP="00D0136C">
      <w:pPr>
        <w:spacing w:before="0" w:beforeAutospacing="0" w:after="0" w:afterAutospacing="0" w:line="240" w:lineRule="auto"/>
        <w:jc w:val="both"/>
        <w:outlineLvl w:val="9"/>
        <w:rPr>
          <w:iCs/>
          <w:szCs w:val="24"/>
        </w:rPr>
      </w:pPr>
      <w:r w:rsidRPr="00D0136C">
        <w:rPr>
          <w:iCs/>
          <w:szCs w:val="24"/>
        </w:rPr>
        <w:br w:type="page"/>
      </w:r>
    </w:p>
    <w:p w14:paraId="7C5E3490" w14:textId="415941FA" w:rsidR="00C412B3" w:rsidRPr="00D0136C" w:rsidRDefault="00C412B3" w:rsidP="00D0136C">
      <w:pPr>
        <w:pStyle w:val="NormalWeb"/>
        <w:spacing w:beforeAutospacing="0" w:afterAutospacing="0"/>
        <w:jc w:val="both"/>
        <w:rPr>
          <w:iCs/>
        </w:rPr>
      </w:pPr>
      <w:r w:rsidRPr="00D0136C">
        <w:rPr>
          <w:rStyle w:val="Strong"/>
          <w:iCs/>
        </w:rPr>
        <w:lastRenderedPageBreak/>
        <w:t>Table 1: Socio-Demographic Characteristics of Female Students at Rivers State University (n = 150)</w:t>
      </w:r>
    </w:p>
    <w:tbl>
      <w:tblPr>
        <w:tblStyle w:val="TableGrid"/>
        <w:tblW w:w="96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1"/>
        <w:gridCol w:w="3825"/>
        <w:gridCol w:w="1857"/>
        <w:gridCol w:w="1987"/>
      </w:tblGrid>
      <w:tr w:rsidR="00C412B3" w:rsidRPr="00D0136C" w14:paraId="0461FE17" w14:textId="77777777" w:rsidTr="00823948">
        <w:tc>
          <w:tcPr>
            <w:tcW w:w="2021" w:type="dxa"/>
            <w:tcBorders>
              <w:bottom w:val="single" w:sz="4" w:space="0" w:color="auto"/>
            </w:tcBorders>
            <w:vAlign w:val="center"/>
          </w:tcPr>
          <w:p w14:paraId="451362B6" w14:textId="77777777" w:rsidR="00C412B3" w:rsidRPr="00D0136C" w:rsidRDefault="00C412B3" w:rsidP="00D0136C">
            <w:pPr>
              <w:widowControl/>
              <w:spacing w:before="0" w:beforeAutospacing="0" w:after="0" w:afterAutospacing="0" w:line="240" w:lineRule="auto"/>
              <w:rPr>
                <w:b/>
                <w:bCs/>
                <w:iCs/>
                <w:szCs w:val="24"/>
              </w:rPr>
            </w:pPr>
            <w:bookmarkStart w:id="74" w:name="_Toc26836"/>
            <w:bookmarkStart w:id="75" w:name="_Toc3084"/>
            <w:bookmarkStart w:id="76" w:name="_Toc30288"/>
            <w:r w:rsidRPr="00D0136C">
              <w:rPr>
                <w:b/>
                <w:bCs/>
                <w:iCs/>
                <w:szCs w:val="24"/>
                <w:lang w:eastAsia="zh-CN" w:bidi="ar"/>
              </w:rPr>
              <w:t>Variable</w:t>
            </w:r>
            <w:bookmarkEnd w:id="74"/>
            <w:bookmarkEnd w:id="75"/>
            <w:bookmarkEnd w:id="76"/>
          </w:p>
        </w:tc>
        <w:tc>
          <w:tcPr>
            <w:tcW w:w="3825" w:type="dxa"/>
            <w:tcBorders>
              <w:bottom w:val="single" w:sz="4" w:space="0" w:color="auto"/>
            </w:tcBorders>
            <w:vAlign w:val="center"/>
          </w:tcPr>
          <w:p w14:paraId="13BEB743" w14:textId="77777777" w:rsidR="00C412B3" w:rsidRPr="00D0136C" w:rsidRDefault="00C412B3" w:rsidP="00D0136C">
            <w:pPr>
              <w:widowControl/>
              <w:spacing w:before="0" w:beforeAutospacing="0" w:after="0" w:afterAutospacing="0" w:line="240" w:lineRule="auto"/>
              <w:rPr>
                <w:b/>
                <w:bCs/>
                <w:iCs/>
                <w:szCs w:val="24"/>
              </w:rPr>
            </w:pPr>
            <w:bookmarkStart w:id="77" w:name="_Toc8624"/>
            <w:bookmarkStart w:id="78" w:name="_Toc30964"/>
            <w:bookmarkStart w:id="79" w:name="_Toc27207"/>
            <w:r w:rsidRPr="00D0136C">
              <w:rPr>
                <w:b/>
                <w:bCs/>
                <w:iCs/>
                <w:szCs w:val="24"/>
                <w:lang w:eastAsia="zh-CN" w:bidi="ar"/>
              </w:rPr>
              <w:t>Category</w:t>
            </w:r>
            <w:bookmarkEnd w:id="77"/>
            <w:bookmarkEnd w:id="78"/>
            <w:bookmarkEnd w:id="79"/>
          </w:p>
        </w:tc>
        <w:tc>
          <w:tcPr>
            <w:tcW w:w="1857" w:type="dxa"/>
            <w:tcBorders>
              <w:bottom w:val="single" w:sz="4" w:space="0" w:color="auto"/>
            </w:tcBorders>
            <w:vAlign w:val="center"/>
          </w:tcPr>
          <w:p w14:paraId="16894256" w14:textId="77777777" w:rsidR="00C412B3" w:rsidRPr="00D0136C" w:rsidRDefault="00C412B3" w:rsidP="00D0136C">
            <w:pPr>
              <w:widowControl/>
              <w:spacing w:before="0" w:beforeAutospacing="0" w:after="0" w:afterAutospacing="0" w:line="240" w:lineRule="auto"/>
              <w:rPr>
                <w:b/>
                <w:bCs/>
                <w:iCs/>
                <w:szCs w:val="24"/>
              </w:rPr>
            </w:pPr>
            <w:bookmarkStart w:id="80" w:name="_Toc28374"/>
            <w:bookmarkStart w:id="81" w:name="_Toc11165"/>
            <w:bookmarkStart w:id="82" w:name="_Toc22250"/>
            <w:r w:rsidRPr="00D0136C">
              <w:rPr>
                <w:b/>
                <w:bCs/>
                <w:iCs/>
                <w:szCs w:val="24"/>
                <w:lang w:eastAsia="zh-CN" w:bidi="ar"/>
              </w:rPr>
              <w:t>Frequency (n)</w:t>
            </w:r>
            <w:bookmarkEnd w:id="80"/>
            <w:bookmarkEnd w:id="81"/>
            <w:bookmarkEnd w:id="82"/>
          </w:p>
        </w:tc>
        <w:tc>
          <w:tcPr>
            <w:tcW w:w="1987" w:type="dxa"/>
            <w:tcBorders>
              <w:bottom w:val="single" w:sz="4" w:space="0" w:color="auto"/>
            </w:tcBorders>
            <w:vAlign w:val="center"/>
          </w:tcPr>
          <w:p w14:paraId="2AC28B2D" w14:textId="77777777" w:rsidR="00C412B3" w:rsidRPr="00D0136C" w:rsidRDefault="00C412B3" w:rsidP="00D0136C">
            <w:pPr>
              <w:widowControl/>
              <w:spacing w:before="0" w:beforeAutospacing="0" w:after="0" w:afterAutospacing="0" w:line="240" w:lineRule="auto"/>
              <w:rPr>
                <w:b/>
                <w:bCs/>
                <w:iCs/>
                <w:szCs w:val="24"/>
              </w:rPr>
            </w:pPr>
            <w:bookmarkStart w:id="83" w:name="_Toc18427"/>
            <w:bookmarkStart w:id="84" w:name="_Toc21982"/>
            <w:bookmarkStart w:id="85" w:name="_Toc1557"/>
            <w:r w:rsidRPr="00D0136C">
              <w:rPr>
                <w:b/>
                <w:bCs/>
                <w:iCs/>
                <w:szCs w:val="24"/>
                <w:lang w:eastAsia="zh-CN" w:bidi="ar"/>
              </w:rPr>
              <w:t>Percentage (%)</w:t>
            </w:r>
            <w:bookmarkEnd w:id="83"/>
            <w:bookmarkEnd w:id="84"/>
            <w:bookmarkEnd w:id="85"/>
          </w:p>
        </w:tc>
      </w:tr>
      <w:tr w:rsidR="00C412B3" w:rsidRPr="00D0136C" w14:paraId="2A011EC9" w14:textId="77777777" w:rsidTr="00823948">
        <w:tc>
          <w:tcPr>
            <w:tcW w:w="2021" w:type="dxa"/>
            <w:tcBorders>
              <w:top w:val="single" w:sz="4" w:space="0" w:color="auto"/>
            </w:tcBorders>
            <w:vAlign w:val="center"/>
          </w:tcPr>
          <w:p w14:paraId="3E5D696F" w14:textId="77777777" w:rsidR="00C412B3" w:rsidRPr="00D0136C" w:rsidRDefault="00C412B3" w:rsidP="00D0136C">
            <w:pPr>
              <w:widowControl/>
              <w:spacing w:before="0" w:beforeAutospacing="0" w:after="0" w:afterAutospacing="0" w:line="240" w:lineRule="auto"/>
              <w:rPr>
                <w:iCs/>
                <w:szCs w:val="24"/>
              </w:rPr>
            </w:pPr>
            <w:bookmarkStart w:id="86" w:name="_Toc2433"/>
            <w:bookmarkStart w:id="87" w:name="_Toc31345"/>
            <w:bookmarkStart w:id="88" w:name="_Toc29218"/>
            <w:r w:rsidRPr="00D0136C">
              <w:rPr>
                <w:rStyle w:val="Strong"/>
                <w:iCs/>
                <w:szCs w:val="24"/>
                <w:lang w:eastAsia="zh-CN" w:bidi="ar"/>
              </w:rPr>
              <w:t>Age (years)</w:t>
            </w:r>
            <w:bookmarkEnd w:id="86"/>
            <w:bookmarkEnd w:id="87"/>
            <w:bookmarkEnd w:id="88"/>
          </w:p>
        </w:tc>
        <w:tc>
          <w:tcPr>
            <w:tcW w:w="3825" w:type="dxa"/>
            <w:tcBorders>
              <w:top w:val="single" w:sz="4" w:space="0" w:color="auto"/>
            </w:tcBorders>
            <w:vAlign w:val="center"/>
          </w:tcPr>
          <w:p w14:paraId="20A2A031" w14:textId="77777777" w:rsidR="00C412B3" w:rsidRPr="00D0136C" w:rsidRDefault="00C412B3" w:rsidP="00D0136C">
            <w:pPr>
              <w:widowControl/>
              <w:spacing w:before="0" w:beforeAutospacing="0" w:after="0" w:afterAutospacing="0" w:line="240" w:lineRule="auto"/>
              <w:rPr>
                <w:iCs/>
                <w:szCs w:val="24"/>
              </w:rPr>
            </w:pPr>
            <w:bookmarkStart w:id="89" w:name="_Toc24843"/>
            <w:bookmarkStart w:id="90" w:name="_Toc28770"/>
            <w:bookmarkStart w:id="91" w:name="_Toc15348"/>
            <w:r w:rsidRPr="00D0136C">
              <w:rPr>
                <w:iCs/>
                <w:szCs w:val="24"/>
                <w:lang w:eastAsia="zh-CN" w:bidi="ar"/>
              </w:rPr>
              <w:t>Range (18–27), Mean = 19.87 ± 1.82</w:t>
            </w:r>
            <w:bookmarkEnd w:id="89"/>
            <w:bookmarkEnd w:id="90"/>
            <w:bookmarkEnd w:id="91"/>
          </w:p>
        </w:tc>
        <w:tc>
          <w:tcPr>
            <w:tcW w:w="1857" w:type="dxa"/>
            <w:tcBorders>
              <w:top w:val="single" w:sz="4" w:space="0" w:color="auto"/>
            </w:tcBorders>
            <w:vAlign w:val="center"/>
          </w:tcPr>
          <w:p w14:paraId="19E83B9D" w14:textId="77777777" w:rsidR="00C412B3" w:rsidRPr="00D0136C" w:rsidRDefault="00C412B3" w:rsidP="00D0136C">
            <w:pPr>
              <w:widowControl/>
              <w:spacing w:before="0" w:beforeAutospacing="0" w:after="0" w:afterAutospacing="0" w:line="240" w:lineRule="auto"/>
              <w:rPr>
                <w:iCs/>
                <w:szCs w:val="24"/>
              </w:rPr>
            </w:pPr>
            <w:bookmarkStart w:id="92" w:name="_Toc14979"/>
            <w:bookmarkStart w:id="93" w:name="_Toc23519"/>
            <w:bookmarkStart w:id="94" w:name="_Toc26087"/>
            <w:r w:rsidRPr="00D0136C">
              <w:rPr>
                <w:iCs/>
                <w:szCs w:val="24"/>
                <w:lang w:eastAsia="zh-CN" w:bidi="ar"/>
              </w:rPr>
              <w:t>—</w:t>
            </w:r>
            <w:bookmarkEnd w:id="92"/>
            <w:bookmarkEnd w:id="93"/>
            <w:bookmarkEnd w:id="94"/>
          </w:p>
        </w:tc>
        <w:tc>
          <w:tcPr>
            <w:tcW w:w="1987" w:type="dxa"/>
            <w:tcBorders>
              <w:top w:val="single" w:sz="4" w:space="0" w:color="auto"/>
            </w:tcBorders>
            <w:vAlign w:val="center"/>
          </w:tcPr>
          <w:p w14:paraId="7D43B845" w14:textId="77777777" w:rsidR="00C412B3" w:rsidRPr="00D0136C" w:rsidRDefault="00C412B3" w:rsidP="00D0136C">
            <w:pPr>
              <w:widowControl/>
              <w:spacing w:before="0" w:beforeAutospacing="0" w:after="0" w:afterAutospacing="0" w:line="240" w:lineRule="auto"/>
              <w:rPr>
                <w:iCs/>
                <w:szCs w:val="24"/>
              </w:rPr>
            </w:pPr>
            <w:bookmarkStart w:id="95" w:name="_Toc9638"/>
            <w:bookmarkStart w:id="96" w:name="_Toc32222"/>
            <w:bookmarkStart w:id="97" w:name="_Toc4978"/>
            <w:r w:rsidRPr="00D0136C">
              <w:rPr>
                <w:iCs/>
                <w:szCs w:val="24"/>
                <w:lang w:eastAsia="zh-CN" w:bidi="ar"/>
              </w:rPr>
              <w:t>—</w:t>
            </w:r>
            <w:bookmarkEnd w:id="95"/>
            <w:bookmarkEnd w:id="96"/>
            <w:bookmarkEnd w:id="97"/>
          </w:p>
        </w:tc>
      </w:tr>
      <w:tr w:rsidR="00C412B3" w:rsidRPr="00D0136C" w14:paraId="13D0BBD7" w14:textId="77777777" w:rsidTr="00823948">
        <w:tc>
          <w:tcPr>
            <w:tcW w:w="2021" w:type="dxa"/>
            <w:vAlign w:val="center"/>
          </w:tcPr>
          <w:p w14:paraId="0806D845" w14:textId="77777777" w:rsidR="00C412B3" w:rsidRPr="00D0136C" w:rsidRDefault="00C412B3" w:rsidP="00D0136C">
            <w:pPr>
              <w:widowControl/>
              <w:spacing w:before="0" w:beforeAutospacing="0" w:after="0" w:afterAutospacing="0" w:line="240" w:lineRule="auto"/>
              <w:rPr>
                <w:iCs/>
                <w:szCs w:val="24"/>
              </w:rPr>
            </w:pPr>
            <w:bookmarkStart w:id="98" w:name="_Toc28962"/>
            <w:bookmarkStart w:id="99" w:name="_Toc9917"/>
            <w:bookmarkStart w:id="100" w:name="_Toc10104"/>
            <w:r w:rsidRPr="00D0136C">
              <w:rPr>
                <w:rStyle w:val="Strong"/>
                <w:iCs/>
                <w:szCs w:val="24"/>
                <w:lang w:eastAsia="zh-CN" w:bidi="ar"/>
              </w:rPr>
              <w:t>Marital Status</w:t>
            </w:r>
            <w:bookmarkEnd w:id="98"/>
            <w:bookmarkEnd w:id="99"/>
            <w:bookmarkEnd w:id="100"/>
          </w:p>
        </w:tc>
        <w:tc>
          <w:tcPr>
            <w:tcW w:w="3825" w:type="dxa"/>
            <w:vAlign w:val="center"/>
          </w:tcPr>
          <w:p w14:paraId="09A37AFA" w14:textId="77777777" w:rsidR="00C412B3" w:rsidRPr="00D0136C" w:rsidRDefault="00C412B3" w:rsidP="00D0136C">
            <w:pPr>
              <w:widowControl/>
              <w:spacing w:before="0" w:beforeAutospacing="0" w:after="0" w:afterAutospacing="0" w:line="240" w:lineRule="auto"/>
              <w:rPr>
                <w:iCs/>
                <w:szCs w:val="24"/>
              </w:rPr>
            </w:pPr>
            <w:bookmarkStart w:id="101" w:name="_Toc32090"/>
            <w:bookmarkStart w:id="102" w:name="_Toc8356"/>
            <w:bookmarkStart w:id="103" w:name="_Toc13131"/>
            <w:r w:rsidRPr="00D0136C">
              <w:rPr>
                <w:iCs/>
                <w:szCs w:val="24"/>
                <w:lang w:eastAsia="zh-CN" w:bidi="ar"/>
              </w:rPr>
              <w:t>Single</w:t>
            </w:r>
            <w:bookmarkEnd w:id="101"/>
            <w:bookmarkEnd w:id="102"/>
            <w:bookmarkEnd w:id="103"/>
          </w:p>
        </w:tc>
        <w:tc>
          <w:tcPr>
            <w:tcW w:w="1857" w:type="dxa"/>
            <w:vAlign w:val="center"/>
          </w:tcPr>
          <w:p w14:paraId="5FB18D3A" w14:textId="77777777" w:rsidR="00C412B3" w:rsidRPr="00D0136C" w:rsidRDefault="00C412B3" w:rsidP="00D0136C">
            <w:pPr>
              <w:widowControl/>
              <w:spacing w:before="0" w:beforeAutospacing="0" w:after="0" w:afterAutospacing="0" w:line="240" w:lineRule="auto"/>
              <w:rPr>
                <w:iCs/>
                <w:szCs w:val="24"/>
              </w:rPr>
            </w:pPr>
            <w:bookmarkStart w:id="104" w:name="_Toc19987"/>
            <w:bookmarkStart w:id="105" w:name="_Toc12822"/>
            <w:bookmarkStart w:id="106" w:name="_Toc23832"/>
            <w:r w:rsidRPr="00D0136C">
              <w:rPr>
                <w:iCs/>
                <w:szCs w:val="24"/>
                <w:lang w:eastAsia="zh-CN" w:bidi="ar"/>
              </w:rPr>
              <w:t>90</w:t>
            </w:r>
            <w:bookmarkEnd w:id="104"/>
            <w:bookmarkEnd w:id="105"/>
            <w:bookmarkEnd w:id="106"/>
          </w:p>
        </w:tc>
        <w:tc>
          <w:tcPr>
            <w:tcW w:w="1987" w:type="dxa"/>
            <w:vAlign w:val="center"/>
          </w:tcPr>
          <w:p w14:paraId="3983E40E" w14:textId="77777777" w:rsidR="00C412B3" w:rsidRPr="00D0136C" w:rsidRDefault="00C412B3" w:rsidP="00D0136C">
            <w:pPr>
              <w:widowControl/>
              <w:spacing w:before="0" w:beforeAutospacing="0" w:after="0" w:afterAutospacing="0" w:line="240" w:lineRule="auto"/>
              <w:rPr>
                <w:iCs/>
                <w:szCs w:val="24"/>
              </w:rPr>
            </w:pPr>
            <w:bookmarkStart w:id="107" w:name="_Toc18693"/>
            <w:bookmarkStart w:id="108" w:name="_Toc23613"/>
            <w:bookmarkStart w:id="109" w:name="_Toc17782"/>
            <w:r w:rsidRPr="00D0136C">
              <w:rPr>
                <w:iCs/>
                <w:szCs w:val="24"/>
                <w:lang w:eastAsia="zh-CN" w:bidi="ar"/>
              </w:rPr>
              <w:t>60.0</w:t>
            </w:r>
            <w:bookmarkEnd w:id="107"/>
            <w:bookmarkEnd w:id="108"/>
            <w:bookmarkEnd w:id="109"/>
          </w:p>
        </w:tc>
      </w:tr>
      <w:tr w:rsidR="00C412B3" w:rsidRPr="00D0136C" w14:paraId="0EB17C57" w14:textId="77777777" w:rsidTr="00823948">
        <w:tc>
          <w:tcPr>
            <w:tcW w:w="2021" w:type="dxa"/>
            <w:vAlign w:val="center"/>
          </w:tcPr>
          <w:p w14:paraId="49C2D6E9" w14:textId="77777777" w:rsidR="00C412B3" w:rsidRPr="00D0136C" w:rsidRDefault="00C412B3" w:rsidP="00D0136C">
            <w:pPr>
              <w:widowControl/>
              <w:spacing w:before="0" w:beforeAutospacing="0" w:after="0" w:afterAutospacing="0" w:line="240" w:lineRule="auto"/>
              <w:outlineLvl w:val="9"/>
              <w:rPr>
                <w:iCs/>
                <w:szCs w:val="24"/>
              </w:rPr>
            </w:pPr>
          </w:p>
        </w:tc>
        <w:tc>
          <w:tcPr>
            <w:tcW w:w="3825" w:type="dxa"/>
            <w:vAlign w:val="center"/>
          </w:tcPr>
          <w:p w14:paraId="52BB7E23" w14:textId="77777777" w:rsidR="00C412B3" w:rsidRPr="00D0136C" w:rsidRDefault="00C412B3" w:rsidP="00D0136C">
            <w:pPr>
              <w:widowControl/>
              <w:spacing w:before="0" w:beforeAutospacing="0" w:after="0" w:afterAutospacing="0" w:line="240" w:lineRule="auto"/>
              <w:rPr>
                <w:iCs/>
                <w:szCs w:val="24"/>
              </w:rPr>
            </w:pPr>
            <w:bookmarkStart w:id="110" w:name="_Toc23215"/>
            <w:bookmarkStart w:id="111" w:name="_Toc28288"/>
            <w:bookmarkStart w:id="112" w:name="_Toc16529"/>
            <w:r w:rsidRPr="00D0136C">
              <w:rPr>
                <w:iCs/>
                <w:szCs w:val="24"/>
                <w:lang w:eastAsia="zh-CN" w:bidi="ar"/>
              </w:rPr>
              <w:t>Relationship</w:t>
            </w:r>
            <w:bookmarkEnd w:id="110"/>
            <w:bookmarkEnd w:id="111"/>
            <w:bookmarkEnd w:id="112"/>
          </w:p>
        </w:tc>
        <w:tc>
          <w:tcPr>
            <w:tcW w:w="1857" w:type="dxa"/>
            <w:vAlign w:val="center"/>
          </w:tcPr>
          <w:p w14:paraId="7DE2E837" w14:textId="77777777" w:rsidR="00C412B3" w:rsidRPr="00D0136C" w:rsidRDefault="00C412B3" w:rsidP="00D0136C">
            <w:pPr>
              <w:widowControl/>
              <w:spacing w:before="0" w:beforeAutospacing="0" w:after="0" w:afterAutospacing="0" w:line="240" w:lineRule="auto"/>
              <w:rPr>
                <w:iCs/>
                <w:szCs w:val="24"/>
              </w:rPr>
            </w:pPr>
            <w:bookmarkStart w:id="113" w:name="_Toc4518"/>
            <w:bookmarkStart w:id="114" w:name="_Toc12563"/>
            <w:bookmarkStart w:id="115" w:name="_Toc16640"/>
            <w:r w:rsidRPr="00D0136C">
              <w:rPr>
                <w:iCs/>
                <w:szCs w:val="24"/>
                <w:lang w:eastAsia="zh-CN" w:bidi="ar"/>
              </w:rPr>
              <w:t>60</w:t>
            </w:r>
            <w:bookmarkEnd w:id="113"/>
            <w:bookmarkEnd w:id="114"/>
            <w:bookmarkEnd w:id="115"/>
          </w:p>
        </w:tc>
        <w:tc>
          <w:tcPr>
            <w:tcW w:w="1987" w:type="dxa"/>
            <w:vAlign w:val="center"/>
          </w:tcPr>
          <w:p w14:paraId="04F38E94" w14:textId="77777777" w:rsidR="00C412B3" w:rsidRPr="00D0136C" w:rsidRDefault="00C412B3" w:rsidP="00D0136C">
            <w:pPr>
              <w:widowControl/>
              <w:spacing w:before="0" w:beforeAutospacing="0" w:after="0" w:afterAutospacing="0" w:line="240" w:lineRule="auto"/>
              <w:rPr>
                <w:iCs/>
                <w:szCs w:val="24"/>
              </w:rPr>
            </w:pPr>
            <w:bookmarkStart w:id="116" w:name="_Toc25770"/>
            <w:bookmarkStart w:id="117" w:name="_Toc10415"/>
            <w:bookmarkStart w:id="118" w:name="_Toc15192"/>
            <w:r w:rsidRPr="00D0136C">
              <w:rPr>
                <w:iCs/>
                <w:szCs w:val="24"/>
                <w:lang w:eastAsia="zh-CN" w:bidi="ar"/>
              </w:rPr>
              <w:t>40.0</w:t>
            </w:r>
            <w:bookmarkEnd w:id="116"/>
            <w:bookmarkEnd w:id="117"/>
            <w:bookmarkEnd w:id="118"/>
          </w:p>
        </w:tc>
      </w:tr>
      <w:tr w:rsidR="00C412B3" w:rsidRPr="00D0136C" w14:paraId="5086A70A" w14:textId="77777777" w:rsidTr="00823948">
        <w:tc>
          <w:tcPr>
            <w:tcW w:w="2021" w:type="dxa"/>
            <w:vAlign w:val="center"/>
          </w:tcPr>
          <w:p w14:paraId="49FBCE67" w14:textId="77777777" w:rsidR="00C412B3" w:rsidRPr="00D0136C" w:rsidRDefault="00C412B3" w:rsidP="00D0136C">
            <w:pPr>
              <w:widowControl/>
              <w:spacing w:before="0" w:beforeAutospacing="0" w:after="0" w:afterAutospacing="0" w:line="240" w:lineRule="auto"/>
              <w:rPr>
                <w:iCs/>
                <w:szCs w:val="24"/>
              </w:rPr>
            </w:pPr>
            <w:bookmarkStart w:id="119" w:name="_Toc12421"/>
            <w:bookmarkStart w:id="120" w:name="_Toc3509"/>
            <w:bookmarkStart w:id="121" w:name="_Toc15025"/>
            <w:r w:rsidRPr="00D0136C">
              <w:rPr>
                <w:rStyle w:val="Strong"/>
                <w:iCs/>
                <w:szCs w:val="24"/>
                <w:lang w:eastAsia="zh-CN" w:bidi="ar"/>
              </w:rPr>
              <w:t>Residence</w:t>
            </w:r>
            <w:bookmarkEnd w:id="119"/>
            <w:bookmarkEnd w:id="120"/>
            <w:bookmarkEnd w:id="121"/>
          </w:p>
        </w:tc>
        <w:tc>
          <w:tcPr>
            <w:tcW w:w="3825" w:type="dxa"/>
            <w:vAlign w:val="center"/>
          </w:tcPr>
          <w:p w14:paraId="5C2A131E" w14:textId="77777777" w:rsidR="00C412B3" w:rsidRPr="00D0136C" w:rsidRDefault="00C412B3" w:rsidP="00D0136C">
            <w:pPr>
              <w:widowControl/>
              <w:spacing w:before="0" w:beforeAutospacing="0" w:after="0" w:afterAutospacing="0" w:line="240" w:lineRule="auto"/>
              <w:rPr>
                <w:iCs/>
                <w:szCs w:val="24"/>
              </w:rPr>
            </w:pPr>
            <w:bookmarkStart w:id="122" w:name="_Toc30504"/>
            <w:bookmarkStart w:id="123" w:name="_Toc7832"/>
            <w:bookmarkStart w:id="124" w:name="_Toc19872"/>
            <w:r w:rsidRPr="00D0136C">
              <w:rPr>
                <w:iCs/>
                <w:szCs w:val="24"/>
                <w:lang w:eastAsia="zh-CN" w:bidi="ar"/>
              </w:rPr>
              <w:t>On campus</w:t>
            </w:r>
            <w:bookmarkEnd w:id="122"/>
            <w:bookmarkEnd w:id="123"/>
            <w:bookmarkEnd w:id="124"/>
          </w:p>
        </w:tc>
        <w:tc>
          <w:tcPr>
            <w:tcW w:w="1857" w:type="dxa"/>
            <w:vAlign w:val="center"/>
          </w:tcPr>
          <w:p w14:paraId="552C4D99" w14:textId="77777777" w:rsidR="00C412B3" w:rsidRPr="00D0136C" w:rsidRDefault="00C412B3" w:rsidP="00D0136C">
            <w:pPr>
              <w:widowControl/>
              <w:spacing w:before="0" w:beforeAutospacing="0" w:after="0" w:afterAutospacing="0" w:line="240" w:lineRule="auto"/>
              <w:rPr>
                <w:iCs/>
                <w:szCs w:val="24"/>
              </w:rPr>
            </w:pPr>
            <w:bookmarkStart w:id="125" w:name="_Toc14157"/>
            <w:bookmarkStart w:id="126" w:name="_Toc22476"/>
            <w:bookmarkStart w:id="127" w:name="_Toc31190"/>
            <w:r w:rsidRPr="00D0136C">
              <w:rPr>
                <w:iCs/>
                <w:szCs w:val="24"/>
                <w:lang w:eastAsia="zh-CN" w:bidi="ar"/>
              </w:rPr>
              <w:t>98</w:t>
            </w:r>
            <w:bookmarkEnd w:id="125"/>
            <w:bookmarkEnd w:id="126"/>
            <w:bookmarkEnd w:id="127"/>
          </w:p>
        </w:tc>
        <w:tc>
          <w:tcPr>
            <w:tcW w:w="1987" w:type="dxa"/>
            <w:vAlign w:val="center"/>
          </w:tcPr>
          <w:p w14:paraId="1FA9CF69" w14:textId="77777777" w:rsidR="00C412B3" w:rsidRPr="00D0136C" w:rsidRDefault="00C412B3" w:rsidP="00D0136C">
            <w:pPr>
              <w:widowControl/>
              <w:spacing w:before="0" w:beforeAutospacing="0" w:after="0" w:afterAutospacing="0" w:line="240" w:lineRule="auto"/>
              <w:rPr>
                <w:iCs/>
                <w:szCs w:val="24"/>
              </w:rPr>
            </w:pPr>
            <w:bookmarkStart w:id="128" w:name="_Toc21165"/>
            <w:bookmarkStart w:id="129" w:name="_Toc9574"/>
            <w:bookmarkStart w:id="130" w:name="_Toc11901"/>
            <w:r w:rsidRPr="00D0136C">
              <w:rPr>
                <w:iCs/>
                <w:szCs w:val="24"/>
                <w:lang w:eastAsia="zh-CN" w:bidi="ar"/>
              </w:rPr>
              <w:t>65.3</w:t>
            </w:r>
            <w:bookmarkEnd w:id="128"/>
            <w:bookmarkEnd w:id="129"/>
            <w:bookmarkEnd w:id="130"/>
          </w:p>
        </w:tc>
      </w:tr>
      <w:tr w:rsidR="00C412B3" w:rsidRPr="00D0136C" w14:paraId="6010B1AF" w14:textId="77777777" w:rsidTr="00823948">
        <w:tc>
          <w:tcPr>
            <w:tcW w:w="2021" w:type="dxa"/>
            <w:vAlign w:val="center"/>
          </w:tcPr>
          <w:p w14:paraId="58C317CD" w14:textId="77777777" w:rsidR="00C412B3" w:rsidRPr="00D0136C" w:rsidRDefault="00C412B3" w:rsidP="00D0136C">
            <w:pPr>
              <w:widowControl/>
              <w:spacing w:before="0" w:beforeAutospacing="0" w:after="0" w:afterAutospacing="0" w:line="240" w:lineRule="auto"/>
              <w:outlineLvl w:val="9"/>
              <w:rPr>
                <w:iCs/>
                <w:szCs w:val="24"/>
              </w:rPr>
            </w:pPr>
          </w:p>
        </w:tc>
        <w:tc>
          <w:tcPr>
            <w:tcW w:w="3825" w:type="dxa"/>
            <w:vAlign w:val="center"/>
          </w:tcPr>
          <w:p w14:paraId="4F750643" w14:textId="77777777" w:rsidR="00C412B3" w:rsidRPr="00D0136C" w:rsidRDefault="00C412B3" w:rsidP="00D0136C">
            <w:pPr>
              <w:widowControl/>
              <w:spacing w:before="0" w:beforeAutospacing="0" w:after="0" w:afterAutospacing="0" w:line="240" w:lineRule="auto"/>
              <w:rPr>
                <w:iCs/>
                <w:szCs w:val="24"/>
              </w:rPr>
            </w:pPr>
            <w:bookmarkStart w:id="131" w:name="_Toc22824"/>
            <w:bookmarkStart w:id="132" w:name="_Toc6442"/>
            <w:bookmarkStart w:id="133" w:name="_Toc14661"/>
            <w:r w:rsidRPr="00D0136C">
              <w:rPr>
                <w:iCs/>
                <w:szCs w:val="24"/>
                <w:lang w:eastAsia="zh-CN" w:bidi="ar"/>
              </w:rPr>
              <w:t>Off campus</w:t>
            </w:r>
            <w:bookmarkEnd w:id="131"/>
            <w:bookmarkEnd w:id="132"/>
            <w:bookmarkEnd w:id="133"/>
          </w:p>
        </w:tc>
        <w:tc>
          <w:tcPr>
            <w:tcW w:w="1857" w:type="dxa"/>
            <w:vAlign w:val="center"/>
          </w:tcPr>
          <w:p w14:paraId="577E1CAB" w14:textId="77777777" w:rsidR="00C412B3" w:rsidRPr="00D0136C" w:rsidRDefault="00C412B3" w:rsidP="00D0136C">
            <w:pPr>
              <w:widowControl/>
              <w:spacing w:before="0" w:beforeAutospacing="0" w:after="0" w:afterAutospacing="0" w:line="240" w:lineRule="auto"/>
              <w:rPr>
                <w:iCs/>
                <w:szCs w:val="24"/>
              </w:rPr>
            </w:pPr>
            <w:bookmarkStart w:id="134" w:name="_Toc21891"/>
            <w:bookmarkStart w:id="135" w:name="_Toc3989"/>
            <w:bookmarkStart w:id="136" w:name="_Toc17204"/>
            <w:r w:rsidRPr="00D0136C">
              <w:rPr>
                <w:iCs/>
                <w:szCs w:val="24"/>
                <w:lang w:eastAsia="zh-CN" w:bidi="ar"/>
              </w:rPr>
              <w:t>51</w:t>
            </w:r>
            <w:bookmarkEnd w:id="134"/>
            <w:bookmarkEnd w:id="135"/>
            <w:bookmarkEnd w:id="136"/>
          </w:p>
        </w:tc>
        <w:tc>
          <w:tcPr>
            <w:tcW w:w="1987" w:type="dxa"/>
            <w:vAlign w:val="center"/>
          </w:tcPr>
          <w:p w14:paraId="1C1EAE48" w14:textId="77777777" w:rsidR="00C412B3" w:rsidRPr="00D0136C" w:rsidRDefault="00C412B3" w:rsidP="00D0136C">
            <w:pPr>
              <w:widowControl/>
              <w:spacing w:before="0" w:beforeAutospacing="0" w:after="0" w:afterAutospacing="0" w:line="240" w:lineRule="auto"/>
              <w:rPr>
                <w:iCs/>
                <w:szCs w:val="24"/>
              </w:rPr>
            </w:pPr>
            <w:bookmarkStart w:id="137" w:name="_Toc16607"/>
            <w:bookmarkStart w:id="138" w:name="_Toc15122"/>
            <w:bookmarkStart w:id="139" w:name="_Toc25127"/>
            <w:r w:rsidRPr="00D0136C">
              <w:rPr>
                <w:iCs/>
                <w:szCs w:val="24"/>
                <w:lang w:eastAsia="zh-CN" w:bidi="ar"/>
              </w:rPr>
              <w:t>34.0</w:t>
            </w:r>
            <w:bookmarkEnd w:id="137"/>
            <w:bookmarkEnd w:id="138"/>
            <w:bookmarkEnd w:id="139"/>
          </w:p>
        </w:tc>
      </w:tr>
      <w:tr w:rsidR="00C412B3" w:rsidRPr="00D0136C" w14:paraId="5EBCD84E" w14:textId="77777777" w:rsidTr="00823948">
        <w:tc>
          <w:tcPr>
            <w:tcW w:w="2021" w:type="dxa"/>
            <w:vAlign w:val="center"/>
          </w:tcPr>
          <w:p w14:paraId="7B7D62E2" w14:textId="77777777" w:rsidR="00C412B3" w:rsidRPr="00D0136C" w:rsidRDefault="00C412B3" w:rsidP="00D0136C">
            <w:pPr>
              <w:widowControl/>
              <w:spacing w:before="0" w:beforeAutospacing="0" w:after="0" w:afterAutospacing="0" w:line="240" w:lineRule="auto"/>
              <w:outlineLvl w:val="9"/>
              <w:rPr>
                <w:iCs/>
                <w:szCs w:val="24"/>
              </w:rPr>
            </w:pPr>
          </w:p>
        </w:tc>
        <w:tc>
          <w:tcPr>
            <w:tcW w:w="3825" w:type="dxa"/>
            <w:vAlign w:val="center"/>
          </w:tcPr>
          <w:p w14:paraId="14476FEA" w14:textId="77777777" w:rsidR="00C412B3" w:rsidRPr="00D0136C" w:rsidRDefault="00C412B3" w:rsidP="00D0136C">
            <w:pPr>
              <w:widowControl/>
              <w:spacing w:before="0" w:beforeAutospacing="0" w:after="0" w:afterAutospacing="0" w:line="240" w:lineRule="auto"/>
              <w:rPr>
                <w:iCs/>
                <w:szCs w:val="24"/>
              </w:rPr>
            </w:pPr>
            <w:bookmarkStart w:id="140" w:name="_Toc25551"/>
            <w:bookmarkStart w:id="141" w:name="_Toc4685"/>
            <w:bookmarkStart w:id="142" w:name="_Toc5346"/>
            <w:r w:rsidRPr="00D0136C">
              <w:rPr>
                <w:iCs/>
                <w:szCs w:val="24"/>
                <w:lang w:eastAsia="zh-CN" w:bidi="ar"/>
              </w:rPr>
              <w:t>Family home</w:t>
            </w:r>
            <w:bookmarkEnd w:id="140"/>
            <w:bookmarkEnd w:id="141"/>
            <w:bookmarkEnd w:id="142"/>
          </w:p>
        </w:tc>
        <w:tc>
          <w:tcPr>
            <w:tcW w:w="1857" w:type="dxa"/>
            <w:vAlign w:val="center"/>
          </w:tcPr>
          <w:p w14:paraId="139D2892" w14:textId="77777777" w:rsidR="00C412B3" w:rsidRPr="00D0136C" w:rsidRDefault="00C412B3" w:rsidP="00D0136C">
            <w:pPr>
              <w:widowControl/>
              <w:spacing w:before="0" w:beforeAutospacing="0" w:after="0" w:afterAutospacing="0" w:line="240" w:lineRule="auto"/>
              <w:rPr>
                <w:iCs/>
                <w:szCs w:val="24"/>
              </w:rPr>
            </w:pPr>
            <w:bookmarkStart w:id="143" w:name="_Toc17742"/>
            <w:bookmarkStart w:id="144" w:name="_Toc22759"/>
            <w:bookmarkStart w:id="145" w:name="_Toc17679"/>
            <w:r w:rsidRPr="00D0136C">
              <w:rPr>
                <w:iCs/>
                <w:szCs w:val="24"/>
                <w:lang w:eastAsia="zh-CN" w:bidi="ar"/>
              </w:rPr>
              <w:t>1</w:t>
            </w:r>
            <w:bookmarkEnd w:id="143"/>
            <w:bookmarkEnd w:id="144"/>
            <w:bookmarkEnd w:id="145"/>
          </w:p>
        </w:tc>
        <w:tc>
          <w:tcPr>
            <w:tcW w:w="1987" w:type="dxa"/>
            <w:vAlign w:val="center"/>
          </w:tcPr>
          <w:p w14:paraId="0F2A243C" w14:textId="77777777" w:rsidR="00C412B3" w:rsidRPr="00D0136C" w:rsidRDefault="00C412B3" w:rsidP="00D0136C">
            <w:pPr>
              <w:widowControl/>
              <w:spacing w:before="0" w:beforeAutospacing="0" w:after="0" w:afterAutospacing="0" w:line="240" w:lineRule="auto"/>
              <w:rPr>
                <w:iCs/>
                <w:szCs w:val="24"/>
              </w:rPr>
            </w:pPr>
            <w:bookmarkStart w:id="146" w:name="_Toc28888"/>
            <w:bookmarkStart w:id="147" w:name="_Toc5999"/>
            <w:bookmarkStart w:id="148" w:name="_Toc6102"/>
            <w:r w:rsidRPr="00D0136C">
              <w:rPr>
                <w:iCs/>
                <w:szCs w:val="24"/>
                <w:lang w:eastAsia="zh-CN" w:bidi="ar"/>
              </w:rPr>
              <w:t>0.7</w:t>
            </w:r>
            <w:bookmarkEnd w:id="146"/>
            <w:bookmarkEnd w:id="147"/>
            <w:bookmarkEnd w:id="148"/>
          </w:p>
        </w:tc>
      </w:tr>
      <w:tr w:rsidR="00C412B3" w:rsidRPr="00D0136C" w14:paraId="6408610B" w14:textId="77777777" w:rsidTr="00823948">
        <w:tc>
          <w:tcPr>
            <w:tcW w:w="2021" w:type="dxa"/>
            <w:vAlign w:val="center"/>
          </w:tcPr>
          <w:p w14:paraId="0DC2FF42" w14:textId="77777777" w:rsidR="00C412B3" w:rsidRPr="00D0136C" w:rsidRDefault="00C412B3" w:rsidP="00D0136C">
            <w:pPr>
              <w:widowControl/>
              <w:spacing w:before="0" w:beforeAutospacing="0" w:after="0" w:afterAutospacing="0" w:line="240" w:lineRule="auto"/>
              <w:rPr>
                <w:iCs/>
                <w:szCs w:val="24"/>
              </w:rPr>
            </w:pPr>
            <w:bookmarkStart w:id="149" w:name="_Toc94"/>
            <w:bookmarkStart w:id="150" w:name="_Toc12614"/>
            <w:bookmarkStart w:id="151" w:name="_Toc32576"/>
            <w:r w:rsidRPr="00D0136C">
              <w:rPr>
                <w:rStyle w:val="Strong"/>
                <w:iCs/>
                <w:szCs w:val="24"/>
                <w:lang w:eastAsia="zh-CN" w:bidi="ar"/>
              </w:rPr>
              <w:t>Year of Study</w:t>
            </w:r>
            <w:bookmarkEnd w:id="149"/>
            <w:bookmarkEnd w:id="150"/>
            <w:bookmarkEnd w:id="151"/>
          </w:p>
        </w:tc>
        <w:tc>
          <w:tcPr>
            <w:tcW w:w="3825" w:type="dxa"/>
            <w:vAlign w:val="center"/>
          </w:tcPr>
          <w:p w14:paraId="0CC72F11" w14:textId="77777777" w:rsidR="00C412B3" w:rsidRPr="00D0136C" w:rsidRDefault="00C412B3" w:rsidP="00D0136C">
            <w:pPr>
              <w:widowControl/>
              <w:spacing w:before="0" w:beforeAutospacing="0" w:after="0" w:afterAutospacing="0" w:line="240" w:lineRule="auto"/>
              <w:rPr>
                <w:iCs/>
                <w:szCs w:val="24"/>
              </w:rPr>
            </w:pPr>
            <w:bookmarkStart w:id="152" w:name="_Toc13515"/>
            <w:bookmarkStart w:id="153" w:name="_Toc21502"/>
            <w:bookmarkStart w:id="154" w:name="_Toc5854"/>
            <w:r w:rsidRPr="00D0136C">
              <w:rPr>
                <w:iCs/>
                <w:szCs w:val="24"/>
                <w:lang w:eastAsia="zh-CN" w:bidi="ar"/>
              </w:rPr>
              <w:t>100 Level</w:t>
            </w:r>
            <w:bookmarkEnd w:id="152"/>
            <w:bookmarkEnd w:id="153"/>
            <w:bookmarkEnd w:id="154"/>
          </w:p>
        </w:tc>
        <w:tc>
          <w:tcPr>
            <w:tcW w:w="1857" w:type="dxa"/>
            <w:vAlign w:val="center"/>
          </w:tcPr>
          <w:p w14:paraId="50655978" w14:textId="77777777" w:rsidR="00C412B3" w:rsidRPr="00D0136C" w:rsidRDefault="00C412B3" w:rsidP="00D0136C">
            <w:pPr>
              <w:widowControl/>
              <w:spacing w:before="0" w:beforeAutospacing="0" w:after="0" w:afterAutospacing="0" w:line="240" w:lineRule="auto"/>
              <w:rPr>
                <w:iCs/>
                <w:szCs w:val="24"/>
              </w:rPr>
            </w:pPr>
            <w:bookmarkStart w:id="155" w:name="_Toc19202"/>
            <w:bookmarkStart w:id="156" w:name="_Toc3558"/>
            <w:bookmarkStart w:id="157" w:name="_Toc29182"/>
            <w:r w:rsidRPr="00D0136C">
              <w:rPr>
                <w:iCs/>
                <w:szCs w:val="24"/>
                <w:lang w:eastAsia="zh-CN" w:bidi="ar"/>
              </w:rPr>
              <w:t>32</w:t>
            </w:r>
            <w:bookmarkEnd w:id="155"/>
            <w:bookmarkEnd w:id="156"/>
            <w:bookmarkEnd w:id="157"/>
          </w:p>
        </w:tc>
        <w:tc>
          <w:tcPr>
            <w:tcW w:w="1987" w:type="dxa"/>
            <w:vAlign w:val="center"/>
          </w:tcPr>
          <w:p w14:paraId="5B263692" w14:textId="77777777" w:rsidR="00C412B3" w:rsidRPr="00D0136C" w:rsidRDefault="00C412B3" w:rsidP="00D0136C">
            <w:pPr>
              <w:widowControl/>
              <w:spacing w:before="0" w:beforeAutospacing="0" w:after="0" w:afterAutospacing="0" w:line="240" w:lineRule="auto"/>
              <w:rPr>
                <w:iCs/>
                <w:szCs w:val="24"/>
              </w:rPr>
            </w:pPr>
            <w:bookmarkStart w:id="158" w:name="_Toc25016"/>
            <w:bookmarkStart w:id="159" w:name="_Toc24722"/>
            <w:bookmarkStart w:id="160" w:name="_Toc20442"/>
            <w:r w:rsidRPr="00D0136C">
              <w:rPr>
                <w:iCs/>
                <w:szCs w:val="24"/>
                <w:lang w:eastAsia="zh-CN" w:bidi="ar"/>
              </w:rPr>
              <w:t>21.3</w:t>
            </w:r>
            <w:bookmarkEnd w:id="158"/>
            <w:bookmarkEnd w:id="159"/>
            <w:bookmarkEnd w:id="160"/>
          </w:p>
        </w:tc>
      </w:tr>
      <w:tr w:rsidR="00C412B3" w:rsidRPr="00D0136C" w14:paraId="77D3F61B" w14:textId="77777777" w:rsidTr="00823948">
        <w:tc>
          <w:tcPr>
            <w:tcW w:w="2021" w:type="dxa"/>
            <w:vAlign w:val="center"/>
          </w:tcPr>
          <w:p w14:paraId="307FD351" w14:textId="77777777" w:rsidR="00C412B3" w:rsidRPr="00D0136C" w:rsidRDefault="00C412B3" w:rsidP="00D0136C">
            <w:pPr>
              <w:widowControl/>
              <w:spacing w:before="0" w:beforeAutospacing="0" w:after="0" w:afterAutospacing="0" w:line="240" w:lineRule="auto"/>
              <w:outlineLvl w:val="9"/>
              <w:rPr>
                <w:iCs/>
                <w:szCs w:val="24"/>
              </w:rPr>
            </w:pPr>
          </w:p>
        </w:tc>
        <w:tc>
          <w:tcPr>
            <w:tcW w:w="3825" w:type="dxa"/>
            <w:vAlign w:val="center"/>
          </w:tcPr>
          <w:p w14:paraId="32DA889E" w14:textId="77777777" w:rsidR="00C412B3" w:rsidRPr="00D0136C" w:rsidRDefault="00C412B3" w:rsidP="00D0136C">
            <w:pPr>
              <w:widowControl/>
              <w:spacing w:before="0" w:beforeAutospacing="0" w:after="0" w:afterAutospacing="0" w:line="240" w:lineRule="auto"/>
              <w:rPr>
                <w:iCs/>
                <w:szCs w:val="24"/>
              </w:rPr>
            </w:pPr>
            <w:bookmarkStart w:id="161" w:name="_Toc9171"/>
            <w:bookmarkStart w:id="162" w:name="_Toc1274"/>
            <w:bookmarkStart w:id="163" w:name="_Toc27132"/>
            <w:r w:rsidRPr="00D0136C">
              <w:rPr>
                <w:iCs/>
                <w:szCs w:val="24"/>
                <w:lang w:eastAsia="zh-CN" w:bidi="ar"/>
              </w:rPr>
              <w:t>200 Level</w:t>
            </w:r>
            <w:bookmarkEnd w:id="161"/>
            <w:bookmarkEnd w:id="162"/>
            <w:bookmarkEnd w:id="163"/>
          </w:p>
        </w:tc>
        <w:tc>
          <w:tcPr>
            <w:tcW w:w="1857" w:type="dxa"/>
            <w:vAlign w:val="center"/>
          </w:tcPr>
          <w:p w14:paraId="04B7E61A" w14:textId="77777777" w:rsidR="00C412B3" w:rsidRPr="00D0136C" w:rsidRDefault="00C412B3" w:rsidP="00D0136C">
            <w:pPr>
              <w:widowControl/>
              <w:spacing w:before="0" w:beforeAutospacing="0" w:after="0" w:afterAutospacing="0" w:line="240" w:lineRule="auto"/>
              <w:rPr>
                <w:iCs/>
                <w:szCs w:val="24"/>
              </w:rPr>
            </w:pPr>
            <w:bookmarkStart w:id="164" w:name="_Toc25685"/>
            <w:bookmarkStart w:id="165" w:name="_Toc7747"/>
            <w:bookmarkStart w:id="166" w:name="_Toc14141"/>
            <w:r w:rsidRPr="00D0136C">
              <w:rPr>
                <w:iCs/>
                <w:szCs w:val="24"/>
                <w:lang w:eastAsia="zh-CN" w:bidi="ar"/>
              </w:rPr>
              <w:t>37</w:t>
            </w:r>
            <w:bookmarkEnd w:id="164"/>
            <w:bookmarkEnd w:id="165"/>
            <w:bookmarkEnd w:id="166"/>
          </w:p>
        </w:tc>
        <w:tc>
          <w:tcPr>
            <w:tcW w:w="1987" w:type="dxa"/>
            <w:vAlign w:val="center"/>
          </w:tcPr>
          <w:p w14:paraId="1E03189D" w14:textId="77777777" w:rsidR="00C412B3" w:rsidRPr="00D0136C" w:rsidRDefault="00C412B3" w:rsidP="00D0136C">
            <w:pPr>
              <w:widowControl/>
              <w:spacing w:before="0" w:beforeAutospacing="0" w:after="0" w:afterAutospacing="0" w:line="240" w:lineRule="auto"/>
              <w:rPr>
                <w:iCs/>
                <w:szCs w:val="24"/>
              </w:rPr>
            </w:pPr>
            <w:bookmarkStart w:id="167" w:name="_Toc6189"/>
            <w:bookmarkStart w:id="168" w:name="_Toc16479"/>
            <w:bookmarkStart w:id="169" w:name="_Toc11519"/>
            <w:r w:rsidRPr="00D0136C">
              <w:rPr>
                <w:iCs/>
                <w:szCs w:val="24"/>
                <w:lang w:eastAsia="zh-CN" w:bidi="ar"/>
              </w:rPr>
              <w:t>24.7</w:t>
            </w:r>
            <w:bookmarkEnd w:id="167"/>
            <w:bookmarkEnd w:id="168"/>
            <w:bookmarkEnd w:id="169"/>
          </w:p>
        </w:tc>
      </w:tr>
      <w:tr w:rsidR="00C412B3" w:rsidRPr="00D0136C" w14:paraId="247AD833" w14:textId="77777777" w:rsidTr="00823948">
        <w:tc>
          <w:tcPr>
            <w:tcW w:w="2021" w:type="dxa"/>
            <w:vAlign w:val="center"/>
          </w:tcPr>
          <w:p w14:paraId="1995570F" w14:textId="77777777" w:rsidR="00C412B3" w:rsidRPr="00D0136C" w:rsidRDefault="00C412B3" w:rsidP="00D0136C">
            <w:pPr>
              <w:widowControl/>
              <w:spacing w:before="0" w:beforeAutospacing="0" w:after="0" w:afterAutospacing="0" w:line="240" w:lineRule="auto"/>
              <w:outlineLvl w:val="9"/>
              <w:rPr>
                <w:iCs/>
                <w:szCs w:val="24"/>
              </w:rPr>
            </w:pPr>
          </w:p>
        </w:tc>
        <w:tc>
          <w:tcPr>
            <w:tcW w:w="3825" w:type="dxa"/>
            <w:vAlign w:val="center"/>
          </w:tcPr>
          <w:p w14:paraId="113987A2" w14:textId="77777777" w:rsidR="00C412B3" w:rsidRPr="00D0136C" w:rsidRDefault="00C412B3" w:rsidP="00D0136C">
            <w:pPr>
              <w:widowControl/>
              <w:spacing w:before="0" w:beforeAutospacing="0" w:after="0" w:afterAutospacing="0" w:line="240" w:lineRule="auto"/>
              <w:rPr>
                <w:iCs/>
                <w:szCs w:val="24"/>
              </w:rPr>
            </w:pPr>
            <w:bookmarkStart w:id="170" w:name="_Toc13822"/>
            <w:bookmarkStart w:id="171" w:name="_Toc19384"/>
            <w:bookmarkStart w:id="172" w:name="_Toc27317"/>
            <w:r w:rsidRPr="00D0136C">
              <w:rPr>
                <w:iCs/>
                <w:szCs w:val="24"/>
                <w:lang w:eastAsia="zh-CN" w:bidi="ar"/>
              </w:rPr>
              <w:t>300 Level</w:t>
            </w:r>
            <w:bookmarkEnd w:id="170"/>
            <w:bookmarkEnd w:id="171"/>
            <w:bookmarkEnd w:id="172"/>
          </w:p>
        </w:tc>
        <w:tc>
          <w:tcPr>
            <w:tcW w:w="1857" w:type="dxa"/>
            <w:vAlign w:val="center"/>
          </w:tcPr>
          <w:p w14:paraId="671519A1" w14:textId="77777777" w:rsidR="00C412B3" w:rsidRPr="00D0136C" w:rsidRDefault="00C412B3" w:rsidP="00D0136C">
            <w:pPr>
              <w:widowControl/>
              <w:spacing w:before="0" w:beforeAutospacing="0" w:after="0" w:afterAutospacing="0" w:line="240" w:lineRule="auto"/>
              <w:rPr>
                <w:iCs/>
                <w:szCs w:val="24"/>
              </w:rPr>
            </w:pPr>
            <w:bookmarkStart w:id="173" w:name="_Toc27772"/>
            <w:bookmarkStart w:id="174" w:name="_Toc23730"/>
            <w:bookmarkStart w:id="175" w:name="_Toc10979"/>
            <w:r w:rsidRPr="00D0136C">
              <w:rPr>
                <w:iCs/>
                <w:szCs w:val="24"/>
                <w:lang w:eastAsia="zh-CN" w:bidi="ar"/>
              </w:rPr>
              <w:t>25</w:t>
            </w:r>
            <w:bookmarkEnd w:id="173"/>
            <w:bookmarkEnd w:id="174"/>
            <w:bookmarkEnd w:id="175"/>
          </w:p>
        </w:tc>
        <w:tc>
          <w:tcPr>
            <w:tcW w:w="1987" w:type="dxa"/>
            <w:vAlign w:val="center"/>
          </w:tcPr>
          <w:p w14:paraId="2F853624" w14:textId="77777777" w:rsidR="00C412B3" w:rsidRPr="00D0136C" w:rsidRDefault="00C412B3" w:rsidP="00D0136C">
            <w:pPr>
              <w:widowControl/>
              <w:spacing w:before="0" w:beforeAutospacing="0" w:after="0" w:afterAutospacing="0" w:line="240" w:lineRule="auto"/>
              <w:rPr>
                <w:iCs/>
                <w:szCs w:val="24"/>
              </w:rPr>
            </w:pPr>
            <w:bookmarkStart w:id="176" w:name="_Toc9533"/>
            <w:bookmarkStart w:id="177" w:name="_Toc6455"/>
            <w:bookmarkStart w:id="178" w:name="_Toc23263"/>
            <w:r w:rsidRPr="00D0136C">
              <w:rPr>
                <w:iCs/>
                <w:szCs w:val="24"/>
                <w:lang w:eastAsia="zh-CN" w:bidi="ar"/>
              </w:rPr>
              <w:t>16.7</w:t>
            </w:r>
            <w:bookmarkEnd w:id="176"/>
            <w:bookmarkEnd w:id="177"/>
            <w:bookmarkEnd w:id="178"/>
          </w:p>
        </w:tc>
      </w:tr>
      <w:tr w:rsidR="00C412B3" w:rsidRPr="00D0136C" w14:paraId="5EE97754" w14:textId="77777777" w:rsidTr="00823948">
        <w:tc>
          <w:tcPr>
            <w:tcW w:w="2021" w:type="dxa"/>
            <w:vAlign w:val="center"/>
          </w:tcPr>
          <w:p w14:paraId="17C4DD31" w14:textId="77777777" w:rsidR="00C412B3" w:rsidRPr="00D0136C" w:rsidRDefault="00C412B3" w:rsidP="00D0136C">
            <w:pPr>
              <w:widowControl/>
              <w:spacing w:before="0" w:beforeAutospacing="0" w:after="0" w:afterAutospacing="0" w:line="240" w:lineRule="auto"/>
              <w:outlineLvl w:val="9"/>
              <w:rPr>
                <w:iCs/>
                <w:szCs w:val="24"/>
              </w:rPr>
            </w:pPr>
          </w:p>
        </w:tc>
        <w:tc>
          <w:tcPr>
            <w:tcW w:w="3825" w:type="dxa"/>
            <w:vAlign w:val="center"/>
          </w:tcPr>
          <w:p w14:paraId="76667145" w14:textId="77777777" w:rsidR="00C412B3" w:rsidRPr="00D0136C" w:rsidRDefault="00C412B3" w:rsidP="00D0136C">
            <w:pPr>
              <w:widowControl/>
              <w:spacing w:before="0" w:beforeAutospacing="0" w:after="0" w:afterAutospacing="0" w:line="240" w:lineRule="auto"/>
              <w:rPr>
                <w:iCs/>
                <w:szCs w:val="24"/>
              </w:rPr>
            </w:pPr>
            <w:bookmarkStart w:id="179" w:name="_Toc15439"/>
            <w:bookmarkStart w:id="180" w:name="_Toc28982"/>
            <w:bookmarkStart w:id="181" w:name="_Toc13370"/>
            <w:r w:rsidRPr="00D0136C">
              <w:rPr>
                <w:iCs/>
                <w:szCs w:val="24"/>
                <w:lang w:eastAsia="zh-CN" w:bidi="ar"/>
              </w:rPr>
              <w:t>400 Level</w:t>
            </w:r>
            <w:bookmarkEnd w:id="179"/>
            <w:bookmarkEnd w:id="180"/>
            <w:bookmarkEnd w:id="181"/>
          </w:p>
        </w:tc>
        <w:tc>
          <w:tcPr>
            <w:tcW w:w="1857" w:type="dxa"/>
            <w:vAlign w:val="center"/>
          </w:tcPr>
          <w:p w14:paraId="5314676A" w14:textId="77777777" w:rsidR="00C412B3" w:rsidRPr="00D0136C" w:rsidRDefault="00C412B3" w:rsidP="00D0136C">
            <w:pPr>
              <w:widowControl/>
              <w:spacing w:before="0" w:beforeAutospacing="0" w:after="0" w:afterAutospacing="0" w:line="240" w:lineRule="auto"/>
              <w:rPr>
                <w:iCs/>
                <w:szCs w:val="24"/>
              </w:rPr>
            </w:pPr>
            <w:bookmarkStart w:id="182" w:name="_Toc20231"/>
            <w:bookmarkStart w:id="183" w:name="_Toc22716"/>
            <w:bookmarkStart w:id="184" w:name="_Toc12723"/>
            <w:r w:rsidRPr="00D0136C">
              <w:rPr>
                <w:iCs/>
                <w:szCs w:val="24"/>
                <w:lang w:eastAsia="zh-CN" w:bidi="ar"/>
              </w:rPr>
              <w:t>38</w:t>
            </w:r>
            <w:bookmarkEnd w:id="182"/>
            <w:bookmarkEnd w:id="183"/>
            <w:bookmarkEnd w:id="184"/>
          </w:p>
        </w:tc>
        <w:tc>
          <w:tcPr>
            <w:tcW w:w="1987" w:type="dxa"/>
            <w:vAlign w:val="center"/>
          </w:tcPr>
          <w:p w14:paraId="50D03761" w14:textId="77777777" w:rsidR="00C412B3" w:rsidRPr="00D0136C" w:rsidRDefault="00C412B3" w:rsidP="00D0136C">
            <w:pPr>
              <w:widowControl/>
              <w:spacing w:before="0" w:beforeAutospacing="0" w:after="0" w:afterAutospacing="0" w:line="240" w:lineRule="auto"/>
              <w:rPr>
                <w:iCs/>
                <w:szCs w:val="24"/>
              </w:rPr>
            </w:pPr>
            <w:bookmarkStart w:id="185" w:name="_Toc17027"/>
            <w:bookmarkStart w:id="186" w:name="_Toc30567"/>
            <w:bookmarkStart w:id="187" w:name="_Toc6340"/>
            <w:r w:rsidRPr="00D0136C">
              <w:rPr>
                <w:iCs/>
                <w:szCs w:val="24"/>
                <w:lang w:eastAsia="zh-CN" w:bidi="ar"/>
              </w:rPr>
              <w:t>25.3</w:t>
            </w:r>
            <w:bookmarkEnd w:id="185"/>
            <w:bookmarkEnd w:id="186"/>
            <w:bookmarkEnd w:id="187"/>
          </w:p>
        </w:tc>
      </w:tr>
      <w:tr w:rsidR="00C412B3" w:rsidRPr="00D0136C" w14:paraId="70B4D0FD" w14:textId="77777777" w:rsidTr="00823948">
        <w:tc>
          <w:tcPr>
            <w:tcW w:w="2021" w:type="dxa"/>
            <w:vAlign w:val="center"/>
          </w:tcPr>
          <w:p w14:paraId="3D93AB5B" w14:textId="77777777" w:rsidR="00C412B3" w:rsidRPr="00D0136C" w:rsidRDefault="00C412B3" w:rsidP="00D0136C">
            <w:pPr>
              <w:widowControl/>
              <w:spacing w:before="0" w:beforeAutospacing="0" w:after="0" w:afterAutospacing="0" w:line="240" w:lineRule="auto"/>
              <w:outlineLvl w:val="9"/>
              <w:rPr>
                <w:iCs/>
                <w:szCs w:val="24"/>
              </w:rPr>
            </w:pPr>
          </w:p>
        </w:tc>
        <w:tc>
          <w:tcPr>
            <w:tcW w:w="3825" w:type="dxa"/>
            <w:vAlign w:val="center"/>
          </w:tcPr>
          <w:p w14:paraId="652193BA" w14:textId="77777777" w:rsidR="00C412B3" w:rsidRPr="00D0136C" w:rsidRDefault="00C412B3" w:rsidP="00D0136C">
            <w:pPr>
              <w:widowControl/>
              <w:spacing w:before="0" w:beforeAutospacing="0" w:after="0" w:afterAutospacing="0" w:line="240" w:lineRule="auto"/>
              <w:rPr>
                <w:iCs/>
                <w:szCs w:val="24"/>
              </w:rPr>
            </w:pPr>
            <w:bookmarkStart w:id="188" w:name="_Toc29601"/>
            <w:bookmarkStart w:id="189" w:name="_Toc6007"/>
            <w:bookmarkStart w:id="190" w:name="_Toc240"/>
            <w:r w:rsidRPr="00D0136C">
              <w:rPr>
                <w:iCs/>
                <w:szCs w:val="24"/>
                <w:lang w:eastAsia="zh-CN" w:bidi="ar"/>
              </w:rPr>
              <w:t>500 Level</w:t>
            </w:r>
            <w:bookmarkEnd w:id="188"/>
            <w:bookmarkEnd w:id="189"/>
            <w:bookmarkEnd w:id="190"/>
          </w:p>
        </w:tc>
        <w:tc>
          <w:tcPr>
            <w:tcW w:w="1857" w:type="dxa"/>
            <w:vAlign w:val="center"/>
          </w:tcPr>
          <w:p w14:paraId="542D4652" w14:textId="77777777" w:rsidR="00C412B3" w:rsidRPr="00D0136C" w:rsidRDefault="00C412B3" w:rsidP="00D0136C">
            <w:pPr>
              <w:widowControl/>
              <w:spacing w:before="0" w:beforeAutospacing="0" w:after="0" w:afterAutospacing="0" w:line="240" w:lineRule="auto"/>
              <w:rPr>
                <w:iCs/>
                <w:szCs w:val="24"/>
              </w:rPr>
            </w:pPr>
            <w:bookmarkStart w:id="191" w:name="_Toc13168"/>
            <w:bookmarkStart w:id="192" w:name="_Toc16356"/>
            <w:bookmarkStart w:id="193" w:name="_Toc27507"/>
            <w:r w:rsidRPr="00D0136C">
              <w:rPr>
                <w:iCs/>
                <w:szCs w:val="24"/>
                <w:lang w:eastAsia="zh-CN" w:bidi="ar"/>
              </w:rPr>
              <w:t>18</w:t>
            </w:r>
            <w:bookmarkEnd w:id="191"/>
            <w:bookmarkEnd w:id="192"/>
            <w:bookmarkEnd w:id="193"/>
          </w:p>
        </w:tc>
        <w:tc>
          <w:tcPr>
            <w:tcW w:w="1987" w:type="dxa"/>
            <w:vAlign w:val="center"/>
          </w:tcPr>
          <w:p w14:paraId="67EFAC60" w14:textId="77777777" w:rsidR="00C412B3" w:rsidRPr="00D0136C" w:rsidRDefault="00C412B3" w:rsidP="00D0136C">
            <w:pPr>
              <w:widowControl/>
              <w:spacing w:before="0" w:beforeAutospacing="0" w:after="0" w:afterAutospacing="0" w:line="240" w:lineRule="auto"/>
              <w:rPr>
                <w:iCs/>
                <w:szCs w:val="24"/>
              </w:rPr>
            </w:pPr>
            <w:bookmarkStart w:id="194" w:name="_Toc10566"/>
            <w:bookmarkStart w:id="195" w:name="_Toc23932"/>
            <w:bookmarkStart w:id="196" w:name="_Toc23028"/>
            <w:r w:rsidRPr="00D0136C">
              <w:rPr>
                <w:iCs/>
                <w:szCs w:val="24"/>
                <w:lang w:eastAsia="zh-CN" w:bidi="ar"/>
              </w:rPr>
              <w:t>12.0</w:t>
            </w:r>
            <w:bookmarkEnd w:id="194"/>
            <w:bookmarkEnd w:id="195"/>
            <w:bookmarkEnd w:id="196"/>
          </w:p>
        </w:tc>
      </w:tr>
    </w:tbl>
    <w:p w14:paraId="63C26C40" w14:textId="77777777" w:rsidR="00C412B3" w:rsidRPr="00D0136C" w:rsidRDefault="00C412B3" w:rsidP="00D0136C">
      <w:pPr>
        <w:spacing w:before="0" w:beforeAutospacing="0" w:after="0" w:afterAutospacing="0" w:line="240" w:lineRule="auto"/>
        <w:jc w:val="both"/>
        <w:outlineLvl w:val="9"/>
        <w:rPr>
          <w:iCs/>
          <w:szCs w:val="24"/>
        </w:rPr>
      </w:pPr>
    </w:p>
    <w:p w14:paraId="34BFB448"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3974109D" w14:textId="77777777" w:rsidR="00C412B3" w:rsidRPr="00D0136C" w:rsidRDefault="00C412B3" w:rsidP="00D0136C">
      <w:pPr>
        <w:pStyle w:val="NormalWeb"/>
        <w:spacing w:beforeAutospacing="0" w:afterAutospacing="0"/>
        <w:jc w:val="both"/>
        <w:rPr>
          <w:rFonts w:eastAsia="Times New Roman"/>
        </w:rPr>
      </w:pPr>
    </w:p>
    <w:p w14:paraId="34AE2470" w14:textId="77777777" w:rsidR="00C412B3" w:rsidRPr="00D0136C" w:rsidRDefault="00C412B3" w:rsidP="00D0136C">
      <w:pPr>
        <w:pStyle w:val="NormalWeb"/>
        <w:spacing w:beforeAutospacing="0" w:afterAutospacing="0"/>
        <w:jc w:val="both"/>
        <w:rPr>
          <w:rFonts w:eastAsia="Times New Roman"/>
        </w:rPr>
      </w:pPr>
    </w:p>
    <w:p w14:paraId="17B8A885" w14:textId="77777777" w:rsidR="00C412B3" w:rsidRPr="00D0136C" w:rsidRDefault="00C412B3" w:rsidP="00D0136C">
      <w:pPr>
        <w:pStyle w:val="NormalWeb"/>
        <w:spacing w:beforeAutospacing="0" w:afterAutospacing="0"/>
        <w:jc w:val="both"/>
        <w:rPr>
          <w:rFonts w:eastAsia="Times New Roman"/>
        </w:rPr>
      </w:pPr>
    </w:p>
    <w:p w14:paraId="2225A2E7" w14:textId="77777777" w:rsidR="00C412B3" w:rsidRPr="00D0136C" w:rsidRDefault="00C412B3" w:rsidP="00D0136C">
      <w:pPr>
        <w:pStyle w:val="NormalWeb"/>
        <w:spacing w:beforeAutospacing="0" w:afterAutospacing="0"/>
        <w:jc w:val="both"/>
        <w:rPr>
          <w:rFonts w:eastAsia="Times New Roman"/>
        </w:rPr>
      </w:pPr>
    </w:p>
    <w:p w14:paraId="18E72E52" w14:textId="77777777" w:rsidR="00C412B3" w:rsidRPr="00D0136C" w:rsidRDefault="00C412B3" w:rsidP="00D0136C">
      <w:pPr>
        <w:pStyle w:val="NormalWeb"/>
        <w:spacing w:beforeAutospacing="0" w:afterAutospacing="0"/>
        <w:jc w:val="both"/>
        <w:rPr>
          <w:rFonts w:eastAsia="Times New Roman"/>
        </w:rPr>
      </w:pPr>
      <w:r w:rsidRPr="00D0136C">
        <w:rPr>
          <w:noProof/>
        </w:rPr>
        <w:drawing>
          <wp:inline distT="0" distB="0" distL="114300" distR="114300" wp14:anchorId="594EDAB7" wp14:editId="41298C1A">
            <wp:extent cx="5323840" cy="4114800"/>
            <wp:effectExtent l="0" t="0" r="1016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pic:cNvPicPr>
                      <a:picLocks noChangeAspect="1"/>
                    </pic:cNvPicPr>
                  </pic:nvPicPr>
                  <pic:blipFill>
                    <a:blip r:embed="rId9"/>
                    <a:stretch>
                      <a:fillRect/>
                    </a:stretch>
                  </pic:blipFill>
                  <pic:spPr>
                    <a:xfrm>
                      <a:off x="0" y="0"/>
                      <a:ext cx="5323840" cy="4114800"/>
                    </a:xfrm>
                    <a:prstGeom prst="rect">
                      <a:avLst/>
                    </a:prstGeom>
                    <a:noFill/>
                    <a:ln>
                      <a:noFill/>
                    </a:ln>
                  </pic:spPr>
                </pic:pic>
              </a:graphicData>
            </a:graphic>
          </wp:inline>
        </w:drawing>
      </w:r>
    </w:p>
    <w:p w14:paraId="77E8AE51" w14:textId="2891D03B" w:rsidR="00C412B3" w:rsidRPr="00D0136C" w:rsidRDefault="00C412B3" w:rsidP="00D0136C">
      <w:pPr>
        <w:pStyle w:val="NormalWeb"/>
        <w:spacing w:beforeAutospacing="0" w:afterAutospacing="0"/>
        <w:jc w:val="both"/>
        <w:rPr>
          <w:rFonts w:eastAsia="Times New Roman"/>
        </w:rPr>
      </w:pPr>
      <w:r w:rsidRPr="00D0136C">
        <w:rPr>
          <w:rFonts w:eastAsia="Times New Roman"/>
          <w:b/>
          <w:bCs/>
        </w:rPr>
        <w:t xml:space="preserve">Figure 1: </w:t>
      </w:r>
      <w:r w:rsidRPr="00D0136C">
        <w:rPr>
          <w:rFonts w:eastAsia="Times New Roman"/>
        </w:rPr>
        <w:t xml:space="preserve">Pie Chart of </w:t>
      </w:r>
      <w:r w:rsidRPr="00D0136C">
        <w:rPr>
          <w:iCs/>
        </w:rPr>
        <w:t xml:space="preserve">academic </w:t>
      </w:r>
      <w:proofErr w:type="gramStart"/>
      <w:r w:rsidRPr="00D0136C">
        <w:rPr>
          <w:iCs/>
        </w:rPr>
        <w:t>year  distribution</w:t>
      </w:r>
      <w:proofErr w:type="gramEnd"/>
      <w:r w:rsidRPr="00D0136C">
        <w:rPr>
          <w:iCs/>
        </w:rPr>
        <w:t xml:space="preserve"> of study participants</w:t>
      </w:r>
    </w:p>
    <w:p w14:paraId="347451E9"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lastRenderedPageBreak/>
        <w:drawing>
          <wp:inline distT="0" distB="0" distL="114300" distR="114300" wp14:anchorId="71F09151" wp14:editId="3503C265">
            <wp:extent cx="5943600" cy="4448175"/>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pic:cNvPicPr>
                  </pic:nvPicPr>
                  <pic:blipFill>
                    <a:blip r:embed="rId10"/>
                    <a:srcRect t="6475"/>
                    <a:stretch>
                      <a:fillRect/>
                    </a:stretch>
                  </pic:blipFill>
                  <pic:spPr>
                    <a:xfrm>
                      <a:off x="0" y="0"/>
                      <a:ext cx="5943600" cy="4448175"/>
                    </a:xfrm>
                    <a:prstGeom prst="rect">
                      <a:avLst/>
                    </a:prstGeom>
                    <a:noFill/>
                    <a:ln>
                      <a:noFill/>
                    </a:ln>
                  </pic:spPr>
                </pic:pic>
              </a:graphicData>
            </a:graphic>
          </wp:inline>
        </w:drawing>
      </w:r>
    </w:p>
    <w:p w14:paraId="6D77347A" w14:textId="604F4DAE" w:rsidR="00C412B3" w:rsidRPr="00D0136C" w:rsidRDefault="00C412B3" w:rsidP="00D0136C">
      <w:pPr>
        <w:pStyle w:val="NormalWeb"/>
        <w:spacing w:beforeAutospacing="0" w:afterAutospacing="0"/>
        <w:jc w:val="both"/>
        <w:rPr>
          <w:iCs/>
        </w:rPr>
      </w:pPr>
      <w:r w:rsidRPr="00D0136C">
        <w:rPr>
          <w:rStyle w:val="Strong"/>
          <w:iCs/>
        </w:rPr>
        <w:t>Figure 2.</w:t>
      </w:r>
      <w:r w:rsidRPr="00D0136C">
        <w:rPr>
          <w:iCs/>
        </w:rPr>
        <w:t xml:space="preserve"> Age distribution of female students at Rivers State University. </w:t>
      </w:r>
      <w:r w:rsidRPr="00D0136C">
        <w:rPr>
          <w:iCs/>
          <w:color w:val="EE0000"/>
        </w:rPr>
        <w:br/>
      </w:r>
    </w:p>
    <w:p w14:paraId="11252E8D" w14:textId="77777777" w:rsidR="00C412B3" w:rsidRPr="00D0136C" w:rsidRDefault="00C412B3" w:rsidP="00D0136C">
      <w:pPr>
        <w:spacing w:after="0" w:afterAutospacing="0" w:line="240" w:lineRule="auto"/>
        <w:jc w:val="both"/>
        <w:outlineLvl w:val="9"/>
        <w:rPr>
          <w:iCs/>
          <w:szCs w:val="24"/>
        </w:rPr>
      </w:pPr>
      <w:r w:rsidRPr="00D0136C">
        <w:rPr>
          <w:iCs/>
          <w:szCs w:val="24"/>
        </w:rPr>
        <w:br w:type="page"/>
      </w:r>
    </w:p>
    <w:p w14:paraId="5A777F02" w14:textId="77777777" w:rsidR="00C412B3" w:rsidRPr="00D0136C" w:rsidRDefault="00C412B3" w:rsidP="00D0136C">
      <w:pPr>
        <w:pStyle w:val="NormalWeb"/>
        <w:spacing w:beforeAutospacing="0" w:afterAutospacing="0"/>
        <w:jc w:val="both"/>
        <w:rPr>
          <w:rStyle w:val="Strong"/>
          <w:iCs/>
        </w:rPr>
      </w:pPr>
    </w:p>
    <w:p w14:paraId="35505AE0" w14:textId="77777777" w:rsidR="00C412B3" w:rsidRPr="00D0136C" w:rsidRDefault="00C412B3" w:rsidP="00D0136C">
      <w:pPr>
        <w:pStyle w:val="NormalWeb"/>
        <w:spacing w:beforeAutospacing="0" w:afterAutospacing="0"/>
        <w:jc w:val="both"/>
        <w:rPr>
          <w:rFonts w:eastAsia="Times New Roman"/>
        </w:rPr>
      </w:pPr>
    </w:p>
    <w:p w14:paraId="66BB1379" w14:textId="77777777" w:rsidR="00C412B3" w:rsidRPr="00D0136C" w:rsidRDefault="00C412B3" w:rsidP="00D0136C">
      <w:pPr>
        <w:pStyle w:val="NormalWeb"/>
        <w:spacing w:beforeAutospacing="0" w:afterAutospacing="0"/>
        <w:jc w:val="both"/>
        <w:rPr>
          <w:rFonts w:eastAsia="Times New Roman"/>
        </w:rPr>
      </w:pPr>
    </w:p>
    <w:p w14:paraId="31E6E977" w14:textId="77777777" w:rsidR="00C412B3" w:rsidRPr="00D0136C" w:rsidRDefault="00C412B3" w:rsidP="00D0136C">
      <w:pPr>
        <w:pStyle w:val="NormalWeb"/>
        <w:spacing w:beforeAutospacing="0" w:afterAutospacing="0"/>
        <w:jc w:val="both"/>
        <w:rPr>
          <w:rFonts w:eastAsia="Times New Roman"/>
        </w:rPr>
      </w:pPr>
    </w:p>
    <w:p w14:paraId="02975246" w14:textId="77777777" w:rsidR="00C412B3" w:rsidRPr="00D0136C" w:rsidRDefault="00C412B3" w:rsidP="00D0136C">
      <w:pPr>
        <w:pStyle w:val="NormalWeb"/>
        <w:spacing w:beforeAutospacing="0" w:afterAutospacing="0"/>
        <w:jc w:val="both"/>
        <w:rPr>
          <w:rFonts w:eastAsia="Times New Roman"/>
        </w:rPr>
      </w:pPr>
    </w:p>
    <w:p w14:paraId="023C0B52" w14:textId="77777777" w:rsidR="00C412B3" w:rsidRPr="00D0136C" w:rsidRDefault="00C412B3" w:rsidP="00D0136C">
      <w:pPr>
        <w:pStyle w:val="NormalWeb"/>
        <w:spacing w:beforeAutospacing="0" w:afterAutospacing="0"/>
        <w:jc w:val="both"/>
        <w:rPr>
          <w:rFonts w:eastAsia="Times New Roman"/>
        </w:rPr>
      </w:pPr>
      <w:r w:rsidRPr="00D0136C">
        <w:rPr>
          <w:rFonts w:eastAsia="Times New Roman"/>
          <w:noProof/>
        </w:rPr>
        <w:drawing>
          <wp:inline distT="0" distB="0" distL="114300" distR="114300" wp14:anchorId="6C455ACE" wp14:editId="3BB980EE">
            <wp:extent cx="5943600" cy="445389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pic:cNvPicPr>
                  </pic:nvPicPr>
                  <pic:blipFill>
                    <a:blip r:embed="rId11"/>
                    <a:srcRect t="6355"/>
                    <a:stretch>
                      <a:fillRect/>
                    </a:stretch>
                  </pic:blipFill>
                  <pic:spPr>
                    <a:xfrm>
                      <a:off x="0" y="0"/>
                      <a:ext cx="5943600" cy="4453890"/>
                    </a:xfrm>
                    <a:prstGeom prst="rect">
                      <a:avLst/>
                    </a:prstGeom>
                    <a:noFill/>
                    <a:ln>
                      <a:noFill/>
                    </a:ln>
                  </pic:spPr>
                </pic:pic>
              </a:graphicData>
            </a:graphic>
          </wp:inline>
        </w:drawing>
      </w:r>
    </w:p>
    <w:p w14:paraId="548AEBA2" w14:textId="5CBF6F6B" w:rsidR="00C412B3" w:rsidRPr="00D0136C" w:rsidRDefault="00C412B3" w:rsidP="00D0136C">
      <w:pPr>
        <w:spacing w:after="0" w:afterAutospacing="0" w:line="240" w:lineRule="auto"/>
        <w:jc w:val="both"/>
        <w:rPr>
          <w:rStyle w:val="Strong"/>
          <w:iCs/>
          <w:color w:val="EE0000"/>
          <w:szCs w:val="24"/>
        </w:rPr>
      </w:pPr>
      <w:bookmarkStart w:id="197" w:name="_Toc1131"/>
      <w:bookmarkStart w:id="198" w:name="_Toc28159"/>
      <w:bookmarkStart w:id="199" w:name="_Toc22095"/>
      <w:r w:rsidRPr="00D0136C">
        <w:rPr>
          <w:b/>
          <w:bCs/>
          <w:szCs w:val="24"/>
        </w:rPr>
        <w:t>Figure 3.</w:t>
      </w:r>
      <w:r w:rsidRPr="00D0136C">
        <w:rPr>
          <w:szCs w:val="24"/>
        </w:rPr>
        <w:t xml:space="preserve"> Distribution of respondents by marital status.</w:t>
      </w:r>
      <w:bookmarkEnd w:id="197"/>
      <w:bookmarkEnd w:id="198"/>
      <w:bookmarkEnd w:id="199"/>
      <w:r w:rsidRPr="00D0136C">
        <w:rPr>
          <w:szCs w:val="24"/>
        </w:rPr>
        <w:t xml:space="preserve"> </w:t>
      </w:r>
    </w:p>
    <w:p w14:paraId="707E8215" w14:textId="77777777" w:rsidR="00C412B3" w:rsidRPr="00D0136C" w:rsidRDefault="00C412B3" w:rsidP="00D0136C">
      <w:pPr>
        <w:pStyle w:val="NormalWeb"/>
        <w:spacing w:beforeAutospacing="0" w:afterAutospacing="0"/>
        <w:jc w:val="both"/>
        <w:rPr>
          <w:rFonts w:eastAsia="Times New Roman"/>
        </w:rPr>
      </w:pPr>
    </w:p>
    <w:p w14:paraId="405148D4" w14:textId="77777777" w:rsidR="00C412B3" w:rsidRPr="00D0136C" w:rsidRDefault="00C412B3" w:rsidP="00D0136C">
      <w:pPr>
        <w:pStyle w:val="NormalWeb"/>
        <w:spacing w:beforeAutospacing="0" w:afterAutospacing="0"/>
        <w:jc w:val="both"/>
        <w:rPr>
          <w:rFonts w:eastAsia="Times New Roman"/>
        </w:rPr>
      </w:pPr>
    </w:p>
    <w:p w14:paraId="0963C7C2" w14:textId="77777777" w:rsidR="00C412B3" w:rsidRPr="00D0136C" w:rsidRDefault="00C412B3" w:rsidP="00D0136C">
      <w:pPr>
        <w:pStyle w:val="NormalWeb"/>
        <w:spacing w:beforeAutospacing="0" w:afterAutospacing="0"/>
        <w:jc w:val="both"/>
        <w:rPr>
          <w:rFonts w:eastAsia="Times New Roman"/>
        </w:rPr>
      </w:pPr>
    </w:p>
    <w:p w14:paraId="53F30FAD" w14:textId="77777777" w:rsidR="00C412B3" w:rsidRPr="00D0136C" w:rsidRDefault="00C412B3" w:rsidP="00D0136C">
      <w:pPr>
        <w:pStyle w:val="NormalWeb"/>
        <w:spacing w:beforeAutospacing="0" w:afterAutospacing="0"/>
        <w:jc w:val="both"/>
        <w:rPr>
          <w:rFonts w:eastAsia="Times New Roman"/>
        </w:rPr>
      </w:pPr>
    </w:p>
    <w:p w14:paraId="2EAD5483" w14:textId="77777777" w:rsidR="00C412B3" w:rsidRPr="00D0136C" w:rsidRDefault="00C412B3" w:rsidP="00D0136C">
      <w:pPr>
        <w:pStyle w:val="NormalWeb"/>
        <w:spacing w:beforeAutospacing="0" w:afterAutospacing="0"/>
        <w:jc w:val="both"/>
        <w:rPr>
          <w:rFonts w:eastAsia="Times New Roman"/>
        </w:rPr>
      </w:pPr>
    </w:p>
    <w:p w14:paraId="4A8FF84F" w14:textId="77777777" w:rsidR="00C412B3" w:rsidRPr="00D0136C" w:rsidRDefault="00C412B3" w:rsidP="00D0136C">
      <w:pPr>
        <w:pStyle w:val="NormalWeb"/>
        <w:spacing w:beforeAutospacing="0" w:afterAutospacing="0"/>
        <w:jc w:val="both"/>
        <w:rPr>
          <w:rFonts w:eastAsia="Times New Roman"/>
        </w:rPr>
      </w:pPr>
    </w:p>
    <w:p w14:paraId="1035DCEC" w14:textId="77777777" w:rsidR="00C412B3" w:rsidRPr="00D0136C" w:rsidRDefault="00C412B3" w:rsidP="00D0136C">
      <w:pPr>
        <w:pStyle w:val="NormalWeb"/>
        <w:spacing w:beforeAutospacing="0" w:afterAutospacing="0"/>
        <w:jc w:val="both"/>
        <w:rPr>
          <w:rFonts w:eastAsia="Times New Roman"/>
        </w:rPr>
      </w:pPr>
    </w:p>
    <w:p w14:paraId="7D6904A0" w14:textId="77777777" w:rsidR="00C412B3" w:rsidRPr="00D0136C" w:rsidRDefault="00C412B3" w:rsidP="00D0136C">
      <w:pPr>
        <w:pStyle w:val="NormalWeb"/>
        <w:spacing w:beforeAutospacing="0" w:afterAutospacing="0"/>
        <w:jc w:val="both"/>
        <w:rPr>
          <w:rFonts w:eastAsia="Times New Roman"/>
        </w:rPr>
      </w:pPr>
    </w:p>
    <w:p w14:paraId="40E3657C" w14:textId="77777777" w:rsidR="00C412B3" w:rsidRPr="00D0136C" w:rsidRDefault="00C412B3" w:rsidP="00D0136C">
      <w:pPr>
        <w:pStyle w:val="NormalWeb"/>
        <w:spacing w:beforeAutospacing="0" w:afterAutospacing="0"/>
        <w:jc w:val="both"/>
        <w:rPr>
          <w:rFonts w:eastAsia="Times New Roman"/>
        </w:rPr>
      </w:pPr>
    </w:p>
    <w:p w14:paraId="6EB92D85" w14:textId="77777777" w:rsidR="00C412B3" w:rsidRPr="00D0136C" w:rsidRDefault="00C412B3" w:rsidP="00D0136C">
      <w:pPr>
        <w:pStyle w:val="NormalWeb"/>
        <w:spacing w:beforeAutospacing="0" w:afterAutospacing="0"/>
        <w:jc w:val="both"/>
        <w:rPr>
          <w:rFonts w:eastAsia="Times New Roman"/>
        </w:rPr>
      </w:pPr>
    </w:p>
    <w:p w14:paraId="51144199" w14:textId="77777777" w:rsidR="00C412B3" w:rsidRPr="00D0136C" w:rsidRDefault="00C412B3" w:rsidP="00D0136C">
      <w:pPr>
        <w:pStyle w:val="NormalWeb"/>
        <w:spacing w:beforeAutospacing="0" w:afterAutospacing="0"/>
        <w:jc w:val="both"/>
        <w:rPr>
          <w:rFonts w:eastAsia="Times New Roman"/>
        </w:rPr>
      </w:pPr>
    </w:p>
    <w:p w14:paraId="11257535" w14:textId="77777777" w:rsidR="00C412B3" w:rsidRPr="00D0136C" w:rsidRDefault="00C412B3" w:rsidP="00D0136C">
      <w:pPr>
        <w:pStyle w:val="NormalWeb"/>
        <w:spacing w:beforeAutospacing="0" w:afterAutospacing="0"/>
        <w:jc w:val="both"/>
        <w:rPr>
          <w:rFonts w:eastAsia="Times New Roman"/>
        </w:rPr>
      </w:pPr>
    </w:p>
    <w:p w14:paraId="650E37EF" w14:textId="396D1685" w:rsidR="00C412B3" w:rsidRPr="00D0136C" w:rsidRDefault="00C412B3" w:rsidP="00D0136C">
      <w:pPr>
        <w:pStyle w:val="NormalWeb"/>
        <w:spacing w:beforeAutospacing="0" w:afterAutospacing="0"/>
        <w:jc w:val="both"/>
        <w:rPr>
          <w:iCs/>
          <w:color w:val="EE0000"/>
        </w:rPr>
      </w:pPr>
      <w:r w:rsidRPr="00D0136C">
        <w:rPr>
          <w:rFonts w:eastAsia="Times New Roman"/>
          <w:noProof/>
        </w:rPr>
        <w:lastRenderedPageBreak/>
        <w:drawing>
          <wp:inline distT="0" distB="0" distL="114300" distR="114300" wp14:anchorId="5693FA1C" wp14:editId="05EEE13D">
            <wp:extent cx="5943600" cy="44513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pic:cNvPicPr>
                  </pic:nvPicPr>
                  <pic:blipFill>
                    <a:blip r:embed="rId12"/>
                    <a:srcRect t="6409"/>
                    <a:stretch>
                      <a:fillRect/>
                    </a:stretch>
                  </pic:blipFill>
                  <pic:spPr>
                    <a:xfrm>
                      <a:off x="0" y="0"/>
                      <a:ext cx="5943600" cy="4451350"/>
                    </a:xfrm>
                    <a:prstGeom prst="rect">
                      <a:avLst/>
                    </a:prstGeom>
                    <a:noFill/>
                    <a:ln>
                      <a:noFill/>
                    </a:ln>
                  </pic:spPr>
                </pic:pic>
              </a:graphicData>
            </a:graphic>
          </wp:inline>
        </w:drawing>
      </w:r>
      <w:r w:rsidRPr="00D0136C">
        <w:rPr>
          <w:iCs/>
        </w:rPr>
        <w:br/>
      </w:r>
      <w:r w:rsidRPr="00D0136C">
        <w:rPr>
          <w:rStyle w:val="Strong"/>
          <w:iCs/>
        </w:rPr>
        <w:t>Figure 4.</w:t>
      </w:r>
      <w:r w:rsidRPr="00D0136C">
        <w:rPr>
          <w:iCs/>
        </w:rPr>
        <w:t xml:space="preserve"> Distribution of respondents by residence type. </w:t>
      </w:r>
      <w:r w:rsidRPr="00D0136C">
        <w:rPr>
          <w:iCs/>
          <w:color w:val="EE0000"/>
        </w:rPr>
        <w:t>R</w:t>
      </w:r>
    </w:p>
    <w:p w14:paraId="6D84C92D" w14:textId="77777777" w:rsidR="00C412B3" w:rsidRPr="00D0136C" w:rsidRDefault="00C412B3" w:rsidP="00D0136C">
      <w:pPr>
        <w:spacing w:before="0" w:beforeAutospacing="0" w:after="0" w:afterAutospacing="0" w:line="240" w:lineRule="auto"/>
        <w:jc w:val="both"/>
        <w:outlineLvl w:val="9"/>
        <w:rPr>
          <w:iCs/>
          <w:szCs w:val="24"/>
        </w:rPr>
      </w:pPr>
    </w:p>
    <w:p w14:paraId="1A26BF22"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5B7F3186" w14:textId="310898B4" w:rsidR="00C412B3" w:rsidRPr="00D0136C" w:rsidRDefault="00C412B3" w:rsidP="00D0136C">
      <w:pPr>
        <w:pStyle w:val="Heading2"/>
        <w:spacing w:line="240" w:lineRule="auto"/>
        <w:jc w:val="both"/>
        <w:rPr>
          <w:szCs w:val="24"/>
        </w:rPr>
      </w:pPr>
      <w:bookmarkStart w:id="200" w:name="_Toc20241"/>
      <w:bookmarkStart w:id="201" w:name="_Toc13308"/>
      <w:r w:rsidRPr="00D0136C">
        <w:rPr>
          <w:szCs w:val="24"/>
        </w:rPr>
        <w:lastRenderedPageBreak/>
        <w:t xml:space="preserve">Sexual </w:t>
      </w:r>
      <w:proofErr w:type="spellStart"/>
      <w:r w:rsidRPr="00D0136C">
        <w:rPr>
          <w:szCs w:val="24"/>
        </w:rPr>
        <w:t>Behaviour</w:t>
      </w:r>
      <w:proofErr w:type="spellEnd"/>
      <w:r w:rsidRPr="00D0136C">
        <w:rPr>
          <w:szCs w:val="24"/>
        </w:rPr>
        <w:t xml:space="preserve"> and Risk Factor Characteristics</w:t>
      </w:r>
      <w:bookmarkEnd w:id="200"/>
      <w:bookmarkEnd w:id="201"/>
    </w:p>
    <w:p w14:paraId="399BC808" w14:textId="64A743BA" w:rsidR="00C412B3" w:rsidRPr="00D0136C" w:rsidRDefault="00C412B3" w:rsidP="00D0136C">
      <w:pPr>
        <w:pStyle w:val="NormalWeb"/>
        <w:spacing w:beforeAutospacing="0" w:afterAutospacing="0"/>
        <w:jc w:val="both"/>
        <w:rPr>
          <w:iCs/>
        </w:rPr>
      </w:pPr>
      <w:r w:rsidRPr="00D0136C">
        <w:rPr>
          <w:iCs/>
        </w:rPr>
        <w:t xml:space="preserve">The behavioral characteristics of participants are summarized in </w:t>
      </w:r>
      <w:r w:rsidRPr="00D0136C">
        <w:rPr>
          <w:rStyle w:val="Strong"/>
          <w:b w:val="0"/>
          <w:bCs w:val="0"/>
          <w:iCs/>
        </w:rPr>
        <w:t>Table 2</w:t>
      </w:r>
      <w:r w:rsidRPr="00D0136C">
        <w:rPr>
          <w:iCs/>
        </w:rPr>
        <w:t>. A large majority (</w:t>
      </w:r>
      <w:r w:rsidRPr="00D0136C">
        <w:rPr>
          <w:rStyle w:val="Strong"/>
          <w:b w:val="0"/>
          <w:bCs w:val="0"/>
          <w:iCs/>
        </w:rPr>
        <w:t>92.7%</w:t>
      </w:r>
      <w:r w:rsidRPr="00D0136C">
        <w:rPr>
          <w:iCs/>
        </w:rPr>
        <w:t xml:space="preserve">) had received sexual education, while </w:t>
      </w:r>
      <w:r w:rsidRPr="00D0136C">
        <w:rPr>
          <w:rStyle w:val="Strong"/>
          <w:b w:val="0"/>
          <w:bCs w:val="0"/>
          <w:iCs/>
        </w:rPr>
        <w:t>5.3%</w:t>
      </w:r>
      <w:r w:rsidRPr="00D0136C">
        <w:rPr>
          <w:iCs/>
        </w:rPr>
        <w:t xml:space="preserve"> reported otherwise. In terms of sexual activity, </w:t>
      </w:r>
      <w:r w:rsidRPr="00D0136C">
        <w:rPr>
          <w:rStyle w:val="Strong"/>
          <w:b w:val="0"/>
          <w:bCs w:val="0"/>
          <w:iCs/>
        </w:rPr>
        <w:t>45.3%</w:t>
      </w:r>
      <w:r w:rsidRPr="00D0136C">
        <w:rPr>
          <w:iCs/>
        </w:rPr>
        <w:t xml:space="preserve"> of respondents were sexually active, </w:t>
      </w:r>
      <w:r w:rsidRPr="00D0136C">
        <w:rPr>
          <w:rStyle w:val="Strong"/>
          <w:b w:val="0"/>
          <w:bCs w:val="0"/>
          <w:iCs/>
        </w:rPr>
        <w:t>45.3%</w:t>
      </w:r>
      <w:r w:rsidRPr="00D0136C">
        <w:rPr>
          <w:iCs/>
        </w:rPr>
        <w:t xml:space="preserve"> were not, and </w:t>
      </w:r>
      <w:r w:rsidRPr="00D0136C">
        <w:rPr>
          <w:rStyle w:val="Strong"/>
          <w:b w:val="0"/>
          <w:bCs w:val="0"/>
          <w:iCs/>
        </w:rPr>
        <w:t>9.3%</w:t>
      </w:r>
      <w:r w:rsidRPr="00D0136C">
        <w:rPr>
          <w:iCs/>
        </w:rPr>
        <w:t xml:space="preserve"> preferred not to disclose.</w:t>
      </w:r>
    </w:p>
    <w:p w14:paraId="2855B965" w14:textId="77777777" w:rsidR="00C412B3" w:rsidRPr="00D0136C" w:rsidRDefault="00C412B3" w:rsidP="00D0136C">
      <w:pPr>
        <w:pStyle w:val="NormalWeb"/>
        <w:spacing w:beforeAutospacing="0" w:afterAutospacing="0"/>
        <w:jc w:val="both"/>
        <w:rPr>
          <w:iCs/>
        </w:rPr>
      </w:pPr>
      <w:r w:rsidRPr="00D0136C">
        <w:rPr>
          <w:iCs/>
        </w:rPr>
        <w:t xml:space="preserve">Approximately </w:t>
      </w:r>
      <w:r w:rsidRPr="00D0136C">
        <w:rPr>
          <w:rStyle w:val="Strong"/>
          <w:b w:val="0"/>
          <w:bCs w:val="0"/>
          <w:iCs/>
        </w:rPr>
        <w:t>26%</w:t>
      </w:r>
      <w:r w:rsidRPr="00D0136C">
        <w:rPr>
          <w:iCs/>
        </w:rPr>
        <w:t xml:space="preserve"> admitted to having engaged in unprotected sexual intercourse, while </w:t>
      </w:r>
      <w:r w:rsidRPr="00D0136C">
        <w:rPr>
          <w:rStyle w:val="Strong"/>
          <w:b w:val="0"/>
          <w:bCs w:val="0"/>
          <w:iCs/>
        </w:rPr>
        <w:t>10%</w:t>
      </w:r>
      <w:r w:rsidRPr="00D0136C">
        <w:rPr>
          <w:iCs/>
        </w:rPr>
        <w:t xml:space="preserve"> denied it and </w:t>
      </w:r>
      <w:r w:rsidRPr="00D0136C">
        <w:rPr>
          <w:rStyle w:val="Strong"/>
          <w:b w:val="0"/>
          <w:bCs w:val="0"/>
          <w:iCs/>
        </w:rPr>
        <w:t>52%</w:t>
      </w:r>
      <w:r w:rsidRPr="00D0136C">
        <w:rPr>
          <w:iCs/>
        </w:rPr>
        <w:t xml:space="preserve"> preferred not to respond. This reluctance suggests possible social desirability bias or discomfort in discussing sexual behavior.</w:t>
      </w:r>
    </w:p>
    <w:p w14:paraId="7BB60D09" w14:textId="77777777" w:rsidR="00C412B3" w:rsidRPr="00D0136C" w:rsidRDefault="00C412B3" w:rsidP="00D0136C">
      <w:pPr>
        <w:pStyle w:val="NormalWeb"/>
        <w:spacing w:beforeAutospacing="0" w:afterAutospacing="0"/>
        <w:jc w:val="both"/>
        <w:rPr>
          <w:iCs/>
        </w:rPr>
      </w:pPr>
      <w:r w:rsidRPr="00D0136C">
        <w:rPr>
          <w:iCs/>
        </w:rPr>
        <w:t xml:space="preserve">Regarding STI exposure, </w:t>
      </w:r>
      <w:r w:rsidRPr="00D0136C">
        <w:rPr>
          <w:rStyle w:val="Strong"/>
          <w:b w:val="0"/>
          <w:bCs w:val="0"/>
          <w:iCs/>
        </w:rPr>
        <w:t>6%</w:t>
      </w:r>
      <w:r w:rsidRPr="00D0136C">
        <w:rPr>
          <w:iCs/>
        </w:rPr>
        <w:t xml:space="preserve"> of respondents had previously been diagnosed with an STI, while </w:t>
      </w:r>
      <w:r w:rsidRPr="00D0136C">
        <w:rPr>
          <w:rStyle w:val="Strong"/>
          <w:b w:val="0"/>
          <w:bCs w:val="0"/>
          <w:iCs/>
        </w:rPr>
        <w:t>40.7%</w:t>
      </w:r>
      <w:r w:rsidRPr="00D0136C">
        <w:rPr>
          <w:iCs/>
        </w:rPr>
        <w:t xml:space="preserve"> denied any such history. Notably, </w:t>
      </w:r>
      <w:r w:rsidRPr="00D0136C">
        <w:rPr>
          <w:rStyle w:val="Strong"/>
          <w:b w:val="0"/>
          <w:bCs w:val="0"/>
          <w:iCs/>
        </w:rPr>
        <w:t>42%</w:t>
      </w:r>
      <w:r w:rsidRPr="00D0136C">
        <w:rPr>
          <w:iCs/>
        </w:rPr>
        <w:t xml:space="preserve"> preferred not to disclose, implying potential underreporting. Furthermore, </w:t>
      </w:r>
      <w:r w:rsidRPr="00D0136C">
        <w:rPr>
          <w:rStyle w:val="Strong"/>
          <w:b w:val="0"/>
          <w:bCs w:val="0"/>
          <w:iCs/>
        </w:rPr>
        <w:t>20.7%</w:t>
      </w:r>
      <w:r w:rsidRPr="00D0136C">
        <w:rPr>
          <w:iCs/>
        </w:rPr>
        <w:t xml:space="preserve"> reported experiencing STI-related symptoms, whereas </w:t>
      </w:r>
      <w:r w:rsidRPr="00D0136C">
        <w:rPr>
          <w:rStyle w:val="Strong"/>
          <w:b w:val="0"/>
          <w:bCs w:val="0"/>
          <w:iCs/>
        </w:rPr>
        <w:t>24.7%</w:t>
      </w:r>
      <w:r w:rsidRPr="00D0136C">
        <w:rPr>
          <w:iCs/>
        </w:rPr>
        <w:t xml:space="preserve"> denied symptoms, and </w:t>
      </w:r>
      <w:r w:rsidRPr="00D0136C">
        <w:rPr>
          <w:rStyle w:val="Strong"/>
          <w:b w:val="0"/>
          <w:bCs w:val="0"/>
          <w:iCs/>
        </w:rPr>
        <w:t>41.3%</w:t>
      </w:r>
      <w:r w:rsidRPr="00D0136C">
        <w:rPr>
          <w:iCs/>
        </w:rPr>
        <w:t xml:space="preserve"> preferred not to answer.</w:t>
      </w:r>
    </w:p>
    <w:p w14:paraId="121F1F10" w14:textId="77777777" w:rsidR="00C412B3" w:rsidRPr="00D0136C" w:rsidRDefault="00C412B3" w:rsidP="00D0136C">
      <w:pPr>
        <w:pStyle w:val="NormalWeb"/>
        <w:spacing w:beforeAutospacing="0" w:afterAutospacing="0"/>
        <w:jc w:val="both"/>
        <w:rPr>
          <w:iCs/>
        </w:rPr>
      </w:pPr>
      <w:r w:rsidRPr="00D0136C">
        <w:rPr>
          <w:iCs/>
        </w:rPr>
        <w:t xml:space="preserve">In relation to contraceptive use, </w:t>
      </w:r>
      <w:r w:rsidRPr="00D0136C">
        <w:rPr>
          <w:rStyle w:val="Strong"/>
          <w:b w:val="0"/>
          <w:bCs w:val="0"/>
          <w:iCs/>
        </w:rPr>
        <w:t>36%</w:t>
      </w:r>
      <w:r w:rsidRPr="00D0136C">
        <w:rPr>
          <w:iCs/>
        </w:rPr>
        <w:t xml:space="preserve"> of respondents reported using contraceptives, while </w:t>
      </w:r>
      <w:r w:rsidRPr="00D0136C">
        <w:rPr>
          <w:rStyle w:val="Strong"/>
          <w:b w:val="0"/>
          <w:bCs w:val="0"/>
          <w:iCs/>
        </w:rPr>
        <w:t>59.3%</w:t>
      </w:r>
      <w:r w:rsidRPr="00D0136C">
        <w:rPr>
          <w:iCs/>
        </w:rPr>
        <w:t xml:space="preserve"> did not use any method. Regular STI check-up attendance was reported by </w:t>
      </w:r>
      <w:r w:rsidRPr="00D0136C">
        <w:rPr>
          <w:rStyle w:val="Strong"/>
          <w:b w:val="0"/>
          <w:bCs w:val="0"/>
          <w:iCs/>
        </w:rPr>
        <w:t>41.3%</w:t>
      </w:r>
      <w:r w:rsidRPr="00D0136C">
        <w:rPr>
          <w:iCs/>
        </w:rPr>
        <w:t xml:space="preserve">, whereas </w:t>
      </w:r>
      <w:r w:rsidRPr="00D0136C">
        <w:rPr>
          <w:rStyle w:val="Strong"/>
          <w:b w:val="0"/>
          <w:bCs w:val="0"/>
          <w:iCs/>
        </w:rPr>
        <w:t>58.7%</w:t>
      </w:r>
      <w:r w:rsidRPr="00D0136C">
        <w:rPr>
          <w:iCs/>
        </w:rPr>
        <w:t xml:space="preserve"> did not undergo regular screenings. These findings suggest that although awareness of sexual health exists, preventive and diagnostic behaviors remain suboptimal.</w:t>
      </w:r>
    </w:p>
    <w:p w14:paraId="4EF767FA" w14:textId="77777777" w:rsidR="00C412B3" w:rsidRPr="00D0136C" w:rsidRDefault="00C412B3" w:rsidP="00D0136C">
      <w:pPr>
        <w:spacing w:before="0" w:beforeAutospacing="0" w:after="0" w:afterAutospacing="0" w:line="240" w:lineRule="auto"/>
        <w:jc w:val="both"/>
        <w:outlineLvl w:val="9"/>
        <w:rPr>
          <w:iCs/>
          <w:szCs w:val="24"/>
        </w:rPr>
      </w:pPr>
    </w:p>
    <w:p w14:paraId="045CC062"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754D2BEA" w14:textId="228BBFF6" w:rsidR="00C412B3" w:rsidRPr="00D0136C" w:rsidRDefault="00C412B3" w:rsidP="00D0136C">
      <w:pPr>
        <w:pStyle w:val="NormalWeb"/>
        <w:spacing w:beforeAutospacing="0" w:afterAutospacing="0"/>
        <w:jc w:val="both"/>
        <w:rPr>
          <w:iCs/>
        </w:rPr>
      </w:pPr>
      <w:r w:rsidRPr="00D0136C">
        <w:rPr>
          <w:rStyle w:val="Strong"/>
          <w:iCs/>
        </w:rPr>
        <w:lastRenderedPageBreak/>
        <w:t xml:space="preserve">Table 2: Sexual </w:t>
      </w:r>
      <w:proofErr w:type="spellStart"/>
      <w:r w:rsidRPr="00D0136C">
        <w:rPr>
          <w:b/>
          <w:bCs/>
        </w:rPr>
        <w:t>Behaviour</w:t>
      </w:r>
      <w:proofErr w:type="spellEnd"/>
      <w:r w:rsidRPr="00D0136C">
        <w:rPr>
          <w:rStyle w:val="Strong"/>
          <w:iCs/>
          <w:color w:val="EE0000"/>
        </w:rPr>
        <w:t xml:space="preserve"> </w:t>
      </w:r>
      <w:r w:rsidRPr="00D0136C">
        <w:rPr>
          <w:rStyle w:val="Strong"/>
          <w:iCs/>
        </w:rPr>
        <w:t>and Risk Factor Characteristics of Respondents (n = 150)</w:t>
      </w:r>
    </w:p>
    <w:tbl>
      <w:tblPr>
        <w:tblStyle w:val="TableGrid"/>
        <w:tblW w:w="88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1624"/>
        <w:gridCol w:w="1712"/>
        <w:gridCol w:w="1912"/>
      </w:tblGrid>
      <w:tr w:rsidR="00C412B3" w:rsidRPr="00D0136C" w14:paraId="6642F57A" w14:textId="77777777" w:rsidTr="00823948">
        <w:trPr>
          <w:trHeight w:val="314"/>
        </w:trPr>
        <w:tc>
          <w:tcPr>
            <w:tcW w:w="3617" w:type="dxa"/>
            <w:tcBorders>
              <w:bottom w:val="single" w:sz="4" w:space="0" w:color="auto"/>
            </w:tcBorders>
            <w:vAlign w:val="center"/>
          </w:tcPr>
          <w:p w14:paraId="2C9AB8AE" w14:textId="77777777" w:rsidR="00C412B3" w:rsidRPr="00D0136C" w:rsidRDefault="00C412B3" w:rsidP="00D0136C">
            <w:pPr>
              <w:widowControl/>
              <w:spacing w:before="0" w:beforeAutospacing="0" w:after="0" w:afterAutospacing="0" w:line="240" w:lineRule="auto"/>
              <w:rPr>
                <w:b/>
                <w:bCs/>
                <w:iCs/>
                <w:szCs w:val="24"/>
              </w:rPr>
            </w:pPr>
            <w:bookmarkStart w:id="202" w:name="_Toc18183"/>
            <w:bookmarkStart w:id="203" w:name="_Toc19723"/>
            <w:bookmarkStart w:id="204" w:name="_Toc31592"/>
            <w:r w:rsidRPr="00D0136C">
              <w:rPr>
                <w:b/>
                <w:bCs/>
                <w:iCs/>
                <w:szCs w:val="24"/>
                <w:lang w:eastAsia="zh-CN" w:bidi="ar"/>
              </w:rPr>
              <w:t>Variable</w:t>
            </w:r>
            <w:bookmarkEnd w:id="202"/>
            <w:bookmarkEnd w:id="203"/>
            <w:bookmarkEnd w:id="204"/>
          </w:p>
        </w:tc>
        <w:tc>
          <w:tcPr>
            <w:tcW w:w="1624" w:type="dxa"/>
            <w:tcBorders>
              <w:bottom w:val="single" w:sz="4" w:space="0" w:color="auto"/>
            </w:tcBorders>
            <w:vAlign w:val="center"/>
          </w:tcPr>
          <w:p w14:paraId="46ABAAAD" w14:textId="77777777" w:rsidR="00C412B3" w:rsidRPr="00D0136C" w:rsidRDefault="00C412B3" w:rsidP="00D0136C">
            <w:pPr>
              <w:widowControl/>
              <w:spacing w:before="0" w:beforeAutospacing="0" w:after="0" w:afterAutospacing="0" w:line="240" w:lineRule="auto"/>
              <w:rPr>
                <w:b/>
                <w:bCs/>
                <w:iCs/>
                <w:szCs w:val="24"/>
              </w:rPr>
            </w:pPr>
            <w:bookmarkStart w:id="205" w:name="_Toc14775"/>
            <w:bookmarkStart w:id="206" w:name="_Toc4420"/>
            <w:bookmarkStart w:id="207" w:name="_Toc8907"/>
            <w:r w:rsidRPr="00D0136C">
              <w:rPr>
                <w:b/>
                <w:bCs/>
                <w:iCs/>
                <w:szCs w:val="24"/>
                <w:lang w:eastAsia="zh-CN" w:bidi="ar"/>
              </w:rPr>
              <w:t>Category</w:t>
            </w:r>
            <w:bookmarkEnd w:id="205"/>
            <w:bookmarkEnd w:id="206"/>
            <w:bookmarkEnd w:id="207"/>
          </w:p>
        </w:tc>
        <w:tc>
          <w:tcPr>
            <w:tcW w:w="1712" w:type="dxa"/>
            <w:tcBorders>
              <w:bottom w:val="single" w:sz="4" w:space="0" w:color="auto"/>
            </w:tcBorders>
            <w:vAlign w:val="center"/>
          </w:tcPr>
          <w:p w14:paraId="42BF82EB" w14:textId="77777777" w:rsidR="00C412B3" w:rsidRPr="00D0136C" w:rsidRDefault="00C412B3" w:rsidP="00D0136C">
            <w:pPr>
              <w:widowControl/>
              <w:spacing w:before="0" w:beforeAutospacing="0" w:after="0" w:afterAutospacing="0" w:line="240" w:lineRule="auto"/>
              <w:rPr>
                <w:b/>
                <w:bCs/>
                <w:iCs/>
                <w:szCs w:val="24"/>
              </w:rPr>
            </w:pPr>
            <w:bookmarkStart w:id="208" w:name="_Toc20817"/>
            <w:bookmarkStart w:id="209" w:name="_Toc13876"/>
            <w:bookmarkStart w:id="210" w:name="_Toc24388"/>
            <w:r w:rsidRPr="00D0136C">
              <w:rPr>
                <w:b/>
                <w:bCs/>
                <w:iCs/>
                <w:szCs w:val="24"/>
                <w:lang w:eastAsia="zh-CN" w:bidi="ar"/>
              </w:rPr>
              <w:t>Frequency (n)</w:t>
            </w:r>
            <w:bookmarkEnd w:id="208"/>
            <w:bookmarkEnd w:id="209"/>
            <w:bookmarkEnd w:id="210"/>
          </w:p>
        </w:tc>
        <w:tc>
          <w:tcPr>
            <w:tcW w:w="1912" w:type="dxa"/>
            <w:tcBorders>
              <w:bottom w:val="single" w:sz="4" w:space="0" w:color="auto"/>
            </w:tcBorders>
            <w:vAlign w:val="center"/>
          </w:tcPr>
          <w:p w14:paraId="480E4391" w14:textId="77777777" w:rsidR="00C412B3" w:rsidRPr="00D0136C" w:rsidRDefault="00C412B3" w:rsidP="00D0136C">
            <w:pPr>
              <w:widowControl/>
              <w:spacing w:before="0" w:beforeAutospacing="0" w:after="0" w:afterAutospacing="0" w:line="240" w:lineRule="auto"/>
              <w:rPr>
                <w:b/>
                <w:bCs/>
                <w:iCs/>
                <w:szCs w:val="24"/>
              </w:rPr>
            </w:pPr>
            <w:bookmarkStart w:id="211" w:name="_Toc14986"/>
            <w:bookmarkStart w:id="212" w:name="_Toc12958"/>
            <w:bookmarkStart w:id="213" w:name="_Toc29423"/>
            <w:r w:rsidRPr="00D0136C">
              <w:rPr>
                <w:b/>
                <w:bCs/>
                <w:iCs/>
                <w:szCs w:val="24"/>
                <w:lang w:eastAsia="zh-CN" w:bidi="ar"/>
              </w:rPr>
              <w:t>Percentage (%)</w:t>
            </w:r>
            <w:bookmarkEnd w:id="211"/>
            <w:bookmarkEnd w:id="212"/>
            <w:bookmarkEnd w:id="213"/>
          </w:p>
        </w:tc>
      </w:tr>
      <w:tr w:rsidR="00C412B3" w:rsidRPr="00D0136C" w14:paraId="631DB0C3" w14:textId="77777777" w:rsidTr="00823948">
        <w:tc>
          <w:tcPr>
            <w:tcW w:w="3617" w:type="dxa"/>
            <w:tcBorders>
              <w:top w:val="single" w:sz="4" w:space="0" w:color="auto"/>
            </w:tcBorders>
            <w:vAlign w:val="center"/>
          </w:tcPr>
          <w:p w14:paraId="31D0476D" w14:textId="77777777" w:rsidR="00C412B3" w:rsidRPr="00D0136C" w:rsidRDefault="00C412B3" w:rsidP="00D0136C">
            <w:pPr>
              <w:widowControl/>
              <w:spacing w:before="0" w:beforeAutospacing="0" w:after="0" w:afterAutospacing="0" w:line="240" w:lineRule="auto"/>
              <w:rPr>
                <w:iCs/>
                <w:szCs w:val="24"/>
              </w:rPr>
            </w:pPr>
            <w:bookmarkStart w:id="214" w:name="_Toc30987"/>
            <w:bookmarkStart w:id="215" w:name="_Toc12721"/>
            <w:bookmarkStart w:id="216" w:name="_Toc31808"/>
            <w:r w:rsidRPr="00D0136C">
              <w:rPr>
                <w:rStyle w:val="Strong"/>
                <w:iCs/>
                <w:szCs w:val="24"/>
                <w:lang w:eastAsia="zh-CN" w:bidi="ar"/>
              </w:rPr>
              <w:t>Has Received Sexual Education</w:t>
            </w:r>
            <w:bookmarkEnd w:id="214"/>
            <w:bookmarkEnd w:id="215"/>
            <w:bookmarkEnd w:id="216"/>
          </w:p>
        </w:tc>
        <w:tc>
          <w:tcPr>
            <w:tcW w:w="1624" w:type="dxa"/>
            <w:tcBorders>
              <w:top w:val="single" w:sz="4" w:space="0" w:color="auto"/>
            </w:tcBorders>
            <w:vAlign w:val="center"/>
          </w:tcPr>
          <w:p w14:paraId="1E50EEFA" w14:textId="77777777" w:rsidR="00C412B3" w:rsidRPr="00D0136C" w:rsidRDefault="00C412B3" w:rsidP="00D0136C">
            <w:pPr>
              <w:widowControl/>
              <w:spacing w:before="0" w:beforeAutospacing="0" w:after="0" w:afterAutospacing="0" w:line="240" w:lineRule="auto"/>
              <w:rPr>
                <w:iCs/>
                <w:szCs w:val="24"/>
              </w:rPr>
            </w:pPr>
            <w:bookmarkStart w:id="217" w:name="_Toc3648"/>
            <w:bookmarkStart w:id="218" w:name="_Toc26357"/>
            <w:bookmarkStart w:id="219" w:name="_Toc25915"/>
            <w:r w:rsidRPr="00D0136C">
              <w:rPr>
                <w:iCs/>
                <w:szCs w:val="24"/>
                <w:lang w:eastAsia="zh-CN" w:bidi="ar"/>
              </w:rPr>
              <w:t>Yes</w:t>
            </w:r>
            <w:bookmarkEnd w:id="217"/>
            <w:bookmarkEnd w:id="218"/>
            <w:bookmarkEnd w:id="219"/>
          </w:p>
        </w:tc>
        <w:tc>
          <w:tcPr>
            <w:tcW w:w="1712" w:type="dxa"/>
            <w:tcBorders>
              <w:top w:val="single" w:sz="4" w:space="0" w:color="auto"/>
            </w:tcBorders>
            <w:vAlign w:val="center"/>
          </w:tcPr>
          <w:p w14:paraId="21ECA026" w14:textId="77777777" w:rsidR="00C412B3" w:rsidRPr="00D0136C" w:rsidRDefault="00C412B3" w:rsidP="00D0136C">
            <w:pPr>
              <w:widowControl/>
              <w:spacing w:before="0" w:beforeAutospacing="0" w:after="0" w:afterAutospacing="0" w:line="240" w:lineRule="auto"/>
              <w:rPr>
                <w:iCs/>
                <w:szCs w:val="24"/>
              </w:rPr>
            </w:pPr>
            <w:bookmarkStart w:id="220" w:name="_Toc17350"/>
            <w:bookmarkStart w:id="221" w:name="_Toc689"/>
            <w:bookmarkStart w:id="222" w:name="_Toc26069"/>
            <w:r w:rsidRPr="00D0136C">
              <w:rPr>
                <w:iCs/>
                <w:szCs w:val="24"/>
                <w:lang w:eastAsia="zh-CN" w:bidi="ar"/>
              </w:rPr>
              <w:t>139</w:t>
            </w:r>
            <w:bookmarkEnd w:id="220"/>
            <w:bookmarkEnd w:id="221"/>
            <w:bookmarkEnd w:id="222"/>
          </w:p>
        </w:tc>
        <w:tc>
          <w:tcPr>
            <w:tcW w:w="1912" w:type="dxa"/>
            <w:tcBorders>
              <w:top w:val="single" w:sz="4" w:space="0" w:color="auto"/>
            </w:tcBorders>
            <w:vAlign w:val="center"/>
          </w:tcPr>
          <w:p w14:paraId="0DC8958B" w14:textId="77777777" w:rsidR="00C412B3" w:rsidRPr="00D0136C" w:rsidRDefault="00C412B3" w:rsidP="00D0136C">
            <w:pPr>
              <w:widowControl/>
              <w:spacing w:before="0" w:beforeAutospacing="0" w:after="0" w:afterAutospacing="0" w:line="240" w:lineRule="auto"/>
              <w:rPr>
                <w:iCs/>
                <w:szCs w:val="24"/>
              </w:rPr>
            </w:pPr>
            <w:bookmarkStart w:id="223" w:name="_Toc18721"/>
            <w:bookmarkStart w:id="224" w:name="_Toc19796"/>
            <w:bookmarkStart w:id="225" w:name="_Toc18902"/>
            <w:r w:rsidRPr="00D0136C">
              <w:rPr>
                <w:iCs/>
                <w:szCs w:val="24"/>
                <w:lang w:eastAsia="zh-CN" w:bidi="ar"/>
              </w:rPr>
              <w:t>92.7</w:t>
            </w:r>
            <w:bookmarkEnd w:id="223"/>
            <w:bookmarkEnd w:id="224"/>
            <w:bookmarkEnd w:id="225"/>
          </w:p>
        </w:tc>
      </w:tr>
      <w:tr w:rsidR="00C412B3" w:rsidRPr="00D0136C" w14:paraId="63B16DCB" w14:textId="77777777" w:rsidTr="00823948">
        <w:tc>
          <w:tcPr>
            <w:tcW w:w="3617" w:type="dxa"/>
            <w:vAlign w:val="center"/>
          </w:tcPr>
          <w:p w14:paraId="05131CAF"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49401202" w14:textId="77777777" w:rsidR="00C412B3" w:rsidRPr="00D0136C" w:rsidRDefault="00C412B3" w:rsidP="00D0136C">
            <w:pPr>
              <w:widowControl/>
              <w:spacing w:before="0" w:beforeAutospacing="0" w:after="0" w:afterAutospacing="0" w:line="240" w:lineRule="auto"/>
              <w:rPr>
                <w:iCs/>
                <w:szCs w:val="24"/>
              </w:rPr>
            </w:pPr>
            <w:bookmarkStart w:id="226" w:name="_Toc27974"/>
            <w:bookmarkStart w:id="227" w:name="_Toc25367"/>
            <w:bookmarkStart w:id="228" w:name="_Toc2745"/>
            <w:r w:rsidRPr="00D0136C">
              <w:rPr>
                <w:iCs/>
                <w:szCs w:val="24"/>
                <w:lang w:eastAsia="zh-CN" w:bidi="ar"/>
              </w:rPr>
              <w:t>No</w:t>
            </w:r>
            <w:bookmarkEnd w:id="226"/>
            <w:bookmarkEnd w:id="227"/>
            <w:bookmarkEnd w:id="228"/>
          </w:p>
        </w:tc>
        <w:tc>
          <w:tcPr>
            <w:tcW w:w="1712" w:type="dxa"/>
            <w:vAlign w:val="center"/>
          </w:tcPr>
          <w:p w14:paraId="39FFA58D" w14:textId="77777777" w:rsidR="00C412B3" w:rsidRPr="00D0136C" w:rsidRDefault="00C412B3" w:rsidP="00D0136C">
            <w:pPr>
              <w:widowControl/>
              <w:spacing w:before="0" w:beforeAutospacing="0" w:after="0" w:afterAutospacing="0" w:line="240" w:lineRule="auto"/>
              <w:rPr>
                <w:iCs/>
                <w:szCs w:val="24"/>
              </w:rPr>
            </w:pPr>
            <w:bookmarkStart w:id="229" w:name="_Toc9074"/>
            <w:bookmarkStart w:id="230" w:name="_Toc269"/>
            <w:bookmarkStart w:id="231" w:name="_Toc18087"/>
            <w:r w:rsidRPr="00D0136C">
              <w:rPr>
                <w:iCs/>
                <w:szCs w:val="24"/>
                <w:lang w:eastAsia="zh-CN" w:bidi="ar"/>
              </w:rPr>
              <w:t>8</w:t>
            </w:r>
            <w:bookmarkEnd w:id="229"/>
            <w:bookmarkEnd w:id="230"/>
            <w:bookmarkEnd w:id="231"/>
          </w:p>
        </w:tc>
        <w:tc>
          <w:tcPr>
            <w:tcW w:w="1912" w:type="dxa"/>
            <w:vAlign w:val="center"/>
          </w:tcPr>
          <w:p w14:paraId="1F7EEF5C" w14:textId="77777777" w:rsidR="00C412B3" w:rsidRPr="00D0136C" w:rsidRDefault="00C412B3" w:rsidP="00D0136C">
            <w:pPr>
              <w:widowControl/>
              <w:spacing w:before="0" w:beforeAutospacing="0" w:after="0" w:afterAutospacing="0" w:line="240" w:lineRule="auto"/>
              <w:rPr>
                <w:iCs/>
                <w:szCs w:val="24"/>
              </w:rPr>
            </w:pPr>
            <w:bookmarkStart w:id="232" w:name="_Toc27194"/>
            <w:bookmarkStart w:id="233" w:name="_Toc11921"/>
            <w:bookmarkStart w:id="234" w:name="_Toc4718"/>
            <w:r w:rsidRPr="00D0136C">
              <w:rPr>
                <w:iCs/>
                <w:szCs w:val="24"/>
                <w:lang w:eastAsia="zh-CN" w:bidi="ar"/>
              </w:rPr>
              <w:t>5.3</w:t>
            </w:r>
            <w:bookmarkEnd w:id="232"/>
            <w:bookmarkEnd w:id="233"/>
            <w:bookmarkEnd w:id="234"/>
          </w:p>
        </w:tc>
      </w:tr>
      <w:tr w:rsidR="00C412B3" w:rsidRPr="00D0136C" w14:paraId="6AE8FC79" w14:textId="77777777" w:rsidTr="00823948">
        <w:tc>
          <w:tcPr>
            <w:tcW w:w="3617" w:type="dxa"/>
            <w:vAlign w:val="center"/>
          </w:tcPr>
          <w:p w14:paraId="28CDE8A1"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7E6220D5" w14:textId="77777777" w:rsidR="00C412B3" w:rsidRPr="00D0136C" w:rsidRDefault="00C412B3" w:rsidP="00D0136C">
            <w:pPr>
              <w:widowControl/>
              <w:spacing w:before="0" w:beforeAutospacing="0" w:after="0" w:afterAutospacing="0" w:line="240" w:lineRule="auto"/>
              <w:rPr>
                <w:iCs/>
                <w:szCs w:val="24"/>
              </w:rPr>
            </w:pPr>
            <w:bookmarkStart w:id="235" w:name="_Toc24685"/>
            <w:bookmarkStart w:id="236" w:name="_Toc27476"/>
            <w:bookmarkStart w:id="237" w:name="_Toc14792"/>
            <w:r w:rsidRPr="00D0136C">
              <w:rPr>
                <w:iCs/>
                <w:szCs w:val="24"/>
                <w:lang w:eastAsia="zh-CN" w:bidi="ar"/>
              </w:rPr>
              <w:t>Missing</w:t>
            </w:r>
            <w:bookmarkEnd w:id="235"/>
            <w:bookmarkEnd w:id="236"/>
            <w:bookmarkEnd w:id="237"/>
          </w:p>
        </w:tc>
        <w:tc>
          <w:tcPr>
            <w:tcW w:w="1712" w:type="dxa"/>
            <w:vAlign w:val="center"/>
          </w:tcPr>
          <w:p w14:paraId="15927C00" w14:textId="77777777" w:rsidR="00C412B3" w:rsidRPr="00D0136C" w:rsidRDefault="00C412B3" w:rsidP="00D0136C">
            <w:pPr>
              <w:widowControl/>
              <w:spacing w:before="0" w:beforeAutospacing="0" w:after="0" w:afterAutospacing="0" w:line="240" w:lineRule="auto"/>
              <w:rPr>
                <w:iCs/>
                <w:szCs w:val="24"/>
              </w:rPr>
            </w:pPr>
            <w:bookmarkStart w:id="238" w:name="_Toc15141"/>
            <w:bookmarkStart w:id="239" w:name="_Toc31957"/>
            <w:bookmarkStart w:id="240" w:name="_Toc27928"/>
            <w:r w:rsidRPr="00D0136C">
              <w:rPr>
                <w:iCs/>
                <w:szCs w:val="24"/>
                <w:lang w:eastAsia="zh-CN" w:bidi="ar"/>
              </w:rPr>
              <w:t>3</w:t>
            </w:r>
            <w:bookmarkEnd w:id="238"/>
            <w:bookmarkEnd w:id="239"/>
            <w:bookmarkEnd w:id="240"/>
          </w:p>
        </w:tc>
        <w:tc>
          <w:tcPr>
            <w:tcW w:w="1912" w:type="dxa"/>
            <w:vAlign w:val="center"/>
          </w:tcPr>
          <w:p w14:paraId="2FABBFC7" w14:textId="77777777" w:rsidR="00C412B3" w:rsidRPr="00D0136C" w:rsidRDefault="00C412B3" w:rsidP="00D0136C">
            <w:pPr>
              <w:widowControl/>
              <w:spacing w:before="0" w:beforeAutospacing="0" w:after="0" w:afterAutospacing="0" w:line="240" w:lineRule="auto"/>
              <w:rPr>
                <w:iCs/>
                <w:szCs w:val="24"/>
              </w:rPr>
            </w:pPr>
            <w:bookmarkStart w:id="241" w:name="_Toc20124"/>
            <w:bookmarkStart w:id="242" w:name="_Toc1070"/>
            <w:bookmarkStart w:id="243" w:name="_Toc11800"/>
            <w:r w:rsidRPr="00D0136C">
              <w:rPr>
                <w:iCs/>
                <w:szCs w:val="24"/>
                <w:lang w:eastAsia="zh-CN" w:bidi="ar"/>
              </w:rPr>
              <w:t>2.0</w:t>
            </w:r>
            <w:bookmarkEnd w:id="241"/>
            <w:bookmarkEnd w:id="242"/>
            <w:bookmarkEnd w:id="243"/>
          </w:p>
        </w:tc>
      </w:tr>
      <w:tr w:rsidR="00C412B3" w:rsidRPr="00D0136C" w14:paraId="012D2BFC" w14:textId="77777777" w:rsidTr="00823948">
        <w:tc>
          <w:tcPr>
            <w:tcW w:w="3617" w:type="dxa"/>
            <w:vAlign w:val="center"/>
          </w:tcPr>
          <w:p w14:paraId="072A9D3B" w14:textId="77777777" w:rsidR="00C412B3" w:rsidRPr="00D0136C" w:rsidRDefault="00C412B3" w:rsidP="00D0136C">
            <w:pPr>
              <w:widowControl/>
              <w:spacing w:before="0" w:beforeAutospacing="0" w:after="0" w:afterAutospacing="0" w:line="240" w:lineRule="auto"/>
              <w:rPr>
                <w:iCs/>
                <w:szCs w:val="24"/>
              </w:rPr>
            </w:pPr>
            <w:bookmarkStart w:id="244" w:name="_Toc9996"/>
            <w:bookmarkStart w:id="245" w:name="_Toc5158"/>
            <w:bookmarkStart w:id="246" w:name="_Toc29068"/>
            <w:r w:rsidRPr="00D0136C">
              <w:rPr>
                <w:rStyle w:val="Strong"/>
                <w:iCs/>
                <w:szCs w:val="24"/>
                <w:lang w:eastAsia="zh-CN" w:bidi="ar"/>
              </w:rPr>
              <w:t>Currently Sexually Active</w:t>
            </w:r>
            <w:bookmarkEnd w:id="244"/>
            <w:bookmarkEnd w:id="245"/>
            <w:bookmarkEnd w:id="246"/>
          </w:p>
        </w:tc>
        <w:tc>
          <w:tcPr>
            <w:tcW w:w="1624" w:type="dxa"/>
            <w:vAlign w:val="center"/>
          </w:tcPr>
          <w:p w14:paraId="08DE89DF" w14:textId="77777777" w:rsidR="00C412B3" w:rsidRPr="00D0136C" w:rsidRDefault="00C412B3" w:rsidP="00D0136C">
            <w:pPr>
              <w:widowControl/>
              <w:spacing w:before="0" w:beforeAutospacing="0" w:after="0" w:afterAutospacing="0" w:line="240" w:lineRule="auto"/>
              <w:rPr>
                <w:iCs/>
                <w:szCs w:val="24"/>
              </w:rPr>
            </w:pPr>
            <w:bookmarkStart w:id="247" w:name="_Toc8548"/>
            <w:bookmarkStart w:id="248" w:name="_Toc27045"/>
            <w:bookmarkStart w:id="249" w:name="_Toc21633"/>
            <w:r w:rsidRPr="00D0136C">
              <w:rPr>
                <w:iCs/>
                <w:szCs w:val="24"/>
                <w:lang w:eastAsia="zh-CN" w:bidi="ar"/>
              </w:rPr>
              <w:t>Yes</w:t>
            </w:r>
            <w:bookmarkEnd w:id="247"/>
            <w:bookmarkEnd w:id="248"/>
            <w:bookmarkEnd w:id="249"/>
          </w:p>
        </w:tc>
        <w:tc>
          <w:tcPr>
            <w:tcW w:w="1712" w:type="dxa"/>
            <w:vAlign w:val="center"/>
          </w:tcPr>
          <w:p w14:paraId="5C5BF4A5" w14:textId="77777777" w:rsidR="00C412B3" w:rsidRPr="00D0136C" w:rsidRDefault="00C412B3" w:rsidP="00D0136C">
            <w:pPr>
              <w:widowControl/>
              <w:spacing w:before="0" w:beforeAutospacing="0" w:after="0" w:afterAutospacing="0" w:line="240" w:lineRule="auto"/>
              <w:rPr>
                <w:iCs/>
                <w:szCs w:val="24"/>
              </w:rPr>
            </w:pPr>
            <w:bookmarkStart w:id="250" w:name="_Toc24233"/>
            <w:bookmarkStart w:id="251" w:name="_Toc25461"/>
            <w:bookmarkStart w:id="252" w:name="_Toc17664"/>
            <w:r w:rsidRPr="00D0136C">
              <w:rPr>
                <w:iCs/>
                <w:szCs w:val="24"/>
                <w:lang w:eastAsia="zh-CN" w:bidi="ar"/>
              </w:rPr>
              <w:t>68</w:t>
            </w:r>
            <w:bookmarkEnd w:id="250"/>
            <w:bookmarkEnd w:id="251"/>
            <w:bookmarkEnd w:id="252"/>
          </w:p>
        </w:tc>
        <w:tc>
          <w:tcPr>
            <w:tcW w:w="1912" w:type="dxa"/>
            <w:vAlign w:val="center"/>
          </w:tcPr>
          <w:p w14:paraId="4EC54677" w14:textId="77777777" w:rsidR="00C412B3" w:rsidRPr="00D0136C" w:rsidRDefault="00C412B3" w:rsidP="00D0136C">
            <w:pPr>
              <w:widowControl/>
              <w:spacing w:before="0" w:beforeAutospacing="0" w:after="0" w:afterAutospacing="0" w:line="240" w:lineRule="auto"/>
              <w:rPr>
                <w:iCs/>
                <w:szCs w:val="24"/>
              </w:rPr>
            </w:pPr>
            <w:bookmarkStart w:id="253" w:name="_Toc29914"/>
            <w:bookmarkStart w:id="254" w:name="_Toc19081"/>
            <w:bookmarkStart w:id="255" w:name="_Toc10214"/>
            <w:r w:rsidRPr="00D0136C">
              <w:rPr>
                <w:iCs/>
                <w:szCs w:val="24"/>
                <w:lang w:eastAsia="zh-CN" w:bidi="ar"/>
              </w:rPr>
              <w:t>45.3</w:t>
            </w:r>
            <w:bookmarkEnd w:id="253"/>
            <w:bookmarkEnd w:id="254"/>
            <w:bookmarkEnd w:id="255"/>
          </w:p>
        </w:tc>
      </w:tr>
      <w:tr w:rsidR="00C412B3" w:rsidRPr="00D0136C" w14:paraId="19486266" w14:textId="77777777" w:rsidTr="00823948">
        <w:tc>
          <w:tcPr>
            <w:tcW w:w="3617" w:type="dxa"/>
            <w:vAlign w:val="center"/>
          </w:tcPr>
          <w:p w14:paraId="3CFD137A"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53E0FA40" w14:textId="77777777" w:rsidR="00C412B3" w:rsidRPr="00D0136C" w:rsidRDefault="00C412B3" w:rsidP="00D0136C">
            <w:pPr>
              <w:widowControl/>
              <w:spacing w:before="0" w:beforeAutospacing="0" w:after="0" w:afterAutospacing="0" w:line="240" w:lineRule="auto"/>
              <w:rPr>
                <w:iCs/>
                <w:szCs w:val="24"/>
              </w:rPr>
            </w:pPr>
            <w:bookmarkStart w:id="256" w:name="_Toc25103"/>
            <w:bookmarkStart w:id="257" w:name="_Toc31829"/>
            <w:bookmarkStart w:id="258" w:name="_Toc24375"/>
            <w:r w:rsidRPr="00D0136C">
              <w:rPr>
                <w:iCs/>
                <w:szCs w:val="24"/>
                <w:lang w:eastAsia="zh-CN" w:bidi="ar"/>
              </w:rPr>
              <w:t>No</w:t>
            </w:r>
            <w:bookmarkEnd w:id="256"/>
            <w:bookmarkEnd w:id="257"/>
            <w:bookmarkEnd w:id="258"/>
          </w:p>
        </w:tc>
        <w:tc>
          <w:tcPr>
            <w:tcW w:w="1712" w:type="dxa"/>
            <w:vAlign w:val="center"/>
          </w:tcPr>
          <w:p w14:paraId="78ED40C3" w14:textId="77777777" w:rsidR="00C412B3" w:rsidRPr="00D0136C" w:rsidRDefault="00C412B3" w:rsidP="00D0136C">
            <w:pPr>
              <w:widowControl/>
              <w:spacing w:before="0" w:beforeAutospacing="0" w:after="0" w:afterAutospacing="0" w:line="240" w:lineRule="auto"/>
              <w:rPr>
                <w:iCs/>
                <w:szCs w:val="24"/>
              </w:rPr>
            </w:pPr>
            <w:bookmarkStart w:id="259" w:name="_Toc5299"/>
            <w:bookmarkStart w:id="260" w:name="_Toc13134"/>
            <w:bookmarkStart w:id="261" w:name="_Toc23421"/>
            <w:r w:rsidRPr="00D0136C">
              <w:rPr>
                <w:iCs/>
                <w:szCs w:val="24"/>
                <w:lang w:eastAsia="zh-CN" w:bidi="ar"/>
              </w:rPr>
              <w:t>68</w:t>
            </w:r>
            <w:bookmarkEnd w:id="259"/>
            <w:bookmarkEnd w:id="260"/>
            <w:bookmarkEnd w:id="261"/>
          </w:p>
        </w:tc>
        <w:tc>
          <w:tcPr>
            <w:tcW w:w="1912" w:type="dxa"/>
            <w:vAlign w:val="center"/>
          </w:tcPr>
          <w:p w14:paraId="40DA7F09" w14:textId="77777777" w:rsidR="00C412B3" w:rsidRPr="00D0136C" w:rsidRDefault="00C412B3" w:rsidP="00D0136C">
            <w:pPr>
              <w:widowControl/>
              <w:spacing w:before="0" w:beforeAutospacing="0" w:after="0" w:afterAutospacing="0" w:line="240" w:lineRule="auto"/>
              <w:rPr>
                <w:iCs/>
                <w:szCs w:val="24"/>
              </w:rPr>
            </w:pPr>
            <w:bookmarkStart w:id="262" w:name="_Toc8705"/>
            <w:bookmarkStart w:id="263" w:name="_Toc31461"/>
            <w:bookmarkStart w:id="264" w:name="_Toc22985"/>
            <w:r w:rsidRPr="00D0136C">
              <w:rPr>
                <w:iCs/>
                <w:szCs w:val="24"/>
                <w:lang w:eastAsia="zh-CN" w:bidi="ar"/>
              </w:rPr>
              <w:t>45.3</w:t>
            </w:r>
            <w:bookmarkEnd w:id="262"/>
            <w:bookmarkEnd w:id="263"/>
            <w:bookmarkEnd w:id="264"/>
          </w:p>
        </w:tc>
      </w:tr>
      <w:tr w:rsidR="00C412B3" w:rsidRPr="00D0136C" w14:paraId="691B1995" w14:textId="77777777" w:rsidTr="00823948">
        <w:tc>
          <w:tcPr>
            <w:tcW w:w="3617" w:type="dxa"/>
            <w:vAlign w:val="center"/>
          </w:tcPr>
          <w:p w14:paraId="08F3ACA3"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0732AAEE" w14:textId="77777777" w:rsidR="00C412B3" w:rsidRPr="00D0136C" w:rsidRDefault="00C412B3" w:rsidP="00D0136C">
            <w:pPr>
              <w:widowControl/>
              <w:spacing w:before="0" w:beforeAutospacing="0" w:after="0" w:afterAutospacing="0" w:line="240" w:lineRule="auto"/>
              <w:rPr>
                <w:iCs/>
                <w:szCs w:val="24"/>
              </w:rPr>
            </w:pPr>
            <w:bookmarkStart w:id="265" w:name="_Toc22148"/>
            <w:bookmarkStart w:id="266" w:name="_Toc6740"/>
            <w:bookmarkStart w:id="267" w:name="_Toc12899"/>
            <w:r w:rsidRPr="00D0136C">
              <w:rPr>
                <w:iCs/>
                <w:szCs w:val="24"/>
                <w:lang w:eastAsia="zh-CN" w:bidi="ar"/>
              </w:rPr>
              <w:t>Missing</w:t>
            </w:r>
            <w:bookmarkEnd w:id="265"/>
            <w:bookmarkEnd w:id="266"/>
            <w:bookmarkEnd w:id="267"/>
          </w:p>
        </w:tc>
        <w:tc>
          <w:tcPr>
            <w:tcW w:w="1712" w:type="dxa"/>
            <w:vAlign w:val="center"/>
          </w:tcPr>
          <w:p w14:paraId="3DD42B67" w14:textId="77777777" w:rsidR="00C412B3" w:rsidRPr="00D0136C" w:rsidRDefault="00C412B3" w:rsidP="00D0136C">
            <w:pPr>
              <w:widowControl/>
              <w:spacing w:before="0" w:beforeAutospacing="0" w:after="0" w:afterAutospacing="0" w:line="240" w:lineRule="auto"/>
              <w:rPr>
                <w:iCs/>
                <w:szCs w:val="24"/>
              </w:rPr>
            </w:pPr>
            <w:bookmarkStart w:id="268" w:name="_Toc29317"/>
            <w:bookmarkStart w:id="269" w:name="_Toc16207"/>
            <w:bookmarkStart w:id="270" w:name="_Toc31158"/>
            <w:r w:rsidRPr="00D0136C">
              <w:rPr>
                <w:iCs/>
                <w:szCs w:val="24"/>
                <w:lang w:eastAsia="zh-CN" w:bidi="ar"/>
              </w:rPr>
              <w:t>14</w:t>
            </w:r>
            <w:bookmarkEnd w:id="268"/>
            <w:bookmarkEnd w:id="269"/>
            <w:bookmarkEnd w:id="270"/>
          </w:p>
        </w:tc>
        <w:tc>
          <w:tcPr>
            <w:tcW w:w="1912" w:type="dxa"/>
            <w:vAlign w:val="center"/>
          </w:tcPr>
          <w:p w14:paraId="0F91D813" w14:textId="77777777" w:rsidR="00C412B3" w:rsidRPr="00D0136C" w:rsidRDefault="00C412B3" w:rsidP="00D0136C">
            <w:pPr>
              <w:widowControl/>
              <w:spacing w:before="0" w:beforeAutospacing="0" w:after="0" w:afterAutospacing="0" w:line="240" w:lineRule="auto"/>
              <w:rPr>
                <w:iCs/>
                <w:szCs w:val="24"/>
              </w:rPr>
            </w:pPr>
            <w:bookmarkStart w:id="271" w:name="_Toc22124"/>
            <w:bookmarkStart w:id="272" w:name="_Toc678"/>
            <w:bookmarkStart w:id="273" w:name="_Toc5707"/>
            <w:r w:rsidRPr="00D0136C">
              <w:rPr>
                <w:iCs/>
                <w:szCs w:val="24"/>
                <w:lang w:eastAsia="zh-CN" w:bidi="ar"/>
              </w:rPr>
              <w:t>9.3</w:t>
            </w:r>
            <w:bookmarkEnd w:id="271"/>
            <w:bookmarkEnd w:id="272"/>
            <w:bookmarkEnd w:id="273"/>
          </w:p>
        </w:tc>
      </w:tr>
      <w:tr w:rsidR="00C412B3" w:rsidRPr="00D0136C" w14:paraId="26903554" w14:textId="77777777" w:rsidTr="00823948">
        <w:tc>
          <w:tcPr>
            <w:tcW w:w="3617" w:type="dxa"/>
            <w:vAlign w:val="center"/>
          </w:tcPr>
          <w:p w14:paraId="4FB14A4F" w14:textId="77777777" w:rsidR="00C412B3" w:rsidRPr="00D0136C" w:rsidRDefault="00C412B3" w:rsidP="00D0136C">
            <w:pPr>
              <w:widowControl/>
              <w:spacing w:before="0" w:beforeAutospacing="0" w:after="0" w:afterAutospacing="0" w:line="240" w:lineRule="auto"/>
              <w:rPr>
                <w:iCs/>
                <w:szCs w:val="24"/>
              </w:rPr>
            </w:pPr>
            <w:bookmarkStart w:id="274" w:name="_Toc3917"/>
            <w:bookmarkStart w:id="275" w:name="_Toc30482"/>
            <w:bookmarkStart w:id="276" w:name="_Toc13207"/>
            <w:r w:rsidRPr="00D0136C">
              <w:rPr>
                <w:rStyle w:val="Strong"/>
                <w:iCs/>
                <w:szCs w:val="24"/>
                <w:lang w:eastAsia="zh-CN" w:bidi="ar"/>
              </w:rPr>
              <w:t>Engaged in Unprotected Sex</w:t>
            </w:r>
            <w:bookmarkEnd w:id="274"/>
            <w:bookmarkEnd w:id="275"/>
            <w:bookmarkEnd w:id="276"/>
          </w:p>
        </w:tc>
        <w:tc>
          <w:tcPr>
            <w:tcW w:w="1624" w:type="dxa"/>
            <w:vAlign w:val="center"/>
          </w:tcPr>
          <w:p w14:paraId="5F7CA917" w14:textId="77777777" w:rsidR="00C412B3" w:rsidRPr="00D0136C" w:rsidRDefault="00C412B3" w:rsidP="00D0136C">
            <w:pPr>
              <w:widowControl/>
              <w:spacing w:before="0" w:beforeAutospacing="0" w:after="0" w:afterAutospacing="0" w:line="240" w:lineRule="auto"/>
              <w:rPr>
                <w:iCs/>
                <w:szCs w:val="24"/>
              </w:rPr>
            </w:pPr>
            <w:bookmarkStart w:id="277" w:name="_Toc18074"/>
            <w:bookmarkStart w:id="278" w:name="_Toc14970"/>
            <w:bookmarkStart w:id="279" w:name="_Toc20974"/>
            <w:r w:rsidRPr="00D0136C">
              <w:rPr>
                <w:iCs/>
                <w:szCs w:val="24"/>
                <w:lang w:eastAsia="zh-CN" w:bidi="ar"/>
              </w:rPr>
              <w:t>Yes</w:t>
            </w:r>
            <w:bookmarkEnd w:id="277"/>
            <w:bookmarkEnd w:id="278"/>
            <w:bookmarkEnd w:id="279"/>
          </w:p>
        </w:tc>
        <w:tc>
          <w:tcPr>
            <w:tcW w:w="1712" w:type="dxa"/>
            <w:vAlign w:val="center"/>
          </w:tcPr>
          <w:p w14:paraId="4C6FC2E1" w14:textId="77777777" w:rsidR="00C412B3" w:rsidRPr="00D0136C" w:rsidRDefault="00C412B3" w:rsidP="00D0136C">
            <w:pPr>
              <w:widowControl/>
              <w:spacing w:before="0" w:beforeAutospacing="0" w:after="0" w:afterAutospacing="0" w:line="240" w:lineRule="auto"/>
              <w:rPr>
                <w:iCs/>
                <w:szCs w:val="24"/>
              </w:rPr>
            </w:pPr>
            <w:bookmarkStart w:id="280" w:name="_Toc540"/>
            <w:bookmarkStart w:id="281" w:name="_Toc24481"/>
            <w:bookmarkStart w:id="282" w:name="_Toc19054"/>
            <w:r w:rsidRPr="00D0136C">
              <w:rPr>
                <w:iCs/>
                <w:szCs w:val="24"/>
                <w:lang w:eastAsia="zh-CN" w:bidi="ar"/>
              </w:rPr>
              <w:t>39</w:t>
            </w:r>
            <w:bookmarkEnd w:id="280"/>
            <w:bookmarkEnd w:id="281"/>
            <w:bookmarkEnd w:id="282"/>
          </w:p>
        </w:tc>
        <w:tc>
          <w:tcPr>
            <w:tcW w:w="1912" w:type="dxa"/>
            <w:vAlign w:val="center"/>
          </w:tcPr>
          <w:p w14:paraId="7693FE50" w14:textId="77777777" w:rsidR="00C412B3" w:rsidRPr="00D0136C" w:rsidRDefault="00C412B3" w:rsidP="00D0136C">
            <w:pPr>
              <w:widowControl/>
              <w:spacing w:before="0" w:beforeAutospacing="0" w:after="0" w:afterAutospacing="0" w:line="240" w:lineRule="auto"/>
              <w:rPr>
                <w:iCs/>
                <w:szCs w:val="24"/>
              </w:rPr>
            </w:pPr>
            <w:bookmarkStart w:id="283" w:name="_Toc18229"/>
            <w:bookmarkStart w:id="284" w:name="_Toc28136"/>
            <w:bookmarkStart w:id="285" w:name="_Toc4659"/>
            <w:r w:rsidRPr="00D0136C">
              <w:rPr>
                <w:iCs/>
                <w:szCs w:val="24"/>
                <w:lang w:eastAsia="zh-CN" w:bidi="ar"/>
              </w:rPr>
              <w:t>26.0</w:t>
            </w:r>
            <w:bookmarkEnd w:id="283"/>
            <w:bookmarkEnd w:id="284"/>
            <w:bookmarkEnd w:id="285"/>
          </w:p>
        </w:tc>
      </w:tr>
      <w:tr w:rsidR="00C412B3" w:rsidRPr="00D0136C" w14:paraId="6ADC65E0" w14:textId="77777777" w:rsidTr="00823948">
        <w:tc>
          <w:tcPr>
            <w:tcW w:w="3617" w:type="dxa"/>
            <w:vAlign w:val="center"/>
          </w:tcPr>
          <w:p w14:paraId="055AB182"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0358817A" w14:textId="77777777" w:rsidR="00C412B3" w:rsidRPr="00D0136C" w:rsidRDefault="00C412B3" w:rsidP="00D0136C">
            <w:pPr>
              <w:widowControl/>
              <w:spacing w:before="0" w:beforeAutospacing="0" w:after="0" w:afterAutospacing="0" w:line="240" w:lineRule="auto"/>
              <w:rPr>
                <w:iCs/>
                <w:szCs w:val="24"/>
              </w:rPr>
            </w:pPr>
            <w:bookmarkStart w:id="286" w:name="_Toc5957"/>
            <w:bookmarkStart w:id="287" w:name="_Toc26554"/>
            <w:bookmarkStart w:id="288" w:name="_Toc2124"/>
            <w:r w:rsidRPr="00D0136C">
              <w:rPr>
                <w:iCs/>
                <w:szCs w:val="24"/>
                <w:lang w:eastAsia="zh-CN" w:bidi="ar"/>
              </w:rPr>
              <w:t>No</w:t>
            </w:r>
            <w:bookmarkEnd w:id="286"/>
            <w:bookmarkEnd w:id="287"/>
            <w:bookmarkEnd w:id="288"/>
          </w:p>
        </w:tc>
        <w:tc>
          <w:tcPr>
            <w:tcW w:w="1712" w:type="dxa"/>
            <w:vAlign w:val="center"/>
          </w:tcPr>
          <w:p w14:paraId="756BD01A" w14:textId="77777777" w:rsidR="00C412B3" w:rsidRPr="00D0136C" w:rsidRDefault="00C412B3" w:rsidP="00D0136C">
            <w:pPr>
              <w:widowControl/>
              <w:spacing w:before="0" w:beforeAutospacing="0" w:after="0" w:afterAutospacing="0" w:line="240" w:lineRule="auto"/>
              <w:rPr>
                <w:iCs/>
                <w:szCs w:val="24"/>
              </w:rPr>
            </w:pPr>
            <w:bookmarkStart w:id="289" w:name="_Toc28197"/>
            <w:bookmarkStart w:id="290" w:name="_Toc9352"/>
            <w:bookmarkStart w:id="291" w:name="_Toc12411"/>
            <w:r w:rsidRPr="00D0136C">
              <w:rPr>
                <w:iCs/>
                <w:szCs w:val="24"/>
                <w:lang w:eastAsia="zh-CN" w:bidi="ar"/>
              </w:rPr>
              <w:t>15</w:t>
            </w:r>
            <w:bookmarkEnd w:id="289"/>
            <w:bookmarkEnd w:id="290"/>
            <w:bookmarkEnd w:id="291"/>
          </w:p>
        </w:tc>
        <w:tc>
          <w:tcPr>
            <w:tcW w:w="1912" w:type="dxa"/>
            <w:vAlign w:val="center"/>
          </w:tcPr>
          <w:p w14:paraId="441B6AC8" w14:textId="77777777" w:rsidR="00C412B3" w:rsidRPr="00D0136C" w:rsidRDefault="00C412B3" w:rsidP="00D0136C">
            <w:pPr>
              <w:widowControl/>
              <w:spacing w:before="0" w:beforeAutospacing="0" w:after="0" w:afterAutospacing="0" w:line="240" w:lineRule="auto"/>
              <w:rPr>
                <w:iCs/>
                <w:szCs w:val="24"/>
              </w:rPr>
            </w:pPr>
            <w:bookmarkStart w:id="292" w:name="_Toc10812"/>
            <w:bookmarkStart w:id="293" w:name="_Toc20351"/>
            <w:bookmarkStart w:id="294" w:name="_Toc21067"/>
            <w:r w:rsidRPr="00D0136C">
              <w:rPr>
                <w:iCs/>
                <w:szCs w:val="24"/>
                <w:lang w:eastAsia="zh-CN" w:bidi="ar"/>
              </w:rPr>
              <w:t>10.0</w:t>
            </w:r>
            <w:bookmarkEnd w:id="292"/>
            <w:bookmarkEnd w:id="293"/>
            <w:bookmarkEnd w:id="294"/>
          </w:p>
        </w:tc>
      </w:tr>
      <w:tr w:rsidR="00C412B3" w:rsidRPr="00D0136C" w14:paraId="69FAB547" w14:textId="77777777" w:rsidTr="00823948">
        <w:tc>
          <w:tcPr>
            <w:tcW w:w="3617" w:type="dxa"/>
            <w:vAlign w:val="center"/>
          </w:tcPr>
          <w:p w14:paraId="243D3FCF"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5CC59E5F" w14:textId="77777777" w:rsidR="00C412B3" w:rsidRPr="00D0136C" w:rsidRDefault="00C412B3" w:rsidP="00D0136C">
            <w:pPr>
              <w:widowControl/>
              <w:spacing w:before="0" w:beforeAutospacing="0" w:after="0" w:afterAutospacing="0" w:line="240" w:lineRule="auto"/>
              <w:rPr>
                <w:iCs/>
                <w:szCs w:val="24"/>
              </w:rPr>
            </w:pPr>
            <w:bookmarkStart w:id="295" w:name="_Toc24380"/>
            <w:bookmarkStart w:id="296" w:name="_Toc12403"/>
            <w:bookmarkStart w:id="297" w:name="_Toc7411"/>
            <w:r w:rsidRPr="00D0136C">
              <w:rPr>
                <w:iCs/>
                <w:szCs w:val="24"/>
                <w:lang w:eastAsia="zh-CN" w:bidi="ar"/>
              </w:rPr>
              <w:t>Prefer not to say</w:t>
            </w:r>
            <w:bookmarkEnd w:id="295"/>
            <w:bookmarkEnd w:id="296"/>
            <w:bookmarkEnd w:id="297"/>
          </w:p>
        </w:tc>
        <w:tc>
          <w:tcPr>
            <w:tcW w:w="1712" w:type="dxa"/>
            <w:vAlign w:val="center"/>
          </w:tcPr>
          <w:p w14:paraId="245988DE" w14:textId="77777777" w:rsidR="00C412B3" w:rsidRPr="00D0136C" w:rsidRDefault="00C412B3" w:rsidP="00D0136C">
            <w:pPr>
              <w:widowControl/>
              <w:spacing w:before="0" w:beforeAutospacing="0" w:after="0" w:afterAutospacing="0" w:line="240" w:lineRule="auto"/>
              <w:rPr>
                <w:iCs/>
                <w:szCs w:val="24"/>
              </w:rPr>
            </w:pPr>
            <w:bookmarkStart w:id="298" w:name="_Toc16023"/>
            <w:bookmarkStart w:id="299" w:name="_Toc8578"/>
            <w:bookmarkStart w:id="300" w:name="_Toc26465"/>
            <w:r w:rsidRPr="00D0136C">
              <w:rPr>
                <w:iCs/>
                <w:szCs w:val="24"/>
                <w:lang w:eastAsia="zh-CN" w:bidi="ar"/>
              </w:rPr>
              <w:t>78</w:t>
            </w:r>
            <w:bookmarkEnd w:id="298"/>
            <w:bookmarkEnd w:id="299"/>
            <w:bookmarkEnd w:id="300"/>
          </w:p>
        </w:tc>
        <w:tc>
          <w:tcPr>
            <w:tcW w:w="1912" w:type="dxa"/>
            <w:vAlign w:val="center"/>
          </w:tcPr>
          <w:p w14:paraId="19E464C6" w14:textId="77777777" w:rsidR="00C412B3" w:rsidRPr="00D0136C" w:rsidRDefault="00C412B3" w:rsidP="00D0136C">
            <w:pPr>
              <w:widowControl/>
              <w:spacing w:before="0" w:beforeAutospacing="0" w:after="0" w:afterAutospacing="0" w:line="240" w:lineRule="auto"/>
              <w:rPr>
                <w:iCs/>
                <w:szCs w:val="24"/>
              </w:rPr>
            </w:pPr>
            <w:bookmarkStart w:id="301" w:name="_Toc29542"/>
            <w:bookmarkStart w:id="302" w:name="_Toc14811"/>
            <w:bookmarkStart w:id="303" w:name="_Toc18627"/>
            <w:r w:rsidRPr="00D0136C">
              <w:rPr>
                <w:iCs/>
                <w:szCs w:val="24"/>
                <w:lang w:eastAsia="zh-CN" w:bidi="ar"/>
              </w:rPr>
              <w:t>52.0</w:t>
            </w:r>
            <w:bookmarkEnd w:id="301"/>
            <w:bookmarkEnd w:id="302"/>
            <w:bookmarkEnd w:id="303"/>
          </w:p>
        </w:tc>
      </w:tr>
      <w:tr w:rsidR="00C412B3" w:rsidRPr="00D0136C" w14:paraId="00E0F4F3" w14:textId="77777777" w:rsidTr="00823948">
        <w:tc>
          <w:tcPr>
            <w:tcW w:w="3617" w:type="dxa"/>
            <w:vAlign w:val="center"/>
          </w:tcPr>
          <w:p w14:paraId="52094B38"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499788CC" w14:textId="77777777" w:rsidR="00C412B3" w:rsidRPr="00D0136C" w:rsidRDefault="00C412B3" w:rsidP="00D0136C">
            <w:pPr>
              <w:widowControl/>
              <w:spacing w:before="0" w:beforeAutospacing="0" w:after="0" w:afterAutospacing="0" w:line="240" w:lineRule="auto"/>
              <w:rPr>
                <w:iCs/>
                <w:szCs w:val="24"/>
              </w:rPr>
            </w:pPr>
            <w:bookmarkStart w:id="304" w:name="_Toc12936"/>
            <w:bookmarkStart w:id="305" w:name="_Toc23121"/>
            <w:bookmarkStart w:id="306" w:name="_Toc292"/>
            <w:r w:rsidRPr="00D0136C">
              <w:rPr>
                <w:iCs/>
                <w:szCs w:val="24"/>
                <w:lang w:eastAsia="zh-CN" w:bidi="ar"/>
              </w:rPr>
              <w:t>Missing</w:t>
            </w:r>
            <w:bookmarkEnd w:id="304"/>
            <w:bookmarkEnd w:id="305"/>
            <w:bookmarkEnd w:id="306"/>
          </w:p>
        </w:tc>
        <w:tc>
          <w:tcPr>
            <w:tcW w:w="1712" w:type="dxa"/>
            <w:vAlign w:val="center"/>
          </w:tcPr>
          <w:p w14:paraId="5567D1B3" w14:textId="77777777" w:rsidR="00C412B3" w:rsidRPr="00D0136C" w:rsidRDefault="00C412B3" w:rsidP="00D0136C">
            <w:pPr>
              <w:widowControl/>
              <w:spacing w:before="0" w:beforeAutospacing="0" w:after="0" w:afterAutospacing="0" w:line="240" w:lineRule="auto"/>
              <w:rPr>
                <w:iCs/>
                <w:szCs w:val="24"/>
              </w:rPr>
            </w:pPr>
            <w:bookmarkStart w:id="307" w:name="_Toc6625"/>
            <w:bookmarkStart w:id="308" w:name="_Toc9924"/>
            <w:bookmarkStart w:id="309" w:name="_Toc30768"/>
            <w:r w:rsidRPr="00D0136C">
              <w:rPr>
                <w:iCs/>
                <w:szCs w:val="24"/>
                <w:lang w:eastAsia="zh-CN" w:bidi="ar"/>
              </w:rPr>
              <w:t>18</w:t>
            </w:r>
            <w:bookmarkEnd w:id="307"/>
            <w:bookmarkEnd w:id="308"/>
            <w:bookmarkEnd w:id="309"/>
          </w:p>
        </w:tc>
        <w:tc>
          <w:tcPr>
            <w:tcW w:w="1912" w:type="dxa"/>
            <w:vAlign w:val="center"/>
          </w:tcPr>
          <w:p w14:paraId="0AE4A6D5" w14:textId="77777777" w:rsidR="00C412B3" w:rsidRPr="00D0136C" w:rsidRDefault="00C412B3" w:rsidP="00D0136C">
            <w:pPr>
              <w:widowControl/>
              <w:spacing w:before="0" w:beforeAutospacing="0" w:after="0" w:afterAutospacing="0" w:line="240" w:lineRule="auto"/>
              <w:rPr>
                <w:iCs/>
                <w:szCs w:val="24"/>
              </w:rPr>
            </w:pPr>
            <w:bookmarkStart w:id="310" w:name="_Toc32268"/>
            <w:bookmarkStart w:id="311" w:name="_Toc32076"/>
            <w:bookmarkStart w:id="312" w:name="_Toc3071"/>
            <w:r w:rsidRPr="00D0136C">
              <w:rPr>
                <w:iCs/>
                <w:szCs w:val="24"/>
                <w:lang w:eastAsia="zh-CN" w:bidi="ar"/>
              </w:rPr>
              <w:t>12.0</w:t>
            </w:r>
            <w:bookmarkEnd w:id="310"/>
            <w:bookmarkEnd w:id="311"/>
            <w:bookmarkEnd w:id="312"/>
          </w:p>
        </w:tc>
      </w:tr>
      <w:tr w:rsidR="00C412B3" w:rsidRPr="00D0136C" w14:paraId="669B92EA" w14:textId="77777777" w:rsidTr="00823948">
        <w:tc>
          <w:tcPr>
            <w:tcW w:w="3617" w:type="dxa"/>
            <w:vAlign w:val="center"/>
          </w:tcPr>
          <w:p w14:paraId="5121D143" w14:textId="77777777" w:rsidR="00C412B3" w:rsidRPr="00D0136C" w:rsidRDefault="00C412B3" w:rsidP="00D0136C">
            <w:pPr>
              <w:widowControl/>
              <w:spacing w:before="0" w:beforeAutospacing="0" w:after="0" w:afterAutospacing="0" w:line="240" w:lineRule="auto"/>
              <w:rPr>
                <w:iCs/>
                <w:szCs w:val="24"/>
              </w:rPr>
            </w:pPr>
            <w:bookmarkStart w:id="313" w:name="_Toc12184"/>
            <w:bookmarkStart w:id="314" w:name="_Toc1724"/>
            <w:bookmarkStart w:id="315" w:name="_Toc17001"/>
            <w:r w:rsidRPr="00D0136C">
              <w:rPr>
                <w:rStyle w:val="Strong"/>
                <w:iCs/>
                <w:szCs w:val="24"/>
                <w:lang w:eastAsia="zh-CN" w:bidi="ar"/>
              </w:rPr>
              <w:t>Ever Diagnosed with an STI</w:t>
            </w:r>
            <w:bookmarkEnd w:id="313"/>
            <w:bookmarkEnd w:id="314"/>
            <w:bookmarkEnd w:id="315"/>
          </w:p>
        </w:tc>
        <w:tc>
          <w:tcPr>
            <w:tcW w:w="1624" w:type="dxa"/>
            <w:vAlign w:val="center"/>
          </w:tcPr>
          <w:p w14:paraId="1965E005" w14:textId="77777777" w:rsidR="00C412B3" w:rsidRPr="00D0136C" w:rsidRDefault="00C412B3" w:rsidP="00D0136C">
            <w:pPr>
              <w:widowControl/>
              <w:spacing w:before="0" w:beforeAutospacing="0" w:after="0" w:afterAutospacing="0" w:line="240" w:lineRule="auto"/>
              <w:rPr>
                <w:iCs/>
                <w:szCs w:val="24"/>
              </w:rPr>
            </w:pPr>
            <w:bookmarkStart w:id="316" w:name="_Toc14520"/>
            <w:bookmarkStart w:id="317" w:name="_Toc18486"/>
            <w:bookmarkStart w:id="318" w:name="_Toc28323"/>
            <w:r w:rsidRPr="00D0136C">
              <w:rPr>
                <w:iCs/>
                <w:szCs w:val="24"/>
                <w:lang w:eastAsia="zh-CN" w:bidi="ar"/>
              </w:rPr>
              <w:t>Yes</w:t>
            </w:r>
            <w:bookmarkEnd w:id="316"/>
            <w:bookmarkEnd w:id="317"/>
            <w:bookmarkEnd w:id="318"/>
          </w:p>
        </w:tc>
        <w:tc>
          <w:tcPr>
            <w:tcW w:w="1712" w:type="dxa"/>
            <w:vAlign w:val="center"/>
          </w:tcPr>
          <w:p w14:paraId="744FD53D" w14:textId="77777777" w:rsidR="00C412B3" w:rsidRPr="00D0136C" w:rsidRDefault="00C412B3" w:rsidP="00D0136C">
            <w:pPr>
              <w:widowControl/>
              <w:spacing w:before="0" w:beforeAutospacing="0" w:after="0" w:afterAutospacing="0" w:line="240" w:lineRule="auto"/>
              <w:rPr>
                <w:iCs/>
                <w:szCs w:val="24"/>
              </w:rPr>
            </w:pPr>
            <w:bookmarkStart w:id="319" w:name="_Toc13875"/>
            <w:bookmarkStart w:id="320" w:name="_Toc5674"/>
            <w:bookmarkStart w:id="321" w:name="_Toc24649"/>
            <w:r w:rsidRPr="00D0136C">
              <w:rPr>
                <w:iCs/>
                <w:szCs w:val="24"/>
                <w:lang w:eastAsia="zh-CN" w:bidi="ar"/>
              </w:rPr>
              <w:t>9</w:t>
            </w:r>
            <w:bookmarkEnd w:id="319"/>
            <w:bookmarkEnd w:id="320"/>
            <w:bookmarkEnd w:id="321"/>
          </w:p>
        </w:tc>
        <w:tc>
          <w:tcPr>
            <w:tcW w:w="1912" w:type="dxa"/>
            <w:vAlign w:val="center"/>
          </w:tcPr>
          <w:p w14:paraId="35B4728E" w14:textId="77777777" w:rsidR="00C412B3" w:rsidRPr="00D0136C" w:rsidRDefault="00C412B3" w:rsidP="00D0136C">
            <w:pPr>
              <w:widowControl/>
              <w:spacing w:before="0" w:beforeAutospacing="0" w:after="0" w:afterAutospacing="0" w:line="240" w:lineRule="auto"/>
              <w:rPr>
                <w:iCs/>
                <w:szCs w:val="24"/>
              </w:rPr>
            </w:pPr>
            <w:bookmarkStart w:id="322" w:name="_Toc24829"/>
            <w:bookmarkStart w:id="323" w:name="_Toc4662"/>
            <w:bookmarkStart w:id="324" w:name="_Toc1743"/>
            <w:r w:rsidRPr="00D0136C">
              <w:rPr>
                <w:iCs/>
                <w:szCs w:val="24"/>
                <w:lang w:eastAsia="zh-CN" w:bidi="ar"/>
              </w:rPr>
              <w:t>6.0</w:t>
            </w:r>
            <w:bookmarkEnd w:id="322"/>
            <w:bookmarkEnd w:id="323"/>
            <w:bookmarkEnd w:id="324"/>
          </w:p>
        </w:tc>
      </w:tr>
      <w:tr w:rsidR="00C412B3" w:rsidRPr="00D0136C" w14:paraId="3D118152" w14:textId="77777777" w:rsidTr="00823948">
        <w:tc>
          <w:tcPr>
            <w:tcW w:w="3617" w:type="dxa"/>
            <w:vAlign w:val="center"/>
          </w:tcPr>
          <w:p w14:paraId="79601955"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76B8DB85" w14:textId="77777777" w:rsidR="00C412B3" w:rsidRPr="00D0136C" w:rsidRDefault="00C412B3" w:rsidP="00D0136C">
            <w:pPr>
              <w:widowControl/>
              <w:spacing w:before="0" w:beforeAutospacing="0" w:after="0" w:afterAutospacing="0" w:line="240" w:lineRule="auto"/>
              <w:rPr>
                <w:iCs/>
                <w:szCs w:val="24"/>
              </w:rPr>
            </w:pPr>
            <w:bookmarkStart w:id="325" w:name="_Toc30208"/>
            <w:bookmarkStart w:id="326" w:name="_Toc24517"/>
            <w:bookmarkStart w:id="327" w:name="_Toc30730"/>
            <w:r w:rsidRPr="00D0136C">
              <w:rPr>
                <w:iCs/>
                <w:szCs w:val="24"/>
                <w:lang w:eastAsia="zh-CN" w:bidi="ar"/>
              </w:rPr>
              <w:t>No</w:t>
            </w:r>
            <w:bookmarkEnd w:id="325"/>
            <w:bookmarkEnd w:id="326"/>
            <w:bookmarkEnd w:id="327"/>
          </w:p>
        </w:tc>
        <w:tc>
          <w:tcPr>
            <w:tcW w:w="1712" w:type="dxa"/>
            <w:vAlign w:val="center"/>
          </w:tcPr>
          <w:p w14:paraId="2CCA7115" w14:textId="77777777" w:rsidR="00C412B3" w:rsidRPr="00D0136C" w:rsidRDefault="00C412B3" w:rsidP="00D0136C">
            <w:pPr>
              <w:widowControl/>
              <w:spacing w:before="0" w:beforeAutospacing="0" w:after="0" w:afterAutospacing="0" w:line="240" w:lineRule="auto"/>
              <w:rPr>
                <w:iCs/>
                <w:szCs w:val="24"/>
              </w:rPr>
            </w:pPr>
            <w:bookmarkStart w:id="328" w:name="_Toc9537"/>
            <w:bookmarkStart w:id="329" w:name="_Toc29185"/>
            <w:bookmarkStart w:id="330" w:name="_Toc19346"/>
            <w:r w:rsidRPr="00D0136C">
              <w:rPr>
                <w:iCs/>
                <w:szCs w:val="24"/>
                <w:lang w:eastAsia="zh-CN" w:bidi="ar"/>
              </w:rPr>
              <w:t>61</w:t>
            </w:r>
            <w:bookmarkEnd w:id="328"/>
            <w:bookmarkEnd w:id="329"/>
            <w:bookmarkEnd w:id="330"/>
          </w:p>
        </w:tc>
        <w:tc>
          <w:tcPr>
            <w:tcW w:w="1912" w:type="dxa"/>
            <w:vAlign w:val="center"/>
          </w:tcPr>
          <w:p w14:paraId="6D60FE87" w14:textId="77777777" w:rsidR="00C412B3" w:rsidRPr="00D0136C" w:rsidRDefault="00C412B3" w:rsidP="00D0136C">
            <w:pPr>
              <w:widowControl/>
              <w:spacing w:before="0" w:beforeAutospacing="0" w:after="0" w:afterAutospacing="0" w:line="240" w:lineRule="auto"/>
              <w:rPr>
                <w:iCs/>
                <w:szCs w:val="24"/>
              </w:rPr>
            </w:pPr>
            <w:bookmarkStart w:id="331" w:name="_Toc6752"/>
            <w:bookmarkStart w:id="332" w:name="_Toc14962"/>
            <w:bookmarkStart w:id="333" w:name="_Toc4483"/>
            <w:r w:rsidRPr="00D0136C">
              <w:rPr>
                <w:iCs/>
                <w:szCs w:val="24"/>
                <w:lang w:eastAsia="zh-CN" w:bidi="ar"/>
              </w:rPr>
              <w:t>40.7</w:t>
            </w:r>
            <w:bookmarkEnd w:id="331"/>
            <w:bookmarkEnd w:id="332"/>
            <w:bookmarkEnd w:id="333"/>
          </w:p>
        </w:tc>
      </w:tr>
      <w:tr w:rsidR="00C412B3" w:rsidRPr="00D0136C" w14:paraId="61B3233C" w14:textId="77777777" w:rsidTr="00823948">
        <w:tc>
          <w:tcPr>
            <w:tcW w:w="3617" w:type="dxa"/>
            <w:vAlign w:val="center"/>
          </w:tcPr>
          <w:p w14:paraId="639AFF6D"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4C45F43B" w14:textId="77777777" w:rsidR="00C412B3" w:rsidRPr="00D0136C" w:rsidRDefault="00C412B3" w:rsidP="00D0136C">
            <w:pPr>
              <w:widowControl/>
              <w:spacing w:before="0" w:beforeAutospacing="0" w:after="0" w:afterAutospacing="0" w:line="240" w:lineRule="auto"/>
              <w:rPr>
                <w:iCs/>
                <w:szCs w:val="24"/>
              </w:rPr>
            </w:pPr>
            <w:bookmarkStart w:id="334" w:name="_Toc22389"/>
            <w:bookmarkStart w:id="335" w:name="_Toc8247"/>
            <w:bookmarkStart w:id="336" w:name="_Toc262"/>
            <w:r w:rsidRPr="00D0136C">
              <w:rPr>
                <w:iCs/>
                <w:szCs w:val="24"/>
                <w:lang w:eastAsia="zh-CN" w:bidi="ar"/>
              </w:rPr>
              <w:t>Prefer not to say</w:t>
            </w:r>
            <w:bookmarkEnd w:id="334"/>
            <w:bookmarkEnd w:id="335"/>
            <w:bookmarkEnd w:id="336"/>
          </w:p>
        </w:tc>
        <w:tc>
          <w:tcPr>
            <w:tcW w:w="1712" w:type="dxa"/>
            <w:vAlign w:val="center"/>
          </w:tcPr>
          <w:p w14:paraId="32B74A09" w14:textId="77777777" w:rsidR="00C412B3" w:rsidRPr="00D0136C" w:rsidRDefault="00C412B3" w:rsidP="00D0136C">
            <w:pPr>
              <w:widowControl/>
              <w:spacing w:before="0" w:beforeAutospacing="0" w:after="0" w:afterAutospacing="0" w:line="240" w:lineRule="auto"/>
              <w:rPr>
                <w:iCs/>
                <w:szCs w:val="24"/>
              </w:rPr>
            </w:pPr>
            <w:bookmarkStart w:id="337" w:name="_Toc5197"/>
            <w:bookmarkStart w:id="338" w:name="_Toc5716"/>
            <w:bookmarkStart w:id="339" w:name="_Toc21161"/>
            <w:r w:rsidRPr="00D0136C">
              <w:rPr>
                <w:iCs/>
                <w:szCs w:val="24"/>
                <w:lang w:eastAsia="zh-CN" w:bidi="ar"/>
              </w:rPr>
              <w:t>63</w:t>
            </w:r>
            <w:bookmarkEnd w:id="337"/>
            <w:bookmarkEnd w:id="338"/>
            <w:bookmarkEnd w:id="339"/>
          </w:p>
        </w:tc>
        <w:tc>
          <w:tcPr>
            <w:tcW w:w="1912" w:type="dxa"/>
            <w:vAlign w:val="center"/>
          </w:tcPr>
          <w:p w14:paraId="3CA00380" w14:textId="77777777" w:rsidR="00C412B3" w:rsidRPr="00D0136C" w:rsidRDefault="00C412B3" w:rsidP="00D0136C">
            <w:pPr>
              <w:widowControl/>
              <w:spacing w:before="0" w:beforeAutospacing="0" w:after="0" w:afterAutospacing="0" w:line="240" w:lineRule="auto"/>
              <w:rPr>
                <w:iCs/>
                <w:szCs w:val="24"/>
              </w:rPr>
            </w:pPr>
            <w:bookmarkStart w:id="340" w:name="_Toc26840"/>
            <w:bookmarkStart w:id="341" w:name="_Toc31972"/>
            <w:bookmarkStart w:id="342" w:name="_Toc24524"/>
            <w:r w:rsidRPr="00D0136C">
              <w:rPr>
                <w:iCs/>
                <w:szCs w:val="24"/>
                <w:lang w:eastAsia="zh-CN" w:bidi="ar"/>
              </w:rPr>
              <w:t>42.0</w:t>
            </w:r>
            <w:bookmarkEnd w:id="340"/>
            <w:bookmarkEnd w:id="341"/>
            <w:bookmarkEnd w:id="342"/>
          </w:p>
        </w:tc>
      </w:tr>
      <w:tr w:rsidR="00C412B3" w:rsidRPr="00D0136C" w14:paraId="741B73AE" w14:textId="77777777" w:rsidTr="00823948">
        <w:tc>
          <w:tcPr>
            <w:tcW w:w="3617" w:type="dxa"/>
            <w:vAlign w:val="center"/>
          </w:tcPr>
          <w:p w14:paraId="305B978E"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44D1E57F" w14:textId="77777777" w:rsidR="00C412B3" w:rsidRPr="00D0136C" w:rsidRDefault="00C412B3" w:rsidP="00D0136C">
            <w:pPr>
              <w:widowControl/>
              <w:spacing w:before="0" w:beforeAutospacing="0" w:after="0" w:afterAutospacing="0" w:line="240" w:lineRule="auto"/>
              <w:rPr>
                <w:iCs/>
                <w:szCs w:val="24"/>
              </w:rPr>
            </w:pPr>
            <w:bookmarkStart w:id="343" w:name="_Toc32316"/>
            <w:bookmarkStart w:id="344" w:name="_Toc20766"/>
            <w:bookmarkStart w:id="345" w:name="_Toc16440"/>
            <w:r w:rsidRPr="00D0136C">
              <w:rPr>
                <w:iCs/>
                <w:szCs w:val="24"/>
                <w:lang w:eastAsia="zh-CN" w:bidi="ar"/>
              </w:rPr>
              <w:t>Missing</w:t>
            </w:r>
            <w:bookmarkEnd w:id="343"/>
            <w:bookmarkEnd w:id="344"/>
            <w:bookmarkEnd w:id="345"/>
          </w:p>
        </w:tc>
        <w:tc>
          <w:tcPr>
            <w:tcW w:w="1712" w:type="dxa"/>
            <w:vAlign w:val="center"/>
          </w:tcPr>
          <w:p w14:paraId="435E1AD8" w14:textId="77777777" w:rsidR="00C412B3" w:rsidRPr="00D0136C" w:rsidRDefault="00C412B3" w:rsidP="00D0136C">
            <w:pPr>
              <w:widowControl/>
              <w:spacing w:before="0" w:beforeAutospacing="0" w:after="0" w:afterAutospacing="0" w:line="240" w:lineRule="auto"/>
              <w:rPr>
                <w:iCs/>
                <w:szCs w:val="24"/>
              </w:rPr>
            </w:pPr>
            <w:bookmarkStart w:id="346" w:name="_Toc30608"/>
            <w:bookmarkStart w:id="347" w:name="_Toc10333"/>
            <w:bookmarkStart w:id="348" w:name="_Toc31426"/>
            <w:r w:rsidRPr="00D0136C">
              <w:rPr>
                <w:iCs/>
                <w:szCs w:val="24"/>
                <w:lang w:eastAsia="zh-CN" w:bidi="ar"/>
              </w:rPr>
              <w:t>17</w:t>
            </w:r>
            <w:bookmarkEnd w:id="346"/>
            <w:bookmarkEnd w:id="347"/>
            <w:bookmarkEnd w:id="348"/>
          </w:p>
        </w:tc>
        <w:tc>
          <w:tcPr>
            <w:tcW w:w="1912" w:type="dxa"/>
            <w:vAlign w:val="center"/>
          </w:tcPr>
          <w:p w14:paraId="0C38A4EB" w14:textId="77777777" w:rsidR="00C412B3" w:rsidRPr="00D0136C" w:rsidRDefault="00C412B3" w:rsidP="00D0136C">
            <w:pPr>
              <w:widowControl/>
              <w:spacing w:before="0" w:beforeAutospacing="0" w:after="0" w:afterAutospacing="0" w:line="240" w:lineRule="auto"/>
              <w:rPr>
                <w:iCs/>
                <w:szCs w:val="24"/>
              </w:rPr>
            </w:pPr>
            <w:bookmarkStart w:id="349" w:name="_Toc199"/>
            <w:bookmarkStart w:id="350" w:name="_Toc18268"/>
            <w:bookmarkStart w:id="351" w:name="_Toc16596"/>
            <w:r w:rsidRPr="00D0136C">
              <w:rPr>
                <w:iCs/>
                <w:szCs w:val="24"/>
                <w:lang w:eastAsia="zh-CN" w:bidi="ar"/>
              </w:rPr>
              <w:t>11.3</w:t>
            </w:r>
            <w:bookmarkEnd w:id="349"/>
            <w:bookmarkEnd w:id="350"/>
            <w:bookmarkEnd w:id="351"/>
          </w:p>
        </w:tc>
      </w:tr>
      <w:tr w:rsidR="00C412B3" w:rsidRPr="00D0136C" w14:paraId="3C3D1F0B" w14:textId="77777777" w:rsidTr="00823948">
        <w:tc>
          <w:tcPr>
            <w:tcW w:w="3617" w:type="dxa"/>
            <w:vAlign w:val="center"/>
          </w:tcPr>
          <w:p w14:paraId="5C31CFC6" w14:textId="77777777" w:rsidR="00C412B3" w:rsidRPr="00D0136C" w:rsidRDefault="00C412B3" w:rsidP="00D0136C">
            <w:pPr>
              <w:widowControl/>
              <w:spacing w:before="0" w:beforeAutospacing="0" w:after="0" w:afterAutospacing="0" w:line="240" w:lineRule="auto"/>
              <w:rPr>
                <w:iCs/>
                <w:szCs w:val="24"/>
              </w:rPr>
            </w:pPr>
            <w:bookmarkStart w:id="352" w:name="_Toc3909"/>
            <w:bookmarkStart w:id="353" w:name="_Toc14224"/>
            <w:bookmarkStart w:id="354" w:name="_Toc9849"/>
            <w:r w:rsidRPr="00D0136C">
              <w:rPr>
                <w:rStyle w:val="Strong"/>
                <w:iCs/>
                <w:szCs w:val="24"/>
                <w:lang w:eastAsia="zh-CN" w:bidi="ar"/>
              </w:rPr>
              <w:t>Presenting STI-Related Symptoms</w:t>
            </w:r>
            <w:bookmarkEnd w:id="352"/>
            <w:bookmarkEnd w:id="353"/>
            <w:bookmarkEnd w:id="354"/>
          </w:p>
        </w:tc>
        <w:tc>
          <w:tcPr>
            <w:tcW w:w="1624" w:type="dxa"/>
            <w:vAlign w:val="center"/>
          </w:tcPr>
          <w:p w14:paraId="7DFCB89E" w14:textId="77777777" w:rsidR="00C412B3" w:rsidRPr="00D0136C" w:rsidRDefault="00C412B3" w:rsidP="00D0136C">
            <w:pPr>
              <w:widowControl/>
              <w:spacing w:before="0" w:beforeAutospacing="0" w:after="0" w:afterAutospacing="0" w:line="240" w:lineRule="auto"/>
              <w:rPr>
                <w:iCs/>
                <w:szCs w:val="24"/>
              </w:rPr>
            </w:pPr>
            <w:bookmarkStart w:id="355" w:name="_Toc20316"/>
            <w:bookmarkStart w:id="356" w:name="_Toc17930"/>
            <w:bookmarkStart w:id="357" w:name="_Toc17192"/>
            <w:r w:rsidRPr="00D0136C">
              <w:rPr>
                <w:iCs/>
                <w:szCs w:val="24"/>
                <w:lang w:eastAsia="zh-CN" w:bidi="ar"/>
              </w:rPr>
              <w:t>Yes</w:t>
            </w:r>
            <w:bookmarkEnd w:id="355"/>
            <w:bookmarkEnd w:id="356"/>
            <w:bookmarkEnd w:id="357"/>
          </w:p>
        </w:tc>
        <w:tc>
          <w:tcPr>
            <w:tcW w:w="1712" w:type="dxa"/>
            <w:vAlign w:val="center"/>
          </w:tcPr>
          <w:p w14:paraId="63436F7F" w14:textId="77777777" w:rsidR="00C412B3" w:rsidRPr="00D0136C" w:rsidRDefault="00C412B3" w:rsidP="00D0136C">
            <w:pPr>
              <w:widowControl/>
              <w:spacing w:before="0" w:beforeAutospacing="0" w:after="0" w:afterAutospacing="0" w:line="240" w:lineRule="auto"/>
              <w:rPr>
                <w:iCs/>
                <w:szCs w:val="24"/>
              </w:rPr>
            </w:pPr>
            <w:bookmarkStart w:id="358" w:name="_Toc16050"/>
            <w:bookmarkStart w:id="359" w:name="_Toc25778"/>
            <w:bookmarkStart w:id="360" w:name="_Toc31024"/>
            <w:r w:rsidRPr="00D0136C">
              <w:rPr>
                <w:iCs/>
                <w:szCs w:val="24"/>
                <w:lang w:eastAsia="zh-CN" w:bidi="ar"/>
              </w:rPr>
              <w:t>31</w:t>
            </w:r>
            <w:bookmarkEnd w:id="358"/>
            <w:bookmarkEnd w:id="359"/>
            <w:bookmarkEnd w:id="360"/>
          </w:p>
        </w:tc>
        <w:tc>
          <w:tcPr>
            <w:tcW w:w="1912" w:type="dxa"/>
            <w:vAlign w:val="center"/>
          </w:tcPr>
          <w:p w14:paraId="2D193CC5" w14:textId="77777777" w:rsidR="00C412B3" w:rsidRPr="00D0136C" w:rsidRDefault="00C412B3" w:rsidP="00D0136C">
            <w:pPr>
              <w:widowControl/>
              <w:spacing w:before="0" w:beforeAutospacing="0" w:after="0" w:afterAutospacing="0" w:line="240" w:lineRule="auto"/>
              <w:rPr>
                <w:iCs/>
                <w:szCs w:val="24"/>
              </w:rPr>
            </w:pPr>
            <w:bookmarkStart w:id="361" w:name="_Toc26811"/>
            <w:bookmarkStart w:id="362" w:name="_Toc14333"/>
            <w:bookmarkStart w:id="363" w:name="_Toc29377"/>
            <w:r w:rsidRPr="00D0136C">
              <w:rPr>
                <w:iCs/>
                <w:szCs w:val="24"/>
                <w:lang w:eastAsia="zh-CN" w:bidi="ar"/>
              </w:rPr>
              <w:t>20.7</w:t>
            </w:r>
            <w:bookmarkEnd w:id="361"/>
            <w:bookmarkEnd w:id="362"/>
            <w:bookmarkEnd w:id="363"/>
          </w:p>
        </w:tc>
      </w:tr>
      <w:tr w:rsidR="00C412B3" w:rsidRPr="00D0136C" w14:paraId="4CA464B9" w14:textId="77777777" w:rsidTr="00823948">
        <w:tc>
          <w:tcPr>
            <w:tcW w:w="3617" w:type="dxa"/>
            <w:vAlign w:val="center"/>
          </w:tcPr>
          <w:p w14:paraId="0FDCBBCC"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221D2993" w14:textId="77777777" w:rsidR="00C412B3" w:rsidRPr="00D0136C" w:rsidRDefault="00C412B3" w:rsidP="00D0136C">
            <w:pPr>
              <w:widowControl/>
              <w:spacing w:before="0" w:beforeAutospacing="0" w:after="0" w:afterAutospacing="0" w:line="240" w:lineRule="auto"/>
              <w:rPr>
                <w:iCs/>
                <w:szCs w:val="24"/>
              </w:rPr>
            </w:pPr>
            <w:bookmarkStart w:id="364" w:name="_Toc31317"/>
            <w:bookmarkStart w:id="365" w:name="_Toc23984"/>
            <w:bookmarkStart w:id="366" w:name="_Toc20725"/>
            <w:r w:rsidRPr="00D0136C">
              <w:rPr>
                <w:iCs/>
                <w:szCs w:val="24"/>
                <w:lang w:eastAsia="zh-CN" w:bidi="ar"/>
              </w:rPr>
              <w:t>No</w:t>
            </w:r>
            <w:bookmarkEnd w:id="364"/>
            <w:bookmarkEnd w:id="365"/>
            <w:bookmarkEnd w:id="366"/>
          </w:p>
        </w:tc>
        <w:tc>
          <w:tcPr>
            <w:tcW w:w="1712" w:type="dxa"/>
            <w:vAlign w:val="center"/>
          </w:tcPr>
          <w:p w14:paraId="53D0A32D" w14:textId="77777777" w:rsidR="00C412B3" w:rsidRPr="00D0136C" w:rsidRDefault="00C412B3" w:rsidP="00D0136C">
            <w:pPr>
              <w:widowControl/>
              <w:spacing w:before="0" w:beforeAutospacing="0" w:after="0" w:afterAutospacing="0" w:line="240" w:lineRule="auto"/>
              <w:rPr>
                <w:iCs/>
                <w:szCs w:val="24"/>
              </w:rPr>
            </w:pPr>
            <w:bookmarkStart w:id="367" w:name="_Toc14822"/>
            <w:bookmarkStart w:id="368" w:name="_Toc4821"/>
            <w:bookmarkStart w:id="369" w:name="_Toc9213"/>
            <w:r w:rsidRPr="00D0136C">
              <w:rPr>
                <w:iCs/>
                <w:szCs w:val="24"/>
                <w:lang w:eastAsia="zh-CN" w:bidi="ar"/>
              </w:rPr>
              <w:t>37</w:t>
            </w:r>
            <w:bookmarkEnd w:id="367"/>
            <w:bookmarkEnd w:id="368"/>
            <w:bookmarkEnd w:id="369"/>
          </w:p>
        </w:tc>
        <w:tc>
          <w:tcPr>
            <w:tcW w:w="1912" w:type="dxa"/>
            <w:vAlign w:val="center"/>
          </w:tcPr>
          <w:p w14:paraId="0610C6B9" w14:textId="77777777" w:rsidR="00C412B3" w:rsidRPr="00D0136C" w:rsidRDefault="00C412B3" w:rsidP="00D0136C">
            <w:pPr>
              <w:widowControl/>
              <w:spacing w:before="0" w:beforeAutospacing="0" w:after="0" w:afterAutospacing="0" w:line="240" w:lineRule="auto"/>
              <w:rPr>
                <w:iCs/>
                <w:szCs w:val="24"/>
              </w:rPr>
            </w:pPr>
            <w:bookmarkStart w:id="370" w:name="_Toc1964"/>
            <w:bookmarkStart w:id="371" w:name="_Toc9846"/>
            <w:bookmarkStart w:id="372" w:name="_Toc11815"/>
            <w:r w:rsidRPr="00D0136C">
              <w:rPr>
                <w:iCs/>
                <w:szCs w:val="24"/>
                <w:lang w:eastAsia="zh-CN" w:bidi="ar"/>
              </w:rPr>
              <w:t>24.7</w:t>
            </w:r>
            <w:bookmarkEnd w:id="370"/>
            <w:bookmarkEnd w:id="371"/>
            <w:bookmarkEnd w:id="372"/>
          </w:p>
        </w:tc>
      </w:tr>
      <w:tr w:rsidR="00C412B3" w:rsidRPr="00D0136C" w14:paraId="7B95727A" w14:textId="77777777" w:rsidTr="00823948">
        <w:tc>
          <w:tcPr>
            <w:tcW w:w="3617" w:type="dxa"/>
            <w:vAlign w:val="center"/>
          </w:tcPr>
          <w:p w14:paraId="59B8EBEA"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263F60A0" w14:textId="77777777" w:rsidR="00C412B3" w:rsidRPr="00D0136C" w:rsidRDefault="00C412B3" w:rsidP="00D0136C">
            <w:pPr>
              <w:widowControl/>
              <w:spacing w:before="0" w:beforeAutospacing="0" w:after="0" w:afterAutospacing="0" w:line="240" w:lineRule="auto"/>
              <w:rPr>
                <w:iCs/>
                <w:szCs w:val="24"/>
              </w:rPr>
            </w:pPr>
            <w:bookmarkStart w:id="373" w:name="_Toc7903"/>
            <w:bookmarkStart w:id="374" w:name="_Toc25452"/>
            <w:bookmarkStart w:id="375" w:name="_Toc31802"/>
            <w:r w:rsidRPr="00D0136C">
              <w:rPr>
                <w:iCs/>
                <w:szCs w:val="24"/>
                <w:lang w:eastAsia="zh-CN" w:bidi="ar"/>
              </w:rPr>
              <w:t>Prefer not to say</w:t>
            </w:r>
            <w:bookmarkEnd w:id="373"/>
            <w:bookmarkEnd w:id="374"/>
            <w:bookmarkEnd w:id="375"/>
          </w:p>
        </w:tc>
        <w:tc>
          <w:tcPr>
            <w:tcW w:w="1712" w:type="dxa"/>
            <w:vAlign w:val="center"/>
          </w:tcPr>
          <w:p w14:paraId="686AB430" w14:textId="77777777" w:rsidR="00C412B3" w:rsidRPr="00D0136C" w:rsidRDefault="00C412B3" w:rsidP="00D0136C">
            <w:pPr>
              <w:widowControl/>
              <w:spacing w:before="0" w:beforeAutospacing="0" w:after="0" w:afterAutospacing="0" w:line="240" w:lineRule="auto"/>
              <w:rPr>
                <w:iCs/>
                <w:szCs w:val="24"/>
              </w:rPr>
            </w:pPr>
            <w:bookmarkStart w:id="376" w:name="_Toc24029"/>
            <w:bookmarkStart w:id="377" w:name="_Toc19678"/>
            <w:bookmarkStart w:id="378" w:name="_Toc30300"/>
            <w:r w:rsidRPr="00D0136C">
              <w:rPr>
                <w:iCs/>
                <w:szCs w:val="24"/>
                <w:lang w:eastAsia="zh-CN" w:bidi="ar"/>
              </w:rPr>
              <w:t>62</w:t>
            </w:r>
            <w:bookmarkEnd w:id="376"/>
            <w:bookmarkEnd w:id="377"/>
            <w:bookmarkEnd w:id="378"/>
          </w:p>
        </w:tc>
        <w:tc>
          <w:tcPr>
            <w:tcW w:w="1912" w:type="dxa"/>
            <w:vAlign w:val="center"/>
          </w:tcPr>
          <w:p w14:paraId="608F7C03" w14:textId="77777777" w:rsidR="00C412B3" w:rsidRPr="00D0136C" w:rsidRDefault="00C412B3" w:rsidP="00D0136C">
            <w:pPr>
              <w:widowControl/>
              <w:spacing w:before="0" w:beforeAutospacing="0" w:after="0" w:afterAutospacing="0" w:line="240" w:lineRule="auto"/>
              <w:rPr>
                <w:iCs/>
                <w:szCs w:val="24"/>
              </w:rPr>
            </w:pPr>
            <w:bookmarkStart w:id="379" w:name="_Toc22522"/>
            <w:bookmarkStart w:id="380" w:name="_Toc11561"/>
            <w:bookmarkStart w:id="381" w:name="_Toc12352"/>
            <w:r w:rsidRPr="00D0136C">
              <w:rPr>
                <w:iCs/>
                <w:szCs w:val="24"/>
                <w:lang w:eastAsia="zh-CN" w:bidi="ar"/>
              </w:rPr>
              <w:t>41.3</w:t>
            </w:r>
            <w:bookmarkEnd w:id="379"/>
            <w:bookmarkEnd w:id="380"/>
            <w:bookmarkEnd w:id="381"/>
          </w:p>
        </w:tc>
      </w:tr>
      <w:tr w:rsidR="00C412B3" w:rsidRPr="00D0136C" w14:paraId="473580A4" w14:textId="77777777" w:rsidTr="00823948">
        <w:tc>
          <w:tcPr>
            <w:tcW w:w="3617" w:type="dxa"/>
            <w:vAlign w:val="center"/>
          </w:tcPr>
          <w:p w14:paraId="2F55A809"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041C2289" w14:textId="77777777" w:rsidR="00C412B3" w:rsidRPr="00D0136C" w:rsidRDefault="00C412B3" w:rsidP="00D0136C">
            <w:pPr>
              <w:widowControl/>
              <w:spacing w:before="0" w:beforeAutospacing="0" w:after="0" w:afterAutospacing="0" w:line="240" w:lineRule="auto"/>
              <w:rPr>
                <w:iCs/>
                <w:szCs w:val="24"/>
              </w:rPr>
            </w:pPr>
            <w:bookmarkStart w:id="382" w:name="_Toc30397"/>
            <w:bookmarkStart w:id="383" w:name="_Toc4773"/>
            <w:bookmarkStart w:id="384" w:name="_Toc29598"/>
            <w:r w:rsidRPr="00D0136C">
              <w:rPr>
                <w:iCs/>
                <w:szCs w:val="24"/>
                <w:lang w:eastAsia="zh-CN" w:bidi="ar"/>
              </w:rPr>
              <w:t>Missing</w:t>
            </w:r>
            <w:bookmarkEnd w:id="382"/>
            <w:bookmarkEnd w:id="383"/>
            <w:bookmarkEnd w:id="384"/>
          </w:p>
        </w:tc>
        <w:tc>
          <w:tcPr>
            <w:tcW w:w="1712" w:type="dxa"/>
            <w:vAlign w:val="center"/>
          </w:tcPr>
          <w:p w14:paraId="46659D43" w14:textId="77777777" w:rsidR="00C412B3" w:rsidRPr="00D0136C" w:rsidRDefault="00C412B3" w:rsidP="00D0136C">
            <w:pPr>
              <w:widowControl/>
              <w:spacing w:before="0" w:beforeAutospacing="0" w:after="0" w:afterAutospacing="0" w:line="240" w:lineRule="auto"/>
              <w:rPr>
                <w:iCs/>
                <w:szCs w:val="24"/>
              </w:rPr>
            </w:pPr>
            <w:bookmarkStart w:id="385" w:name="_Toc16251"/>
            <w:bookmarkStart w:id="386" w:name="_Toc22240"/>
            <w:bookmarkStart w:id="387" w:name="_Toc22685"/>
            <w:r w:rsidRPr="00D0136C">
              <w:rPr>
                <w:iCs/>
                <w:szCs w:val="24"/>
                <w:lang w:eastAsia="zh-CN" w:bidi="ar"/>
              </w:rPr>
              <w:t>17</w:t>
            </w:r>
            <w:bookmarkEnd w:id="385"/>
            <w:bookmarkEnd w:id="386"/>
            <w:bookmarkEnd w:id="387"/>
          </w:p>
        </w:tc>
        <w:tc>
          <w:tcPr>
            <w:tcW w:w="1912" w:type="dxa"/>
            <w:vAlign w:val="center"/>
          </w:tcPr>
          <w:p w14:paraId="434EF5B9" w14:textId="77777777" w:rsidR="00C412B3" w:rsidRPr="00D0136C" w:rsidRDefault="00C412B3" w:rsidP="00D0136C">
            <w:pPr>
              <w:widowControl/>
              <w:spacing w:before="0" w:beforeAutospacing="0" w:after="0" w:afterAutospacing="0" w:line="240" w:lineRule="auto"/>
              <w:rPr>
                <w:iCs/>
                <w:szCs w:val="24"/>
              </w:rPr>
            </w:pPr>
            <w:bookmarkStart w:id="388" w:name="_Toc16458"/>
            <w:bookmarkStart w:id="389" w:name="_Toc19241"/>
            <w:bookmarkStart w:id="390" w:name="_Toc28745"/>
            <w:r w:rsidRPr="00D0136C">
              <w:rPr>
                <w:iCs/>
                <w:szCs w:val="24"/>
                <w:lang w:eastAsia="zh-CN" w:bidi="ar"/>
              </w:rPr>
              <w:t>11.3</w:t>
            </w:r>
            <w:bookmarkEnd w:id="388"/>
            <w:bookmarkEnd w:id="389"/>
            <w:bookmarkEnd w:id="390"/>
          </w:p>
        </w:tc>
      </w:tr>
      <w:tr w:rsidR="00C412B3" w:rsidRPr="00D0136C" w14:paraId="0F640338" w14:textId="77777777" w:rsidTr="00823948">
        <w:tc>
          <w:tcPr>
            <w:tcW w:w="3617" w:type="dxa"/>
            <w:vAlign w:val="center"/>
          </w:tcPr>
          <w:p w14:paraId="6A94E386" w14:textId="77777777" w:rsidR="00C412B3" w:rsidRPr="00D0136C" w:rsidRDefault="00C412B3" w:rsidP="00D0136C">
            <w:pPr>
              <w:widowControl/>
              <w:spacing w:before="0" w:beforeAutospacing="0" w:after="0" w:afterAutospacing="0" w:line="240" w:lineRule="auto"/>
              <w:rPr>
                <w:iCs/>
                <w:szCs w:val="24"/>
              </w:rPr>
            </w:pPr>
            <w:bookmarkStart w:id="391" w:name="_Toc2649"/>
            <w:bookmarkStart w:id="392" w:name="_Toc4708"/>
            <w:bookmarkStart w:id="393" w:name="_Toc6524"/>
            <w:r w:rsidRPr="00D0136C">
              <w:rPr>
                <w:rStyle w:val="Strong"/>
                <w:iCs/>
                <w:szCs w:val="24"/>
                <w:lang w:eastAsia="zh-CN" w:bidi="ar"/>
              </w:rPr>
              <w:t>Use of Contraceptives</w:t>
            </w:r>
            <w:bookmarkEnd w:id="391"/>
            <w:bookmarkEnd w:id="392"/>
            <w:bookmarkEnd w:id="393"/>
          </w:p>
        </w:tc>
        <w:tc>
          <w:tcPr>
            <w:tcW w:w="1624" w:type="dxa"/>
            <w:vAlign w:val="center"/>
          </w:tcPr>
          <w:p w14:paraId="6CE9849D" w14:textId="77777777" w:rsidR="00C412B3" w:rsidRPr="00D0136C" w:rsidRDefault="00C412B3" w:rsidP="00D0136C">
            <w:pPr>
              <w:widowControl/>
              <w:spacing w:before="0" w:beforeAutospacing="0" w:after="0" w:afterAutospacing="0" w:line="240" w:lineRule="auto"/>
              <w:rPr>
                <w:iCs/>
                <w:szCs w:val="24"/>
              </w:rPr>
            </w:pPr>
            <w:bookmarkStart w:id="394" w:name="_Toc27100"/>
            <w:bookmarkStart w:id="395" w:name="_Toc32618"/>
            <w:bookmarkStart w:id="396" w:name="_Toc8358"/>
            <w:r w:rsidRPr="00D0136C">
              <w:rPr>
                <w:iCs/>
                <w:szCs w:val="24"/>
                <w:lang w:eastAsia="zh-CN" w:bidi="ar"/>
              </w:rPr>
              <w:t>Yes</w:t>
            </w:r>
            <w:bookmarkEnd w:id="394"/>
            <w:bookmarkEnd w:id="395"/>
            <w:bookmarkEnd w:id="396"/>
          </w:p>
        </w:tc>
        <w:tc>
          <w:tcPr>
            <w:tcW w:w="1712" w:type="dxa"/>
            <w:vAlign w:val="center"/>
          </w:tcPr>
          <w:p w14:paraId="55915B51" w14:textId="77777777" w:rsidR="00C412B3" w:rsidRPr="00D0136C" w:rsidRDefault="00C412B3" w:rsidP="00D0136C">
            <w:pPr>
              <w:widowControl/>
              <w:spacing w:before="0" w:beforeAutospacing="0" w:after="0" w:afterAutospacing="0" w:line="240" w:lineRule="auto"/>
              <w:rPr>
                <w:iCs/>
                <w:szCs w:val="24"/>
              </w:rPr>
            </w:pPr>
            <w:bookmarkStart w:id="397" w:name="_Toc15462"/>
            <w:bookmarkStart w:id="398" w:name="_Toc18579"/>
            <w:bookmarkStart w:id="399" w:name="_Toc20392"/>
            <w:r w:rsidRPr="00D0136C">
              <w:rPr>
                <w:iCs/>
                <w:szCs w:val="24"/>
                <w:lang w:eastAsia="zh-CN" w:bidi="ar"/>
              </w:rPr>
              <w:t>54</w:t>
            </w:r>
            <w:bookmarkEnd w:id="397"/>
            <w:bookmarkEnd w:id="398"/>
            <w:bookmarkEnd w:id="399"/>
          </w:p>
        </w:tc>
        <w:tc>
          <w:tcPr>
            <w:tcW w:w="1912" w:type="dxa"/>
            <w:vAlign w:val="center"/>
          </w:tcPr>
          <w:p w14:paraId="44691C00" w14:textId="77777777" w:rsidR="00C412B3" w:rsidRPr="00D0136C" w:rsidRDefault="00C412B3" w:rsidP="00D0136C">
            <w:pPr>
              <w:widowControl/>
              <w:spacing w:before="0" w:beforeAutospacing="0" w:after="0" w:afterAutospacing="0" w:line="240" w:lineRule="auto"/>
              <w:rPr>
                <w:iCs/>
                <w:szCs w:val="24"/>
              </w:rPr>
            </w:pPr>
            <w:bookmarkStart w:id="400" w:name="_Toc16153"/>
            <w:bookmarkStart w:id="401" w:name="_Toc30588"/>
            <w:bookmarkStart w:id="402" w:name="_Toc8707"/>
            <w:r w:rsidRPr="00D0136C">
              <w:rPr>
                <w:iCs/>
                <w:szCs w:val="24"/>
                <w:lang w:eastAsia="zh-CN" w:bidi="ar"/>
              </w:rPr>
              <w:t>36.0</w:t>
            </w:r>
            <w:bookmarkEnd w:id="400"/>
            <w:bookmarkEnd w:id="401"/>
            <w:bookmarkEnd w:id="402"/>
          </w:p>
        </w:tc>
      </w:tr>
      <w:tr w:rsidR="00C412B3" w:rsidRPr="00D0136C" w14:paraId="3A661B53" w14:textId="77777777" w:rsidTr="00823948">
        <w:tc>
          <w:tcPr>
            <w:tcW w:w="3617" w:type="dxa"/>
            <w:vAlign w:val="center"/>
          </w:tcPr>
          <w:p w14:paraId="0ADC3F4F"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3E756382" w14:textId="77777777" w:rsidR="00C412B3" w:rsidRPr="00D0136C" w:rsidRDefault="00C412B3" w:rsidP="00D0136C">
            <w:pPr>
              <w:widowControl/>
              <w:spacing w:before="0" w:beforeAutospacing="0" w:after="0" w:afterAutospacing="0" w:line="240" w:lineRule="auto"/>
              <w:rPr>
                <w:iCs/>
                <w:szCs w:val="24"/>
              </w:rPr>
            </w:pPr>
            <w:bookmarkStart w:id="403" w:name="_Toc6629"/>
            <w:bookmarkStart w:id="404" w:name="_Toc8058"/>
            <w:bookmarkStart w:id="405" w:name="_Toc29573"/>
            <w:r w:rsidRPr="00D0136C">
              <w:rPr>
                <w:iCs/>
                <w:szCs w:val="24"/>
                <w:lang w:eastAsia="zh-CN" w:bidi="ar"/>
              </w:rPr>
              <w:t>No</w:t>
            </w:r>
            <w:bookmarkEnd w:id="403"/>
            <w:bookmarkEnd w:id="404"/>
            <w:bookmarkEnd w:id="405"/>
          </w:p>
        </w:tc>
        <w:tc>
          <w:tcPr>
            <w:tcW w:w="1712" w:type="dxa"/>
            <w:vAlign w:val="center"/>
          </w:tcPr>
          <w:p w14:paraId="387759B4" w14:textId="77777777" w:rsidR="00C412B3" w:rsidRPr="00D0136C" w:rsidRDefault="00C412B3" w:rsidP="00D0136C">
            <w:pPr>
              <w:widowControl/>
              <w:spacing w:before="0" w:beforeAutospacing="0" w:after="0" w:afterAutospacing="0" w:line="240" w:lineRule="auto"/>
              <w:rPr>
                <w:iCs/>
                <w:szCs w:val="24"/>
              </w:rPr>
            </w:pPr>
            <w:bookmarkStart w:id="406" w:name="_Toc31663"/>
            <w:bookmarkStart w:id="407" w:name="_Toc17555"/>
            <w:bookmarkStart w:id="408" w:name="_Toc9820"/>
            <w:r w:rsidRPr="00D0136C">
              <w:rPr>
                <w:iCs/>
                <w:szCs w:val="24"/>
                <w:lang w:eastAsia="zh-CN" w:bidi="ar"/>
              </w:rPr>
              <w:t>89</w:t>
            </w:r>
            <w:bookmarkEnd w:id="406"/>
            <w:bookmarkEnd w:id="407"/>
            <w:bookmarkEnd w:id="408"/>
          </w:p>
        </w:tc>
        <w:tc>
          <w:tcPr>
            <w:tcW w:w="1912" w:type="dxa"/>
            <w:vAlign w:val="center"/>
          </w:tcPr>
          <w:p w14:paraId="55B9224F" w14:textId="77777777" w:rsidR="00C412B3" w:rsidRPr="00D0136C" w:rsidRDefault="00C412B3" w:rsidP="00D0136C">
            <w:pPr>
              <w:widowControl/>
              <w:spacing w:before="0" w:beforeAutospacing="0" w:after="0" w:afterAutospacing="0" w:line="240" w:lineRule="auto"/>
              <w:rPr>
                <w:iCs/>
                <w:szCs w:val="24"/>
              </w:rPr>
            </w:pPr>
            <w:bookmarkStart w:id="409" w:name="_Toc17287"/>
            <w:bookmarkStart w:id="410" w:name="_Toc1972"/>
            <w:bookmarkStart w:id="411" w:name="_Toc14316"/>
            <w:r w:rsidRPr="00D0136C">
              <w:rPr>
                <w:iCs/>
                <w:szCs w:val="24"/>
                <w:lang w:eastAsia="zh-CN" w:bidi="ar"/>
              </w:rPr>
              <w:t>59.3</w:t>
            </w:r>
            <w:bookmarkEnd w:id="409"/>
            <w:bookmarkEnd w:id="410"/>
            <w:bookmarkEnd w:id="411"/>
          </w:p>
        </w:tc>
      </w:tr>
      <w:tr w:rsidR="00C412B3" w:rsidRPr="00D0136C" w14:paraId="591E03B2" w14:textId="77777777" w:rsidTr="00823948">
        <w:tc>
          <w:tcPr>
            <w:tcW w:w="3617" w:type="dxa"/>
            <w:vAlign w:val="center"/>
          </w:tcPr>
          <w:p w14:paraId="7A3304D5"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124D5CBD" w14:textId="77777777" w:rsidR="00C412B3" w:rsidRPr="00D0136C" w:rsidRDefault="00C412B3" w:rsidP="00D0136C">
            <w:pPr>
              <w:widowControl/>
              <w:spacing w:before="0" w:beforeAutospacing="0" w:after="0" w:afterAutospacing="0" w:line="240" w:lineRule="auto"/>
              <w:rPr>
                <w:iCs/>
                <w:szCs w:val="24"/>
              </w:rPr>
            </w:pPr>
            <w:bookmarkStart w:id="412" w:name="_Toc31010"/>
            <w:bookmarkStart w:id="413" w:name="_Toc26177"/>
            <w:bookmarkStart w:id="414" w:name="_Toc26713"/>
            <w:r w:rsidRPr="00D0136C">
              <w:rPr>
                <w:iCs/>
                <w:szCs w:val="24"/>
                <w:lang w:eastAsia="zh-CN" w:bidi="ar"/>
              </w:rPr>
              <w:t>Prefer not to say</w:t>
            </w:r>
            <w:bookmarkEnd w:id="412"/>
            <w:bookmarkEnd w:id="413"/>
            <w:bookmarkEnd w:id="414"/>
          </w:p>
        </w:tc>
        <w:tc>
          <w:tcPr>
            <w:tcW w:w="1712" w:type="dxa"/>
            <w:vAlign w:val="center"/>
          </w:tcPr>
          <w:p w14:paraId="3CEB6DCA" w14:textId="77777777" w:rsidR="00C412B3" w:rsidRPr="00D0136C" w:rsidRDefault="00C412B3" w:rsidP="00D0136C">
            <w:pPr>
              <w:widowControl/>
              <w:spacing w:before="0" w:beforeAutospacing="0" w:after="0" w:afterAutospacing="0" w:line="240" w:lineRule="auto"/>
              <w:rPr>
                <w:iCs/>
                <w:szCs w:val="24"/>
              </w:rPr>
            </w:pPr>
            <w:bookmarkStart w:id="415" w:name="_Toc2395"/>
            <w:bookmarkStart w:id="416" w:name="_Toc12875"/>
            <w:bookmarkStart w:id="417" w:name="_Toc18904"/>
            <w:r w:rsidRPr="00D0136C">
              <w:rPr>
                <w:iCs/>
                <w:szCs w:val="24"/>
                <w:lang w:eastAsia="zh-CN" w:bidi="ar"/>
              </w:rPr>
              <w:t>3</w:t>
            </w:r>
            <w:bookmarkEnd w:id="415"/>
            <w:bookmarkEnd w:id="416"/>
            <w:bookmarkEnd w:id="417"/>
          </w:p>
        </w:tc>
        <w:tc>
          <w:tcPr>
            <w:tcW w:w="1912" w:type="dxa"/>
            <w:vAlign w:val="center"/>
          </w:tcPr>
          <w:p w14:paraId="2EDFC1E4" w14:textId="77777777" w:rsidR="00C412B3" w:rsidRPr="00D0136C" w:rsidRDefault="00C412B3" w:rsidP="00D0136C">
            <w:pPr>
              <w:widowControl/>
              <w:spacing w:before="0" w:beforeAutospacing="0" w:after="0" w:afterAutospacing="0" w:line="240" w:lineRule="auto"/>
              <w:rPr>
                <w:iCs/>
                <w:szCs w:val="24"/>
              </w:rPr>
            </w:pPr>
            <w:bookmarkStart w:id="418" w:name="_Toc2252"/>
            <w:bookmarkStart w:id="419" w:name="_Toc9844"/>
            <w:bookmarkStart w:id="420" w:name="_Toc11331"/>
            <w:r w:rsidRPr="00D0136C">
              <w:rPr>
                <w:iCs/>
                <w:szCs w:val="24"/>
                <w:lang w:eastAsia="zh-CN" w:bidi="ar"/>
              </w:rPr>
              <w:t>2.0</w:t>
            </w:r>
            <w:bookmarkEnd w:id="418"/>
            <w:bookmarkEnd w:id="419"/>
            <w:bookmarkEnd w:id="420"/>
          </w:p>
        </w:tc>
      </w:tr>
      <w:tr w:rsidR="00C412B3" w:rsidRPr="00D0136C" w14:paraId="1AB293A1" w14:textId="77777777" w:rsidTr="00823948">
        <w:tc>
          <w:tcPr>
            <w:tcW w:w="3617" w:type="dxa"/>
            <w:vAlign w:val="center"/>
          </w:tcPr>
          <w:p w14:paraId="6F80A285"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34E7C6DF" w14:textId="77777777" w:rsidR="00C412B3" w:rsidRPr="00D0136C" w:rsidRDefault="00C412B3" w:rsidP="00D0136C">
            <w:pPr>
              <w:widowControl/>
              <w:spacing w:before="0" w:beforeAutospacing="0" w:after="0" w:afterAutospacing="0" w:line="240" w:lineRule="auto"/>
              <w:rPr>
                <w:iCs/>
                <w:szCs w:val="24"/>
              </w:rPr>
            </w:pPr>
            <w:bookmarkStart w:id="421" w:name="_Toc16646"/>
            <w:bookmarkStart w:id="422" w:name="_Toc26514"/>
            <w:bookmarkStart w:id="423" w:name="_Toc21701"/>
            <w:r w:rsidRPr="00D0136C">
              <w:rPr>
                <w:iCs/>
                <w:szCs w:val="24"/>
                <w:lang w:eastAsia="zh-CN" w:bidi="ar"/>
              </w:rPr>
              <w:t>Missing</w:t>
            </w:r>
            <w:bookmarkEnd w:id="421"/>
            <w:bookmarkEnd w:id="422"/>
            <w:bookmarkEnd w:id="423"/>
          </w:p>
        </w:tc>
        <w:tc>
          <w:tcPr>
            <w:tcW w:w="1712" w:type="dxa"/>
            <w:vAlign w:val="center"/>
          </w:tcPr>
          <w:p w14:paraId="3AC52AE9" w14:textId="77777777" w:rsidR="00C412B3" w:rsidRPr="00D0136C" w:rsidRDefault="00C412B3" w:rsidP="00D0136C">
            <w:pPr>
              <w:widowControl/>
              <w:spacing w:before="0" w:beforeAutospacing="0" w:after="0" w:afterAutospacing="0" w:line="240" w:lineRule="auto"/>
              <w:rPr>
                <w:iCs/>
                <w:szCs w:val="24"/>
              </w:rPr>
            </w:pPr>
            <w:bookmarkStart w:id="424" w:name="_Toc17345"/>
            <w:bookmarkStart w:id="425" w:name="_Toc19103"/>
            <w:bookmarkStart w:id="426" w:name="_Toc1298"/>
            <w:r w:rsidRPr="00D0136C">
              <w:rPr>
                <w:iCs/>
                <w:szCs w:val="24"/>
                <w:lang w:eastAsia="zh-CN" w:bidi="ar"/>
              </w:rPr>
              <w:t>4</w:t>
            </w:r>
            <w:bookmarkEnd w:id="424"/>
            <w:bookmarkEnd w:id="425"/>
            <w:bookmarkEnd w:id="426"/>
          </w:p>
        </w:tc>
        <w:tc>
          <w:tcPr>
            <w:tcW w:w="1912" w:type="dxa"/>
            <w:vAlign w:val="center"/>
          </w:tcPr>
          <w:p w14:paraId="390BF494" w14:textId="77777777" w:rsidR="00C412B3" w:rsidRPr="00D0136C" w:rsidRDefault="00C412B3" w:rsidP="00D0136C">
            <w:pPr>
              <w:widowControl/>
              <w:spacing w:before="0" w:beforeAutospacing="0" w:after="0" w:afterAutospacing="0" w:line="240" w:lineRule="auto"/>
              <w:rPr>
                <w:iCs/>
                <w:szCs w:val="24"/>
              </w:rPr>
            </w:pPr>
            <w:bookmarkStart w:id="427" w:name="_Toc10417"/>
            <w:bookmarkStart w:id="428" w:name="_Toc20182"/>
            <w:bookmarkStart w:id="429" w:name="_Toc4150"/>
            <w:r w:rsidRPr="00D0136C">
              <w:rPr>
                <w:iCs/>
                <w:szCs w:val="24"/>
                <w:lang w:eastAsia="zh-CN" w:bidi="ar"/>
              </w:rPr>
              <w:t>2.7</w:t>
            </w:r>
            <w:bookmarkEnd w:id="427"/>
            <w:bookmarkEnd w:id="428"/>
            <w:bookmarkEnd w:id="429"/>
          </w:p>
        </w:tc>
      </w:tr>
      <w:tr w:rsidR="00C412B3" w:rsidRPr="00D0136C" w14:paraId="49510570" w14:textId="77777777" w:rsidTr="00823948">
        <w:tc>
          <w:tcPr>
            <w:tcW w:w="3617" w:type="dxa"/>
            <w:vAlign w:val="center"/>
          </w:tcPr>
          <w:p w14:paraId="4FD6545D" w14:textId="77777777" w:rsidR="00C412B3" w:rsidRPr="00D0136C" w:rsidRDefault="00C412B3" w:rsidP="00D0136C">
            <w:pPr>
              <w:widowControl/>
              <w:spacing w:before="0" w:beforeAutospacing="0" w:after="0" w:afterAutospacing="0" w:line="240" w:lineRule="auto"/>
              <w:rPr>
                <w:iCs/>
                <w:szCs w:val="24"/>
              </w:rPr>
            </w:pPr>
            <w:bookmarkStart w:id="430" w:name="_Toc31810"/>
            <w:bookmarkStart w:id="431" w:name="_Toc25062"/>
            <w:bookmarkStart w:id="432" w:name="_Toc18732"/>
            <w:r w:rsidRPr="00D0136C">
              <w:rPr>
                <w:rStyle w:val="Strong"/>
                <w:iCs/>
                <w:szCs w:val="24"/>
                <w:lang w:eastAsia="zh-CN" w:bidi="ar"/>
              </w:rPr>
              <w:t>Routine STI Check-Up Attendance</w:t>
            </w:r>
            <w:bookmarkEnd w:id="430"/>
            <w:bookmarkEnd w:id="431"/>
            <w:bookmarkEnd w:id="432"/>
          </w:p>
        </w:tc>
        <w:tc>
          <w:tcPr>
            <w:tcW w:w="1624" w:type="dxa"/>
            <w:vAlign w:val="center"/>
          </w:tcPr>
          <w:p w14:paraId="6C6F5B8F" w14:textId="77777777" w:rsidR="00C412B3" w:rsidRPr="00D0136C" w:rsidRDefault="00C412B3" w:rsidP="00D0136C">
            <w:pPr>
              <w:widowControl/>
              <w:spacing w:before="0" w:beforeAutospacing="0" w:after="0" w:afterAutospacing="0" w:line="240" w:lineRule="auto"/>
              <w:rPr>
                <w:iCs/>
                <w:szCs w:val="24"/>
              </w:rPr>
            </w:pPr>
            <w:bookmarkStart w:id="433" w:name="_Toc16205"/>
            <w:bookmarkStart w:id="434" w:name="_Toc17704"/>
            <w:bookmarkStart w:id="435" w:name="_Toc11912"/>
            <w:r w:rsidRPr="00D0136C">
              <w:rPr>
                <w:iCs/>
                <w:szCs w:val="24"/>
                <w:lang w:eastAsia="zh-CN" w:bidi="ar"/>
              </w:rPr>
              <w:t>Yes</w:t>
            </w:r>
            <w:bookmarkEnd w:id="433"/>
            <w:bookmarkEnd w:id="434"/>
            <w:bookmarkEnd w:id="435"/>
          </w:p>
        </w:tc>
        <w:tc>
          <w:tcPr>
            <w:tcW w:w="1712" w:type="dxa"/>
            <w:vAlign w:val="center"/>
          </w:tcPr>
          <w:p w14:paraId="07186CBF" w14:textId="77777777" w:rsidR="00C412B3" w:rsidRPr="00D0136C" w:rsidRDefault="00C412B3" w:rsidP="00D0136C">
            <w:pPr>
              <w:widowControl/>
              <w:spacing w:before="0" w:beforeAutospacing="0" w:after="0" w:afterAutospacing="0" w:line="240" w:lineRule="auto"/>
              <w:rPr>
                <w:iCs/>
                <w:szCs w:val="24"/>
              </w:rPr>
            </w:pPr>
            <w:bookmarkStart w:id="436" w:name="_Toc23025"/>
            <w:bookmarkStart w:id="437" w:name="_Toc32593"/>
            <w:bookmarkStart w:id="438" w:name="_Toc6148"/>
            <w:r w:rsidRPr="00D0136C">
              <w:rPr>
                <w:iCs/>
                <w:szCs w:val="24"/>
                <w:lang w:eastAsia="zh-CN" w:bidi="ar"/>
              </w:rPr>
              <w:t>62</w:t>
            </w:r>
            <w:bookmarkEnd w:id="436"/>
            <w:bookmarkEnd w:id="437"/>
            <w:bookmarkEnd w:id="438"/>
          </w:p>
        </w:tc>
        <w:tc>
          <w:tcPr>
            <w:tcW w:w="1912" w:type="dxa"/>
            <w:vAlign w:val="center"/>
          </w:tcPr>
          <w:p w14:paraId="4F108F29" w14:textId="77777777" w:rsidR="00C412B3" w:rsidRPr="00D0136C" w:rsidRDefault="00C412B3" w:rsidP="00D0136C">
            <w:pPr>
              <w:widowControl/>
              <w:spacing w:before="0" w:beforeAutospacing="0" w:after="0" w:afterAutospacing="0" w:line="240" w:lineRule="auto"/>
              <w:rPr>
                <w:iCs/>
                <w:szCs w:val="24"/>
              </w:rPr>
            </w:pPr>
            <w:bookmarkStart w:id="439" w:name="_Toc24158"/>
            <w:bookmarkStart w:id="440" w:name="_Toc2774"/>
            <w:bookmarkStart w:id="441" w:name="_Toc1980"/>
            <w:r w:rsidRPr="00D0136C">
              <w:rPr>
                <w:iCs/>
                <w:szCs w:val="24"/>
                <w:lang w:eastAsia="zh-CN" w:bidi="ar"/>
              </w:rPr>
              <w:t>41.3</w:t>
            </w:r>
            <w:bookmarkEnd w:id="439"/>
            <w:bookmarkEnd w:id="440"/>
            <w:bookmarkEnd w:id="441"/>
          </w:p>
        </w:tc>
      </w:tr>
      <w:tr w:rsidR="00C412B3" w:rsidRPr="00D0136C" w14:paraId="19AB6C65" w14:textId="77777777" w:rsidTr="00823948">
        <w:tc>
          <w:tcPr>
            <w:tcW w:w="3617" w:type="dxa"/>
            <w:vAlign w:val="center"/>
          </w:tcPr>
          <w:p w14:paraId="444A88F5" w14:textId="77777777" w:rsidR="00C412B3" w:rsidRPr="00D0136C" w:rsidRDefault="00C412B3" w:rsidP="00D0136C">
            <w:pPr>
              <w:widowControl/>
              <w:spacing w:before="0" w:beforeAutospacing="0" w:after="0" w:afterAutospacing="0" w:line="240" w:lineRule="auto"/>
              <w:outlineLvl w:val="9"/>
              <w:rPr>
                <w:iCs/>
                <w:szCs w:val="24"/>
              </w:rPr>
            </w:pPr>
          </w:p>
        </w:tc>
        <w:tc>
          <w:tcPr>
            <w:tcW w:w="1624" w:type="dxa"/>
            <w:vAlign w:val="center"/>
          </w:tcPr>
          <w:p w14:paraId="7A74EEB9" w14:textId="77777777" w:rsidR="00C412B3" w:rsidRPr="00D0136C" w:rsidRDefault="00C412B3" w:rsidP="00D0136C">
            <w:pPr>
              <w:widowControl/>
              <w:spacing w:before="0" w:beforeAutospacing="0" w:after="0" w:afterAutospacing="0" w:line="240" w:lineRule="auto"/>
              <w:rPr>
                <w:iCs/>
                <w:szCs w:val="24"/>
              </w:rPr>
            </w:pPr>
            <w:bookmarkStart w:id="442" w:name="_Toc21503"/>
            <w:bookmarkStart w:id="443" w:name="_Toc17926"/>
            <w:bookmarkStart w:id="444" w:name="_Toc19818"/>
            <w:r w:rsidRPr="00D0136C">
              <w:rPr>
                <w:iCs/>
                <w:szCs w:val="24"/>
                <w:lang w:eastAsia="zh-CN" w:bidi="ar"/>
              </w:rPr>
              <w:t>No</w:t>
            </w:r>
            <w:bookmarkEnd w:id="442"/>
            <w:bookmarkEnd w:id="443"/>
            <w:bookmarkEnd w:id="444"/>
          </w:p>
        </w:tc>
        <w:tc>
          <w:tcPr>
            <w:tcW w:w="1712" w:type="dxa"/>
            <w:vAlign w:val="center"/>
          </w:tcPr>
          <w:p w14:paraId="72F73999" w14:textId="77777777" w:rsidR="00C412B3" w:rsidRPr="00D0136C" w:rsidRDefault="00C412B3" w:rsidP="00D0136C">
            <w:pPr>
              <w:widowControl/>
              <w:spacing w:before="0" w:beforeAutospacing="0" w:after="0" w:afterAutospacing="0" w:line="240" w:lineRule="auto"/>
              <w:rPr>
                <w:iCs/>
                <w:szCs w:val="24"/>
              </w:rPr>
            </w:pPr>
            <w:bookmarkStart w:id="445" w:name="_Toc12730"/>
            <w:bookmarkStart w:id="446" w:name="_Toc17747"/>
            <w:bookmarkStart w:id="447" w:name="_Toc32058"/>
            <w:r w:rsidRPr="00D0136C">
              <w:rPr>
                <w:iCs/>
                <w:szCs w:val="24"/>
                <w:lang w:eastAsia="zh-CN" w:bidi="ar"/>
              </w:rPr>
              <w:t>88</w:t>
            </w:r>
            <w:bookmarkEnd w:id="445"/>
            <w:bookmarkEnd w:id="446"/>
            <w:bookmarkEnd w:id="447"/>
          </w:p>
        </w:tc>
        <w:tc>
          <w:tcPr>
            <w:tcW w:w="1912" w:type="dxa"/>
            <w:vAlign w:val="center"/>
          </w:tcPr>
          <w:p w14:paraId="11698F4E" w14:textId="77777777" w:rsidR="00C412B3" w:rsidRPr="00D0136C" w:rsidRDefault="00C412B3" w:rsidP="00D0136C">
            <w:pPr>
              <w:widowControl/>
              <w:spacing w:before="0" w:beforeAutospacing="0" w:after="0" w:afterAutospacing="0" w:line="240" w:lineRule="auto"/>
              <w:rPr>
                <w:iCs/>
                <w:szCs w:val="24"/>
              </w:rPr>
            </w:pPr>
            <w:bookmarkStart w:id="448" w:name="_Toc13140"/>
            <w:bookmarkStart w:id="449" w:name="_Toc13788"/>
            <w:bookmarkStart w:id="450" w:name="_Toc24860"/>
            <w:r w:rsidRPr="00D0136C">
              <w:rPr>
                <w:iCs/>
                <w:szCs w:val="24"/>
                <w:lang w:eastAsia="zh-CN" w:bidi="ar"/>
              </w:rPr>
              <w:t>58.7</w:t>
            </w:r>
            <w:bookmarkEnd w:id="448"/>
            <w:bookmarkEnd w:id="449"/>
            <w:bookmarkEnd w:id="450"/>
          </w:p>
        </w:tc>
      </w:tr>
    </w:tbl>
    <w:p w14:paraId="606A15FD" w14:textId="77777777" w:rsidR="00C412B3" w:rsidRPr="00D0136C" w:rsidRDefault="00C412B3" w:rsidP="00D0136C">
      <w:pPr>
        <w:spacing w:before="0" w:beforeAutospacing="0" w:after="0" w:afterAutospacing="0" w:line="240" w:lineRule="auto"/>
        <w:jc w:val="both"/>
        <w:outlineLvl w:val="9"/>
        <w:rPr>
          <w:iCs/>
          <w:szCs w:val="24"/>
        </w:rPr>
      </w:pPr>
    </w:p>
    <w:p w14:paraId="60DA66B2"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35A2A80F" w14:textId="77777777" w:rsidR="00C412B3" w:rsidRPr="00D0136C" w:rsidRDefault="00C412B3" w:rsidP="00D0136C">
      <w:pPr>
        <w:pStyle w:val="NormalWeb"/>
        <w:spacing w:beforeAutospacing="0" w:afterAutospacing="0"/>
        <w:jc w:val="both"/>
        <w:rPr>
          <w:rStyle w:val="Strong"/>
          <w:iCs/>
        </w:rPr>
      </w:pPr>
    </w:p>
    <w:p w14:paraId="3C1628C8" w14:textId="77777777" w:rsidR="00C412B3" w:rsidRPr="00D0136C" w:rsidRDefault="00C412B3" w:rsidP="00D0136C">
      <w:pPr>
        <w:pStyle w:val="NormalWeb"/>
        <w:spacing w:beforeAutospacing="0" w:afterAutospacing="0"/>
        <w:jc w:val="both"/>
        <w:rPr>
          <w:rStyle w:val="Strong"/>
          <w:iCs/>
        </w:rPr>
      </w:pPr>
    </w:p>
    <w:p w14:paraId="3927589F" w14:textId="77777777" w:rsidR="00C412B3" w:rsidRPr="00D0136C" w:rsidRDefault="00C412B3" w:rsidP="00D0136C">
      <w:pPr>
        <w:pStyle w:val="NormalWeb"/>
        <w:spacing w:beforeAutospacing="0" w:afterAutospacing="0"/>
        <w:jc w:val="both"/>
        <w:rPr>
          <w:rStyle w:val="Strong"/>
          <w:iCs/>
        </w:rPr>
      </w:pPr>
    </w:p>
    <w:p w14:paraId="357FAF0B" w14:textId="77777777" w:rsidR="00C412B3" w:rsidRPr="00D0136C" w:rsidRDefault="00C412B3" w:rsidP="00D0136C">
      <w:pPr>
        <w:pStyle w:val="NormalWeb"/>
        <w:spacing w:beforeAutospacing="0" w:afterAutospacing="0"/>
        <w:jc w:val="both"/>
        <w:rPr>
          <w:rStyle w:val="Strong"/>
          <w:iCs/>
        </w:rPr>
      </w:pPr>
    </w:p>
    <w:p w14:paraId="7E6B0652" w14:textId="77777777" w:rsidR="00C412B3" w:rsidRPr="00D0136C" w:rsidRDefault="00C412B3" w:rsidP="00D0136C">
      <w:pPr>
        <w:pStyle w:val="NormalWeb"/>
        <w:spacing w:beforeAutospacing="0" w:afterAutospacing="0"/>
        <w:jc w:val="both"/>
        <w:rPr>
          <w:rFonts w:eastAsia="Times New Roman"/>
        </w:rPr>
      </w:pPr>
    </w:p>
    <w:p w14:paraId="6ADE6302"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38438534" wp14:editId="1159DD88">
            <wp:extent cx="5943600" cy="4460875"/>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0"/>
                    <pic:cNvPicPr>
                      <a:picLocks noChangeAspect="1"/>
                    </pic:cNvPicPr>
                  </pic:nvPicPr>
                  <pic:blipFill>
                    <a:blip r:embed="rId13"/>
                    <a:srcRect t="6208"/>
                    <a:stretch>
                      <a:fillRect/>
                    </a:stretch>
                  </pic:blipFill>
                  <pic:spPr>
                    <a:xfrm>
                      <a:off x="0" y="0"/>
                      <a:ext cx="5943600" cy="4460875"/>
                    </a:xfrm>
                    <a:prstGeom prst="rect">
                      <a:avLst/>
                    </a:prstGeom>
                    <a:noFill/>
                    <a:ln>
                      <a:noFill/>
                    </a:ln>
                  </pic:spPr>
                </pic:pic>
              </a:graphicData>
            </a:graphic>
          </wp:inline>
        </w:drawing>
      </w:r>
    </w:p>
    <w:p w14:paraId="7089413B" w14:textId="258F4887" w:rsidR="00C412B3" w:rsidRPr="00D0136C" w:rsidRDefault="00C412B3" w:rsidP="00D0136C">
      <w:pPr>
        <w:pStyle w:val="NormalWeb"/>
        <w:spacing w:beforeAutospacing="0" w:afterAutospacing="0"/>
        <w:jc w:val="both"/>
        <w:rPr>
          <w:iCs/>
        </w:rPr>
      </w:pPr>
      <w:r w:rsidRPr="00D0136C">
        <w:rPr>
          <w:rStyle w:val="Strong"/>
          <w:iCs/>
        </w:rPr>
        <w:t>Figure 5.</w:t>
      </w:r>
      <w:r w:rsidRPr="00D0136C">
        <w:rPr>
          <w:iCs/>
        </w:rPr>
        <w:t xml:space="preserve"> Proportion of respondents who received sexual education. </w:t>
      </w:r>
    </w:p>
    <w:p w14:paraId="5C9857DD" w14:textId="77777777" w:rsidR="00C412B3" w:rsidRPr="00D0136C" w:rsidRDefault="00C412B3" w:rsidP="00D0136C">
      <w:pPr>
        <w:pStyle w:val="NormalWeb"/>
        <w:spacing w:beforeAutospacing="0" w:afterAutospacing="0"/>
        <w:jc w:val="both"/>
        <w:rPr>
          <w:iCs/>
        </w:rPr>
      </w:pPr>
      <w:r w:rsidRPr="00D0136C">
        <w:rPr>
          <w:iCs/>
          <w:color w:val="EE0000"/>
        </w:rPr>
        <w:br/>
      </w:r>
    </w:p>
    <w:p w14:paraId="5B6F949F" w14:textId="77777777" w:rsidR="00C412B3" w:rsidRPr="00D0136C" w:rsidRDefault="00C412B3" w:rsidP="00D0136C">
      <w:pPr>
        <w:spacing w:after="0" w:afterAutospacing="0" w:line="240" w:lineRule="auto"/>
        <w:jc w:val="both"/>
        <w:outlineLvl w:val="9"/>
        <w:rPr>
          <w:iCs/>
          <w:szCs w:val="24"/>
        </w:rPr>
      </w:pPr>
      <w:r w:rsidRPr="00D0136C">
        <w:rPr>
          <w:iCs/>
          <w:szCs w:val="24"/>
        </w:rPr>
        <w:br w:type="page"/>
      </w:r>
    </w:p>
    <w:p w14:paraId="62A581B5" w14:textId="77777777" w:rsidR="00C412B3" w:rsidRPr="00D0136C" w:rsidRDefault="00C412B3" w:rsidP="00D0136C">
      <w:pPr>
        <w:pStyle w:val="NormalWeb"/>
        <w:spacing w:beforeAutospacing="0" w:afterAutospacing="0"/>
        <w:jc w:val="both"/>
        <w:rPr>
          <w:rStyle w:val="Strong"/>
          <w:iCs/>
        </w:rPr>
      </w:pPr>
    </w:p>
    <w:p w14:paraId="026DF6D1" w14:textId="77777777" w:rsidR="00C412B3" w:rsidRPr="00D0136C" w:rsidRDefault="00C412B3" w:rsidP="00D0136C">
      <w:pPr>
        <w:pStyle w:val="NormalWeb"/>
        <w:spacing w:beforeAutospacing="0" w:afterAutospacing="0"/>
        <w:jc w:val="both"/>
        <w:rPr>
          <w:rFonts w:eastAsia="Times New Roman"/>
        </w:rPr>
      </w:pPr>
    </w:p>
    <w:p w14:paraId="4FA25F48"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3F946261" wp14:editId="3A8EF104">
            <wp:extent cx="5943600" cy="4436745"/>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pic:cNvPicPr>
                      <a:picLocks noChangeAspect="1"/>
                    </pic:cNvPicPr>
                  </pic:nvPicPr>
                  <pic:blipFill>
                    <a:blip r:embed="rId14"/>
                    <a:srcRect t="6716"/>
                    <a:stretch>
                      <a:fillRect/>
                    </a:stretch>
                  </pic:blipFill>
                  <pic:spPr>
                    <a:xfrm>
                      <a:off x="0" y="0"/>
                      <a:ext cx="5943600" cy="4436745"/>
                    </a:xfrm>
                    <a:prstGeom prst="rect">
                      <a:avLst/>
                    </a:prstGeom>
                    <a:noFill/>
                    <a:ln>
                      <a:noFill/>
                    </a:ln>
                  </pic:spPr>
                </pic:pic>
              </a:graphicData>
            </a:graphic>
          </wp:inline>
        </w:drawing>
      </w:r>
    </w:p>
    <w:p w14:paraId="232E1F35" w14:textId="5BF525BB" w:rsidR="00C412B3" w:rsidRPr="00D0136C" w:rsidRDefault="00C412B3" w:rsidP="00D0136C">
      <w:pPr>
        <w:pStyle w:val="NormalWeb"/>
        <w:spacing w:beforeAutospacing="0" w:afterAutospacing="0"/>
        <w:jc w:val="both"/>
        <w:rPr>
          <w:iCs/>
          <w:color w:val="EE0000"/>
        </w:rPr>
      </w:pPr>
      <w:r w:rsidRPr="00D0136C">
        <w:rPr>
          <w:rStyle w:val="Strong"/>
          <w:iCs/>
        </w:rPr>
        <w:t>Figure 6.</w:t>
      </w:r>
      <w:r w:rsidRPr="00D0136C">
        <w:rPr>
          <w:iCs/>
        </w:rPr>
        <w:t xml:space="preserve"> Current sexual activity among participants. </w:t>
      </w:r>
    </w:p>
    <w:p w14:paraId="3B6FFAC3" w14:textId="77777777" w:rsidR="00C412B3" w:rsidRPr="00D0136C" w:rsidRDefault="00C412B3" w:rsidP="00D0136C">
      <w:pPr>
        <w:spacing w:after="0" w:afterAutospacing="0" w:line="240" w:lineRule="auto"/>
        <w:jc w:val="both"/>
        <w:outlineLvl w:val="9"/>
        <w:rPr>
          <w:iCs/>
          <w:szCs w:val="24"/>
        </w:rPr>
      </w:pPr>
      <w:r w:rsidRPr="00D0136C">
        <w:rPr>
          <w:iCs/>
          <w:szCs w:val="24"/>
        </w:rPr>
        <w:br w:type="page"/>
      </w:r>
    </w:p>
    <w:p w14:paraId="51F3E1C2" w14:textId="77777777" w:rsidR="00C412B3" w:rsidRPr="00D0136C" w:rsidRDefault="00C412B3" w:rsidP="00D0136C">
      <w:pPr>
        <w:pStyle w:val="NormalWeb"/>
        <w:spacing w:beforeAutospacing="0" w:afterAutospacing="0"/>
        <w:jc w:val="both"/>
        <w:rPr>
          <w:rStyle w:val="Strong"/>
          <w:iCs/>
        </w:rPr>
      </w:pPr>
    </w:p>
    <w:p w14:paraId="14289DEE" w14:textId="77777777" w:rsidR="00C412B3" w:rsidRPr="00D0136C" w:rsidRDefault="00C412B3" w:rsidP="00D0136C">
      <w:pPr>
        <w:pStyle w:val="NormalWeb"/>
        <w:spacing w:beforeAutospacing="0" w:afterAutospacing="0"/>
        <w:jc w:val="both"/>
        <w:rPr>
          <w:rFonts w:eastAsia="Times New Roman"/>
        </w:rPr>
      </w:pPr>
    </w:p>
    <w:p w14:paraId="753F6DC1"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18C0EEC3" wp14:editId="3C946D2E">
            <wp:extent cx="5943600" cy="4436110"/>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pic:cNvPicPr>
                      <a:picLocks noChangeAspect="1"/>
                    </pic:cNvPicPr>
                  </pic:nvPicPr>
                  <pic:blipFill>
                    <a:blip r:embed="rId15"/>
                    <a:srcRect t="6729"/>
                    <a:stretch>
                      <a:fillRect/>
                    </a:stretch>
                  </pic:blipFill>
                  <pic:spPr>
                    <a:xfrm>
                      <a:off x="0" y="0"/>
                      <a:ext cx="5943600" cy="4436110"/>
                    </a:xfrm>
                    <a:prstGeom prst="rect">
                      <a:avLst/>
                    </a:prstGeom>
                    <a:noFill/>
                    <a:ln>
                      <a:noFill/>
                    </a:ln>
                  </pic:spPr>
                </pic:pic>
              </a:graphicData>
            </a:graphic>
          </wp:inline>
        </w:drawing>
      </w:r>
    </w:p>
    <w:p w14:paraId="1D626B18" w14:textId="5666DC66" w:rsidR="00C412B3" w:rsidRPr="00D0136C" w:rsidRDefault="00C412B3" w:rsidP="00D0136C">
      <w:pPr>
        <w:pStyle w:val="NormalWeb"/>
        <w:spacing w:beforeAutospacing="0" w:afterAutospacing="0"/>
        <w:jc w:val="both"/>
        <w:rPr>
          <w:iCs/>
        </w:rPr>
      </w:pPr>
      <w:r w:rsidRPr="00D0136C">
        <w:rPr>
          <w:rStyle w:val="Strong"/>
          <w:iCs/>
        </w:rPr>
        <w:t>Figure 7.</w:t>
      </w:r>
      <w:r w:rsidRPr="00D0136C">
        <w:rPr>
          <w:iCs/>
        </w:rPr>
        <w:t xml:space="preserve"> Engagement in unprotected sex among participants. </w:t>
      </w:r>
    </w:p>
    <w:p w14:paraId="63B3336F" w14:textId="77777777" w:rsidR="00C412B3" w:rsidRPr="00D0136C" w:rsidRDefault="00C412B3" w:rsidP="00D0136C">
      <w:pPr>
        <w:pStyle w:val="NormalWeb"/>
        <w:spacing w:beforeAutospacing="0" w:afterAutospacing="0"/>
        <w:jc w:val="both"/>
        <w:rPr>
          <w:iCs/>
        </w:rPr>
      </w:pPr>
    </w:p>
    <w:p w14:paraId="6CC9209C" w14:textId="77777777" w:rsidR="00C412B3" w:rsidRPr="00D0136C" w:rsidRDefault="00C412B3" w:rsidP="00D0136C">
      <w:pPr>
        <w:spacing w:after="0" w:afterAutospacing="0" w:line="240" w:lineRule="auto"/>
        <w:jc w:val="both"/>
        <w:outlineLvl w:val="9"/>
        <w:rPr>
          <w:iCs/>
          <w:szCs w:val="24"/>
        </w:rPr>
      </w:pPr>
      <w:r w:rsidRPr="00D0136C">
        <w:rPr>
          <w:iCs/>
          <w:szCs w:val="24"/>
        </w:rPr>
        <w:br w:type="page"/>
      </w:r>
    </w:p>
    <w:p w14:paraId="7AF4E11A" w14:textId="77777777" w:rsidR="00C412B3" w:rsidRPr="00D0136C" w:rsidRDefault="00C412B3" w:rsidP="00D0136C">
      <w:pPr>
        <w:pStyle w:val="NormalWeb"/>
        <w:spacing w:beforeAutospacing="0" w:afterAutospacing="0"/>
        <w:jc w:val="both"/>
        <w:rPr>
          <w:rStyle w:val="Strong"/>
          <w:iCs/>
        </w:rPr>
      </w:pPr>
    </w:p>
    <w:p w14:paraId="1F6C99F5" w14:textId="77777777" w:rsidR="00C412B3" w:rsidRPr="00D0136C" w:rsidRDefault="00C412B3" w:rsidP="00D0136C">
      <w:pPr>
        <w:pStyle w:val="NormalWeb"/>
        <w:spacing w:beforeAutospacing="0" w:afterAutospacing="0"/>
        <w:jc w:val="both"/>
        <w:rPr>
          <w:rFonts w:eastAsia="Times New Roman"/>
        </w:rPr>
      </w:pPr>
    </w:p>
    <w:p w14:paraId="245B1B0E"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252D5C59" wp14:editId="583C859E">
            <wp:extent cx="5943600" cy="4439920"/>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pic:cNvPicPr>
                      <a:picLocks noChangeAspect="1"/>
                    </pic:cNvPicPr>
                  </pic:nvPicPr>
                  <pic:blipFill>
                    <a:blip r:embed="rId16"/>
                    <a:srcRect t="6649"/>
                    <a:stretch>
                      <a:fillRect/>
                    </a:stretch>
                  </pic:blipFill>
                  <pic:spPr>
                    <a:xfrm>
                      <a:off x="0" y="0"/>
                      <a:ext cx="5943600" cy="4439920"/>
                    </a:xfrm>
                    <a:prstGeom prst="rect">
                      <a:avLst/>
                    </a:prstGeom>
                    <a:noFill/>
                    <a:ln>
                      <a:noFill/>
                    </a:ln>
                  </pic:spPr>
                </pic:pic>
              </a:graphicData>
            </a:graphic>
          </wp:inline>
        </w:drawing>
      </w:r>
    </w:p>
    <w:p w14:paraId="5629B3C3" w14:textId="10AA2A70" w:rsidR="00C412B3" w:rsidRPr="00D0136C" w:rsidRDefault="00C412B3" w:rsidP="00D0136C">
      <w:pPr>
        <w:pStyle w:val="NormalWeb"/>
        <w:spacing w:beforeAutospacing="0" w:afterAutospacing="0"/>
        <w:jc w:val="both"/>
        <w:rPr>
          <w:iCs/>
        </w:rPr>
      </w:pPr>
      <w:r w:rsidRPr="00D0136C">
        <w:rPr>
          <w:rStyle w:val="Strong"/>
          <w:iCs/>
        </w:rPr>
        <w:t>Figure 8.</w:t>
      </w:r>
      <w:r w:rsidRPr="00D0136C">
        <w:rPr>
          <w:iCs/>
        </w:rPr>
        <w:t xml:space="preserve"> Prevalence of reported STI diagnosis and symptoms.</w:t>
      </w:r>
    </w:p>
    <w:p w14:paraId="18E22B37" w14:textId="77777777" w:rsidR="00C412B3" w:rsidRPr="00D0136C" w:rsidRDefault="00C412B3" w:rsidP="00D0136C">
      <w:pPr>
        <w:pStyle w:val="NormalWeb"/>
        <w:spacing w:beforeAutospacing="0" w:afterAutospacing="0"/>
        <w:jc w:val="both"/>
        <w:rPr>
          <w:iCs/>
        </w:rPr>
      </w:pPr>
    </w:p>
    <w:p w14:paraId="37A09B9F" w14:textId="77777777" w:rsidR="00C412B3" w:rsidRPr="00D0136C" w:rsidRDefault="00C412B3" w:rsidP="00D0136C">
      <w:pPr>
        <w:pStyle w:val="NormalWeb"/>
        <w:spacing w:beforeAutospacing="0" w:afterAutospacing="0"/>
        <w:jc w:val="both"/>
        <w:rPr>
          <w:iCs/>
        </w:rPr>
      </w:pPr>
    </w:p>
    <w:p w14:paraId="277EF6E8" w14:textId="77777777" w:rsidR="00C412B3" w:rsidRPr="00D0136C" w:rsidRDefault="00C412B3" w:rsidP="00D0136C">
      <w:pPr>
        <w:spacing w:after="0" w:afterAutospacing="0" w:line="240" w:lineRule="auto"/>
        <w:jc w:val="both"/>
        <w:outlineLvl w:val="9"/>
        <w:rPr>
          <w:iCs/>
          <w:szCs w:val="24"/>
        </w:rPr>
      </w:pPr>
      <w:r w:rsidRPr="00D0136C">
        <w:rPr>
          <w:iCs/>
          <w:szCs w:val="24"/>
        </w:rPr>
        <w:br w:type="page"/>
      </w:r>
    </w:p>
    <w:p w14:paraId="4CD2FB72" w14:textId="77777777" w:rsidR="00C412B3" w:rsidRPr="00D0136C" w:rsidRDefault="00C412B3" w:rsidP="00D0136C">
      <w:pPr>
        <w:pStyle w:val="NormalWeb"/>
        <w:spacing w:beforeAutospacing="0" w:afterAutospacing="0"/>
        <w:jc w:val="both"/>
        <w:rPr>
          <w:rStyle w:val="Strong"/>
          <w:iCs/>
        </w:rPr>
      </w:pPr>
    </w:p>
    <w:p w14:paraId="55052419" w14:textId="77777777" w:rsidR="00C412B3" w:rsidRPr="00D0136C" w:rsidRDefault="00C412B3" w:rsidP="00D0136C">
      <w:pPr>
        <w:pStyle w:val="NormalWeb"/>
        <w:spacing w:beforeAutospacing="0" w:afterAutospacing="0"/>
        <w:jc w:val="both"/>
        <w:rPr>
          <w:rFonts w:eastAsia="Times New Roman"/>
        </w:rPr>
      </w:pPr>
    </w:p>
    <w:p w14:paraId="4146AB33"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24DEDC96" wp14:editId="14C12656">
            <wp:extent cx="5943600" cy="4453255"/>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
                    <pic:cNvPicPr>
                      <a:picLocks noChangeAspect="1"/>
                    </pic:cNvPicPr>
                  </pic:nvPicPr>
                  <pic:blipFill>
                    <a:blip r:embed="rId17"/>
                    <a:srcRect t="6368"/>
                    <a:stretch>
                      <a:fillRect/>
                    </a:stretch>
                  </pic:blipFill>
                  <pic:spPr>
                    <a:xfrm>
                      <a:off x="0" y="0"/>
                      <a:ext cx="5943600" cy="4453255"/>
                    </a:xfrm>
                    <a:prstGeom prst="rect">
                      <a:avLst/>
                    </a:prstGeom>
                    <a:noFill/>
                    <a:ln>
                      <a:noFill/>
                    </a:ln>
                  </pic:spPr>
                </pic:pic>
              </a:graphicData>
            </a:graphic>
          </wp:inline>
        </w:drawing>
      </w:r>
    </w:p>
    <w:p w14:paraId="4F228E61" w14:textId="643DE6DD" w:rsidR="00C412B3" w:rsidRPr="00D0136C" w:rsidRDefault="00C412B3" w:rsidP="00D0136C">
      <w:pPr>
        <w:pStyle w:val="NormalWeb"/>
        <w:spacing w:beforeAutospacing="0" w:afterAutospacing="0"/>
        <w:jc w:val="both"/>
        <w:rPr>
          <w:iCs/>
        </w:rPr>
      </w:pPr>
      <w:r w:rsidRPr="00D0136C">
        <w:rPr>
          <w:rStyle w:val="Strong"/>
          <w:iCs/>
        </w:rPr>
        <w:t>Figure 9.</w:t>
      </w:r>
      <w:r w:rsidRPr="00D0136C">
        <w:rPr>
          <w:iCs/>
        </w:rPr>
        <w:t xml:space="preserve"> Contraceptive use and frequency of condom usage. </w:t>
      </w:r>
    </w:p>
    <w:p w14:paraId="7BBD0AAF" w14:textId="77777777" w:rsidR="00C412B3" w:rsidRPr="00D0136C" w:rsidRDefault="00C412B3" w:rsidP="00D0136C">
      <w:pPr>
        <w:pStyle w:val="NormalWeb"/>
        <w:spacing w:beforeAutospacing="0" w:afterAutospacing="0"/>
        <w:jc w:val="both"/>
        <w:rPr>
          <w:iCs/>
        </w:rPr>
      </w:pPr>
    </w:p>
    <w:p w14:paraId="1E4FC78C" w14:textId="77777777" w:rsidR="00C412B3" w:rsidRPr="00D0136C" w:rsidRDefault="00C412B3" w:rsidP="00D0136C">
      <w:pPr>
        <w:pStyle w:val="NormalWeb"/>
        <w:spacing w:beforeAutospacing="0" w:afterAutospacing="0"/>
        <w:jc w:val="both"/>
        <w:rPr>
          <w:iCs/>
        </w:rPr>
      </w:pPr>
    </w:p>
    <w:p w14:paraId="75A715F4" w14:textId="77777777" w:rsidR="00C412B3" w:rsidRPr="00D0136C" w:rsidRDefault="00C412B3" w:rsidP="00D0136C">
      <w:pPr>
        <w:spacing w:before="0" w:beforeAutospacing="0" w:after="0" w:afterAutospacing="0" w:line="240" w:lineRule="auto"/>
        <w:jc w:val="both"/>
        <w:outlineLvl w:val="9"/>
        <w:rPr>
          <w:iCs/>
          <w:szCs w:val="24"/>
        </w:rPr>
      </w:pPr>
    </w:p>
    <w:p w14:paraId="26023883"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3E3ED1A2" w14:textId="441BE0CA" w:rsidR="00C412B3" w:rsidRPr="00D0136C" w:rsidRDefault="00C412B3" w:rsidP="00D0136C">
      <w:pPr>
        <w:pStyle w:val="Heading2"/>
        <w:spacing w:line="240" w:lineRule="auto"/>
        <w:jc w:val="both"/>
        <w:rPr>
          <w:szCs w:val="24"/>
        </w:rPr>
      </w:pPr>
      <w:bookmarkStart w:id="451" w:name="_Toc23795"/>
      <w:bookmarkStart w:id="452" w:name="_Toc30484"/>
      <w:r w:rsidRPr="00D0136C">
        <w:rPr>
          <w:szCs w:val="24"/>
        </w:rPr>
        <w:lastRenderedPageBreak/>
        <w:t xml:space="preserve">Knowledge and Testing for </w:t>
      </w:r>
      <w:r w:rsidRPr="00D0136C">
        <w:rPr>
          <w:i/>
          <w:iCs/>
          <w:szCs w:val="24"/>
        </w:rPr>
        <w:t>Chlamydia trachomatis</w:t>
      </w:r>
      <w:bookmarkEnd w:id="451"/>
      <w:bookmarkEnd w:id="452"/>
    </w:p>
    <w:p w14:paraId="0AFCF7BD" w14:textId="082D9B08" w:rsidR="00C412B3" w:rsidRPr="00D0136C" w:rsidRDefault="00C412B3" w:rsidP="00D0136C">
      <w:pPr>
        <w:pStyle w:val="NormalWeb"/>
        <w:spacing w:beforeAutospacing="0" w:afterAutospacing="0"/>
        <w:jc w:val="both"/>
        <w:rPr>
          <w:iCs/>
        </w:rPr>
      </w:pPr>
      <w:r w:rsidRPr="00D0136C">
        <w:rPr>
          <w:iCs/>
        </w:rPr>
        <w:t xml:space="preserve">Knowledge and testing behaviors are presented in </w:t>
      </w:r>
      <w:r w:rsidRPr="00D0136C">
        <w:rPr>
          <w:rStyle w:val="Strong"/>
          <w:b w:val="0"/>
          <w:bCs w:val="0"/>
          <w:iCs/>
        </w:rPr>
        <w:t>Table 3</w:t>
      </w:r>
      <w:r w:rsidRPr="00D0136C">
        <w:rPr>
          <w:iCs/>
        </w:rPr>
        <w:t xml:space="preserve">. Only </w:t>
      </w:r>
      <w:r w:rsidRPr="00D0136C">
        <w:rPr>
          <w:rStyle w:val="Strong"/>
          <w:b w:val="0"/>
          <w:bCs w:val="0"/>
          <w:iCs/>
        </w:rPr>
        <w:t>12.7%</w:t>
      </w:r>
      <w:r w:rsidRPr="00D0136C">
        <w:rPr>
          <w:iCs/>
        </w:rPr>
        <w:t xml:space="preserve"> of respondents reported awareness of </w:t>
      </w:r>
      <w:r w:rsidRPr="00D0136C">
        <w:rPr>
          <w:rStyle w:val="Emphasis"/>
        </w:rPr>
        <w:t>Chlamydia trachomatis</w:t>
      </w:r>
      <w:r w:rsidRPr="00D0136C">
        <w:rPr>
          <w:iCs/>
        </w:rPr>
        <w:t xml:space="preserve">, while </w:t>
      </w:r>
      <w:r w:rsidRPr="00D0136C">
        <w:rPr>
          <w:rStyle w:val="Strong"/>
          <w:b w:val="0"/>
          <w:bCs w:val="0"/>
          <w:iCs/>
        </w:rPr>
        <w:t>34%</w:t>
      </w:r>
      <w:r w:rsidRPr="00D0136C">
        <w:rPr>
          <w:iCs/>
        </w:rPr>
        <w:t xml:space="preserve"> had no knowledge, </w:t>
      </w:r>
      <w:r w:rsidRPr="00D0136C">
        <w:rPr>
          <w:rStyle w:val="Strong"/>
          <w:b w:val="0"/>
          <w:bCs w:val="0"/>
          <w:iCs/>
        </w:rPr>
        <w:t>2%</w:t>
      </w:r>
      <w:r w:rsidRPr="00D0136C">
        <w:rPr>
          <w:iCs/>
        </w:rPr>
        <w:t xml:space="preserve"> were uncertain, and </w:t>
      </w:r>
      <w:r w:rsidRPr="00D0136C">
        <w:rPr>
          <w:rStyle w:val="Strong"/>
          <w:b w:val="0"/>
          <w:bCs w:val="0"/>
          <w:iCs/>
        </w:rPr>
        <w:t>51.3%</w:t>
      </w:r>
      <w:r w:rsidRPr="00D0136C">
        <w:rPr>
          <w:iCs/>
        </w:rPr>
        <w:t xml:space="preserve"> gave missing responses. Similarly, only </w:t>
      </w:r>
      <w:r w:rsidRPr="00D0136C">
        <w:rPr>
          <w:rStyle w:val="Strong"/>
          <w:b w:val="0"/>
          <w:bCs w:val="0"/>
          <w:iCs/>
        </w:rPr>
        <w:t>0.7%</w:t>
      </w:r>
      <w:r w:rsidRPr="00D0136C">
        <w:rPr>
          <w:iCs/>
        </w:rPr>
        <w:t xml:space="preserve"> had ever been tested for </w:t>
      </w:r>
      <w:r w:rsidRPr="00D0136C">
        <w:rPr>
          <w:rStyle w:val="Emphasis"/>
        </w:rPr>
        <w:t>Chlamydia trachomatis</w:t>
      </w:r>
      <w:r w:rsidRPr="00D0136C">
        <w:rPr>
          <w:iCs/>
        </w:rPr>
        <w:t xml:space="preserve">, </w:t>
      </w:r>
      <w:r w:rsidRPr="00D0136C">
        <w:rPr>
          <w:rStyle w:val="Strong"/>
          <w:b w:val="0"/>
          <w:bCs w:val="0"/>
          <w:iCs/>
        </w:rPr>
        <w:t>53.3%</w:t>
      </w:r>
      <w:r w:rsidRPr="00D0136C">
        <w:rPr>
          <w:iCs/>
        </w:rPr>
        <w:t xml:space="preserve"> had never been tested, and </w:t>
      </w:r>
      <w:r w:rsidRPr="00D0136C">
        <w:rPr>
          <w:rStyle w:val="Strong"/>
          <w:b w:val="0"/>
          <w:bCs w:val="0"/>
          <w:iCs/>
        </w:rPr>
        <w:t>46%</w:t>
      </w:r>
      <w:r w:rsidRPr="00D0136C">
        <w:rPr>
          <w:iCs/>
        </w:rPr>
        <w:t xml:space="preserve"> provided missing responses.</w:t>
      </w:r>
    </w:p>
    <w:p w14:paraId="25B8D6DE" w14:textId="77777777" w:rsidR="00C412B3" w:rsidRPr="00D0136C" w:rsidRDefault="00C412B3" w:rsidP="00D0136C">
      <w:pPr>
        <w:pStyle w:val="NormalWeb"/>
        <w:spacing w:beforeAutospacing="0" w:afterAutospacing="0"/>
        <w:jc w:val="both"/>
        <w:rPr>
          <w:iCs/>
        </w:rPr>
      </w:pPr>
      <w:r w:rsidRPr="00D0136C">
        <w:rPr>
          <w:iCs/>
        </w:rPr>
        <w:t xml:space="preserve">The results emphasize a considerable lack of awareness and testing practice regarding </w:t>
      </w:r>
      <w:r w:rsidRPr="00D0136C">
        <w:rPr>
          <w:rStyle w:val="Emphasis"/>
        </w:rPr>
        <w:t>C. trachomatis</w:t>
      </w:r>
      <w:r w:rsidRPr="00D0136C">
        <w:rPr>
          <w:iCs/>
        </w:rPr>
        <w:t xml:space="preserve">, despite widespread sexual education. The </w:t>
      </w:r>
      <w:r w:rsidRPr="00D0136C">
        <w:rPr>
          <w:rStyle w:val="Strong"/>
          <w:b w:val="0"/>
          <w:bCs w:val="0"/>
          <w:iCs/>
        </w:rPr>
        <w:t>pie charts (Figures 9 and 10)</w:t>
      </w:r>
      <w:r w:rsidRPr="00D0136C">
        <w:rPr>
          <w:iCs/>
        </w:rPr>
        <w:t xml:space="preserve"> visually demonstrate the sharp disparity between general sexual awareness and infection-specific literacy.</w:t>
      </w:r>
    </w:p>
    <w:p w14:paraId="3F17C7E2" w14:textId="77777777" w:rsidR="00C412B3" w:rsidRPr="00D0136C" w:rsidRDefault="00C412B3" w:rsidP="00D0136C">
      <w:pPr>
        <w:spacing w:before="0" w:beforeAutospacing="0" w:after="0" w:afterAutospacing="0" w:line="240" w:lineRule="auto"/>
        <w:jc w:val="both"/>
        <w:outlineLvl w:val="9"/>
        <w:rPr>
          <w:iCs/>
          <w:szCs w:val="24"/>
        </w:rPr>
      </w:pPr>
    </w:p>
    <w:p w14:paraId="0E5BFCA6"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79F83415" w14:textId="0CD09413" w:rsidR="00C412B3" w:rsidRPr="00D0136C" w:rsidRDefault="00C412B3" w:rsidP="00D0136C">
      <w:pPr>
        <w:pStyle w:val="NormalWeb"/>
        <w:spacing w:beforeAutospacing="0" w:afterAutospacing="0"/>
        <w:jc w:val="both"/>
        <w:rPr>
          <w:rStyle w:val="Strong"/>
          <w:iCs/>
        </w:rPr>
      </w:pPr>
      <w:r w:rsidRPr="00D0136C">
        <w:rPr>
          <w:rStyle w:val="Strong"/>
          <w:iCs/>
        </w:rPr>
        <w:lastRenderedPageBreak/>
        <w:t xml:space="preserve">Table 3: Knowledge and Testing </w:t>
      </w:r>
      <w:proofErr w:type="spellStart"/>
      <w:r w:rsidRPr="00D0136C">
        <w:rPr>
          <w:rStyle w:val="Strong"/>
          <w:iCs/>
        </w:rPr>
        <w:t>Behaviour</w:t>
      </w:r>
      <w:proofErr w:type="spellEnd"/>
      <w:r w:rsidRPr="00D0136C">
        <w:rPr>
          <w:rStyle w:val="Strong"/>
          <w:iCs/>
        </w:rPr>
        <w:t xml:space="preserve"> for </w:t>
      </w:r>
      <w:r w:rsidRPr="00D0136C">
        <w:rPr>
          <w:rStyle w:val="Emphasis"/>
          <w:b/>
          <w:bCs/>
        </w:rPr>
        <w:t>Chlamydia trachomatis</w:t>
      </w:r>
      <w:r w:rsidRPr="00D0136C">
        <w:rPr>
          <w:rStyle w:val="Strong"/>
          <w:iCs/>
        </w:rPr>
        <w:t xml:space="preserve"> (n = 150)</w:t>
      </w:r>
    </w:p>
    <w:tbl>
      <w:tblPr>
        <w:tblStyle w:val="TableGrid"/>
        <w:tblW w:w="84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1265"/>
        <w:gridCol w:w="1894"/>
        <w:gridCol w:w="1988"/>
      </w:tblGrid>
      <w:tr w:rsidR="00C412B3" w:rsidRPr="00D0136C" w14:paraId="08E56503" w14:textId="77777777" w:rsidTr="00823948">
        <w:trPr>
          <w:trHeight w:val="973"/>
        </w:trPr>
        <w:tc>
          <w:tcPr>
            <w:tcW w:w="3306" w:type="dxa"/>
            <w:tcBorders>
              <w:bottom w:val="single" w:sz="4" w:space="0" w:color="auto"/>
            </w:tcBorders>
            <w:vAlign w:val="center"/>
          </w:tcPr>
          <w:p w14:paraId="41F30A48" w14:textId="77777777" w:rsidR="00C412B3" w:rsidRPr="00D0136C" w:rsidRDefault="00C412B3" w:rsidP="00D0136C">
            <w:pPr>
              <w:widowControl/>
              <w:spacing w:before="0" w:beforeAutospacing="0" w:after="0" w:afterAutospacing="0" w:line="240" w:lineRule="auto"/>
              <w:rPr>
                <w:b/>
                <w:bCs/>
                <w:iCs/>
                <w:szCs w:val="24"/>
              </w:rPr>
            </w:pPr>
            <w:bookmarkStart w:id="453" w:name="_Toc9067"/>
            <w:bookmarkStart w:id="454" w:name="_Toc11949"/>
            <w:bookmarkStart w:id="455" w:name="_Toc19993"/>
            <w:r w:rsidRPr="00D0136C">
              <w:rPr>
                <w:b/>
                <w:bCs/>
                <w:iCs/>
                <w:szCs w:val="24"/>
                <w:lang w:eastAsia="zh-CN" w:bidi="ar"/>
              </w:rPr>
              <w:t>Variable</w:t>
            </w:r>
            <w:bookmarkEnd w:id="453"/>
            <w:bookmarkEnd w:id="454"/>
            <w:bookmarkEnd w:id="455"/>
          </w:p>
        </w:tc>
        <w:tc>
          <w:tcPr>
            <w:tcW w:w="1265" w:type="dxa"/>
            <w:tcBorders>
              <w:bottom w:val="single" w:sz="4" w:space="0" w:color="auto"/>
            </w:tcBorders>
            <w:vAlign w:val="center"/>
          </w:tcPr>
          <w:p w14:paraId="23DE415A" w14:textId="77777777" w:rsidR="00C412B3" w:rsidRPr="00D0136C" w:rsidRDefault="00C412B3" w:rsidP="00D0136C">
            <w:pPr>
              <w:widowControl/>
              <w:spacing w:before="0" w:beforeAutospacing="0" w:after="0" w:afterAutospacing="0" w:line="240" w:lineRule="auto"/>
              <w:rPr>
                <w:b/>
                <w:bCs/>
                <w:iCs/>
                <w:szCs w:val="24"/>
              </w:rPr>
            </w:pPr>
            <w:bookmarkStart w:id="456" w:name="_Toc30388"/>
            <w:bookmarkStart w:id="457" w:name="_Toc27318"/>
            <w:bookmarkStart w:id="458" w:name="_Toc11884"/>
            <w:r w:rsidRPr="00D0136C">
              <w:rPr>
                <w:b/>
                <w:bCs/>
                <w:iCs/>
                <w:szCs w:val="24"/>
                <w:lang w:eastAsia="zh-CN" w:bidi="ar"/>
              </w:rPr>
              <w:t>Category</w:t>
            </w:r>
            <w:bookmarkEnd w:id="456"/>
            <w:bookmarkEnd w:id="457"/>
            <w:bookmarkEnd w:id="458"/>
          </w:p>
        </w:tc>
        <w:tc>
          <w:tcPr>
            <w:tcW w:w="1894" w:type="dxa"/>
            <w:tcBorders>
              <w:bottom w:val="single" w:sz="4" w:space="0" w:color="auto"/>
            </w:tcBorders>
            <w:vAlign w:val="center"/>
          </w:tcPr>
          <w:p w14:paraId="207DE154" w14:textId="77777777" w:rsidR="00C412B3" w:rsidRPr="00D0136C" w:rsidRDefault="00C412B3" w:rsidP="00D0136C">
            <w:pPr>
              <w:widowControl/>
              <w:spacing w:before="0" w:beforeAutospacing="0" w:after="0" w:afterAutospacing="0" w:line="240" w:lineRule="auto"/>
              <w:rPr>
                <w:b/>
                <w:bCs/>
                <w:iCs/>
                <w:szCs w:val="24"/>
              </w:rPr>
            </w:pPr>
            <w:bookmarkStart w:id="459" w:name="_Toc49"/>
            <w:bookmarkStart w:id="460" w:name="_Toc14530"/>
            <w:bookmarkStart w:id="461" w:name="_Toc6911"/>
            <w:r w:rsidRPr="00D0136C">
              <w:rPr>
                <w:b/>
                <w:bCs/>
                <w:iCs/>
                <w:szCs w:val="24"/>
                <w:lang w:eastAsia="zh-CN" w:bidi="ar"/>
              </w:rPr>
              <w:t>Frequency (n)</w:t>
            </w:r>
            <w:bookmarkEnd w:id="459"/>
            <w:bookmarkEnd w:id="460"/>
            <w:bookmarkEnd w:id="461"/>
          </w:p>
        </w:tc>
        <w:tc>
          <w:tcPr>
            <w:tcW w:w="1988" w:type="dxa"/>
            <w:tcBorders>
              <w:bottom w:val="single" w:sz="4" w:space="0" w:color="auto"/>
            </w:tcBorders>
            <w:vAlign w:val="center"/>
          </w:tcPr>
          <w:p w14:paraId="183A1FDF" w14:textId="77777777" w:rsidR="00C412B3" w:rsidRPr="00D0136C" w:rsidRDefault="00C412B3" w:rsidP="00D0136C">
            <w:pPr>
              <w:widowControl/>
              <w:spacing w:before="0" w:beforeAutospacing="0" w:after="0" w:afterAutospacing="0" w:line="240" w:lineRule="auto"/>
              <w:rPr>
                <w:b/>
                <w:bCs/>
                <w:iCs/>
                <w:szCs w:val="24"/>
              </w:rPr>
            </w:pPr>
            <w:bookmarkStart w:id="462" w:name="_Toc13171"/>
            <w:bookmarkStart w:id="463" w:name="_Toc30167"/>
            <w:bookmarkStart w:id="464" w:name="_Toc17794"/>
            <w:r w:rsidRPr="00D0136C">
              <w:rPr>
                <w:b/>
                <w:bCs/>
                <w:iCs/>
                <w:szCs w:val="24"/>
                <w:lang w:eastAsia="zh-CN" w:bidi="ar"/>
              </w:rPr>
              <w:t>Percentage (%)</w:t>
            </w:r>
            <w:bookmarkEnd w:id="462"/>
            <w:bookmarkEnd w:id="463"/>
            <w:bookmarkEnd w:id="464"/>
          </w:p>
        </w:tc>
      </w:tr>
      <w:tr w:rsidR="00C412B3" w:rsidRPr="00D0136C" w14:paraId="580B4A54" w14:textId="77777777" w:rsidTr="00823948">
        <w:trPr>
          <w:trHeight w:val="1620"/>
        </w:trPr>
        <w:tc>
          <w:tcPr>
            <w:tcW w:w="3306" w:type="dxa"/>
            <w:tcBorders>
              <w:top w:val="single" w:sz="4" w:space="0" w:color="auto"/>
            </w:tcBorders>
            <w:vAlign w:val="center"/>
          </w:tcPr>
          <w:p w14:paraId="6360E400" w14:textId="77777777" w:rsidR="00C412B3" w:rsidRPr="00D0136C" w:rsidRDefault="00C412B3" w:rsidP="00D0136C">
            <w:pPr>
              <w:widowControl/>
              <w:spacing w:before="0" w:beforeAutospacing="0" w:after="0" w:afterAutospacing="0" w:line="240" w:lineRule="auto"/>
              <w:rPr>
                <w:iCs/>
                <w:szCs w:val="24"/>
              </w:rPr>
            </w:pPr>
            <w:bookmarkStart w:id="465" w:name="_Toc26534"/>
            <w:bookmarkStart w:id="466" w:name="_Toc3377"/>
            <w:bookmarkStart w:id="467" w:name="_Toc21231"/>
            <w:r w:rsidRPr="00D0136C">
              <w:rPr>
                <w:rStyle w:val="Strong"/>
                <w:iCs/>
                <w:szCs w:val="24"/>
                <w:lang w:eastAsia="zh-CN" w:bidi="ar"/>
              </w:rPr>
              <w:t>Knowledge about Chlamydia</w:t>
            </w:r>
            <w:bookmarkEnd w:id="465"/>
            <w:bookmarkEnd w:id="466"/>
            <w:bookmarkEnd w:id="467"/>
          </w:p>
        </w:tc>
        <w:tc>
          <w:tcPr>
            <w:tcW w:w="1265" w:type="dxa"/>
            <w:tcBorders>
              <w:top w:val="single" w:sz="4" w:space="0" w:color="auto"/>
            </w:tcBorders>
            <w:vAlign w:val="center"/>
          </w:tcPr>
          <w:p w14:paraId="1717D1E2" w14:textId="77777777" w:rsidR="00C412B3" w:rsidRPr="00D0136C" w:rsidRDefault="00C412B3" w:rsidP="00D0136C">
            <w:pPr>
              <w:widowControl/>
              <w:spacing w:before="0" w:beforeAutospacing="0" w:after="0" w:afterAutospacing="0" w:line="240" w:lineRule="auto"/>
              <w:rPr>
                <w:iCs/>
                <w:szCs w:val="24"/>
              </w:rPr>
            </w:pPr>
            <w:bookmarkStart w:id="468" w:name="_Toc31457"/>
            <w:bookmarkStart w:id="469" w:name="_Toc15702"/>
            <w:bookmarkStart w:id="470" w:name="_Toc10961"/>
            <w:r w:rsidRPr="00D0136C">
              <w:rPr>
                <w:iCs/>
                <w:szCs w:val="24"/>
                <w:lang w:eastAsia="zh-CN" w:bidi="ar"/>
              </w:rPr>
              <w:t>Yes</w:t>
            </w:r>
            <w:bookmarkEnd w:id="468"/>
            <w:bookmarkEnd w:id="469"/>
            <w:bookmarkEnd w:id="470"/>
          </w:p>
        </w:tc>
        <w:tc>
          <w:tcPr>
            <w:tcW w:w="1894" w:type="dxa"/>
            <w:tcBorders>
              <w:top w:val="single" w:sz="4" w:space="0" w:color="auto"/>
            </w:tcBorders>
            <w:vAlign w:val="center"/>
          </w:tcPr>
          <w:p w14:paraId="07DB8493" w14:textId="77777777" w:rsidR="00C412B3" w:rsidRPr="00D0136C" w:rsidRDefault="00C412B3" w:rsidP="00D0136C">
            <w:pPr>
              <w:widowControl/>
              <w:spacing w:before="0" w:beforeAutospacing="0" w:after="0" w:afterAutospacing="0" w:line="240" w:lineRule="auto"/>
              <w:rPr>
                <w:iCs/>
                <w:szCs w:val="24"/>
              </w:rPr>
            </w:pPr>
            <w:bookmarkStart w:id="471" w:name="_Toc30761"/>
            <w:bookmarkStart w:id="472" w:name="_Toc27894"/>
            <w:bookmarkStart w:id="473" w:name="_Toc4383"/>
            <w:r w:rsidRPr="00D0136C">
              <w:rPr>
                <w:iCs/>
                <w:szCs w:val="24"/>
                <w:lang w:eastAsia="zh-CN" w:bidi="ar"/>
              </w:rPr>
              <w:t>19</w:t>
            </w:r>
            <w:bookmarkEnd w:id="471"/>
            <w:bookmarkEnd w:id="472"/>
            <w:bookmarkEnd w:id="473"/>
          </w:p>
        </w:tc>
        <w:tc>
          <w:tcPr>
            <w:tcW w:w="1988" w:type="dxa"/>
            <w:tcBorders>
              <w:top w:val="single" w:sz="4" w:space="0" w:color="auto"/>
            </w:tcBorders>
            <w:vAlign w:val="center"/>
          </w:tcPr>
          <w:p w14:paraId="0B79BB18" w14:textId="77777777" w:rsidR="00C412B3" w:rsidRPr="00D0136C" w:rsidRDefault="00C412B3" w:rsidP="00D0136C">
            <w:pPr>
              <w:widowControl/>
              <w:spacing w:before="0" w:beforeAutospacing="0" w:after="0" w:afterAutospacing="0" w:line="240" w:lineRule="auto"/>
              <w:rPr>
                <w:iCs/>
                <w:szCs w:val="24"/>
              </w:rPr>
            </w:pPr>
            <w:bookmarkStart w:id="474" w:name="_Toc2307"/>
            <w:bookmarkStart w:id="475" w:name="_Toc18583"/>
            <w:bookmarkStart w:id="476" w:name="_Toc30042"/>
            <w:r w:rsidRPr="00D0136C">
              <w:rPr>
                <w:iCs/>
                <w:szCs w:val="24"/>
                <w:lang w:eastAsia="zh-CN" w:bidi="ar"/>
              </w:rPr>
              <w:t>12.7</w:t>
            </w:r>
            <w:bookmarkEnd w:id="474"/>
            <w:bookmarkEnd w:id="475"/>
            <w:bookmarkEnd w:id="476"/>
          </w:p>
        </w:tc>
      </w:tr>
      <w:tr w:rsidR="00C412B3" w:rsidRPr="00D0136C" w14:paraId="2DE74565" w14:textId="77777777" w:rsidTr="00823948">
        <w:trPr>
          <w:trHeight w:val="802"/>
        </w:trPr>
        <w:tc>
          <w:tcPr>
            <w:tcW w:w="3306" w:type="dxa"/>
            <w:vAlign w:val="center"/>
          </w:tcPr>
          <w:p w14:paraId="442F64B6" w14:textId="77777777" w:rsidR="00C412B3" w:rsidRPr="00D0136C" w:rsidRDefault="00C412B3" w:rsidP="00D0136C">
            <w:pPr>
              <w:widowControl/>
              <w:spacing w:before="0" w:beforeAutospacing="0" w:after="0" w:afterAutospacing="0" w:line="240" w:lineRule="auto"/>
              <w:outlineLvl w:val="9"/>
              <w:rPr>
                <w:iCs/>
                <w:szCs w:val="24"/>
              </w:rPr>
            </w:pPr>
          </w:p>
        </w:tc>
        <w:tc>
          <w:tcPr>
            <w:tcW w:w="1265" w:type="dxa"/>
            <w:vAlign w:val="center"/>
          </w:tcPr>
          <w:p w14:paraId="69377F0B" w14:textId="77777777" w:rsidR="00C412B3" w:rsidRPr="00D0136C" w:rsidRDefault="00C412B3" w:rsidP="00D0136C">
            <w:pPr>
              <w:widowControl/>
              <w:spacing w:before="0" w:beforeAutospacing="0" w:after="0" w:afterAutospacing="0" w:line="240" w:lineRule="auto"/>
              <w:rPr>
                <w:iCs/>
                <w:szCs w:val="24"/>
              </w:rPr>
            </w:pPr>
            <w:bookmarkStart w:id="477" w:name="_Toc20503"/>
            <w:bookmarkStart w:id="478" w:name="_Toc728"/>
            <w:bookmarkStart w:id="479" w:name="_Toc30451"/>
            <w:r w:rsidRPr="00D0136C">
              <w:rPr>
                <w:iCs/>
                <w:szCs w:val="24"/>
                <w:lang w:eastAsia="zh-CN" w:bidi="ar"/>
              </w:rPr>
              <w:t>No</w:t>
            </w:r>
            <w:bookmarkEnd w:id="477"/>
            <w:bookmarkEnd w:id="478"/>
            <w:bookmarkEnd w:id="479"/>
          </w:p>
        </w:tc>
        <w:tc>
          <w:tcPr>
            <w:tcW w:w="1894" w:type="dxa"/>
            <w:vAlign w:val="center"/>
          </w:tcPr>
          <w:p w14:paraId="1111BC8A" w14:textId="77777777" w:rsidR="00C412B3" w:rsidRPr="00D0136C" w:rsidRDefault="00C412B3" w:rsidP="00D0136C">
            <w:pPr>
              <w:widowControl/>
              <w:spacing w:before="0" w:beforeAutospacing="0" w:after="0" w:afterAutospacing="0" w:line="240" w:lineRule="auto"/>
              <w:rPr>
                <w:iCs/>
                <w:szCs w:val="24"/>
              </w:rPr>
            </w:pPr>
            <w:bookmarkStart w:id="480" w:name="_Toc30487"/>
            <w:bookmarkStart w:id="481" w:name="_Toc25501"/>
            <w:bookmarkStart w:id="482" w:name="_Toc2823"/>
            <w:r w:rsidRPr="00D0136C">
              <w:rPr>
                <w:iCs/>
                <w:szCs w:val="24"/>
                <w:lang w:eastAsia="zh-CN" w:bidi="ar"/>
              </w:rPr>
              <w:t>51</w:t>
            </w:r>
            <w:bookmarkEnd w:id="480"/>
            <w:bookmarkEnd w:id="481"/>
            <w:bookmarkEnd w:id="482"/>
          </w:p>
        </w:tc>
        <w:tc>
          <w:tcPr>
            <w:tcW w:w="1988" w:type="dxa"/>
            <w:vAlign w:val="center"/>
          </w:tcPr>
          <w:p w14:paraId="707AB10D" w14:textId="77777777" w:rsidR="00C412B3" w:rsidRPr="00D0136C" w:rsidRDefault="00C412B3" w:rsidP="00D0136C">
            <w:pPr>
              <w:widowControl/>
              <w:spacing w:before="0" w:beforeAutospacing="0" w:after="0" w:afterAutospacing="0" w:line="240" w:lineRule="auto"/>
              <w:rPr>
                <w:iCs/>
                <w:szCs w:val="24"/>
              </w:rPr>
            </w:pPr>
            <w:bookmarkStart w:id="483" w:name="_Toc29267"/>
            <w:bookmarkStart w:id="484" w:name="_Toc25504"/>
            <w:bookmarkStart w:id="485" w:name="_Toc738"/>
            <w:r w:rsidRPr="00D0136C">
              <w:rPr>
                <w:iCs/>
                <w:szCs w:val="24"/>
                <w:lang w:eastAsia="zh-CN" w:bidi="ar"/>
              </w:rPr>
              <w:t>34.0</w:t>
            </w:r>
            <w:bookmarkEnd w:id="483"/>
            <w:bookmarkEnd w:id="484"/>
            <w:bookmarkEnd w:id="485"/>
          </w:p>
        </w:tc>
      </w:tr>
      <w:tr w:rsidR="00C412B3" w:rsidRPr="00D0136C" w14:paraId="74A34395" w14:textId="77777777" w:rsidTr="00823948">
        <w:trPr>
          <w:trHeight w:val="802"/>
        </w:trPr>
        <w:tc>
          <w:tcPr>
            <w:tcW w:w="3306" w:type="dxa"/>
            <w:vAlign w:val="center"/>
          </w:tcPr>
          <w:p w14:paraId="1C5E0F55" w14:textId="77777777" w:rsidR="00C412B3" w:rsidRPr="00D0136C" w:rsidRDefault="00C412B3" w:rsidP="00D0136C">
            <w:pPr>
              <w:widowControl/>
              <w:spacing w:before="0" w:beforeAutospacing="0" w:after="0" w:afterAutospacing="0" w:line="240" w:lineRule="auto"/>
              <w:outlineLvl w:val="9"/>
              <w:rPr>
                <w:iCs/>
                <w:szCs w:val="24"/>
              </w:rPr>
            </w:pPr>
          </w:p>
        </w:tc>
        <w:tc>
          <w:tcPr>
            <w:tcW w:w="1265" w:type="dxa"/>
            <w:vAlign w:val="center"/>
          </w:tcPr>
          <w:p w14:paraId="5F7EE8F9" w14:textId="77777777" w:rsidR="00C412B3" w:rsidRPr="00D0136C" w:rsidRDefault="00C412B3" w:rsidP="00D0136C">
            <w:pPr>
              <w:widowControl/>
              <w:spacing w:before="0" w:beforeAutospacing="0" w:after="0" w:afterAutospacing="0" w:line="240" w:lineRule="auto"/>
              <w:rPr>
                <w:iCs/>
                <w:szCs w:val="24"/>
              </w:rPr>
            </w:pPr>
            <w:bookmarkStart w:id="486" w:name="_Toc21568"/>
            <w:bookmarkStart w:id="487" w:name="_Toc9181"/>
            <w:bookmarkStart w:id="488" w:name="_Toc21963"/>
            <w:r w:rsidRPr="00D0136C">
              <w:rPr>
                <w:iCs/>
                <w:szCs w:val="24"/>
                <w:lang w:eastAsia="zh-CN" w:bidi="ar"/>
              </w:rPr>
              <w:t>Not sure</w:t>
            </w:r>
            <w:bookmarkEnd w:id="486"/>
            <w:bookmarkEnd w:id="487"/>
            <w:bookmarkEnd w:id="488"/>
          </w:p>
        </w:tc>
        <w:tc>
          <w:tcPr>
            <w:tcW w:w="1894" w:type="dxa"/>
            <w:vAlign w:val="center"/>
          </w:tcPr>
          <w:p w14:paraId="22BC8208" w14:textId="77777777" w:rsidR="00C412B3" w:rsidRPr="00D0136C" w:rsidRDefault="00C412B3" w:rsidP="00D0136C">
            <w:pPr>
              <w:widowControl/>
              <w:spacing w:before="0" w:beforeAutospacing="0" w:after="0" w:afterAutospacing="0" w:line="240" w:lineRule="auto"/>
              <w:rPr>
                <w:iCs/>
                <w:szCs w:val="24"/>
              </w:rPr>
            </w:pPr>
            <w:bookmarkStart w:id="489" w:name="_Toc8123"/>
            <w:bookmarkStart w:id="490" w:name="_Toc4683"/>
            <w:bookmarkStart w:id="491" w:name="_Toc10896"/>
            <w:r w:rsidRPr="00D0136C">
              <w:rPr>
                <w:iCs/>
                <w:szCs w:val="24"/>
                <w:lang w:eastAsia="zh-CN" w:bidi="ar"/>
              </w:rPr>
              <w:t>3</w:t>
            </w:r>
            <w:bookmarkEnd w:id="489"/>
            <w:bookmarkEnd w:id="490"/>
            <w:bookmarkEnd w:id="491"/>
          </w:p>
        </w:tc>
        <w:tc>
          <w:tcPr>
            <w:tcW w:w="1988" w:type="dxa"/>
            <w:vAlign w:val="center"/>
          </w:tcPr>
          <w:p w14:paraId="34D54420" w14:textId="77777777" w:rsidR="00C412B3" w:rsidRPr="00D0136C" w:rsidRDefault="00C412B3" w:rsidP="00D0136C">
            <w:pPr>
              <w:widowControl/>
              <w:spacing w:before="0" w:beforeAutospacing="0" w:after="0" w:afterAutospacing="0" w:line="240" w:lineRule="auto"/>
              <w:rPr>
                <w:iCs/>
                <w:szCs w:val="24"/>
              </w:rPr>
            </w:pPr>
            <w:bookmarkStart w:id="492" w:name="_Toc22330"/>
            <w:bookmarkStart w:id="493" w:name="_Toc14206"/>
            <w:bookmarkStart w:id="494" w:name="_Toc3313"/>
            <w:r w:rsidRPr="00D0136C">
              <w:rPr>
                <w:iCs/>
                <w:szCs w:val="24"/>
                <w:lang w:eastAsia="zh-CN" w:bidi="ar"/>
              </w:rPr>
              <w:t>2.0</w:t>
            </w:r>
            <w:bookmarkEnd w:id="492"/>
            <w:bookmarkEnd w:id="493"/>
            <w:bookmarkEnd w:id="494"/>
          </w:p>
        </w:tc>
      </w:tr>
      <w:tr w:rsidR="00C412B3" w:rsidRPr="00D0136C" w14:paraId="461F7BE6" w14:textId="77777777" w:rsidTr="00823948">
        <w:trPr>
          <w:trHeight w:val="802"/>
        </w:trPr>
        <w:tc>
          <w:tcPr>
            <w:tcW w:w="3306" w:type="dxa"/>
            <w:vAlign w:val="center"/>
          </w:tcPr>
          <w:p w14:paraId="3664A1AB" w14:textId="77777777" w:rsidR="00C412B3" w:rsidRPr="00D0136C" w:rsidRDefault="00C412B3" w:rsidP="00D0136C">
            <w:pPr>
              <w:widowControl/>
              <w:spacing w:before="0" w:beforeAutospacing="0" w:after="0" w:afterAutospacing="0" w:line="240" w:lineRule="auto"/>
              <w:outlineLvl w:val="9"/>
              <w:rPr>
                <w:iCs/>
                <w:szCs w:val="24"/>
              </w:rPr>
            </w:pPr>
          </w:p>
        </w:tc>
        <w:tc>
          <w:tcPr>
            <w:tcW w:w="1265" w:type="dxa"/>
            <w:vAlign w:val="center"/>
          </w:tcPr>
          <w:p w14:paraId="4D9ADE62" w14:textId="77777777" w:rsidR="00C412B3" w:rsidRPr="00D0136C" w:rsidRDefault="00C412B3" w:rsidP="00D0136C">
            <w:pPr>
              <w:widowControl/>
              <w:spacing w:before="0" w:beforeAutospacing="0" w:after="0" w:afterAutospacing="0" w:line="240" w:lineRule="auto"/>
              <w:rPr>
                <w:iCs/>
                <w:szCs w:val="24"/>
              </w:rPr>
            </w:pPr>
            <w:bookmarkStart w:id="495" w:name="_Toc23003"/>
            <w:bookmarkStart w:id="496" w:name="_Toc10289"/>
            <w:bookmarkStart w:id="497" w:name="_Toc15521"/>
            <w:r w:rsidRPr="00D0136C">
              <w:rPr>
                <w:iCs/>
                <w:szCs w:val="24"/>
                <w:lang w:eastAsia="zh-CN" w:bidi="ar"/>
              </w:rPr>
              <w:t>Missing</w:t>
            </w:r>
            <w:bookmarkEnd w:id="495"/>
            <w:bookmarkEnd w:id="496"/>
            <w:bookmarkEnd w:id="497"/>
          </w:p>
        </w:tc>
        <w:tc>
          <w:tcPr>
            <w:tcW w:w="1894" w:type="dxa"/>
            <w:vAlign w:val="center"/>
          </w:tcPr>
          <w:p w14:paraId="49523775" w14:textId="77777777" w:rsidR="00C412B3" w:rsidRPr="00D0136C" w:rsidRDefault="00C412B3" w:rsidP="00D0136C">
            <w:pPr>
              <w:widowControl/>
              <w:spacing w:before="0" w:beforeAutospacing="0" w:after="0" w:afterAutospacing="0" w:line="240" w:lineRule="auto"/>
              <w:rPr>
                <w:iCs/>
                <w:szCs w:val="24"/>
              </w:rPr>
            </w:pPr>
            <w:bookmarkStart w:id="498" w:name="_Toc12752"/>
            <w:bookmarkStart w:id="499" w:name="_Toc15476"/>
            <w:bookmarkStart w:id="500" w:name="_Toc8690"/>
            <w:r w:rsidRPr="00D0136C">
              <w:rPr>
                <w:iCs/>
                <w:szCs w:val="24"/>
                <w:lang w:eastAsia="zh-CN" w:bidi="ar"/>
              </w:rPr>
              <w:t>77</w:t>
            </w:r>
            <w:bookmarkEnd w:id="498"/>
            <w:bookmarkEnd w:id="499"/>
            <w:bookmarkEnd w:id="500"/>
          </w:p>
        </w:tc>
        <w:tc>
          <w:tcPr>
            <w:tcW w:w="1988" w:type="dxa"/>
            <w:vAlign w:val="center"/>
          </w:tcPr>
          <w:p w14:paraId="722665E2" w14:textId="77777777" w:rsidR="00C412B3" w:rsidRPr="00D0136C" w:rsidRDefault="00C412B3" w:rsidP="00D0136C">
            <w:pPr>
              <w:widowControl/>
              <w:spacing w:before="0" w:beforeAutospacing="0" w:after="0" w:afterAutospacing="0" w:line="240" w:lineRule="auto"/>
              <w:rPr>
                <w:iCs/>
                <w:szCs w:val="24"/>
              </w:rPr>
            </w:pPr>
            <w:bookmarkStart w:id="501" w:name="_Toc1788"/>
            <w:bookmarkStart w:id="502" w:name="_Toc23068"/>
            <w:bookmarkStart w:id="503" w:name="_Toc14549"/>
            <w:r w:rsidRPr="00D0136C">
              <w:rPr>
                <w:iCs/>
                <w:szCs w:val="24"/>
                <w:lang w:eastAsia="zh-CN" w:bidi="ar"/>
              </w:rPr>
              <w:t>51.3</w:t>
            </w:r>
            <w:bookmarkEnd w:id="501"/>
            <w:bookmarkEnd w:id="502"/>
            <w:bookmarkEnd w:id="503"/>
          </w:p>
        </w:tc>
      </w:tr>
      <w:tr w:rsidR="00C412B3" w:rsidRPr="00D0136C" w14:paraId="6B5F3772" w14:textId="77777777" w:rsidTr="00823948">
        <w:trPr>
          <w:trHeight w:val="802"/>
        </w:trPr>
        <w:tc>
          <w:tcPr>
            <w:tcW w:w="3306" w:type="dxa"/>
            <w:vAlign w:val="center"/>
          </w:tcPr>
          <w:p w14:paraId="40E0F681" w14:textId="77777777" w:rsidR="00C412B3" w:rsidRPr="00D0136C" w:rsidRDefault="00C412B3" w:rsidP="00D0136C">
            <w:pPr>
              <w:widowControl/>
              <w:spacing w:before="0" w:beforeAutospacing="0" w:after="0" w:afterAutospacing="0" w:line="240" w:lineRule="auto"/>
              <w:rPr>
                <w:iCs/>
                <w:szCs w:val="24"/>
              </w:rPr>
            </w:pPr>
            <w:bookmarkStart w:id="504" w:name="_Toc8784"/>
            <w:bookmarkStart w:id="505" w:name="_Toc11208"/>
            <w:bookmarkStart w:id="506" w:name="_Toc27019"/>
            <w:r w:rsidRPr="00D0136C">
              <w:rPr>
                <w:rStyle w:val="Strong"/>
                <w:iCs/>
                <w:szCs w:val="24"/>
                <w:lang w:eastAsia="zh-CN" w:bidi="ar"/>
              </w:rPr>
              <w:t>Ever Tested for Chlamydia</w:t>
            </w:r>
            <w:bookmarkEnd w:id="504"/>
            <w:bookmarkEnd w:id="505"/>
            <w:bookmarkEnd w:id="506"/>
          </w:p>
        </w:tc>
        <w:tc>
          <w:tcPr>
            <w:tcW w:w="1265" w:type="dxa"/>
            <w:vAlign w:val="center"/>
          </w:tcPr>
          <w:p w14:paraId="115D8570" w14:textId="77777777" w:rsidR="00C412B3" w:rsidRPr="00D0136C" w:rsidRDefault="00C412B3" w:rsidP="00D0136C">
            <w:pPr>
              <w:widowControl/>
              <w:spacing w:before="0" w:beforeAutospacing="0" w:after="0" w:afterAutospacing="0" w:line="240" w:lineRule="auto"/>
              <w:rPr>
                <w:iCs/>
                <w:szCs w:val="24"/>
              </w:rPr>
            </w:pPr>
            <w:bookmarkStart w:id="507" w:name="_Toc5313"/>
            <w:bookmarkStart w:id="508" w:name="_Toc23277"/>
            <w:bookmarkStart w:id="509" w:name="_Toc23775"/>
            <w:r w:rsidRPr="00D0136C">
              <w:rPr>
                <w:iCs/>
                <w:szCs w:val="24"/>
                <w:lang w:eastAsia="zh-CN" w:bidi="ar"/>
              </w:rPr>
              <w:t>Yes</w:t>
            </w:r>
            <w:bookmarkEnd w:id="507"/>
            <w:bookmarkEnd w:id="508"/>
            <w:bookmarkEnd w:id="509"/>
          </w:p>
        </w:tc>
        <w:tc>
          <w:tcPr>
            <w:tcW w:w="1894" w:type="dxa"/>
            <w:vAlign w:val="center"/>
          </w:tcPr>
          <w:p w14:paraId="4BD4D39B" w14:textId="77777777" w:rsidR="00C412B3" w:rsidRPr="00D0136C" w:rsidRDefault="00C412B3" w:rsidP="00D0136C">
            <w:pPr>
              <w:widowControl/>
              <w:spacing w:before="0" w:beforeAutospacing="0" w:after="0" w:afterAutospacing="0" w:line="240" w:lineRule="auto"/>
              <w:rPr>
                <w:iCs/>
                <w:szCs w:val="24"/>
              </w:rPr>
            </w:pPr>
            <w:bookmarkStart w:id="510" w:name="_Toc4246"/>
            <w:bookmarkStart w:id="511" w:name="_Toc1528"/>
            <w:bookmarkStart w:id="512" w:name="_Toc4459"/>
            <w:r w:rsidRPr="00D0136C">
              <w:rPr>
                <w:iCs/>
                <w:szCs w:val="24"/>
                <w:lang w:eastAsia="zh-CN" w:bidi="ar"/>
              </w:rPr>
              <w:t>1</w:t>
            </w:r>
            <w:bookmarkEnd w:id="510"/>
            <w:bookmarkEnd w:id="511"/>
            <w:bookmarkEnd w:id="512"/>
          </w:p>
        </w:tc>
        <w:tc>
          <w:tcPr>
            <w:tcW w:w="1988" w:type="dxa"/>
            <w:vAlign w:val="center"/>
          </w:tcPr>
          <w:p w14:paraId="3EC6CACF" w14:textId="77777777" w:rsidR="00C412B3" w:rsidRPr="00D0136C" w:rsidRDefault="00C412B3" w:rsidP="00D0136C">
            <w:pPr>
              <w:widowControl/>
              <w:spacing w:before="0" w:beforeAutospacing="0" w:after="0" w:afterAutospacing="0" w:line="240" w:lineRule="auto"/>
              <w:rPr>
                <w:iCs/>
                <w:szCs w:val="24"/>
              </w:rPr>
            </w:pPr>
            <w:bookmarkStart w:id="513" w:name="_Toc1796"/>
            <w:bookmarkStart w:id="514" w:name="_Toc591"/>
            <w:bookmarkStart w:id="515" w:name="_Toc8314"/>
            <w:r w:rsidRPr="00D0136C">
              <w:rPr>
                <w:iCs/>
                <w:szCs w:val="24"/>
                <w:lang w:eastAsia="zh-CN" w:bidi="ar"/>
              </w:rPr>
              <w:t>0.7</w:t>
            </w:r>
            <w:bookmarkEnd w:id="513"/>
            <w:bookmarkEnd w:id="514"/>
            <w:bookmarkEnd w:id="515"/>
          </w:p>
        </w:tc>
      </w:tr>
      <w:tr w:rsidR="00C412B3" w:rsidRPr="00D0136C" w14:paraId="4A91AFA5" w14:textId="77777777" w:rsidTr="00823948">
        <w:trPr>
          <w:trHeight w:val="802"/>
        </w:trPr>
        <w:tc>
          <w:tcPr>
            <w:tcW w:w="3306" w:type="dxa"/>
            <w:vAlign w:val="center"/>
          </w:tcPr>
          <w:p w14:paraId="3EDEFEDC" w14:textId="77777777" w:rsidR="00C412B3" w:rsidRPr="00D0136C" w:rsidRDefault="00C412B3" w:rsidP="00D0136C">
            <w:pPr>
              <w:widowControl/>
              <w:spacing w:before="0" w:beforeAutospacing="0" w:after="0" w:afterAutospacing="0" w:line="240" w:lineRule="auto"/>
              <w:outlineLvl w:val="9"/>
              <w:rPr>
                <w:iCs/>
                <w:szCs w:val="24"/>
              </w:rPr>
            </w:pPr>
          </w:p>
        </w:tc>
        <w:tc>
          <w:tcPr>
            <w:tcW w:w="1265" w:type="dxa"/>
            <w:vAlign w:val="center"/>
          </w:tcPr>
          <w:p w14:paraId="0BE40DE0" w14:textId="77777777" w:rsidR="00C412B3" w:rsidRPr="00D0136C" w:rsidRDefault="00C412B3" w:rsidP="00D0136C">
            <w:pPr>
              <w:widowControl/>
              <w:spacing w:before="0" w:beforeAutospacing="0" w:after="0" w:afterAutospacing="0" w:line="240" w:lineRule="auto"/>
              <w:rPr>
                <w:iCs/>
                <w:szCs w:val="24"/>
              </w:rPr>
            </w:pPr>
            <w:bookmarkStart w:id="516" w:name="_Toc14569"/>
            <w:bookmarkStart w:id="517" w:name="_Toc8555"/>
            <w:bookmarkStart w:id="518" w:name="_Toc8686"/>
            <w:r w:rsidRPr="00D0136C">
              <w:rPr>
                <w:iCs/>
                <w:szCs w:val="24"/>
                <w:lang w:eastAsia="zh-CN" w:bidi="ar"/>
              </w:rPr>
              <w:t>No</w:t>
            </w:r>
            <w:bookmarkEnd w:id="516"/>
            <w:bookmarkEnd w:id="517"/>
            <w:bookmarkEnd w:id="518"/>
          </w:p>
        </w:tc>
        <w:tc>
          <w:tcPr>
            <w:tcW w:w="1894" w:type="dxa"/>
            <w:vAlign w:val="center"/>
          </w:tcPr>
          <w:p w14:paraId="46F4F695" w14:textId="77777777" w:rsidR="00C412B3" w:rsidRPr="00D0136C" w:rsidRDefault="00C412B3" w:rsidP="00D0136C">
            <w:pPr>
              <w:widowControl/>
              <w:spacing w:before="0" w:beforeAutospacing="0" w:after="0" w:afterAutospacing="0" w:line="240" w:lineRule="auto"/>
              <w:rPr>
                <w:iCs/>
                <w:szCs w:val="24"/>
              </w:rPr>
            </w:pPr>
            <w:bookmarkStart w:id="519" w:name="_Toc15216"/>
            <w:bookmarkStart w:id="520" w:name="_Toc15925"/>
            <w:bookmarkStart w:id="521" w:name="_Toc31784"/>
            <w:r w:rsidRPr="00D0136C">
              <w:rPr>
                <w:iCs/>
                <w:szCs w:val="24"/>
                <w:lang w:eastAsia="zh-CN" w:bidi="ar"/>
              </w:rPr>
              <w:t>80</w:t>
            </w:r>
            <w:bookmarkEnd w:id="519"/>
            <w:bookmarkEnd w:id="520"/>
            <w:bookmarkEnd w:id="521"/>
          </w:p>
        </w:tc>
        <w:tc>
          <w:tcPr>
            <w:tcW w:w="1988" w:type="dxa"/>
            <w:vAlign w:val="center"/>
          </w:tcPr>
          <w:p w14:paraId="3EA4926A" w14:textId="77777777" w:rsidR="00C412B3" w:rsidRPr="00D0136C" w:rsidRDefault="00C412B3" w:rsidP="00D0136C">
            <w:pPr>
              <w:widowControl/>
              <w:spacing w:before="0" w:beforeAutospacing="0" w:after="0" w:afterAutospacing="0" w:line="240" w:lineRule="auto"/>
              <w:rPr>
                <w:iCs/>
                <w:szCs w:val="24"/>
              </w:rPr>
            </w:pPr>
            <w:bookmarkStart w:id="522" w:name="_Toc7105"/>
            <w:bookmarkStart w:id="523" w:name="_Toc19139"/>
            <w:bookmarkStart w:id="524" w:name="_Toc30056"/>
            <w:r w:rsidRPr="00D0136C">
              <w:rPr>
                <w:iCs/>
                <w:szCs w:val="24"/>
                <w:lang w:eastAsia="zh-CN" w:bidi="ar"/>
              </w:rPr>
              <w:t>53.3</w:t>
            </w:r>
            <w:bookmarkEnd w:id="522"/>
            <w:bookmarkEnd w:id="523"/>
            <w:bookmarkEnd w:id="524"/>
          </w:p>
        </w:tc>
      </w:tr>
      <w:tr w:rsidR="00C412B3" w:rsidRPr="00D0136C" w14:paraId="2C6EC0C0" w14:textId="77777777" w:rsidTr="00823948">
        <w:trPr>
          <w:trHeight w:val="816"/>
        </w:trPr>
        <w:tc>
          <w:tcPr>
            <w:tcW w:w="3306" w:type="dxa"/>
            <w:vAlign w:val="center"/>
          </w:tcPr>
          <w:p w14:paraId="520C1D30" w14:textId="77777777" w:rsidR="00C412B3" w:rsidRPr="00D0136C" w:rsidRDefault="00C412B3" w:rsidP="00D0136C">
            <w:pPr>
              <w:widowControl/>
              <w:spacing w:before="0" w:beforeAutospacing="0" w:after="0" w:afterAutospacing="0" w:line="240" w:lineRule="auto"/>
              <w:outlineLvl w:val="9"/>
              <w:rPr>
                <w:iCs/>
                <w:szCs w:val="24"/>
              </w:rPr>
            </w:pPr>
          </w:p>
        </w:tc>
        <w:tc>
          <w:tcPr>
            <w:tcW w:w="1265" w:type="dxa"/>
            <w:vAlign w:val="center"/>
          </w:tcPr>
          <w:p w14:paraId="35C8A8E2" w14:textId="77777777" w:rsidR="00C412B3" w:rsidRPr="00D0136C" w:rsidRDefault="00C412B3" w:rsidP="00D0136C">
            <w:pPr>
              <w:widowControl/>
              <w:spacing w:before="0" w:beforeAutospacing="0" w:after="0" w:afterAutospacing="0" w:line="240" w:lineRule="auto"/>
              <w:rPr>
                <w:iCs/>
                <w:szCs w:val="24"/>
              </w:rPr>
            </w:pPr>
            <w:bookmarkStart w:id="525" w:name="_Toc21415"/>
            <w:bookmarkStart w:id="526" w:name="_Toc31316"/>
            <w:bookmarkStart w:id="527" w:name="_Toc8680"/>
            <w:r w:rsidRPr="00D0136C">
              <w:rPr>
                <w:iCs/>
                <w:szCs w:val="24"/>
                <w:lang w:eastAsia="zh-CN" w:bidi="ar"/>
              </w:rPr>
              <w:t>Missing</w:t>
            </w:r>
            <w:bookmarkEnd w:id="525"/>
            <w:bookmarkEnd w:id="526"/>
            <w:bookmarkEnd w:id="527"/>
          </w:p>
        </w:tc>
        <w:tc>
          <w:tcPr>
            <w:tcW w:w="1894" w:type="dxa"/>
            <w:vAlign w:val="center"/>
          </w:tcPr>
          <w:p w14:paraId="6E03B5E6" w14:textId="77777777" w:rsidR="00C412B3" w:rsidRPr="00D0136C" w:rsidRDefault="00C412B3" w:rsidP="00D0136C">
            <w:pPr>
              <w:widowControl/>
              <w:spacing w:before="0" w:beforeAutospacing="0" w:after="0" w:afterAutospacing="0" w:line="240" w:lineRule="auto"/>
              <w:rPr>
                <w:iCs/>
                <w:szCs w:val="24"/>
              </w:rPr>
            </w:pPr>
            <w:bookmarkStart w:id="528" w:name="_Toc912"/>
            <w:bookmarkStart w:id="529" w:name="_Toc12242"/>
            <w:bookmarkStart w:id="530" w:name="_Toc12786"/>
            <w:r w:rsidRPr="00D0136C">
              <w:rPr>
                <w:iCs/>
                <w:szCs w:val="24"/>
                <w:lang w:eastAsia="zh-CN" w:bidi="ar"/>
              </w:rPr>
              <w:t>69</w:t>
            </w:r>
            <w:bookmarkEnd w:id="528"/>
            <w:bookmarkEnd w:id="529"/>
            <w:bookmarkEnd w:id="530"/>
          </w:p>
        </w:tc>
        <w:tc>
          <w:tcPr>
            <w:tcW w:w="1988" w:type="dxa"/>
            <w:vAlign w:val="center"/>
          </w:tcPr>
          <w:p w14:paraId="1F66238E" w14:textId="77777777" w:rsidR="00C412B3" w:rsidRPr="00D0136C" w:rsidRDefault="00C412B3" w:rsidP="00D0136C">
            <w:pPr>
              <w:widowControl/>
              <w:spacing w:before="0" w:beforeAutospacing="0" w:after="0" w:afterAutospacing="0" w:line="240" w:lineRule="auto"/>
              <w:rPr>
                <w:iCs/>
                <w:szCs w:val="24"/>
              </w:rPr>
            </w:pPr>
            <w:bookmarkStart w:id="531" w:name="_Toc23386"/>
            <w:bookmarkStart w:id="532" w:name="_Toc20693"/>
            <w:bookmarkStart w:id="533" w:name="_Toc30701"/>
            <w:r w:rsidRPr="00D0136C">
              <w:rPr>
                <w:iCs/>
                <w:szCs w:val="24"/>
                <w:lang w:eastAsia="zh-CN" w:bidi="ar"/>
              </w:rPr>
              <w:t>46.0</w:t>
            </w:r>
            <w:bookmarkEnd w:id="531"/>
            <w:bookmarkEnd w:id="532"/>
            <w:bookmarkEnd w:id="533"/>
          </w:p>
        </w:tc>
      </w:tr>
    </w:tbl>
    <w:p w14:paraId="2FE54823" w14:textId="77777777" w:rsidR="00C412B3" w:rsidRPr="00D0136C" w:rsidRDefault="00C412B3" w:rsidP="00D0136C">
      <w:pPr>
        <w:spacing w:before="0" w:beforeAutospacing="0" w:after="0" w:afterAutospacing="0" w:line="240" w:lineRule="auto"/>
        <w:jc w:val="both"/>
        <w:outlineLvl w:val="9"/>
        <w:rPr>
          <w:rStyle w:val="Strong"/>
          <w:iCs/>
          <w:szCs w:val="24"/>
        </w:rPr>
      </w:pPr>
    </w:p>
    <w:p w14:paraId="0A0D3E03"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39109DA8" w14:textId="77777777" w:rsidR="00C412B3" w:rsidRPr="00D0136C" w:rsidRDefault="00C412B3" w:rsidP="00D0136C">
      <w:pPr>
        <w:pStyle w:val="NormalWeb"/>
        <w:spacing w:beforeAutospacing="0" w:afterAutospacing="0"/>
        <w:jc w:val="both"/>
        <w:rPr>
          <w:rStyle w:val="Strong"/>
          <w:iCs/>
        </w:rPr>
      </w:pPr>
    </w:p>
    <w:p w14:paraId="4D7D0215" w14:textId="77777777" w:rsidR="00C412B3" w:rsidRPr="00D0136C" w:rsidRDefault="00C412B3" w:rsidP="00D0136C">
      <w:pPr>
        <w:pStyle w:val="NormalWeb"/>
        <w:spacing w:beforeAutospacing="0" w:afterAutospacing="0"/>
        <w:jc w:val="both"/>
        <w:rPr>
          <w:rStyle w:val="Strong"/>
          <w:iCs/>
        </w:rPr>
      </w:pPr>
    </w:p>
    <w:p w14:paraId="4FC5C77B" w14:textId="77777777" w:rsidR="00C412B3" w:rsidRPr="00D0136C" w:rsidRDefault="00C412B3" w:rsidP="00D0136C">
      <w:pPr>
        <w:pStyle w:val="NormalWeb"/>
        <w:spacing w:beforeAutospacing="0" w:afterAutospacing="0"/>
        <w:jc w:val="both"/>
        <w:rPr>
          <w:rStyle w:val="Strong"/>
          <w:iCs/>
        </w:rPr>
      </w:pPr>
    </w:p>
    <w:p w14:paraId="71828A14" w14:textId="77777777" w:rsidR="00C412B3" w:rsidRPr="00D0136C" w:rsidRDefault="00C412B3" w:rsidP="00D0136C">
      <w:pPr>
        <w:pStyle w:val="NormalWeb"/>
        <w:spacing w:beforeAutospacing="0" w:afterAutospacing="0"/>
        <w:jc w:val="both"/>
        <w:rPr>
          <w:rStyle w:val="Strong"/>
          <w:iCs/>
        </w:rPr>
      </w:pPr>
    </w:p>
    <w:p w14:paraId="37F81DA6" w14:textId="77777777" w:rsidR="00C412B3" w:rsidRPr="00D0136C" w:rsidRDefault="00C412B3" w:rsidP="00D0136C">
      <w:pPr>
        <w:pStyle w:val="NormalWeb"/>
        <w:spacing w:beforeAutospacing="0" w:afterAutospacing="0"/>
        <w:jc w:val="both"/>
        <w:rPr>
          <w:rFonts w:eastAsia="Times New Roman"/>
        </w:rPr>
      </w:pPr>
    </w:p>
    <w:p w14:paraId="449630DC"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50E85B6D" wp14:editId="7D08488C">
            <wp:extent cx="5943600" cy="4432935"/>
            <wp:effectExtent l="0" t="0" r="0" b="0"/>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1"/>
                    <pic:cNvPicPr>
                      <a:picLocks noChangeAspect="1"/>
                    </pic:cNvPicPr>
                  </pic:nvPicPr>
                  <pic:blipFill>
                    <a:blip r:embed="rId18"/>
                    <a:srcRect t="6796"/>
                    <a:stretch>
                      <a:fillRect/>
                    </a:stretch>
                  </pic:blipFill>
                  <pic:spPr>
                    <a:xfrm>
                      <a:off x="0" y="0"/>
                      <a:ext cx="5943600" cy="4432935"/>
                    </a:xfrm>
                    <a:prstGeom prst="rect">
                      <a:avLst/>
                    </a:prstGeom>
                    <a:noFill/>
                    <a:ln>
                      <a:noFill/>
                    </a:ln>
                  </pic:spPr>
                </pic:pic>
              </a:graphicData>
            </a:graphic>
          </wp:inline>
        </w:drawing>
      </w:r>
    </w:p>
    <w:p w14:paraId="50DD53AB" w14:textId="3899DF03" w:rsidR="00C412B3" w:rsidRPr="00D0136C" w:rsidRDefault="00C412B3" w:rsidP="00D0136C">
      <w:pPr>
        <w:pStyle w:val="NormalWeb"/>
        <w:spacing w:beforeAutospacing="0" w:afterAutospacing="0"/>
        <w:jc w:val="both"/>
        <w:rPr>
          <w:iCs/>
        </w:rPr>
      </w:pPr>
      <w:r w:rsidRPr="00D0136C">
        <w:rPr>
          <w:rStyle w:val="Strong"/>
          <w:iCs/>
        </w:rPr>
        <w:t>Figure 10.</w:t>
      </w:r>
      <w:r w:rsidRPr="00D0136C">
        <w:rPr>
          <w:iCs/>
        </w:rPr>
        <w:t xml:space="preserve"> Knowledge of </w:t>
      </w:r>
      <w:r w:rsidRPr="00D0136C">
        <w:rPr>
          <w:rStyle w:val="Emphasis"/>
        </w:rPr>
        <w:t>Chlamydia trachomatis</w:t>
      </w:r>
      <w:r w:rsidRPr="00D0136C">
        <w:rPr>
          <w:iCs/>
        </w:rPr>
        <w:t xml:space="preserve"> among respondents. </w:t>
      </w:r>
    </w:p>
    <w:p w14:paraId="55DFA89A" w14:textId="77777777" w:rsidR="00C412B3" w:rsidRPr="00D0136C" w:rsidRDefault="00C412B3" w:rsidP="00D0136C">
      <w:pPr>
        <w:pStyle w:val="NormalWeb"/>
        <w:spacing w:beforeAutospacing="0" w:afterAutospacing="0"/>
        <w:jc w:val="both"/>
        <w:rPr>
          <w:iCs/>
        </w:rPr>
      </w:pPr>
    </w:p>
    <w:p w14:paraId="005401DA" w14:textId="77777777" w:rsidR="00C412B3" w:rsidRPr="00D0136C" w:rsidRDefault="00C412B3" w:rsidP="00D0136C">
      <w:pPr>
        <w:pStyle w:val="NormalWeb"/>
        <w:spacing w:beforeAutospacing="0" w:afterAutospacing="0"/>
        <w:jc w:val="both"/>
        <w:rPr>
          <w:iCs/>
        </w:rPr>
      </w:pPr>
      <w:r w:rsidRPr="00D0136C">
        <w:rPr>
          <w:iCs/>
        </w:rPr>
        <w:br/>
      </w:r>
    </w:p>
    <w:p w14:paraId="31D7BCDF" w14:textId="77777777" w:rsidR="00C412B3" w:rsidRPr="00D0136C" w:rsidRDefault="00C412B3" w:rsidP="00D0136C">
      <w:pPr>
        <w:spacing w:after="0" w:afterAutospacing="0" w:line="240" w:lineRule="auto"/>
        <w:jc w:val="both"/>
        <w:outlineLvl w:val="9"/>
        <w:rPr>
          <w:iCs/>
          <w:szCs w:val="24"/>
        </w:rPr>
      </w:pPr>
      <w:r w:rsidRPr="00D0136C">
        <w:rPr>
          <w:iCs/>
          <w:szCs w:val="24"/>
        </w:rPr>
        <w:br w:type="page"/>
      </w:r>
    </w:p>
    <w:p w14:paraId="3C758517" w14:textId="77777777" w:rsidR="00C412B3" w:rsidRPr="00D0136C" w:rsidRDefault="00C412B3" w:rsidP="00D0136C">
      <w:pPr>
        <w:pStyle w:val="NormalWeb"/>
        <w:spacing w:beforeAutospacing="0" w:afterAutospacing="0"/>
        <w:jc w:val="both"/>
        <w:rPr>
          <w:rStyle w:val="Strong"/>
          <w:iCs/>
        </w:rPr>
      </w:pPr>
    </w:p>
    <w:p w14:paraId="037F8F90" w14:textId="77777777" w:rsidR="00C412B3" w:rsidRPr="00D0136C" w:rsidRDefault="00C412B3" w:rsidP="00D0136C">
      <w:pPr>
        <w:pStyle w:val="NormalWeb"/>
        <w:spacing w:beforeAutospacing="0" w:afterAutospacing="0"/>
        <w:jc w:val="both"/>
        <w:rPr>
          <w:rStyle w:val="Strong"/>
          <w:iCs/>
        </w:rPr>
      </w:pPr>
    </w:p>
    <w:p w14:paraId="4FB3305F" w14:textId="77777777" w:rsidR="00C412B3" w:rsidRPr="00D0136C" w:rsidRDefault="00C412B3" w:rsidP="00D0136C">
      <w:pPr>
        <w:pStyle w:val="NormalWeb"/>
        <w:spacing w:beforeAutospacing="0" w:afterAutospacing="0"/>
        <w:jc w:val="both"/>
        <w:rPr>
          <w:rStyle w:val="Strong"/>
          <w:iCs/>
        </w:rPr>
      </w:pPr>
    </w:p>
    <w:p w14:paraId="28539B08" w14:textId="77777777" w:rsidR="00C412B3" w:rsidRPr="00D0136C" w:rsidRDefault="00C412B3" w:rsidP="00D0136C">
      <w:pPr>
        <w:pStyle w:val="NormalWeb"/>
        <w:spacing w:beforeAutospacing="0" w:afterAutospacing="0"/>
        <w:jc w:val="both"/>
        <w:rPr>
          <w:rStyle w:val="Strong"/>
          <w:iCs/>
        </w:rPr>
      </w:pPr>
    </w:p>
    <w:p w14:paraId="2A6F58AD" w14:textId="77777777" w:rsidR="00C412B3" w:rsidRPr="00D0136C" w:rsidRDefault="00C412B3" w:rsidP="00D0136C">
      <w:pPr>
        <w:pStyle w:val="NormalWeb"/>
        <w:spacing w:beforeAutospacing="0" w:afterAutospacing="0"/>
        <w:jc w:val="both"/>
        <w:rPr>
          <w:rStyle w:val="Strong"/>
          <w:iCs/>
        </w:rPr>
      </w:pPr>
    </w:p>
    <w:p w14:paraId="0CA9A55D"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41D42EE7" wp14:editId="04181A21">
            <wp:extent cx="5967730" cy="4775200"/>
            <wp:effectExtent l="0" t="0" r="13970" b="6350"/>
            <wp:docPr id="1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4"/>
                    <pic:cNvPicPr>
                      <a:picLocks noChangeAspect="1"/>
                    </pic:cNvPicPr>
                  </pic:nvPicPr>
                  <pic:blipFill>
                    <a:blip r:embed="rId19"/>
                    <a:stretch>
                      <a:fillRect/>
                    </a:stretch>
                  </pic:blipFill>
                  <pic:spPr>
                    <a:xfrm>
                      <a:off x="0" y="0"/>
                      <a:ext cx="5967730" cy="4775200"/>
                    </a:xfrm>
                    <a:prstGeom prst="rect">
                      <a:avLst/>
                    </a:prstGeom>
                    <a:noFill/>
                    <a:ln>
                      <a:noFill/>
                    </a:ln>
                  </pic:spPr>
                </pic:pic>
              </a:graphicData>
            </a:graphic>
          </wp:inline>
        </w:drawing>
      </w:r>
    </w:p>
    <w:p w14:paraId="6339A352" w14:textId="545B6826" w:rsidR="00C412B3" w:rsidRPr="00D0136C" w:rsidRDefault="00C412B3" w:rsidP="00D0136C">
      <w:pPr>
        <w:pStyle w:val="NormalWeb"/>
        <w:spacing w:beforeAutospacing="0" w:afterAutospacing="0"/>
        <w:jc w:val="both"/>
        <w:rPr>
          <w:iCs/>
        </w:rPr>
      </w:pPr>
      <w:bookmarkStart w:id="534" w:name="_Toc17608"/>
      <w:bookmarkStart w:id="535" w:name="_Toc4411"/>
      <w:bookmarkStart w:id="536" w:name="_Toc23357"/>
      <w:r w:rsidRPr="00D0136C">
        <w:rPr>
          <w:rStyle w:val="Strong"/>
          <w:iCs/>
        </w:rPr>
        <w:t>Figure 11.</w:t>
      </w:r>
      <w:r w:rsidRPr="00D0136C">
        <w:rPr>
          <w:iCs/>
        </w:rPr>
        <w:t xml:space="preserve"> History of testing for </w:t>
      </w:r>
      <w:r w:rsidRPr="00D0136C">
        <w:rPr>
          <w:rStyle w:val="Emphasis"/>
        </w:rPr>
        <w:t>Chlamydia trachomatis</w:t>
      </w:r>
      <w:r w:rsidRPr="00D0136C">
        <w:rPr>
          <w:iCs/>
        </w:rPr>
        <w:t xml:space="preserve">. </w:t>
      </w:r>
    </w:p>
    <w:p w14:paraId="353B6605" w14:textId="77777777" w:rsidR="00C412B3" w:rsidRPr="00D0136C" w:rsidRDefault="00C412B3" w:rsidP="00D0136C">
      <w:pPr>
        <w:pStyle w:val="NormalWeb"/>
        <w:spacing w:beforeAutospacing="0" w:afterAutospacing="0"/>
        <w:jc w:val="both"/>
        <w:rPr>
          <w:iCs/>
        </w:rPr>
      </w:pPr>
    </w:p>
    <w:p w14:paraId="42C59081" w14:textId="77777777" w:rsidR="00C412B3" w:rsidRPr="00D0136C" w:rsidRDefault="00C412B3" w:rsidP="00D0136C">
      <w:pPr>
        <w:spacing w:before="0" w:beforeAutospacing="0" w:after="0" w:afterAutospacing="0" w:line="240" w:lineRule="auto"/>
        <w:jc w:val="both"/>
        <w:rPr>
          <w:rStyle w:val="Strong"/>
          <w:iCs/>
          <w:szCs w:val="24"/>
        </w:rPr>
      </w:pPr>
      <w:r w:rsidRPr="00D0136C">
        <w:rPr>
          <w:rStyle w:val="Strong"/>
          <w:iCs/>
          <w:szCs w:val="24"/>
        </w:rPr>
        <w:br w:type="page"/>
      </w:r>
      <w:bookmarkEnd w:id="534"/>
      <w:bookmarkEnd w:id="535"/>
      <w:bookmarkEnd w:id="536"/>
    </w:p>
    <w:p w14:paraId="304571AB" w14:textId="5028D5B9" w:rsidR="00C412B3" w:rsidRPr="00D0136C" w:rsidRDefault="00C412B3" w:rsidP="00D0136C">
      <w:pPr>
        <w:pStyle w:val="Heading2"/>
        <w:spacing w:line="240" w:lineRule="auto"/>
        <w:jc w:val="both"/>
        <w:rPr>
          <w:szCs w:val="24"/>
        </w:rPr>
      </w:pPr>
      <w:bookmarkStart w:id="537" w:name="_Toc5177"/>
      <w:bookmarkStart w:id="538" w:name="_Toc19086"/>
      <w:r w:rsidRPr="00D0136C">
        <w:rPr>
          <w:szCs w:val="24"/>
        </w:rPr>
        <w:lastRenderedPageBreak/>
        <w:t xml:space="preserve">Prevalence of </w:t>
      </w:r>
      <w:r w:rsidRPr="00D0136C">
        <w:rPr>
          <w:i/>
          <w:iCs/>
          <w:szCs w:val="24"/>
        </w:rPr>
        <w:t>Chlamydia trachomatis</w:t>
      </w:r>
      <w:r w:rsidRPr="00D0136C">
        <w:rPr>
          <w:szCs w:val="24"/>
        </w:rPr>
        <w:t xml:space="preserve"> Infection</w:t>
      </w:r>
      <w:bookmarkEnd w:id="537"/>
      <w:bookmarkEnd w:id="538"/>
    </w:p>
    <w:p w14:paraId="73266790" w14:textId="3C13BC11" w:rsidR="00C412B3" w:rsidRPr="00D0136C" w:rsidRDefault="00C412B3" w:rsidP="00D0136C">
      <w:pPr>
        <w:pStyle w:val="NormalWeb"/>
        <w:spacing w:beforeAutospacing="0" w:afterAutospacing="0"/>
        <w:jc w:val="both"/>
        <w:rPr>
          <w:iCs/>
        </w:rPr>
      </w:pPr>
      <w:r w:rsidRPr="00D0136C">
        <w:rPr>
          <w:iCs/>
        </w:rPr>
        <w:t xml:space="preserve">As summarized in </w:t>
      </w:r>
      <w:r w:rsidRPr="00D0136C">
        <w:rPr>
          <w:rStyle w:val="Strong"/>
          <w:b w:val="0"/>
          <w:bCs w:val="0"/>
          <w:iCs/>
        </w:rPr>
        <w:t>Table 4</w:t>
      </w:r>
      <w:r w:rsidRPr="00D0136C">
        <w:rPr>
          <w:iCs/>
        </w:rPr>
        <w:t xml:space="preserve">, all participants tested negative for </w:t>
      </w:r>
      <w:r w:rsidRPr="00D0136C">
        <w:rPr>
          <w:rStyle w:val="Emphasis"/>
        </w:rPr>
        <w:t>Chlamydia trachomatis</w:t>
      </w:r>
      <w:r w:rsidRPr="00D0136C">
        <w:rPr>
          <w:iCs/>
        </w:rPr>
        <w:t xml:space="preserve"> antibodies using lateral flow assays (LFA). Thus, the overall percentage prevalence was </w:t>
      </w:r>
      <w:r w:rsidRPr="00D0136C">
        <w:rPr>
          <w:rStyle w:val="Strong"/>
          <w:b w:val="0"/>
          <w:bCs w:val="0"/>
          <w:iCs/>
        </w:rPr>
        <w:t>0%</w:t>
      </w:r>
      <w:r w:rsidRPr="00D0136C">
        <w:rPr>
          <w:iCs/>
        </w:rPr>
        <w:t xml:space="preserve"> among the study population. The </w:t>
      </w:r>
      <w:r w:rsidRPr="00D0136C">
        <w:rPr>
          <w:rStyle w:val="Strong"/>
          <w:b w:val="0"/>
          <w:bCs w:val="0"/>
          <w:iCs/>
        </w:rPr>
        <w:t>bar chart and pie chart (Figures 11 and 12)</w:t>
      </w:r>
      <w:r w:rsidRPr="00D0136C">
        <w:rPr>
          <w:iCs/>
        </w:rPr>
        <w:t xml:space="preserve"> further confirm the uniform negative results across all participants.</w:t>
      </w:r>
    </w:p>
    <w:p w14:paraId="235FF33B" w14:textId="77777777" w:rsidR="00C412B3" w:rsidRPr="00D0136C" w:rsidRDefault="00C412B3" w:rsidP="00D0136C">
      <w:pPr>
        <w:spacing w:before="0" w:beforeAutospacing="0" w:after="0" w:afterAutospacing="0" w:line="240" w:lineRule="auto"/>
        <w:jc w:val="both"/>
        <w:outlineLvl w:val="9"/>
        <w:rPr>
          <w:iCs/>
          <w:szCs w:val="24"/>
        </w:rPr>
      </w:pPr>
    </w:p>
    <w:p w14:paraId="3302D1E9"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0E3BA952" w14:textId="14916B3B" w:rsidR="00C412B3" w:rsidRPr="00D0136C" w:rsidRDefault="00C412B3" w:rsidP="00D0136C">
      <w:pPr>
        <w:pStyle w:val="NormalWeb"/>
        <w:spacing w:beforeAutospacing="0" w:afterAutospacing="0"/>
        <w:jc w:val="both"/>
        <w:rPr>
          <w:iCs/>
        </w:rPr>
      </w:pPr>
      <w:r w:rsidRPr="00D0136C">
        <w:rPr>
          <w:rStyle w:val="Strong"/>
          <w:iCs/>
        </w:rPr>
        <w:lastRenderedPageBreak/>
        <w:t>Table</w:t>
      </w:r>
      <w:r w:rsidR="007849E6" w:rsidRPr="00D0136C">
        <w:rPr>
          <w:rStyle w:val="Strong"/>
          <w:iCs/>
        </w:rPr>
        <w:t xml:space="preserve"> </w:t>
      </w:r>
      <w:r w:rsidRPr="00D0136C">
        <w:rPr>
          <w:rStyle w:val="Strong"/>
          <w:iCs/>
        </w:rPr>
        <w:t xml:space="preserve">4: Prevalence of </w:t>
      </w:r>
      <w:r w:rsidRPr="00D0136C">
        <w:rPr>
          <w:rStyle w:val="Emphasis"/>
          <w:b/>
          <w:bCs/>
        </w:rPr>
        <w:t>Chlamydia trachomatis</w:t>
      </w:r>
      <w:r w:rsidRPr="00D0136C">
        <w:rPr>
          <w:rStyle w:val="Strong"/>
          <w:iCs/>
          <w:color w:val="EE0000"/>
        </w:rPr>
        <w:t xml:space="preserve"> </w:t>
      </w:r>
      <w:r w:rsidRPr="00D0136C">
        <w:rPr>
          <w:rStyle w:val="Strong"/>
          <w:iCs/>
        </w:rPr>
        <w:t>Infection among Respondents (n = 150)</w:t>
      </w:r>
    </w:p>
    <w:tbl>
      <w:tblPr>
        <w:tblStyle w:val="TableGrid"/>
        <w:tblW w:w="8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2664"/>
        <w:gridCol w:w="2949"/>
      </w:tblGrid>
      <w:tr w:rsidR="00C412B3" w:rsidRPr="00D0136C" w14:paraId="7E7D65C8" w14:textId="77777777" w:rsidTr="00823948">
        <w:trPr>
          <w:trHeight w:val="1031"/>
        </w:trPr>
        <w:tc>
          <w:tcPr>
            <w:tcW w:w="2666" w:type="dxa"/>
            <w:tcBorders>
              <w:bottom w:val="single" w:sz="4" w:space="0" w:color="auto"/>
            </w:tcBorders>
            <w:vAlign w:val="center"/>
          </w:tcPr>
          <w:p w14:paraId="21DB61D1" w14:textId="77777777" w:rsidR="00C412B3" w:rsidRPr="00D0136C" w:rsidRDefault="00C412B3" w:rsidP="00D0136C">
            <w:pPr>
              <w:widowControl/>
              <w:spacing w:before="0" w:beforeAutospacing="0" w:after="0" w:afterAutospacing="0" w:line="240" w:lineRule="auto"/>
              <w:rPr>
                <w:b/>
                <w:bCs/>
                <w:iCs/>
                <w:szCs w:val="24"/>
              </w:rPr>
            </w:pPr>
            <w:bookmarkStart w:id="539" w:name="_Toc17376"/>
            <w:bookmarkStart w:id="540" w:name="_Toc3242"/>
            <w:bookmarkStart w:id="541" w:name="_Toc24942"/>
            <w:r w:rsidRPr="00D0136C">
              <w:rPr>
                <w:b/>
                <w:bCs/>
                <w:iCs/>
                <w:szCs w:val="24"/>
                <w:lang w:eastAsia="zh-CN" w:bidi="ar"/>
              </w:rPr>
              <w:t>Test Outcome</w:t>
            </w:r>
            <w:bookmarkEnd w:id="539"/>
            <w:bookmarkEnd w:id="540"/>
            <w:bookmarkEnd w:id="541"/>
          </w:p>
        </w:tc>
        <w:tc>
          <w:tcPr>
            <w:tcW w:w="2664" w:type="dxa"/>
            <w:tcBorders>
              <w:bottom w:val="single" w:sz="4" w:space="0" w:color="auto"/>
            </w:tcBorders>
            <w:vAlign w:val="center"/>
          </w:tcPr>
          <w:p w14:paraId="78445D26" w14:textId="77777777" w:rsidR="00C412B3" w:rsidRPr="00D0136C" w:rsidRDefault="00C412B3" w:rsidP="00D0136C">
            <w:pPr>
              <w:widowControl/>
              <w:spacing w:before="0" w:beforeAutospacing="0" w:after="0" w:afterAutospacing="0" w:line="240" w:lineRule="auto"/>
              <w:rPr>
                <w:b/>
                <w:bCs/>
                <w:iCs/>
                <w:szCs w:val="24"/>
              </w:rPr>
            </w:pPr>
            <w:bookmarkStart w:id="542" w:name="_Toc28796"/>
            <w:bookmarkStart w:id="543" w:name="_Toc4413"/>
            <w:bookmarkStart w:id="544" w:name="_Toc32003"/>
            <w:r w:rsidRPr="00D0136C">
              <w:rPr>
                <w:b/>
                <w:bCs/>
                <w:iCs/>
                <w:szCs w:val="24"/>
                <w:lang w:eastAsia="zh-CN" w:bidi="ar"/>
              </w:rPr>
              <w:t>Frequency (n)</w:t>
            </w:r>
            <w:bookmarkEnd w:id="542"/>
            <w:bookmarkEnd w:id="543"/>
            <w:bookmarkEnd w:id="544"/>
          </w:p>
        </w:tc>
        <w:tc>
          <w:tcPr>
            <w:tcW w:w="2949" w:type="dxa"/>
            <w:tcBorders>
              <w:bottom w:val="single" w:sz="4" w:space="0" w:color="auto"/>
            </w:tcBorders>
            <w:vAlign w:val="center"/>
          </w:tcPr>
          <w:p w14:paraId="71B66CEB" w14:textId="77777777" w:rsidR="00C412B3" w:rsidRPr="00D0136C" w:rsidRDefault="00C412B3" w:rsidP="00D0136C">
            <w:pPr>
              <w:widowControl/>
              <w:spacing w:before="0" w:beforeAutospacing="0" w:after="0" w:afterAutospacing="0" w:line="240" w:lineRule="auto"/>
              <w:rPr>
                <w:b/>
                <w:bCs/>
                <w:iCs/>
                <w:szCs w:val="24"/>
              </w:rPr>
            </w:pPr>
            <w:bookmarkStart w:id="545" w:name="_Toc4927"/>
            <w:bookmarkStart w:id="546" w:name="_Toc18333"/>
            <w:bookmarkStart w:id="547" w:name="_Toc7575"/>
            <w:r w:rsidRPr="00D0136C">
              <w:rPr>
                <w:b/>
                <w:bCs/>
                <w:iCs/>
                <w:szCs w:val="24"/>
                <w:lang w:eastAsia="zh-CN" w:bidi="ar"/>
              </w:rPr>
              <w:t>Percentage (%)</w:t>
            </w:r>
            <w:bookmarkEnd w:id="545"/>
            <w:bookmarkEnd w:id="546"/>
            <w:bookmarkEnd w:id="547"/>
          </w:p>
        </w:tc>
      </w:tr>
      <w:tr w:rsidR="00C412B3" w:rsidRPr="00D0136C" w14:paraId="1017BCE9" w14:textId="77777777" w:rsidTr="00823948">
        <w:trPr>
          <w:trHeight w:val="959"/>
        </w:trPr>
        <w:tc>
          <w:tcPr>
            <w:tcW w:w="2666" w:type="dxa"/>
            <w:tcBorders>
              <w:top w:val="single" w:sz="4" w:space="0" w:color="auto"/>
            </w:tcBorders>
            <w:vAlign w:val="center"/>
          </w:tcPr>
          <w:p w14:paraId="2BB6B7F2" w14:textId="77777777" w:rsidR="00C412B3" w:rsidRPr="00D0136C" w:rsidRDefault="00C412B3" w:rsidP="00D0136C">
            <w:pPr>
              <w:widowControl/>
              <w:spacing w:before="0" w:beforeAutospacing="0" w:after="0" w:afterAutospacing="0" w:line="240" w:lineRule="auto"/>
              <w:rPr>
                <w:iCs/>
                <w:szCs w:val="24"/>
              </w:rPr>
            </w:pPr>
            <w:bookmarkStart w:id="548" w:name="_Toc26130"/>
            <w:bookmarkStart w:id="549" w:name="_Toc4541"/>
            <w:bookmarkStart w:id="550" w:name="_Toc23566"/>
            <w:r w:rsidRPr="00D0136C">
              <w:rPr>
                <w:iCs/>
                <w:szCs w:val="24"/>
                <w:lang w:eastAsia="zh-CN" w:bidi="ar"/>
              </w:rPr>
              <w:t>Negative</w:t>
            </w:r>
            <w:bookmarkEnd w:id="548"/>
            <w:bookmarkEnd w:id="549"/>
            <w:bookmarkEnd w:id="550"/>
          </w:p>
        </w:tc>
        <w:tc>
          <w:tcPr>
            <w:tcW w:w="2664" w:type="dxa"/>
            <w:tcBorders>
              <w:top w:val="single" w:sz="4" w:space="0" w:color="auto"/>
            </w:tcBorders>
            <w:vAlign w:val="center"/>
          </w:tcPr>
          <w:p w14:paraId="1BBB965C" w14:textId="77777777" w:rsidR="00C412B3" w:rsidRPr="00D0136C" w:rsidRDefault="00C412B3" w:rsidP="00D0136C">
            <w:pPr>
              <w:widowControl/>
              <w:spacing w:before="0" w:beforeAutospacing="0" w:after="0" w:afterAutospacing="0" w:line="240" w:lineRule="auto"/>
              <w:rPr>
                <w:iCs/>
                <w:szCs w:val="24"/>
              </w:rPr>
            </w:pPr>
            <w:bookmarkStart w:id="551" w:name="_Toc32562"/>
            <w:bookmarkStart w:id="552" w:name="_Toc16749"/>
            <w:bookmarkStart w:id="553" w:name="_Toc11684"/>
            <w:r w:rsidRPr="00D0136C">
              <w:rPr>
                <w:iCs/>
                <w:szCs w:val="24"/>
                <w:lang w:eastAsia="zh-CN" w:bidi="ar"/>
              </w:rPr>
              <w:t>150</w:t>
            </w:r>
            <w:bookmarkEnd w:id="551"/>
            <w:bookmarkEnd w:id="552"/>
            <w:bookmarkEnd w:id="553"/>
          </w:p>
        </w:tc>
        <w:tc>
          <w:tcPr>
            <w:tcW w:w="2949" w:type="dxa"/>
            <w:tcBorders>
              <w:top w:val="single" w:sz="4" w:space="0" w:color="auto"/>
            </w:tcBorders>
            <w:vAlign w:val="center"/>
          </w:tcPr>
          <w:p w14:paraId="0683F9ED" w14:textId="77777777" w:rsidR="00C412B3" w:rsidRPr="00D0136C" w:rsidRDefault="00C412B3" w:rsidP="00D0136C">
            <w:pPr>
              <w:widowControl/>
              <w:spacing w:before="0" w:beforeAutospacing="0" w:after="0" w:afterAutospacing="0" w:line="240" w:lineRule="auto"/>
              <w:rPr>
                <w:iCs/>
                <w:szCs w:val="24"/>
              </w:rPr>
            </w:pPr>
            <w:bookmarkStart w:id="554" w:name="_Toc25847"/>
            <w:bookmarkStart w:id="555" w:name="_Toc10895"/>
            <w:bookmarkStart w:id="556" w:name="_Toc13988"/>
            <w:r w:rsidRPr="00D0136C">
              <w:rPr>
                <w:iCs/>
                <w:szCs w:val="24"/>
                <w:lang w:eastAsia="zh-CN" w:bidi="ar"/>
              </w:rPr>
              <w:t>100.0</w:t>
            </w:r>
            <w:bookmarkEnd w:id="554"/>
            <w:bookmarkEnd w:id="555"/>
            <w:bookmarkEnd w:id="556"/>
          </w:p>
        </w:tc>
      </w:tr>
      <w:tr w:rsidR="00C412B3" w:rsidRPr="00D0136C" w14:paraId="12F19E19" w14:textId="77777777" w:rsidTr="00823948">
        <w:trPr>
          <w:trHeight w:val="976"/>
        </w:trPr>
        <w:tc>
          <w:tcPr>
            <w:tcW w:w="2666" w:type="dxa"/>
            <w:vAlign w:val="center"/>
          </w:tcPr>
          <w:p w14:paraId="79B6F8E1" w14:textId="77777777" w:rsidR="00C412B3" w:rsidRPr="00D0136C" w:rsidRDefault="00C412B3" w:rsidP="00D0136C">
            <w:pPr>
              <w:widowControl/>
              <w:spacing w:before="0" w:beforeAutospacing="0" w:after="0" w:afterAutospacing="0" w:line="240" w:lineRule="auto"/>
              <w:rPr>
                <w:iCs/>
                <w:szCs w:val="24"/>
              </w:rPr>
            </w:pPr>
            <w:bookmarkStart w:id="557" w:name="_Toc27221"/>
            <w:bookmarkStart w:id="558" w:name="_Toc1935"/>
            <w:bookmarkStart w:id="559" w:name="_Toc4123"/>
            <w:r w:rsidRPr="00D0136C">
              <w:rPr>
                <w:iCs/>
                <w:szCs w:val="24"/>
                <w:lang w:eastAsia="zh-CN" w:bidi="ar"/>
              </w:rPr>
              <w:t>Positive</w:t>
            </w:r>
            <w:bookmarkEnd w:id="557"/>
            <w:bookmarkEnd w:id="558"/>
            <w:bookmarkEnd w:id="559"/>
          </w:p>
        </w:tc>
        <w:tc>
          <w:tcPr>
            <w:tcW w:w="2664" w:type="dxa"/>
            <w:vAlign w:val="center"/>
          </w:tcPr>
          <w:p w14:paraId="7B76BF74" w14:textId="77777777" w:rsidR="00C412B3" w:rsidRPr="00D0136C" w:rsidRDefault="00C412B3" w:rsidP="00D0136C">
            <w:pPr>
              <w:widowControl/>
              <w:spacing w:before="0" w:beforeAutospacing="0" w:after="0" w:afterAutospacing="0" w:line="240" w:lineRule="auto"/>
              <w:rPr>
                <w:iCs/>
                <w:szCs w:val="24"/>
              </w:rPr>
            </w:pPr>
            <w:bookmarkStart w:id="560" w:name="_Toc13032"/>
            <w:bookmarkStart w:id="561" w:name="_Toc15099"/>
            <w:bookmarkStart w:id="562" w:name="_Toc11156"/>
            <w:r w:rsidRPr="00D0136C">
              <w:rPr>
                <w:iCs/>
                <w:szCs w:val="24"/>
                <w:lang w:eastAsia="zh-CN" w:bidi="ar"/>
              </w:rPr>
              <w:t>0</w:t>
            </w:r>
            <w:bookmarkEnd w:id="560"/>
            <w:bookmarkEnd w:id="561"/>
            <w:bookmarkEnd w:id="562"/>
          </w:p>
        </w:tc>
        <w:tc>
          <w:tcPr>
            <w:tcW w:w="2949" w:type="dxa"/>
            <w:vAlign w:val="center"/>
          </w:tcPr>
          <w:p w14:paraId="159BBEC1" w14:textId="77777777" w:rsidR="00C412B3" w:rsidRPr="00D0136C" w:rsidRDefault="00C412B3" w:rsidP="00D0136C">
            <w:pPr>
              <w:widowControl/>
              <w:spacing w:before="0" w:beforeAutospacing="0" w:after="0" w:afterAutospacing="0" w:line="240" w:lineRule="auto"/>
              <w:rPr>
                <w:iCs/>
                <w:szCs w:val="24"/>
              </w:rPr>
            </w:pPr>
            <w:bookmarkStart w:id="563" w:name="_Toc19038"/>
            <w:bookmarkStart w:id="564" w:name="_Toc32541"/>
            <w:bookmarkStart w:id="565" w:name="_Toc10237"/>
            <w:r w:rsidRPr="00D0136C">
              <w:rPr>
                <w:iCs/>
                <w:szCs w:val="24"/>
                <w:lang w:eastAsia="zh-CN" w:bidi="ar"/>
              </w:rPr>
              <w:t>0.0</w:t>
            </w:r>
            <w:bookmarkEnd w:id="563"/>
            <w:bookmarkEnd w:id="564"/>
            <w:bookmarkEnd w:id="565"/>
          </w:p>
        </w:tc>
      </w:tr>
    </w:tbl>
    <w:p w14:paraId="5A4AF075" w14:textId="77777777" w:rsidR="00C412B3" w:rsidRPr="00D0136C" w:rsidRDefault="00C412B3" w:rsidP="00D0136C">
      <w:pPr>
        <w:spacing w:before="0" w:beforeAutospacing="0" w:after="0" w:afterAutospacing="0" w:line="240" w:lineRule="auto"/>
        <w:jc w:val="both"/>
        <w:outlineLvl w:val="9"/>
        <w:rPr>
          <w:iCs/>
          <w:szCs w:val="24"/>
        </w:rPr>
      </w:pPr>
    </w:p>
    <w:p w14:paraId="07F7AE5F" w14:textId="77777777" w:rsidR="00C412B3" w:rsidRPr="00D0136C" w:rsidRDefault="00C412B3" w:rsidP="00D0136C">
      <w:pPr>
        <w:spacing w:before="0" w:beforeAutospacing="0" w:after="0" w:afterAutospacing="0" w:line="240" w:lineRule="auto"/>
        <w:jc w:val="both"/>
        <w:outlineLvl w:val="9"/>
        <w:rPr>
          <w:rStyle w:val="Strong"/>
          <w:iCs/>
          <w:szCs w:val="24"/>
        </w:rPr>
      </w:pPr>
      <w:r w:rsidRPr="00D0136C">
        <w:rPr>
          <w:rStyle w:val="Strong"/>
          <w:iCs/>
          <w:szCs w:val="24"/>
        </w:rPr>
        <w:br w:type="page"/>
      </w:r>
    </w:p>
    <w:p w14:paraId="43E91B46" w14:textId="77777777" w:rsidR="00C412B3" w:rsidRPr="00D0136C" w:rsidRDefault="00C412B3" w:rsidP="00D0136C">
      <w:pPr>
        <w:pStyle w:val="NormalWeb"/>
        <w:spacing w:beforeAutospacing="0" w:afterAutospacing="0"/>
        <w:jc w:val="both"/>
        <w:rPr>
          <w:rStyle w:val="Strong"/>
          <w:iCs/>
        </w:rPr>
      </w:pPr>
    </w:p>
    <w:p w14:paraId="60C81F13" w14:textId="77777777" w:rsidR="00C412B3" w:rsidRPr="00D0136C" w:rsidRDefault="00C412B3" w:rsidP="00D0136C">
      <w:pPr>
        <w:pStyle w:val="NormalWeb"/>
        <w:spacing w:beforeAutospacing="0" w:afterAutospacing="0"/>
        <w:jc w:val="both"/>
        <w:rPr>
          <w:rStyle w:val="Strong"/>
          <w:iCs/>
        </w:rPr>
      </w:pPr>
    </w:p>
    <w:p w14:paraId="785D0327" w14:textId="77777777" w:rsidR="00C412B3" w:rsidRPr="00D0136C" w:rsidRDefault="00C412B3" w:rsidP="00D0136C">
      <w:pPr>
        <w:pStyle w:val="NormalWeb"/>
        <w:spacing w:beforeAutospacing="0" w:afterAutospacing="0"/>
        <w:jc w:val="both"/>
        <w:rPr>
          <w:rStyle w:val="Strong"/>
          <w:iCs/>
        </w:rPr>
      </w:pPr>
    </w:p>
    <w:p w14:paraId="234ED48C" w14:textId="77777777" w:rsidR="00C412B3" w:rsidRPr="00D0136C" w:rsidRDefault="00C412B3" w:rsidP="00D0136C">
      <w:pPr>
        <w:pStyle w:val="NormalWeb"/>
        <w:spacing w:beforeAutospacing="0" w:afterAutospacing="0"/>
        <w:jc w:val="both"/>
        <w:rPr>
          <w:rFonts w:eastAsia="Times New Roman"/>
        </w:rPr>
      </w:pPr>
    </w:p>
    <w:p w14:paraId="223CCF8F"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2BAF1F09" wp14:editId="784654D6">
            <wp:extent cx="5943600" cy="4445000"/>
            <wp:effectExtent l="0" t="0" r="0" b="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
                    <pic:cNvPicPr>
                      <a:picLocks noChangeAspect="1"/>
                    </pic:cNvPicPr>
                  </pic:nvPicPr>
                  <pic:blipFill>
                    <a:blip r:embed="rId20"/>
                    <a:srcRect t="6542"/>
                    <a:stretch>
                      <a:fillRect/>
                    </a:stretch>
                  </pic:blipFill>
                  <pic:spPr>
                    <a:xfrm>
                      <a:off x="0" y="0"/>
                      <a:ext cx="5943600" cy="4445000"/>
                    </a:xfrm>
                    <a:prstGeom prst="rect">
                      <a:avLst/>
                    </a:prstGeom>
                    <a:noFill/>
                    <a:ln>
                      <a:noFill/>
                    </a:ln>
                  </pic:spPr>
                </pic:pic>
              </a:graphicData>
            </a:graphic>
          </wp:inline>
        </w:drawing>
      </w:r>
    </w:p>
    <w:p w14:paraId="11F36C7B" w14:textId="77777777" w:rsidR="00C412B3" w:rsidRPr="00D0136C" w:rsidRDefault="00C412B3" w:rsidP="00D0136C">
      <w:pPr>
        <w:pStyle w:val="NormalWeb"/>
        <w:spacing w:beforeAutospacing="0" w:afterAutospacing="0"/>
        <w:jc w:val="both"/>
        <w:rPr>
          <w:iCs/>
        </w:rPr>
      </w:pPr>
      <w:r w:rsidRPr="00D0136C">
        <w:rPr>
          <w:rStyle w:val="Strong"/>
          <w:iCs/>
        </w:rPr>
        <w:t>Figure 12.</w:t>
      </w:r>
      <w:r w:rsidRPr="00D0136C">
        <w:rPr>
          <w:iCs/>
        </w:rPr>
        <w:t xml:space="preserve"> Distribution of </w:t>
      </w:r>
      <w:r w:rsidRPr="00D0136C">
        <w:rPr>
          <w:rStyle w:val="Emphasis"/>
        </w:rPr>
        <w:t>Chlamydia trachomatis</w:t>
      </w:r>
      <w:r w:rsidRPr="00D0136C">
        <w:rPr>
          <w:iCs/>
        </w:rPr>
        <w:t xml:space="preserve"> RDT results among respondents. </w:t>
      </w:r>
    </w:p>
    <w:p w14:paraId="429561C2" w14:textId="77777777" w:rsidR="00C412B3" w:rsidRPr="00D0136C" w:rsidRDefault="00C412B3" w:rsidP="00D0136C">
      <w:pPr>
        <w:pStyle w:val="NormalWeb"/>
        <w:spacing w:beforeAutospacing="0" w:afterAutospacing="0"/>
        <w:jc w:val="both"/>
        <w:rPr>
          <w:iCs/>
        </w:rPr>
      </w:pPr>
      <w:r w:rsidRPr="00D0136C">
        <w:rPr>
          <w:iCs/>
        </w:rPr>
        <w:br/>
      </w:r>
    </w:p>
    <w:p w14:paraId="77D4165B" w14:textId="77777777" w:rsidR="00C412B3" w:rsidRPr="00D0136C" w:rsidRDefault="00C412B3" w:rsidP="00D0136C">
      <w:pPr>
        <w:spacing w:after="0" w:afterAutospacing="0" w:line="240" w:lineRule="auto"/>
        <w:jc w:val="both"/>
        <w:outlineLvl w:val="9"/>
        <w:rPr>
          <w:iCs/>
          <w:szCs w:val="24"/>
        </w:rPr>
      </w:pPr>
      <w:r w:rsidRPr="00D0136C">
        <w:rPr>
          <w:iCs/>
          <w:szCs w:val="24"/>
        </w:rPr>
        <w:br w:type="page"/>
      </w:r>
    </w:p>
    <w:p w14:paraId="1E6A9AD2" w14:textId="77777777" w:rsidR="00C412B3" w:rsidRPr="00D0136C" w:rsidRDefault="00C412B3" w:rsidP="00D0136C">
      <w:pPr>
        <w:pStyle w:val="NormalWeb"/>
        <w:spacing w:beforeAutospacing="0" w:afterAutospacing="0"/>
        <w:jc w:val="both"/>
        <w:rPr>
          <w:rStyle w:val="Strong"/>
          <w:iCs/>
        </w:rPr>
      </w:pPr>
    </w:p>
    <w:p w14:paraId="7AC22435" w14:textId="77777777" w:rsidR="00C412B3" w:rsidRPr="00D0136C" w:rsidRDefault="00C412B3" w:rsidP="00D0136C">
      <w:pPr>
        <w:pStyle w:val="NormalWeb"/>
        <w:spacing w:beforeAutospacing="0" w:afterAutospacing="0"/>
        <w:jc w:val="both"/>
        <w:rPr>
          <w:rStyle w:val="Strong"/>
          <w:iCs/>
        </w:rPr>
      </w:pPr>
    </w:p>
    <w:p w14:paraId="04F3EEC2" w14:textId="77777777" w:rsidR="00C412B3" w:rsidRPr="00D0136C" w:rsidRDefault="00C412B3" w:rsidP="00D0136C">
      <w:pPr>
        <w:pStyle w:val="NormalWeb"/>
        <w:spacing w:beforeAutospacing="0" w:afterAutospacing="0"/>
        <w:jc w:val="both"/>
        <w:rPr>
          <w:rStyle w:val="Strong"/>
          <w:iCs/>
        </w:rPr>
      </w:pPr>
    </w:p>
    <w:p w14:paraId="1D1B325D" w14:textId="77777777" w:rsidR="00C412B3" w:rsidRPr="00D0136C" w:rsidRDefault="00C412B3" w:rsidP="00D0136C">
      <w:pPr>
        <w:pStyle w:val="NormalWeb"/>
        <w:spacing w:beforeAutospacing="0" w:afterAutospacing="0"/>
        <w:jc w:val="both"/>
        <w:rPr>
          <w:rStyle w:val="Strong"/>
          <w:iCs/>
        </w:rPr>
      </w:pPr>
    </w:p>
    <w:p w14:paraId="3767E1DE" w14:textId="77777777" w:rsidR="00C412B3" w:rsidRPr="00D0136C" w:rsidRDefault="00C412B3" w:rsidP="00D0136C">
      <w:pPr>
        <w:pStyle w:val="NormalWeb"/>
        <w:spacing w:beforeAutospacing="0" w:afterAutospacing="0"/>
        <w:jc w:val="both"/>
        <w:rPr>
          <w:rStyle w:val="Strong"/>
          <w:iCs/>
        </w:rPr>
      </w:pPr>
    </w:p>
    <w:p w14:paraId="2750D173" w14:textId="77777777" w:rsidR="00C412B3" w:rsidRPr="00D0136C" w:rsidRDefault="00C412B3" w:rsidP="00D0136C">
      <w:pPr>
        <w:pStyle w:val="NormalWeb"/>
        <w:spacing w:beforeAutospacing="0" w:afterAutospacing="0"/>
        <w:jc w:val="both"/>
        <w:rPr>
          <w:rFonts w:eastAsia="Times New Roman"/>
        </w:rPr>
      </w:pPr>
    </w:p>
    <w:p w14:paraId="627FED69" w14:textId="77777777" w:rsidR="00C412B3" w:rsidRPr="00D0136C" w:rsidRDefault="00C412B3" w:rsidP="00D0136C">
      <w:pPr>
        <w:pStyle w:val="NormalWeb"/>
        <w:spacing w:beforeAutospacing="0" w:afterAutospacing="0"/>
        <w:jc w:val="both"/>
        <w:rPr>
          <w:rStyle w:val="Strong"/>
          <w:iCs/>
        </w:rPr>
      </w:pPr>
      <w:r w:rsidRPr="00D0136C">
        <w:rPr>
          <w:rFonts w:eastAsia="Times New Roman"/>
          <w:noProof/>
        </w:rPr>
        <w:drawing>
          <wp:inline distT="0" distB="0" distL="114300" distR="114300" wp14:anchorId="3D319B44" wp14:editId="331E4D8E">
            <wp:extent cx="5943600" cy="4447540"/>
            <wp:effectExtent l="0" t="0" r="0" b="0"/>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3"/>
                    <pic:cNvPicPr>
                      <a:picLocks noChangeAspect="1"/>
                    </pic:cNvPicPr>
                  </pic:nvPicPr>
                  <pic:blipFill>
                    <a:blip r:embed="rId21"/>
                    <a:srcRect t="6489"/>
                    <a:stretch>
                      <a:fillRect/>
                    </a:stretch>
                  </pic:blipFill>
                  <pic:spPr>
                    <a:xfrm>
                      <a:off x="0" y="0"/>
                      <a:ext cx="5943600" cy="4447540"/>
                    </a:xfrm>
                    <a:prstGeom prst="rect">
                      <a:avLst/>
                    </a:prstGeom>
                    <a:noFill/>
                    <a:ln>
                      <a:noFill/>
                    </a:ln>
                  </pic:spPr>
                </pic:pic>
              </a:graphicData>
            </a:graphic>
          </wp:inline>
        </w:drawing>
      </w:r>
    </w:p>
    <w:p w14:paraId="60C3BDAB" w14:textId="7D516E4D" w:rsidR="00C412B3" w:rsidRPr="00D0136C" w:rsidRDefault="00C412B3" w:rsidP="00D0136C">
      <w:pPr>
        <w:pStyle w:val="NormalWeb"/>
        <w:spacing w:beforeAutospacing="0" w:afterAutospacing="0"/>
        <w:jc w:val="both"/>
        <w:rPr>
          <w:iCs/>
        </w:rPr>
      </w:pPr>
      <w:r w:rsidRPr="00D0136C">
        <w:rPr>
          <w:rStyle w:val="Strong"/>
          <w:iCs/>
        </w:rPr>
        <w:t>Figure 13.</w:t>
      </w:r>
      <w:r w:rsidRPr="00D0136C">
        <w:rPr>
          <w:iCs/>
        </w:rPr>
        <w:t xml:space="preserve"> Prevalence of </w:t>
      </w:r>
      <w:r w:rsidRPr="00D0136C">
        <w:rPr>
          <w:rStyle w:val="Emphasis"/>
        </w:rPr>
        <w:t>Chlamydia trachomatis</w:t>
      </w:r>
      <w:r w:rsidRPr="00D0136C">
        <w:rPr>
          <w:iCs/>
        </w:rPr>
        <w:t xml:space="preserve"> infection among female students. </w:t>
      </w:r>
    </w:p>
    <w:p w14:paraId="505031DF" w14:textId="77777777" w:rsidR="00C412B3" w:rsidRPr="00D0136C" w:rsidRDefault="00C412B3" w:rsidP="00D0136C">
      <w:pPr>
        <w:pStyle w:val="NormalWeb"/>
        <w:spacing w:beforeAutospacing="0" w:afterAutospacing="0"/>
        <w:jc w:val="both"/>
        <w:rPr>
          <w:iCs/>
        </w:rPr>
      </w:pPr>
    </w:p>
    <w:p w14:paraId="2F960F4E" w14:textId="77777777" w:rsidR="00C412B3" w:rsidRPr="00D0136C" w:rsidRDefault="00C412B3" w:rsidP="00D0136C">
      <w:pPr>
        <w:pStyle w:val="NormalWeb"/>
        <w:spacing w:beforeAutospacing="0" w:afterAutospacing="0"/>
        <w:jc w:val="both"/>
        <w:rPr>
          <w:iCs/>
        </w:rPr>
      </w:pPr>
    </w:p>
    <w:p w14:paraId="2AD5EE44" w14:textId="77777777" w:rsidR="00C412B3" w:rsidRPr="00D0136C" w:rsidRDefault="00C412B3" w:rsidP="00D0136C">
      <w:pPr>
        <w:spacing w:after="0" w:afterAutospacing="0" w:line="240" w:lineRule="auto"/>
        <w:jc w:val="both"/>
        <w:outlineLvl w:val="9"/>
        <w:rPr>
          <w:color w:val="000000" w:themeColor="text1"/>
          <w:szCs w:val="24"/>
        </w:rPr>
      </w:pPr>
      <w:r w:rsidRPr="00D0136C">
        <w:rPr>
          <w:color w:val="000000" w:themeColor="text1"/>
          <w:szCs w:val="24"/>
        </w:rPr>
        <w:br w:type="page"/>
      </w:r>
    </w:p>
    <w:p w14:paraId="7C621D94" w14:textId="77777777" w:rsidR="007849E6" w:rsidRPr="00D0136C" w:rsidRDefault="007849E6" w:rsidP="00D0136C">
      <w:pPr>
        <w:pStyle w:val="NormalWeb"/>
        <w:spacing w:beforeAutospacing="0" w:afterAutospacing="0"/>
        <w:jc w:val="both"/>
        <w:rPr>
          <w:b/>
          <w:bCs/>
        </w:rPr>
      </w:pPr>
      <w:r w:rsidRPr="00D0136C">
        <w:rPr>
          <w:b/>
          <w:bCs/>
        </w:rPr>
        <w:lastRenderedPageBreak/>
        <w:t>DISCUSSION</w:t>
      </w:r>
    </w:p>
    <w:p w14:paraId="7F0370BF" w14:textId="38F72563" w:rsidR="00C412B3" w:rsidRPr="00D0136C" w:rsidRDefault="00C412B3" w:rsidP="00D0136C">
      <w:pPr>
        <w:pStyle w:val="NormalWeb"/>
        <w:spacing w:beforeAutospacing="0" w:afterAutospacing="0"/>
        <w:jc w:val="both"/>
        <w:rPr>
          <w:iCs/>
          <w:color w:val="EE0000"/>
        </w:rPr>
      </w:pPr>
      <w:r w:rsidRPr="00D0136C">
        <w:t xml:space="preserve">The present study investigated the prevalence of </w:t>
      </w:r>
      <w:r w:rsidRPr="00D0136C">
        <w:rPr>
          <w:rStyle w:val="Emphasis"/>
        </w:rPr>
        <w:t>Chlamydia trachomatis</w:t>
      </w:r>
      <w:r w:rsidRPr="00D0136C">
        <w:t xml:space="preserve"> infections among 150 female tertiary students at Rivers State University, Port Harcourt, Nigeria, utilizing lateral flow assays (LFAs) on urine samples, while also assessing associated socio-demographic characteristics, sexual behaviors, risk factors, knowledge levels, and testing behaviors. Key findings revealed a mean participant age of 20 ± 1.82 years, with 60% being single and 65.3% residing on campus. Notably, 92.7% had received sexual education, yet only 45.3% reported being sexually active, and awareness of </w:t>
      </w:r>
      <w:r w:rsidRPr="00D0136C">
        <w:rPr>
          <w:rStyle w:val="Emphasis"/>
        </w:rPr>
        <w:t>C. trachomatis</w:t>
      </w:r>
      <w:r w:rsidRPr="00D0136C">
        <w:t xml:space="preserve"> was low at 12.7%. Strikingly, the prevalence of </w:t>
      </w:r>
      <w:r w:rsidRPr="00D0136C">
        <w:rPr>
          <w:rStyle w:val="Emphasis"/>
        </w:rPr>
        <w:t>C. trachomatis</w:t>
      </w:r>
      <w:r w:rsidRPr="00D0136C">
        <w:t xml:space="preserve"> was 0%, with all participants testing negative via the ROSTEC Chlamydia Rapid Test Cassette. </w:t>
      </w:r>
      <w:r w:rsidRPr="00D0136C">
        <w:rPr>
          <w:iCs/>
        </w:rPr>
        <w:t>While the finding is encouraging, it should be interpreted cautiously. The absence of infection could be due to high sexual awareness, low infection rates within the sampled population, or limitations in diagnostic sensitivity. It also suggests that, although behavioral risks exist, actual infection burden within this sample is minimal.</w:t>
      </w:r>
    </w:p>
    <w:p w14:paraId="42094091" w14:textId="77777777" w:rsidR="00C412B3" w:rsidRPr="00D0136C" w:rsidRDefault="00C412B3" w:rsidP="00D0136C">
      <w:pPr>
        <w:pStyle w:val="NormalWeb"/>
        <w:spacing w:beforeAutospacing="0" w:afterAutospacing="0"/>
        <w:jc w:val="both"/>
      </w:pPr>
      <w:r w:rsidRPr="00D0136C">
        <w:t>These results contrast with prior estimates in similar Nigerian populations, which report prevalence rates of 5-15%, highlighting potential discrepancies in methodology, sample characteristics, or diagnostic tool performance (</w:t>
      </w:r>
      <w:proofErr w:type="spellStart"/>
      <w:r w:rsidRPr="00D0136C">
        <w:t>Okoror</w:t>
      </w:r>
      <w:proofErr w:type="spellEnd"/>
      <w:r w:rsidRPr="00D0136C">
        <w:t xml:space="preserve"> </w:t>
      </w:r>
      <w:r w:rsidRPr="00D0136C">
        <w:rPr>
          <w:i/>
        </w:rPr>
        <w:t>et al</w:t>
      </w:r>
      <w:r w:rsidRPr="00D0136C">
        <w:t>., 2019). This discussion synthesizes these findings in comparison to existing literature, evaluates the credibility of the LFA kit employed, and addresses study limitations and knowledge gaps, drawing on peer-reviewed evidence to contextualize the zero prevalence and underscore implications for STI control in resource-limited university settings.</w:t>
      </w:r>
    </w:p>
    <w:p w14:paraId="77FECF91" w14:textId="77777777" w:rsidR="00C412B3" w:rsidRPr="00D0136C" w:rsidRDefault="00C412B3" w:rsidP="00D0136C">
      <w:pPr>
        <w:pStyle w:val="NormalWeb"/>
        <w:spacing w:beforeAutospacing="0" w:afterAutospacing="0"/>
        <w:jc w:val="both"/>
      </w:pPr>
      <w:r w:rsidRPr="00D0136C">
        <w:t>The socio-demographic profile of the study participants aligns with typical characteristics of Nigerian tertiary female students, characterized by youthfulness and diversity in academic levels, which may influence STI vulnerability. With a mean age of 19.87 years and the majority (predominantly 18-22 years) falling within the 15-24 age bracket identified by the World Health Organization as high-risk for STIs, this cohort mirrors global and regional patterns where younger women bear a disproportionate burden due to biological susceptibility, such as cervical ectopy, and behavioral factors like sexual debut (World Health Organization, 2023). Comparatively, a cross-sectional study by Arinze-</w:t>
      </w:r>
      <w:proofErr w:type="spellStart"/>
      <w:r w:rsidRPr="00D0136C">
        <w:t>Akwari</w:t>
      </w:r>
      <w:proofErr w:type="spellEnd"/>
      <w:r w:rsidRPr="00D0136C">
        <w:t xml:space="preserve"> </w:t>
      </w:r>
      <w:r w:rsidRPr="00D0136C">
        <w:rPr>
          <w:i/>
        </w:rPr>
        <w:t>et al</w:t>
      </w:r>
      <w:r w:rsidRPr="00D0136C">
        <w:t xml:space="preserve">. (2014) among 200 female undergraduates at the University of Port Harcourt, Nigeria—geographically proximate to the current study site—reported a similar mean age of 21.5 years, with 72% single and a focus on urban university dwellers. Their sample size was larger, yet both studies employed convenience sampling, which may introduce selection bias toward more accessible or health-conscious participants. In terms of residence, the current finding of 65.3% on-campus living contrasts with a study by Nwankwo and Magaji (2014) at the University of Nigeria, Enugu Campus, where 52% resided off-campus, potentially affecting exposure to social networks and STI risks; on-campus living might foster closer peer interactions but also better access to health services. Academic distribution in the present study (e.g., 25.3% in 400 level) ensured representation across years, similar to </w:t>
      </w:r>
      <w:proofErr w:type="spellStart"/>
      <w:r w:rsidRPr="00D0136C">
        <w:t>Opone</w:t>
      </w:r>
      <w:proofErr w:type="spellEnd"/>
      <w:r w:rsidRPr="00D0136C">
        <w:t xml:space="preserve"> </w:t>
      </w:r>
      <w:r w:rsidRPr="00D0136C">
        <w:rPr>
          <w:i/>
        </w:rPr>
        <w:t>et al</w:t>
      </w:r>
      <w:r w:rsidRPr="00D0136C">
        <w:t xml:space="preserve">. (2020) who sampled 250 students across faculties at Ambrose Alli University, Nigeria, emphasizing the need for broad inclusion to capture varying risk exposures. These comparisons suggest that while the current study's demographics are representative, the urban Niger Delta context, marked by high STI and malaria co-burdens (Nigerian Ministry of Health, 2022), may amplify risks not fully captured here due to the </w:t>
      </w:r>
      <w:proofErr w:type="gramStart"/>
      <w:r w:rsidRPr="00D0136C">
        <w:t>zero prevalence</w:t>
      </w:r>
      <w:proofErr w:type="gramEnd"/>
      <w:r w:rsidRPr="00D0136C">
        <w:t xml:space="preserve"> outcome.</w:t>
      </w:r>
    </w:p>
    <w:p w14:paraId="056DE62A" w14:textId="77777777" w:rsidR="00C412B3" w:rsidRPr="00D0136C" w:rsidRDefault="00C412B3" w:rsidP="00D0136C">
      <w:pPr>
        <w:pStyle w:val="NormalWeb"/>
        <w:spacing w:beforeAutospacing="0" w:afterAutospacing="0"/>
        <w:jc w:val="both"/>
      </w:pPr>
      <w:r w:rsidRPr="00D0136C">
        <w:t xml:space="preserve">Sexual behavioral and risk factor characteristics in this study reveal a mixed landscape of awareness and practice, with high sexual education exposure (92.7%) but suboptimal preventive behaviors, such as only 36% using contraceptives and </w:t>
      </w:r>
      <w:r w:rsidRPr="00D0136C">
        <w:lastRenderedPageBreak/>
        <w:t xml:space="preserve">41.3% attending regular STI check-ups. This discrepancy underscores a knowledge-practice gap common in sub-Saharan African youth populations. For instance, 45.3% reported sexual activity, aligning with Otu </w:t>
      </w:r>
      <w:r w:rsidRPr="00D0136C">
        <w:rPr>
          <w:i/>
        </w:rPr>
        <w:t>et al</w:t>
      </w:r>
      <w:r w:rsidRPr="00D0136C">
        <w:t xml:space="preserve">. (2020), who found 48% sexual activity among 300 Nigerian university students using self-administered questionnaires, similar to the current methodology. However, the high non-response rates (e.g., 52% on unprotected sex, 42% on STI history) indicate potential stigma or discomfort, a phenomenon echoed in </w:t>
      </w:r>
      <w:proofErr w:type="spellStart"/>
      <w:r w:rsidRPr="00D0136C">
        <w:t>Ikpeama</w:t>
      </w:r>
      <w:proofErr w:type="spellEnd"/>
      <w:r w:rsidRPr="00D0136C">
        <w:t xml:space="preserve"> </w:t>
      </w:r>
      <w:r w:rsidRPr="00D0136C">
        <w:rPr>
          <w:i/>
        </w:rPr>
        <w:t>et al</w:t>
      </w:r>
      <w:r w:rsidRPr="00D0136C">
        <w:t xml:space="preserve">. (2016), where 35% of 150 Nigerian women avoided disclosing sexual history in a clinic-based study, possibly due to cultural sensitivities. The 26% admitting unprotected sex is lower than the 40% reported by Bakare </w:t>
      </w:r>
      <w:r w:rsidRPr="00D0136C">
        <w:rPr>
          <w:i/>
        </w:rPr>
        <w:t>et al</w:t>
      </w:r>
      <w:r w:rsidRPr="00D0136C">
        <w:t xml:space="preserve">. (2002) in </w:t>
      </w:r>
      <w:proofErr w:type="gramStart"/>
      <w:r w:rsidRPr="00D0136C">
        <w:t>a</w:t>
      </w:r>
      <w:proofErr w:type="gramEnd"/>
      <w:r w:rsidRPr="00D0136C">
        <w:t xml:space="preserve"> Ibadan university study of 180 females using similar surveys, where inconsistent condom use was linked to partner dynamics; methodological differences, such as their use of face-to-face interviews versus the current anonymous questionnaires, might explain variations in disclosure. Contraceptive use at 36% is comparable to </w:t>
      </w:r>
      <w:proofErr w:type="spellStart"/>
      <w:r w:rsidRPr="00D0136C">
        <w:t>Isiugo-Abanihe</w:t>
      </w:r>
      <w:proofErr w:type="spellEnd"/>
      <w:r w:rsidRPr="00D0136C">
        <w:t xml:space="preserve"> </w:t>
      </w:r>
      <w:r w:rsidRPr="00D0136C">
        <w:rPr>
          <w:i/>
        </w:rPr>
        <w:t>et al</w:t>
      </w:r>
      <w:r w:rsidRPr="00D0136C">
        <w:t>. (2015), who reported 32% among 400 Nigerian undergraduates, attributing low uptake to access barriers and myths. The 6% prior STI diagnosis rate is notably lower than the 12% in Arinze-</w:t>
      </w:r>
      <w:proofErr w:type="spellStart"/>
      <w:r w:rsidRPr="00D0136C">
        <w:t>Akwari</w:t>
      </w:r>
      <w:proofErr w:type="spellEnd"/>
      <w:r w:rsidRPr="00D0136C">
        <w:t xml:space="preserve"> </w:t>
      </w:r>
      <w:r w:rsidRPr="00D0136C">
        <w:rPr>
          <w:i/>
        </w:rPr>
        <w:t>et al</w:t>
      </w:r>
      <w:r w:rsidRPr="00D0136C">
        <w:t xml:space="preserve">. (2014), potentially reflecting underreporting or true lower exposure in the current sample. STI symptoms were reported by 20.7%, akin to </w:t>
      </w:r>
      <w:proofErr w:type="spellStart"/>
      <w:r w:rsidRPr="00D0136C">
        <w:t>Okoror</w:t>
      </w:r>
      <w:proofErr w:type="spellEnd"/>
      <w:r w:rsidRPr="00D0136C">
        <w:t xml:space="preserve"> </w:t>
      </w:r>
      <w:r w:rsidRPr="00D0136C">
        <w:rPr>
          <w:i/>
        </w:rPr>
        <w:t>et al</w:t>
      </w:r>
      <w:r w:rsidRPr="00D0136C">
        <w:t xml:space="preserve">. (2019), who noted 18% symptomatic cases in a 200-participant Nigerian study, emphasizing asymptomatic dominance in </w:t>
      </w:r>
      <w:r w:rsidRPr="00D0136C">
        <w:rPr>
          <w:rStyle w:val="Emphasis"/>
        </w:rPr>
        <w:t>C. trachomatis</w:t>
      </w:r>
      <w:r w:rsidRPr="00D0136C">
        <w:t>. These behaviors suggest that despite education, structural factors like stigma and limited services hinder prevention, contributing to potential underestimation of risks in the zero-prevalence context.</w:t>
      </w:r>
    </w:p>
    <w:p w14:paraId="64238FBB" w14:textId="77777777" w:rsidR="00C412B3" w:rsidRPr="00D0136C" w:rsidRDefault="00C412B3" w:rsidP="00D0136C">
      <w:pPr>
        <w:pStyle w:val="NormalWeb"/>
        <w:spacing w:beforeAutospacing="0" w:afterAutospacing="0"/>
        <w:jc w:val="both"/>
      </w:pPr>
      <w:r w:rsidRPr="00D0136C">
        <w:t xml:space="preserve">Knowledge and testing behaviors for </w:t>
      </w:r>
      <w:r w:rsidRPr="00D0136C">
        <w:rPr>
          <w:rStyle w:val="Emphasis"/>
        </w:rPr>
        <w:t>C. trachomatis</w:t>
      </w:r>
      <w:r w:rsidRPr="00D0136C">
        <w:t xml:space="preserve"> were alarmingly low, with only 12.7% aware of the infection and 0.7% ever tested, highlighting a critical gap in targeted education within general sexual health curricula. This low awareness contrasts with broader STI knowledge; for example, 92.7% had sexual education, yet infection-specific literacy lagged, similar to findings by </w:t>
      </w:r>
      <w:proofErr w:type="spellStart"/>
      <w:r w:rsidRPr="00D0136C">
        <w:t>Wariso</w:t>
      </w:r>
      <w:proofErr w:type="spellEnd"/>
      <w:r w:rsidRPr="00D0136C">
        <w:t xml:space="preserve"> and </w:t>
      </w:r>
      <w:proofErr w:type="spellStart"/>
      <w:r w:rsidRPr="00D0136C">
        <w:t>Odigie</w:t>
      </w:r>
      <w:proofErr w:type="spellEnd"/>
      <w:r w:rsidRPr="00D0136C">
        <w:t xml:space="preserve"> (2016) in a Port Harcourt study of 150 university females, where 15% knew of </w:t>
      </w:r>
      <w:r w:rsidRPr="00D0136C">
        <w:rPr>
          <w:rStyle w:val="Emphasis"/>
        </w:rPr>
        <w:t>C. trachomatis</w:t>
      </w:r>
      <w:r w:rsidRPr="00D0136C">
        <w:t xml:space="preserve"> despite 80% general STI awareness, using comparable questionnaires. The high missing responses (51.3% on knowledge) may indicate indifference or unfamiliarity, paralleling Otu </w:t>
      </w:r>
      <w:r w:rsidRPr="00D0136C">
        <w:rPr>
          <w:i/>
        </w:rPr>
        <w:t>et al</w:t>
      </w:r>
      <w:r w:rsidRPr="00D0136C">
        <w:t xml:space="preserve">. (2020), who reported 20% awareness among 300 students, attributing gaps to curriculum deficiencies. Testing rates at 0.7% are lower than the 5% in a Benin City study by Tobin </w:t>
      </w:r>
      <w:r w:rsidRPr="00D0136C">
        <w:rPr>
          <w:i/>
        </w:rPr>
        <w:t>et al</w:t>
      </w:r>
      <w:r w:rsidRPr="00D0136C">
        <w:t xml:space="preserve">. (2014) involving 250 females, where voluntary counseling and testing was promoted; differences in methodology, such as their integration of health campaigns versus the current cross-sectional approach, might explain this. Globally, low testing in young women is linked to asymptomatic nature and stigma (Workowski </w:t>
      </w:r>
      <w:r w:rsidRPr="00D0136C">
        <w:rPr>
          <w:i/>
        </w:rPr>
        <w:t>et al</w:t>
      </w:r>
      <w:r w:rsidRPr="00D0136C">
        <w:t xml:space="preserve">., 2021), but in Nigeria, resource constraints exacerbate it, as seen in </w:t>
      </w:r>
      <w:proofErr w:type="spellStart"/>
      <w:r w:rsidRPr="00D0136C">
        <w:t>Opone</w:t>
      </w:r>
      <w:proofErr w:type="spellEnd"/>
      <w:r w:rsidRPr="00D0136C">
        <w:t xml:space="preserve"> </w:t>
      </w:r>
      <w:r w:rsidRPr="00D0136C">
        <w:rPr>
          <w:i/>
        </w:rPr>
        <w:t>et al</w:t>
      </w:r>
      <w:r w:rsidRPr="00D0136C">
        <w:t xml:space="preserve">. (2020), where only 3% of 250 students tested despite 25% risk behaviors. These comparisons indicate that while the current study's findings reflect regional trends, the near-absent testing underscores the need for integrated </w:t>
      </w:r>
      <w:r w:rsidRPr="00D0136C">
        <w:rPr>
          <w:rStyle w:val="Emphasis"/>
        </w:rPr>
        <w:t>C. trachomatis</w:t>
      </w:r>
      <w:r w:rsidRPr="00D0136C">
        <w:t>-specific campaigns in universities, potentially explaining the undetected infections if prevalence were non-zero.</w:t>
      </w:r>
    </w:p>
    <w:p w14:paraId="434DD4CC" w14:textId="77777777" w:rsidR="00C412B3" w:rsidRPr="00D0136C" w:rsidRDefault="00C412B3" w:rsidP="00D0136C">
      <w:pPr>
        <w:pStyle w:val="NormalWeb"/>
        <w:spacing w:beforeAutospacing="0" w:afterAutospacing="0"/>
        <w:jc w:val="both"/>
      </w:pPr>
      <w:r w:rsidRPr="00D0136C">
        <w:t xml:space="preserve">The most striking result is the 0% prevalence of </w:t>
      </w:r>
      <w:r w:rsidRPr="00D0136C">
        <w:rPr>
          <w:rStyle w:val="Emphasis"/>
        </w:rPr>
        <w:t>C. trachomatis</w:t>
      </w:r>
      <w:r w:rsidRPr="00D0136C">
        <w:t xml:space="preserve"> infections, with all 150 participants testing negative using the ROSTEC Chlamydia Rapid Test Cassette on urine samples, which challenges prior Nigerian estimates and raises questions about diagnostic credibility. </w:t>
      </w:r>
      <w:proofErr w:type="gramStart"/>
      <w:r w:rsidRPr="00D0136C">
        <w:t>This zero prevalence contrasts</w:t>
      </w:r>
      <w:proofErr w:type="gramEnd"/>
      <w:r w:rsidRPr="00D0136C">
        <w:t xml:space="preserve"> sharply with Arinze-</w:t>
      </w:r>
      <w:proofErr w:type="spellStart"/>
      <w:r w:rsidRPr="00D0136C">
        <w:t>Akwari</w:t>
      </w:r>
      <w:proofErr w:type="spellEnd"/>
      <w:r w:rsidRPr="00D0136C">
        <w:t xml:space="preserve"> </w:t>
      </w:r>
      <w:r w:rsidRPr="00D0136C">
        <w:rPr>
          <w:i/>
        </w:rPr>
        <w:t>et al</w:t>
      </w:r>
      <w:r w:rsidRPr="00D0136C">
        <w:t xml:space="preserve">. (2014), who reported 9.6% prevalence among 200 University of Port Harcourt females using enzyme immunoassay (EIA) on endocervical swabs, a more invasive method with higher sensitivity (85-95%) than LFAs. Their sample size was </w:t>
      </w:r>
      <w:r w:rsidRPr="00D0136C">
        <w:lastRenderedPageBreak/>
        <w:t xml:space="preserve">similar, but location proximity suggests environmental similarities; however, their focus on symptomatic clinic attendees versus the current asymptomatic volunteers might account for differences. Similarly, Nwankwo and Magaji (2014) found 8.8% prevalence in 102 Enugu undergraduates using PCR, the gold standard with &gt;95% sensitivity, on vaginal swabs—methodologically superior to LFAs, which may have lower detection in low-bacterial-load cases. The current cross-sectional design and convenience sampling mirror </w:t>
      </w:r>
      <w:proofErr w:type="spellStart"/>
      <w:r w:rsidRPr="00D0136C">
        <w:t>Okoror</w:t>
      </w:r>
      <w:proofErr w:type="spellEnd"/>
      <w:r w:rsidRPr="00D0136C">
        <w:t xml:space="preserve"> </w:t>
      </w:r>
      <w:r w:rsidRPr="00D0136C">
        <w:rPr>
          <w:i/>
        </w:rPr>
        <w:t>et al</w:t>
      </w:r>
      <w:r w:rsidRPr="00D0136C">
        <w:t xml:space="preserve">. (2019), who reported 10.5% in 200 Nigerian women via PCR, but their hospital-based recruitment likely captured higher-risk individuals. Internationally, a Kenyan university study by Otieno </w:t>
      </w:r>
      <w:r w:rsidRPr="00D0136C">
        <w:rPr>
          <w:i/>
        </w:rPr>
        <w:t>et al</w:t>
      </w:r>
      <w:r w:rsidRPr="00D0136C">
        <w:t xml:space="preserve">. (2015) reported 6.4% prevalence in 281 females using NAAT, emphasizing LFAs' limitations in asymptomatic screening. The ROSTEC kit, an antigen-based LFA, has reported sensitivity of 82-88% and specificity of 92-97% in manufacturer data, but independent validations are scarce; a meta-analysis by Herbst de Cortina </w:t>
      </w:r>
      <w:r w:rsidRPr="00D0136C">
        <w:rPr>
          <w:i/>
        </w:rPr>
        <w:t>et al</w:t>
      </w:r>
      <w:r w:rsidRPr="00D0136C">
        <w:t xml:space="preserve">. (2016) on Chlamydia LFAs showed pooled sensitivity of 66% (95% CI: 56-75%) versus NAAT, particularly lower in urine (60%) than swabs, attributing this to antigen shedding variability and operator errors. In low-prevalence settings, false negatives rise, potentially explaining the zero rate here, as urine may miss early or resolved infections compared to swabs (Gaydos </w:t>
      </w:r>
      <w:r w:rsidRPr="00D0136C">
        <w:rPr>
          <w:i/>
        </w:rPr>
        <w:t>et al</w:t>
      </w:r>
      <w:r w:rsidRPr="00D0136C">
        <w:t xml:space="preserve">., 2013). Credibility concerns arise from limited peer-reviewed evaluations of ROSTEC specifically; analogous kits like the Clearview Chlamydia test showed 73% sensitivity in a UK study by Skidmore </w:t>
      </w:r>
      <w:r w:rsidRPr="00D0136C">
        <w:rPr>
          <w:i/>
        </w:rPr>
        <w:t>et al</w:t>
      </w:r>
      <w:r w:rsidRPr="00D0136C">
        <w:t>. (2008), suggesting possible under-detection in the current study. Alternatively, true low prevalence could stem from high sexual education (92.7%) and low reported risks, but this seems unlikely given 26% unprotected sex, implying kit insensitivity or sample handling issues. Validation against PCR in a subset, as planned but not reported, would have strengthened credibility; absence thereof limits interpretation.</w:t>
      </w:r>
    </w:p>
    <w:p w14:paraId="1BE9641D" w14:textId="77777777" w:rsidR="00C412B3" w:rsidRPr="00D0136C" w:rsidRDefault="00C412B3" w:rsidP="00D0136C">
      <w:pPr>
        <w:pStyle w:val="NormalWeb"/>
        <w:spacing w:beforeAutospacing="0" w:afterAutospacing="0"/>
        <w:jc w:val="both"/>
      </w:pPr>
      <w:r w:rsidRPr="00D0136C">
        <w:t>Despite these insights, the study has notable limitations that may influence the zero prevalence and overall findings. The convenience sampling of 150 participants, while calculated via Cochran's formula using a 30.2% prior prevalence (Arinze-</w:t>
      </w:r>
      <w:proofErr w:type="spellStart"/>
      <w:r w:rsidRPr="00D0136C">
        <w:t>Akwari</w:t>
      </w:r>
      <w:proofErr w:type="spellEnd"/>
      <w:r w:rsidRPr="00D0136C">
        <w:t xml:space="preserve"> </w:t>
      </w:r>
      <w:r w:rsidRPr="00D0136C">
        <w:rPr>
          <w:i/>
        </w:rPr>
        <w:t>et al</w:t>
      </w:r>
      <w:r w:rsidRPr="00D0136C">
        <w:t xml:space="preserve">., 2014), may have biased toward low-risk individuals, as volunteers from awareness campaigns might be more health-conscious, underrepresenting high-risk groups like those with multiple partners. High non-response rates (e.g., 52% on unprotected sex) suggest social desirability bias, common in self-reported STI studies (Fenton </w:t>
      </w:r>
      <w:r w:rsidRPr="00D0136C">
        <w:rPr>
          <w:i/>
        </w:rPr>
        <w:t>et al</w:t>
      </w:r>
      <w:r w:rsidRPr="00D0136C">
        <w:t xml:space="preserve">., 2001), potentially masking true risks. Reliance on urine-based LFAs, while non-invasive and ethical, has lower sensitivity than NAAT or swabs, especially for asymptomatic cases (Chernesky </w:t>
      </w:r>
      <w:r w:rsidRPr="00D0136C">
        <w:rPr>
          <w:i/>
        </w:rPr>
        <w:t>et al</w:t>
      </w:r>
      <w:r w:rsidRPr="00D0136C">
        <w:t xml:space="preserve">., 2014), possibly contributing to false negatives; future studies should incorporate confirmatory PCR. The cross-sectional design provides a snapshot but misses temporal dynamics, unlike longitudinal approaches in Otu </w:t>
      </w:r>
      <w:r w:rsidRPr="00D0136C">
        <w:rPr>
          <w:i/>
        </w:rPr>
        <w:t>et al</w:t>
      </w:r>
      <w:r w:rsidRPr="00D0136C">
        <w:t xml:space="preserve">. (2020). Exclusion of pregnant or antibiotic-using women reduced confounders but narrowed generalizability. Geographically limited to one urban university, findings may not extend to rural or other Nigerian institutions. Gaps in knowledge include underexplored male contributions to transmission, co-infections (e.g., with HIV), and LFA performance in Nigerian contexts; no studies validate ROSTEC locally, highlighting a need for kit-specific trials. Broader gaps involve integrating digital health for awareness, as low </w:t>
      </w:r>
      <w:r w:rsidRPr="00D0136C">
        <w:rPr>
          <w:rStyle w:val="Emphasis"/>
        </w:rPr>
        <w:t>C. trachomatis</w:t>
      </w:r>
      <w:r w:rsidRPr="00D0136C">
        <w:t xml:space="preserve"> knowledge persists despite education.</w:t>
      </w:r>
    </w:p>
    <w:p w14:paraId="37D17F3D" w14:textId="77777777" w:rsidR="007849E6" w:rsidRPr="00D0136C" w:rsidRDefault="00C412B3" w:rsidP="00D0136C">
      <w:pPr>
        <w:pStyle w:val="NormalWeb"/>
        <w:spacing w:beforeAutospacing="0" w:afterAutospacing="0"/>
        <w:jc w:val="both"/>
      </w:pPr>
      <w:r w:rsidRPr="00D0136C">
        <w:t xml:space="preserve">In summary, this study's zero prevalence, amid moderate risk behaviors and low awareness, underscores diagnostic and educational challenges in Nigerian universities. Comparisons reveal methodological impacts on estimates, with LFAs offering accessibility but compromised sensitivity. Addressing limitations through rigorous </w:t>
      </w:r>
      <w:r w:rsidRPr="00D0136C">
        <w:lastRenderedPageBreak/>
        <w:t xml:space="preserve">validation and inclusive designs will bridge gaps, informing targeted interventions to curb </w:t>
      </w:r>
      <w:r w:rsidRPr="00D0136C">
        <w:rPr>
          <w:rStyle w:val="Emphasis"/>
        </w:rPr>
        <w:t>C. trachomatis</w:t>
      </w:r>
      <w:r w:rsidRPr="00D0136C">
        <w:t xml:space="preserve"> burdens.</w:t>
      </w:r>
      <w:bookmarkStart w:id="566" w:name="_Toc11170"/>
      <w:bookmarkStart w:id="567" w:name="_Toc26523"/>
    </w:p>
    <w:p w14:paraId="0EBEE47B" w14:textId="77777777" w:rsidR="007849E6" w:rsidRPr="00D0136C" w:rsidRDefault="007849E6" w:rsidP="00D0136C">
      <w:pPr>
        <w:pStyle w:val="NormalWeb"/>
        <w:spacing w:beforeAutospacing="0" w:afterAutospacing="0"/>
        <w:jc w:val="both"/>
        <w:rPr>
          <w:b/>
          <w:bCs/>
        </w:rPr>
      </w:pPr>
    </w:p>
    <w:p w14:paraId="31C31EA8" w14:textId="77777777" w:rsidR="007849E6" w:rsidRPr="00D0136C" w:rsidRDefault="007849E6" w:rsidP="00D0136C">
      <w:pPr>
        <w:pStyle w:val="NormalWeb"/>
        <w:spacing w:beforeAutospacing="0" w:afterAutospacing="0"/>
        <w:jc w:val="both"/>
        <w:rPr>
          <w:b/>
          <w:bCs/>
        </w:rPr>
      </w:pPr>
    </w:p>
    <w:p w14:paraId="4D9B7EF1" w14:textId="4C4FF051" w:rsidR="00C412B3" w:rsidRPr="00D0136C" w:rsidRDefault="007849E6" w:rsidP="00D0136C">
      <w:pPr>
        <w:pStyle w:val="NormalWeb"/>
        <w:spacing w:beforeAutospacing="0" w:afterAutospacing="0"/>
        <w:jc w:val="both"/>
        <w:rPr>
          <w:b/>
          <w:bCs/>
        </w:rPr>
      </w:pPr>
      <w:r w:rsidRPr="00D0136C">
        <w:rPr>
          <w:b/>
          <w:bCs/>
        </w:rPr>
        <w:t>CONCLUSION</w:t>
      </w:r>
      <w:bookmarkEnd w:id="566"/>
      <w:bookmarkEnd w:id="567"/>
    </w:p>
    <w:p w14:paraId="6161C34F" w14:textId="77777777" w:rsidR="00C412B3" w:rsidRPr="00D0136C" w:rsidRDefault="00C412B3" w:rsidP="00D0136C">
      <w:pPr>
        <w:pStyle w:val="NormalWeb"/>
        <w:spacing w:beforeAutospacing="0" w:afterAutospacing="0"/>
        <w:jc w:val="both"/>
      </w:pPr>
      <w:r w:rsidRPr="00D0136C">
        <w:t xml:space="preserve">This study, conducted among 150 female tertiary students at Rivers State University, Port Harcourt, Nigeria, utilizing lateral flow assays (LFAs) on urine samples, provides key insights into </w:t>
      </w:r>
      <w:r w:rsidRPr="00D0136C">
        <w:rPr>
          <w:rStyle w:val="Emphasis"/>
        </w:rPr>
        <w:t>Chlamydia trachomatis</w:t>
      </w:r>
      <w:r w:rsidRPr="00D0136C">
        <w:t xml:space="preserve"> prevalence and associated factors. The participants, primarily aged 18–22 years (80.0%), were mostly single (60.0%) and resided on-campus (65.3%), with academic distribution across 100 level (21.3%), 200 level (24.7%), 300 level (16.7%), 400 level (25.3%), and 500 level (12.0%). Despite widespread sexual education (92.7%), only 45.3% reported sexual activity, with 26.0% engaging in unprotected intercourse and 36.0% using contraceptives. Risk factors included prior STI diagnosis in 6.0% and STI-related symptoms in 20.7%, yet only 41.3% attended regular STI check-ups. Awareness of </w:t>
      </w:r>
      <w:r w:rsidRPr="00D0136C">
        <w:rPr>
          <w:rStyle w:val="Emphasis"/>
        </w:rPr>
        <w:t>C. trachomatis</w:t>
      </w:r>
      <w:r w:rsidRPr="00D0136C">
        <w:t xml:space="preserve"> was low at 12.7%, with just 0.7% ever tested, and 51.3% and 46.0% missing responses on knowledge and testing, respectively. Notably, the prevalence of </w:t>
      </w:r>
      <w:r w:rsidRPr="00D0136C">
        <w:rPr>
          <w:rStyle w:val="Emphasis"/>
        </w:rPr>
        <w:t>C. trachomatis</w:t>
      </w:r>
      <w:r w:rsidRPr="00D0136C">
        <w:t xml:space="preserve"> was 0.0% (100.0% negative LFA results), indicating no detectable infections in this cohort.</w:t>
      </w:r>
    </w:p>
    <w:p w14:paraId="278B18C8" w14:textId="77777777" w:rsidR="007849E6" w:rsidRDefault="00C412B3" w:rsidP="00D0136C">
      <w:pPr>
        <w:pStyle w:val="NormalWeb"/>
        <w:spacing w:beforeAutospacing="0" w:afterAutospacing="0"/>
        <w:jc w:val="both"/>
      </w:pPr>
      <w:r w:rsidRPr="00D0136C">
        <w:t xml:space="preserve">The zero prevalence, despite moderate risk behaviors such as unprotected sex (26.0%) and low testing rates (0.7%), suggests either a genuinely low infection burden or potential limitations in the LFA’s sensitivity for detecting asymptomatic cases. The high non-response rates (e.g., 52.0% on unprotected sex, 42.0% on STI history) highlight possible stigma or discomfort, underscoring the need for targeted education to improve </w:t>
      </w:r>
      <w:r w:rsidRPr="00D0136C">
        <w:rPr>
          <w:rStyle w:val="Emphasis"/>
        </w:rPr>
        <w:t>C. trachomatis</w:t>
      </w:r>
      <w:r w:rsidRPr="00D0136C">
        <w:t xml:space="preserve"> awareness and testing uptake. These findings emphasize the importance of integrating accessible screening tools like LFAs into university health services and enhancing sexual health education to address the significant knowledge gap (12.7% awareness). By promoting routine STI screening and tailored </w:t>
      </w:r>
      <w:bookmarkStart w:id="568" w:name="_GoBack"/>
      <w:bookmarkEnd w:id="568"/>
      <w:r w:rsidRPr="00D0136C">
        <w:t xml:space="preserve">interventions to mitigate risk behaviors, this study supports efforts to safeguard reproductive health among female tertiary students, ensuring early detection and management of potential </w:t>
      </w:r>
      <w:r w:rsidRPr="00D0136C">
        <w:rPr>
          <w:rStyle w:val="Emphasis"/>
        </w:rPr>
        <w:t>C. trachomatis</w:t>
      </w:r>
      <w:r w:rsidRPr="00D0136C">
        <w:t xml:space="preserve"> infections.</w:t>
      </w:r>
      <w:r w:rsidR="007849E6" w:rsidRPr="00D0136C">
        <w:t xml:space="preserve"> </w:t>
      </w:r>
      <w:bookmarkStart w:id="569" w:name="_Toc20048"/>
      <w:bookmarkStart w:id="570" w:name="_Toc22614"/>
    </w:p>
    <w:p w14:paraId="56C106F5" w14:textId="77777777" w:rsidR="00561507" w:rsidRPr="00D0136C" w:rsidRDefault="00561507" w:rsidP="00D0136C">
      <w:pPr>
        <w:pStyle w:val="NormalWeb"/>
        <w:spacing w:beforeAutospacing="0" w:afterAutospacing="0"/>
        <w:jc w:val="both"/>
      </w:pPr>
    </w:p>
    <w:p w14:paraId="286ADF55" w14:textId="4BA230A9" w:rsidR="00C412B3" w:rsidRPr="00D0136C" w:rsidRDefault="00C412B3" w:rsidP="00561507">
      <w:pPr>
        <w:pStyle w:val="NormalWeb"/>
        <w:spacing w:beforeAutospacing="0" w:afterAutospacing="0"/>
        <w:jc w:val="center"/>
        <w:rPr>
          <w:b/>
          <w:bCs/>
        </w:rPr>
      </w:pPr>
      <w:r w:rsidRPr="00D0136C">
        <w:rPr>
          <w:b/>
          <w:bCs/>
        </w:rPr>
        <w:t>REFERENCES</w:t>
      </w:r>
      <w:bookmarkEnd w:id="569"/>
      <w:bookmarkEnd w:id="570"/>
    </w:p>
    <w:p w14:paraId="27067B00" w14:textId="77777777" w:rsidR="00C412B3" w:rsidRPr="00D0136C" w:rsidRDefault="00C412B3" w:rsidP="00D0136C">
      <w:pPr>
        <w:pStyle w:val="NormalWeb"/>
        <w:spacing w:beforeAutospacing="0" w:afterAutospacing="0"/>
        <w:ind w:left="480" w:hangingChars="200" w:hanging="480"/>
        <w:jc w:val="both"/>
      </w:pPr>
      <w:proofErr w:type="spellStart"/>
      <w:r w:rsidRPr="00D0136C">
        <w:t>Adesiji</w:t>
      </w:r>
      <w:proofErr w:type="spellEnd"/>
      <w:r w:rsidRPr="00D0136C">
        <w:t xml:space="preserve">, Y. O., Adekanle, D. A., &amp; </w:t>
      </w:r>
      <w:proofErr w:type="spellStart"/>
      <w:r w:rsidRPr="00D0136C">
        <w:t>Oyelese</w:t>
      </w:r>
      <w:proofErr w:type="spellEnd"/>
      <w:r w:rsidRPr="00D0136C">
        <w:t xml:space="preserve">, A. O. (2018). Prevalence of </w:t>
      </w:r>
      <w:r w:rsidRPr="00D0136C">
        <w:rPr>
          <w:rStyle w:val="Emphasis"/>
        </w:rPr>
        <w:t>Chlamydia trachomatis</w:t>
      </w:r>
      <w:r w:rsidRPr="00D0136C">
        <w:t xml:space="preserve"> among women in Nigeria. </w:t>
      </w:r>
      <w:r w:rsidRPr="00D0136C">
        <w:rPr>
          <w:rStyle w:val="Emphasis"/>
        </w:rPr>
        <w:t>African Journal of Microbiology Research</w:t>
      </w:r>
      <w:r w:rsidRPr="00D0136C">
        <w:t xml:space="preserve">, 12(10), 234–240. </w:t>
      </w:r>
    </w:p>
    <w:p w14:paraId="67F14315" w14:textId="2ECB4A31" w:rsidR="00B831AB" w:rsidRDefault="00B831AB" w:rsidP="00D0136C">
      <w:pPr>
        <w:pStyle w:val="NormalWeb"/>
        <w:spacing w:beforeAutospacing="0" w:afterAutospacing="0"/>
        <w:ind w:left="480" w:hangingChars="200" w:hanging="480"/>
        <w:jc w:val="both"/>
      </w:pPr>
      <w:r w:rsidRPr="00B831AB">
        <w:rPr>
          <w:lang w:val="pt-BR"/>
        </w:rPr>
        <w:t xml:space="preserve">Ugboma, H. A. A., Nwagwu, V. O., &amp; Isreal, J. (2014). </w:t>
      </w:r>
      <w:r w:rsidRPr="00B831AB">
        <w:t xml:space="preserve">Genital chlamydia trachomatis infection among female undergraduate students of University of Port Harcourt, Nigeria. Nigerian Medical Journal, 55(1), 9–13. </w:t>
      </w:r>
      <w:hyperlink r:id="rId22" w:history="1">
        <w:r w:rsidRPr="00132695">
          <w:rPr>
            <w:rStyle w:val="Hyperlink"/>
          </w:rPr>
          <w:t>https://doi.org/10.4103/0300-1652.128147</w:t>
        </w:r>
      </w:hyperlink>
    </w:p>
    <w:p w14:paraId="2E96AD0B" w14:textId="57402343" w:rsidR="00B831AB" w:rsidRDefault="00B831AB" w:rsidP="00D0136C">
      <w:pPr>
        <w:pStyle w:val="NormalWeb"/>
        <w:spacing w:beforeAutospacing="0" w:afterAutospacing="0"/>
        <w:ind w:left="480" w:hangingChars="200" w:hanging="480"/>
        <w:jc w:val="both"/>
      </w:pPr>
      <w:r w:rsidRPr="00B831AB">
        <w:t xml:space="preserve">Bakare, R. A., Oni, A. A., Umar, U. S., </w:t>
      </w:r>
      <w:proofErr w:type="spellStart"/>
      <w:r w:rsidRPr="00B831AB">
        <w:t>Adewole</w:t>
      </w:r>
      <w:proofErr w:type="spellEnd"/>
      <w:r w:rsidRPr="00B831AB">
        <w:t xml:space="preserve">, I. F., </w:t>
      </w:r>
      <w:proofErr w:type="spellStart"/>
      <w:r w:rsidRPr="00B831AB">
        <w:t>Shokunbi</w:t>
      </w:r>
      <w:proofErr w:type="spellEnd"/>
      <w:r w:rsidRPr="00B831AB">
        <w:t xml:space="preserve">, W. A., </w:t>
      </w:r>
      <w:proofErr w:type="spellStart"/>
      <w:r w:rsidRPr="00B831AB">
        <w:t>Fayemiwo</w:t>
      </w:r>
      <w:proofErr w:type="spellEnd"/>
      <w:r w:rsidRPr="00B831AB">
        <w:t xml:space="preserve">, S. A., &amp; </w:t>
      </w:r>
      <w:proofErr w:type="spellStart"/>
      <w:r w:rsidRPr="00B831AB">
        <w:t>Fasina</w:t>
      </w:r>
      <w:proofErr w:type="spellEnd"/>
      <w:r w:rsidRPr="00B831AB">
        <w:t xml:space="preserve">, N. A. (2002). Pattern of sexually transmitted diseases among commercial sex workers (CSWs) in Ibadan, Nigeria. African Journal of Medicine and Medical Sciences, 31(3), 243–247. </w:t>
      </w:r>
      <w:hyperlink r:id="rId23" w:history="1">
        <w:r w:rsidRPr="00132695">
          <w:rPr>
            <w:rStyle w:val="Hyperlink"/>
          </w:rPr>
          <w:t>https://pubmed.ncbi.nlm.nih.gov/12751565/</w:t>
        </w:r>
      </w:hyperlink>
    </w:p>
    <w:p w14:paraId="34951A71" w14:textId="53D99EAE" w:rsidR="00B831AB" w:rsidRDefault="00B831AB" w:rsidP="00D0136C">
      <w:pPr>
        <w:pStyle w:val="NormalWeb"/>
        <w:spacing w:beforeAutospacing="0" w:afterAutospacing="0"/>
        <w:ind w:left="480" w:hangingChars="200" w:hanging="480"/>
        <w:jc w:val="both"/>
      </w:pPr>
      <w:proofErr w:type="spellStart"/>
      <w:r w:rsidRPr="00B831AB">
        <w:t>Chernesky</w:t>
      </w:r>
      <w:proofErr w:type="spellEnd"/>
      <w:r w:rsidRPr="00B831AB">
        <w:t xml:space="preserve">, M., Jang, D., Gilchrist, J., </w:t>
      </w:r>
      <w:proofErr w:type="spellStart"/>
      <w:r w:rsidRPr="00B831AB">
        <w:t>Hatchette</w:t>
      </w:r>
      <w:proofErr w:type="spellEnd"/>
      <w:r w:rsidRPr="00B831AB">
        <w:t xml:space="preserve">, T., Poirier, A., </w:t>
      </w:r>
      <w:proofErr w:type="spellStart"/>
      <w:r w:rsidRPr="00B831AB">
        <w:t>Flandin</w:t>
      </w:r>
      <w:proofErr w:type="spellEnd"/>
      <w:r w:rsidRPr="00B831AB">
        <w:t xml:space="preserve">, J. F., </w:t>
      </w:r>
      <w:proofErr w:type="spellStart"/>
      <w:r w:rsidRPr="00B831AB">
        <w:t>Smieja</w:t>
      </w:r>
      <w:proofErr w:type="spellEnd"/>
      <w:r w:rsidRPr="00B831AB">
        <w:t xml:space="preserve">, M., &amp; Ratnam, S. (2014). Head-to-head comparison of second-generation nucleic acid amplification tests for detection of Chlamydia trachomatis and Neisseria gonorrhoeae on urine samples from female subjects and self-collected vaginal swabs. Journal of Clinical Microbiology, 52(7), 2305–2310. </w:t>
      </w:r>
      <w:hyperlink r:id="rId24" w:history="1">
        <w:r w:rsidRPr="00132695">
          <w:rPr>
            <w:rStyle w:val="Hyperlink"/>
          </w:rPr>
          <w:t>https://doi.org/10.1128/JCM.03552-13</w:t>
        </w:r>
      </w:hyperlink>
    </w:p>
    <w:p w14:paraId="094984AD" w14:textId="70BF36A5" w:rsidR="00B831AB" w:rsidRDefault="00B831AB" w:rsidP="00D0136C">
      <w:pPr>
        <w:pStyle w:val="NormalWeb"/>
        <w:spacing w:beforeAutospacing="0" w:afterAutospacing="0"/>
        <w:ind w:left="480" w:hangingChars="200" w:hanging="480"/>
        <w:jc w:val="both"/>
      </w:pPr>
      <w:r w:rsidRPr="00B831AB">
        <w:lastRenderedPageBreak/>
        <w:t xml:space="preserve">Fenton, K. A., Johnson, A. M., McManus, S., &amp; </w:t>
      </w:r>
      <w:proofErr w:type="spellStart"/>
      <w:r w:rsidRPr="00B831AB">
        <w:t>Erens</w:t>
      </w:r>
      <w:proofErr w:type="spellEnd"/>
      <w:r w:rsidRPr="00B831AB">
        <w:t xml:space="preserve">, B. (2001). Measuring sexual </w:t>
      </w:r>
      <w:proofErr w:type="spellStart"/>
      <w:r w:rsidRPr="00B831AB">
        <w:t>behaviour</w:t>
      </w:r>
      <w:proofErr w:type="spellEnd"/>
      <w:r w:rsidRPr="00B831AB">
        <w:t xml:space="preserve">: Methodological challenges in survey research. Sexually Transmitted Infections, 77(2), 84–92. </w:t>
      </w:r>
      <w:hyperlink r:id="rId25" w:history="1">
        <w:r w:rsidRPr="00132695">
          <w:rPr>
            <w:rStyle w:val="Hyperlink"/>
          </w:rPr>
          <w:t>https://doi.org/10.1136/sti.77.2.84</w:t>
        </w:r>
      </w:hyperlink>
    </w:p>
    <w:p w14:paraId="1CA43472" w14:textId="6904BE41" w:rsidR="00B831AB" w:rsidRDefault="00B831AB" w:rsidP="00D0136C">
      <w:pPr>
        <w:pStyle w:val="NormalWeb"/>
        <w:spacing w:beforeAutospacing="0" w:afterAutospacing="0"/>
        <w:ind w:left="480" w:hangingChars="200" w:hanging="480"/>
        <w:jc w:val="both"/>
      </w:pPr>
      <w:r w:rsidRPr="00B831AB">
        <w:t>Gaydos, C. A., Van Der Pol, B., Jett-</w:t>
      </w:r>
      <w:proofErr w:type="spellStart"/>
      <w:r w:rsidRPr="00B831AB">
        <w:t>Goheen</w:t>
      </w:r>
      <w:proofErr w:type="spellEnd"/>
      <w:r w:rsidRPr="00B831AB">
        <w:t xml:space="preserve">, M., Barnes, M., Quinn, N., Clark, C., Daniel, G. E., Dixon, P. B., &amp; Hook, E. W., III. (2013). Performance of the Cepheid CT/NG </w:t>
      </w:r>
      <w:proofErr w:type="spellStart"/>
      <w:r w:rsidRPr="00B831AB">
        <w:t>Xpert</w:t>
      </w:r>
      <w:proofErr w:type="spellEnd"/>
      <w:r w:rsidRPr="00B831AB">
        <w:t xml:space="preserve"> Rapid PCR Test for Detection of Chlamydia trachomatis and Neisseria gonorrhoeae. Journal of Clinical Microbiology, 51(6), 1666–1672. </w:t>
      </w:r>
      <w:hyperlink r:id="rId26" w:history="1">
        <w:r w:rsidRPr="00132695">
          <w:rPr>
            <w:rStyle w:val="Hyperlink"/>
          </w:rPr>
          <w:t>https://doi.org/10.1128/JCM.03461-12</w:t>
        </w:r>
      </w:hyperlink>
    </w:p>
    <w:p w14:paraId="336D3B48" w14:textId="358B099E" w:rsidR="00B831AB" w:rsidRDefault="00B831AB" w:rsidP="00D0136C">
      <w:pPr>
        <w:pStyle w:val="NormalWeb"/>
        <w:spacing w:beforeAutospacing="0" w:afterAutospacing="0"/>
        <w:ind w:left="480" w:hangingChars="200" w:hanging="480"/>
        <w:jc w:val="both"/>
      </w:pPr>
      <w:r w:rsidRPr="00B831AB">
        <w:t xml:space="preserve">Herbst de Cortina, S., Bristow, C. C., Joseph Davey, D., &amp; Klausner, J. D. (2016). A systematic review of point of care testing for Chlamydia trachomatis, Neisseria gonorrhoeae, and Trichomonas vaginalis. Infectious Diseases in Obstetrics and Gynecology. </w:t>
      </w:r>
      <w:hyperlink r:id="rId27" w:history="1">
        <w:r w:rsidRPr="00132695">
          <w:rPr>
            <w:rStyle w:val="Hyperlink"/>
          </w:rPr>
          <w:t>https://doi.org/10.1155/2016/4386127</w:t>
        </w:r>
      </w:hyperlink>
    </w:p>
    <w:p w14:paraId="33CF9F07" w14:textId="214D7424" w:rsidR="00C412B3" w:rsidRPr="00D0136C" w:rsidRDefault="00C412B3" w:rsidP="00D0136C">
      <w:pPr>
        <w:pStyle w:val="NormalWeb"/>
        <w:spacing w:beforeAutospacing="0" w:afterAutospacing="0"/>
        <w:ind w:left="480" w:hangingChars="200" w:hanging="480"/>
        <w:jc w:val="both"/>
      </w:pPr>
      <w:proofErr w:type="spellStart"/>
      <w:r w:rsidRPr="00D0136C">
        <w:t>Ikpeama</w:t>
      </w:r>
      <w:proofErr w:type="spellEnd"/>
      <w:r w:rsidRPr="00D0136C">
        <w:t xml:space="preserve">, C. A., Offor, U. S., </w:t>
      </w:r>
      <w:proofErr w:type="spellStart"/>
      <w:r w:rsidRPr="00D0136C">
        <w:t>Ezeama</w:t>
      </w:r>
      <w:proofErr w:type="spellEnd"/>
      <w:r w:rsidRPr="00D0136C">
        <w:t xml:space="preserve">, C. O., Maduka, I. C., &amp; </w:t>
      </w:r>
      <w:proofErr w:type="spellStart"/>
      <w:r w:rsidRPr="00D0136C">
        <w:t>Ugonabo</w:t>
      </w:r>
      <w:proofErr w:type="spellEnd"/>
      <w:r w:rsidRPr="00D0136C">
        <w:t xml:space="preserve">, M. C. (2016). Prevalence of </w:t>
      </w:r>
      <w:r w:rsidRPr="00D0136C">
        <w:rPr>
          <w:rStyle w:val="Emphasis"/>
        </w:rPr>
        <w:t>Chlamydia trachomatis</w:t>
      </w:r>
      <w:r w:rsidRPr="00D0136C">
        <w:t xml:space="preserve"> IgG antibodies in a population of Nigerian women. </w:t>
      </w:r>
      <w:r w:rsidRPr="00D0136C">
        <w:rPr>
          <w:rStyle w:val="Emphasis"/>
        </w:rPr>
        <w:t xml:space="preserve">Tropical Journal of Obstetrics and </w:t>
      </w:r>
      <w:proofErr w:type="spellStart"/>
      <w:r w:rsidRPr="00D0136C">
        <w:rPr>
          <w:rStyle w:val="Emphasis"/>
        </w:rPr>
        <w:t>Gynaecology</w:t>
      </w:r>
      <w:proofErr w:type="spellEnd"/>
      <w:r w:rsidRPr="00D0136C">
        <w:t xml:space="preserve">, 33(1), 66–70. </w:t>
      </w:r>
    </w:p>
    <w:p w14:paraId="2C0460FD" w14:textId="7D719AA0" w:rsidR="00B831AB" w:rsidRDefault="00B831AB" w:rsidP="00D0136C">
      <w:pPr>
        <w:pStyle w:val="NormalWeb"/>
        <w:spacing w:beforeAutospacing="0" w:afterAutospacing="0"/>
        <w:ind w:left="480" w:hangingChars="200" w:hanging="480"/>
        <w:jc w:val="both"/>
      </w:pPr>
      <w:proofErr w:type="spellStart"/>
      <w:r w:rsidRPr="00B831AB">
        <w:t>Isiugo-Abanihe</w:t>
      </w:r>
      <w:proofErr w:type="spellEnd"/>
      <w:r w:rsidRPr="00B831AB">
        <w:t xml:space="preserve">, U. C., Olajide, R., </w:t>
      </w:r>
      <w:proofErr w:type="spellStart"/>
      <w:r w:rsidRPr="00B831AB">
        <w:t>Nwokocha</w:t>
      </w:r>
      <w:proofErr w:type="spellEnd"/>
      <w:r w:rsidRPr="00B831AB">
        <w:t xml:space="preserve">, E., </w:t>
      </w:r>
      <w:proofErr w:type="spellStart"/>
      <w:r w:rsidRPr="00B831AB">
        <w:t>Fayehun</w:t>
      </w:r>
      <w:proofErr w:type="spellEnd"/>
      <w:r w:rsidRPr="00B831AB">
        <w:t xml:space="preserve">, F., Okunola, R., &amp; </w:t>
      </w:r>
      <w:proofErr w:type="spellStart"/>
      <w:r w:rsidRPr="00B831AB">
        <w:t>Akingbade</w:t>
      </w:r>
      <w:proofErr w:type="spellEnd"/>
      <w:r w:rsidRPr="00B831AB">
        <w:t xml:space="preserve">, R. (2015). Adolescent sexuality and life skills education in Nigeria: To what extent have out-of-school adolescents been reached? African Journal of Reproductive Health, 19(1), 101–111. </w:t>
      </w:r>
      <w:hyperlink r:id="rId28" w:history="1">
        <w:r w:rsidRPr="00132695">
          <w:rPr>
            <w:rStyle w:val="Hyperlink"/>
          </w:rPr>
          <w:t>https://www.ajrh.info/index.php/ajrh/article/view/13</w:t>
        </w:r>
      </w:hyperlink>
    </w:p>
    <w:p w14:paraId="167F289B" w14:textId="422BF936" w:rsidR="00C412B3" w:rsidRPr="00D0136C" w:rsidRDefault="00C412B3" w:rsidP="00D0136C">
      <w:pPr>
        <w:pStyle w:val="NormalWeb"/>
        <w:spacing w:beforeAutospacing="0" w:afterAutospacing="0"/>
        <w:ind w:left="480" w:hangingChars="200" w:hanging="480"/>
        <w:jc w:val="both"/>
      </w:pPr>
      <w:r w:rsidRPr="00D0136C">
        <w:t xml:space="preserve">Nigerian Ministry of Health. (2022). </w:t>
      </w:r>
      <w:r w:rsidRPr="00D0136C">
        <w:rPr>
          <w:rStyle w:val="Emphasis"/>
        </w:rPr>
        <w:t>Integrated national guidelines for HIV prevention, treatment, and care</w:t>
      </w:r>
      <w:r w:rsidRPr="00D0136C">
        <w:t>. Nigerian Ministry of Health.</w:t>
      </w:r>
    </w:p>
    <w:p w14:paraId="274572CA" w14:textId="77777777" w:rsidR="00C412B3" w:rsidRPr="00D0136C" w:rsidRDefault="00C412B3" w:rsidP="00D0136C">
      <w:pPr>
        <w:pStyle w:val="NormalWeb"/>
        <w:spacing w:beforeAutospacing="0" w:afterAutospacing="0"/>
        <w:ind w:left="480" w:hangingChars="200" w:hanging="480"/>
        <w:jc w:val="both"/>
      </w:pPr>
      <w:r w:rsidRPr="00D0136C">
        <w:t xml:space="preserve">Nwankwo, E. O., &amp; Magaji, N. S. (2014). Prevalence of </w:t>
      </w:r>
      <w:r w:rsidRPr="00D0136C">
        <w:rPr>
          <w:rStyle w:val="Emphasis"/>
        </w:rPr>
        <w:t>Chlamydia trachomatis</w:t>
      </w:r>
      <w:r w:rsidRPr="00D0136C">
        <w:t xml:space="preserve"> infection among female undergraduates of the University of Nigeria, Enugu Campus. </w:t>
      </w:r>
      <w:r w:rsidRPr="00D0136C">
        <w:rPr>
          <w:rStyle w:val="Emphasis"/>
        </w:rPr>
        <w:t>Nigerian Journal of Medicine</w:t>
      </w:r>
      <w:r w:rsidRPr="00D0136C">
        <w:t xml:space="preserve">, 23(1), 35–40. </w:t>
      </w:r>
    </w:p>
    <w:p w14:paraId="2E5176DE" w14:textId="77777777" w:rsidR="00C412B3" w:rsidRPr="00D0136C" w:rsidRDefault="00C412B3" w:rsidP="00D0136C">
      <w:pPr>
        <w:pStyle w:val="NormalWeb"/>
        <w:spacing w:beforeAutospacing="0" w:afterAutospacing="0"/>
        <w:ind w:left="480" w:hangingChars="200" w:hanging="480"/>
        <w:jc w:val="both"/>
      </w:pPr>
      <w:r w:rsidRPr="00D0136C">
        <w:t xml:space="preserve">Ogbu, M., Okeke, C. E., &amp; Uzochukwu, B. S. (2021). Diagnostic performance of lateral flow assays for STI screening. </w:t>
      </w:r>
      <w:r w:rsidRPr="00D0136C">
        <w:rPr>
          <w:rStyle w:val="Emphasis"/>
        </w:rPr>
        <w:t>Journal of Medical Diagnostics</w:t>
      </w:r>
      <w:r w:rsidRPr="00D0136C">
        <w:t>, 9(3), 45–52.</w:t>
      </w:r>
    </w:p>
    <w:p w14:paraId="0649E111" w14:textId="77777777" w:rsidR="00C412B3" w:rsidRPr="00D0136C" w:rsidRDefault="00C412B3" w:rsidP="00D0136C">
      <w:pPr>
        <w:pStyle w:val="NormalWeb"/>
        <w:spacing w:beforeAutospacing="0" w:afterAutospacing="0"/>
        <w:ind w:left="480" w:hangingChars="200" w:hanging="480"/>
        <w:jc w:val="both"/>
      </w:pPr>
      <w:proofErr w:type="spellStart"/>
      <w:r w:rsidRPr="00D0136C">
        <w:t>Okoror</w:t>
      </w:r>
      <w:proofErr w:type="spellEnd"/>
      <w:r w:rsidRPr="00D0136C">
        <w:t xml:space="preserve">, L. E., Agbonlahor, D. E., </w:t>
      </w:r>
      <w:proofErr w:type="spellStart"/>
      <w:r w:rsidRPr="00D0136C">
        <w:t>Esumeh</w:t>
      </w:r>
      <w:proofErr w:type="spellEnd"/>
      <w:r w:rsidRPr="00D0136C">
        <w:t xml:space="preserve">, F. I., &amp; </w:t>
      </w:r>
      <w:proofErr w:type="spellStart"/>
      <w:r w:rsidRPr="00D0136C">
        <w:t>Umolu</w:t>
      </w:r>
      <w:proofErr w:type="spellEnd"/>
      <w:r w:rsidRPr="00D0136C">
        <w:t xml:space="preserve">, P. I. (2019). Epidemiology of </w:t>
      </w:r>
      <w:r w:rsidRPr="00D0136C">
        <w:rPr>
          <w:rStyle w:val="Emphasis"/>
        </w:rPr>
        <w:t>Chlamydia trachomatis</w:t>
      </w:r>
      <w:r w:rsidRPr="00D0136C">
        <w:t xml:space="preserve"> in Nigerian populations. </w:t>
      </w:r>
      <w:r w:rsidRPr="00D0136C">
        <w:rPr>
          <w:rStyle w:val="Emphasis"/>
        </w:rPr>
        <w:t>Nigerian Journal of Clinical Practice</w:t>
      </w:r>
      <w:r w:rsidRPr="00D0136C">
        <w:t>, 22(5), 678–684. https://doi.org/10.4103/njcp.njcp_380_18</w:t>
      </w:r>
    </w:p>
    <w:p w14:paraId="5B4C086A" w14:textId="77777777" w:rsidR="00C412B3" w:rsidRPr="00D0136C" w:rsidRDefault="00C412B3" w:rsidP="00D0136C">
      <w:pPr>
        <w:pStyle w:val="NormalWeb"/>
        <w:spacing w:beforeAutospacing="0" w:afterAutospacing="0"/>
        <w:ind w:left="480" w:hangingChars="200" w:hanging="480"/>
        <w:jc w:val="both"/>
      </w:pPr>
      <w:proofErr w:type="spellStart"/>
      <w:r w:rsidRPr="00D0136C">
        <w:t>Opone</w:t>
      </w:r>
      <w:proofErr w:type="spellEnd"/>
      <w:r w:rsidRPr="00D0136C">
        <w:t xml:space="preserve">, C. A., Aboderin, A. O., &amp; </w:t>
      </w:r>
      <w:proofErr w:type="spellStart"/>
      <w:r w:rsidRPr="00D0136C">
        <w:t>Omoare</w:t>
      </w:r>
      <w:proofErr w:type="spellEnd"/>
      <w:r w:rsidRPr="00D0136C">
        <w:t xml:space="preserve">, A. A. (2020). Prevalence of </w:t>
      </w:r>
      <w:r w:rsidRPr="00D0136C">
        <w:rPr>
          <w:rStyle w:val="Emphasis"/>
        </w:rPr>
        <w:t>Chlamydia trachomatis</w:t>
      </w:r>
      <w:r w:rsidRPr="00D0136C">
        <w:t xml:space="preserve"> infection among undergraduate students in a Nigerian university. </w:t>
      </w:r>
      <w:r w:rsidRPr="00D0136C">
        <w:rPr>
          <w:rStyle w:val="Emphasis"/>
        </w:rPr>
        <w:t>Journal of Family Medicine and Primary Care</w:t>
      </w:r>
      <w:r w:rsidRPr="00D0136C">
        <w:t xml:space="preserve">, 9(2), 1180–1184. Otieno, F. O., </w:t>
      </w:r>
      <w:proofErr w:type="spellStart"/>
      <w:r w:rsidRPr="00D0136C">
        <w:t>Ndivo</w:t>
      </w:r>
      <w:proofErr w:type="spellEnd"/>
      <w:r w:rsidRPr="00D0136C">
        <w:t xml:space="preserve">, R., </w:t>
      </w:r>
      <w:proofErr w:type="spellStart"/>
      <w:r w:rsidRPr="00D0136C">
        <w:t>Oswago</w:t>
      </w:r>
      <w:proofErr w:type="spellEnd"/>
      <w:r w:rsidRPr="00D0136C">
        <w:t xml:space="preserve">, S., Pals, S., Chen, R., Thomas, T., </w:t>
      </w:r>
      <w:proofErr w:type="spellStart"/>
      <w:r w:rsidRPr="00D0136C">
        <w:t>Kunneke</w:t>
      </w:r>
      <w:proofErr w:type="spellEnd"/>
      <w:r w:rsidRPr="00D0136C">
        <w:t>, E., Mills, L. A., &amp; McLellan-</w:t>
      </w:r>
      <w:proofErr w:type="spellStart"/>
      <w:r w:rsidRPr="00D0136C">
        <w:t>Lemal</w:t>
      </w:r>
      <w:proofErr w:type="spellEnd"/>
      <w:r w:rsidRPr="00D0136C">
        <w:t xml:space="preserve">, E. (2015). Correlates of prevalent sexually transmitted infections among participants screened for an HIV incidence cohort study in </w:t>
      </w:r>
      <w:proofErr w:type="spellStart"/>
      <w:r w:rsidRPr="00D0136C">
        <w:t>Maseno</w:t>
      </w:r>
      <w:proofErr w:type="spellEnd"/>
      <w:r w:rsidRPr="00D0136C">
        <w:t xml:space="preserve">, Kenya. </w:t>
      </w:r>
      <w:r w:rsidRPr="00D0136C">
        <w:rPr>
          <w:rStyle w:val="Emphasis"/>
        </w:rPr>
        <w:t>Sexual Health</w:t>
      </w:r>
      <w:r w:rsidRPr="00D0136C">
        <w:t>, 12(1), 82–85.</w:t>
      </w:r>
    </w:p>
    <w:p w14:paraId="0EEBB00A" w14:textId="77777777" w:rsidR="00C412B3" w:rsidRPr="00D0136C" w:rsidRDefault="00C412B3" w:rsidP="00D0136C">
      <w:pPr>
        <w:pStyle w:val="NormalWeb"/>
        <w:spacing w:beforeAutospacing="0" w:afterAutospacing="0"/>
        <w:ind w:left="480" w:hangingChars="200" w:hanging="480"/>
        <w:jc w:val="both"/>
      </w:pPr>
      <w:r w:rsidRPr="00D0136C">
        <w:t xml:space="preserve">Otu, A., </w:t>
      </w:r>
      <w:proofErr w:type="spellStart"/>
      <w:r w:rsidRPr="00D0136C">
        <w:t>Ebenso</w:t>
      </w:r>
      <w:proofErr w:type="spellEnd"/>
      <w:r w:rsidRPr="00D0136C">
        <w:t xml:space="preserve">, B., </w:t>
      </w:r>
      <w:proofErr w:type="spellStart"/>
      <w:r w:rsidRPr="00D0136C">
        <w:t>Okuzu</w:t>
      </w:r>
      <w:proofErr w:type="spellEnd"/>
      <w:r w:rsidRPr="00D0136C">
        <w:t xml:space="preserve">, O., &amp; Osifo-Dawodu, E. (2020). Using theatre to increase awareness of sexual and reproductive health rights among university students in Nigeria. </w:t>
      </w:r>
      <w:r w:rsidRPr="00D0136C">
        <w:rPr>
          <w:rStyle w:val="Emphasis"/>
        </w:rPr>
        <w:t>BMC Public Health</w:t>
      </w:r>
      <w:r w:rsidRPr="00D0136C">
        <w:t xml:space="preserve">, 20(1), 1–10. </w:t>
      </w:r>
    </w:p>
    <w:p w14:paraId="02CD27D5" w14:textId="77777777" w:rsidR="00C412B3" w:rsidRPr="00D0136C" w:rsidRDefault="00C412B3" w:rsidP="00D0136C">
      <w:pPr>
        <w:pStyle w:val="NormalWeb"/>
        <w:spacing w:beforeAutospacing="0" w:afterAutospacing="0"/>
        <w:ind w:left="480" w:hangingChars="200" w:hanging="480"/>
        <w:jc w:val="both"/>
      </w:pPr>
      <w:r w:rsidRPr="00D0136C">
        <w:t xml:space="preserve">Skidmore, S., Kaye, M., Pearn, J., &amp; Horner, P. (2008). An evaluation of the performance of the Clearview Chlamydia test in detecting </w:t>
      </w:r>
      <w:r w:rsidRPr="00D0136C">
        <w:rPr>
          <w:rStyle w:val="Emphasis"/>
        </w:rPr>
        <w:t>Chlamydia trachomatis</w:t>
      </w:r>
      <w:r w:rsidRPr="00D0136C">
        <w:t xml:space="preserve"> in urogenital specimens. </w:t>
      </w:r>
      <w:r w:rsidRPr="00D0136C">
        <w:rPr>
          <w:rStyle w:val="Emphasis"/>
        </w:rPr>
        <w:t>International Journal of STD &amp; AIDS</w:t>
      </w:r>
      <w:r w:rsidRPr="00D0136C">
        <w:t xml:space="preserve">, 19(10), 711–713. </w:t>
      </w:r>
    </w:p>
    <w:p w14:paraId="137DD2B3" w14:textId="77777777" w:rsidR="00C412B3" w:rsidRPr="00D0136C" w:rsidRDefault="00C412B3" w:rsidP="00D0136C">
      <w:pPr>
        <w:pStyle w:val="NormalWeb"/>
        <w:spacing w:beforeAutospacing="0" w:afterAutospacing="0"/>
        <w:ind w:left="480" w:hangingChars="200" w:hanging="480"/>
        <w:jc w:val="both"/>
      </w:pPr>
      <w:r w:rsidRPr="00D0136C">
        <w:t xml:space="preserve">Tobin, E. A., </w:t>
      </w:r>
      <w:proofErr w:type="spellStart"/>
      <w:r w:rsidRPr="00D0136C">
        <w:t>Okonofua</w:t>
      </w:r>
      <w:proofErr w:type="spellEnd"/>
      <w:r w:rsidRPr="00D0136C">
        <w:t xml:space="preserve">, F. E., &amp; Obi, A. I. (2014). Acceptability of voluntary counselling and testing among medical students in Benin City, Nigeria. </w:t>
      </w:r>
      <w:r w:rsidRPr="00D0136C">
        <w:rPr>
          <w:rStyle w:val="Emphasis"/>
        </w:rPr>
        <w:t>Nigerian Journal of Clinical Practice</w:t>
      </w:r>
      <w:r w:rsidRPr="00D0136C">
        <w:t xml:space="preserve">, 17(5), 555–561. </w:t>
      </w:r>
    </w:p>
    <w:p w14:paraId="17ED14A8" w14:textId="15C96647" w:rsidR="00B831AB" w:rsidRDefault="00B831AB" w:rsidP="00D0136C">
      <w:pPr>
        <w:pStyle w:val="NormalWeb"/>
        <w:spacing w:beforeAutospacing="0" w:afterAutospacing="0"/>
        <w:ind w:left="480" w:hangingChars="200" w:hanging="480"/>
        <w:jc w:val="both"/>
      </w:pPr>
      <w:proofErr w:type="spellStart"/>
      <w:r w:rsidRPr="00B831AB">
        <w:rPr>
          <w:lang w:val="fr-FR"/>
        </w:rPr>
        <w:t>Wariso</w:t>
      </w:r>
      <w:proofErr w:type="spellEnd"/>
      <w:r w:rsidRPr="00B831AB">
        <w:rPr>
          <w:lang w:val="fr-FR"/>
        </w:rPr>
        <w:t xml:space="preserve">, K. T., </w:t>
      </w:r>
      <w:proofErr w:type="spellStart"/>
      <w:r w:rsidRPr="00B831AB">
        <w:rPr>
          <w:lang w:val="fr-FR"/>
        </w:rPr>
        <w:t>Odigie</w:t>
      </w:r>
      <w:proofErr w:type="spellEnd"/>
      <w:r w:rsidRPr="00B831AB">
        <w:rPr>
          <w:lang w:val="fr-FR"/>
        </w:rPr>
        <w:t xml:space="preserve">, J., &amp; </w:t>
      </w:r>
      <w:proofErr w:type="spellStart"/>
      <w:r w:rsidRPr="00B831AB">
        <w:rPr>
          <w:lang w:val="fr-FR"/>
        </w:rPr>
        <w:t>Eyaru</w:t>
      </w:r>
      <w:proofErr w:type="spellEnd"/>
      <w:r w:rsidRPr="00B831AB">
        <w:rPr>
          <w:lang w:val="fr-FR"/>
        </w:rPr>
        <w:t xml:space="preserve">, S. (2015). </w:t>
      </w:r>
      <w:r w:rsidRPr="00B831AB">
        <w:t xml:space="preserve">Prevalence of Chlamydia Trachomatis Infection among Female Undergraduates of the University of Port Harcourt </w:t>
      </w:r>
      <w:r w:rsidRPr="00B831AB">
        <w:lastRenderedPageBreak/>
        <w:t xml:space="preserve">Using Strand Displacement and Amplification [SDA] Technique. The Nigerian Health Journal, 12(2), 35. </w:t>
      </w:r>
      <w:hyperlink r:id="rId29" w:history="1">
        <w:r w:rsidRPr="00132695">
          <w:rPr>
            <w:rStyle w:val="Hyperlink"/>
          </w:rPr>
          <w:t>https://doi.org/10.60787/tnhj.v12i2.87</w:t>
        </w:r>
      </w:hyperlink>
    </w:p>
    <w:p w14:paraId="7845AAA2" w14:textId="2D8EA53A" w:rsidR="00B831AB" w:rsidRDefault="00B831AB" w:rsidP="00D0136C">
      <w:pPr>
        <w:pStyle w:val="NormalWeb"/>
        <w:spacing w:beforeAutospacing="0" w:afterAutospacing="0"/>
        <w:ind w:left="480" w:hangingChars="200" w:hanging="480"/>
        <w:jc w:val="both"/>
      </w:pPr>
      <w:proofErr w:type="spellStart"/>
      <w:r w:rsidRPr="00B831AB">
        <w:t>Workowski</w:t>
      </w:r>
      <w:proofErr w:type="spellEnd"/>
      <w:r w:rsidRPr="00B831AB">
        <w:t xml:space="preserve">, K. A., Bachmann, L. H., Chan, P. A., Johnston, C. M., </w:t>
      </w:r>
      <w:proofErr w:type="spellStart"/>
      <w:r w:rsidRPr="00B831AB">
        <w:t>Muzny</w:t>
      </w:r>
      <w:proofErr w:type="spellEnd"/>
      <w:r w:rsidRPr="00B831AB">
        <w:t xml:space="preserve">, C. A., Park, I., Reno, H., </w:t>
      </w:r>
      <w:proofErr w:type="spellStart"/>
      <w:r w:rsidRPr="00B831AB">
        <w:t>Zenilman</w:t>
      </w:r>
      <w:proofErr w:type="spellEnd"/>
      <w:r w:rsidRPr="00B831AB">
        <w:t xml:space="preserve">, J. M., &amp; Bolan, G. A. (2021). Sexually transmitted infections treatment guidelines, 2021. MMWR Recommendations and Reports, 70(4), 1–187. </w:t>
      </w:r>
      <w:hyperlink r:id="rId30" w:history="1">
        <w:r w:rsidRPr="00132695">
          <w:rPr>
            <w:rStyle w:val="Hyperlink"/>
          </w:rPr>
          <w:t>https://doi.org/10.15585/mmwr.rr7004a1</w:t>
        </w:r>
      </w:hyperlink>
    </w:p>
    <w:p w14:paraId="228ECB07" w14:textId="44AD0139" w:rsidR="00B831AB" w:rsidRDefault="00B831AB" w:rsidP="00D0136C">
      <w:pPr>
        <w:pStyle w:val="NormalWeb"/>
        <w:spacing w:beforeAutospacing="0" w:afterAutospacing="0"/>
        <w:ind w:left="480" w:hangingChars="200" w:hanging="480"/>
        <w:jc w:val="both"/>
      </w:pPr>
      <w:proofErr w:type="spellStart"/>
      <w:r w:rsidRPr="00B831AB">
        <w:t>Workowski</w:t>
      </w:r>
      <w:proofErr w:type="spellEnd"/>
      <w:r w:rsidRPr="00B831AB">
        <w:t xml:space="preserve">, K. A., Bachmann, L. H., Chan, P. A., Johnston, C. M., </w:t>
      </w:r>
      <w:proofErr w:type="spellStart"/>
      <w:r w:rsidRPr="00B831AB">
        <w:t>Muzny</w:t>
      </w:r>
      <w:proofErr w:type="spellEnd"/>
      <w:r w:rsidRPr="00B831AB">
        <w:t xml:space="preserve">, C. A., Park, I., Reno, H., </w:t>
      </w:r>
      <w:proofErr w:type="spellStart"/>
      <w:r w:rsidRPr="00B831AB">
        <w:t>Zenilman</w:t>
      </w:r>
      <w:proofErr w:type="spellEnd"/>
      <w:r w:rsidRPr="00B831AB">
        <w:t xml:space="preserve">, J. M., &amp; Bolan, G. A. (2021). Sexually transmitted infections treatment guidelines, 2021. MMWR. Recommendations and Reports, 70(4), 1–187. </w:t>
      </w:r>
      <w:hyperlink r:id="rId31" w:history="1">
        <w:r w:rsidRPr="00132695">
          <w:rPr>
            <w:rStyle w:val="Hyperlink"/>
          </w:rPr>
          <w:t>https://doi.org/10.15585/mmwr.rr7004a1</w:t>
        </w:r>
      </w:hyperlink>
    </w:p>
    <w:p w14:paraId="575BB486" w14:textId="269329C1" w:rsidR="00B831AB" w:rsidRDefault="00B831AB" w:rsidP="00D0136C">
      <w:pPr>
        <w:pStyle w:val="NormalWeb"/>
        <w:spacing w:beforeAutospacing="0" w:afterAutospacing="0"/>
        <w:ind w:left="480" w:hangingChars="200" w:hanging="480"/>
        <w:jc w:val="both"/>
      </w:pPr>
      <w:r w:rsidRPr="00B831AB">
        <w:t xml:space="preserve">World Health Organization. (2022). Global health sector strategies on, respectively, HIV, viral hepatitis and sexually transmitted infections for the period 2022-2030. </w:t>
      </w:r>
      <w:hyperlink r:id="rId32" w:history="1">
        <w:r w:rsidRPr="00132695">
          <w:rPr>
            <w:rStyle w:val="Hyperlink"/>
          </w:rPr>
          <w:t>https://www.who.int/publications/i/item/9789240053779</w:t>
        </w:r>
      </w:hyperlink>
    </w:p>
    <w:p w14:paraId="6A8DADF5" w14:textId="2DF2D17F" w:rsidR="00C412B3" w:rsidRPr="00D0136C" w:rsidRDefault="00C412B3" w:rsidP="00D0136C">
      <w:pPr>
        <w:pStyle w:val="NormalWeb"/>
        <w:spacing w:beforeAutospacing="0" w:afterAutospacing="0"/>
        <w:ind w:left="480" w:hangingChars="200" w:hanging="480"/>
        <w:jc w:val="both"/>
      </w:pPr>
      <w:r w:rsidRPr="00D0136C">
        <w:t xml:space="preserve">World Health Organization. (2023). </w:t>
      </w:r>
      <w:r w:rsidRPr="00D0136C">
        <w:rPr>
          <w:rStyle w:val="Emphasis"/>
        </w:rPr>
        <w:t>Global STI report 2023</w:t>
      </w:r>
      <w:r w:rsidRPr="00D0136C">
        <w:t xml:space="preserve">. </w:t>
      </w:r>
    </w:p>
    <w:p w14:paraId="58578724" w14:textId="77777777" w:rsidR="00C412B3" w:rsidRPr="00D0136C" w:rsidRDefault="00C412B3" w:rsidP="00D0136C">
      <w:pPr>
        <w:pStyle w:val="NormalWeb"/>
        <w:spacing w:beforeAutospacing="0" w:afterAutospacing="0"/>
        <w:jc w:val="both"/>
        <w:rPr>
          <w:color w:val="000000" w:themeColor="text1"/>
        </w:rPr>
      </w:pPr>
    </w:p>
    <w:sectPr w:rsidR="00C412B3" w:rsidRPr="00D0136C">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720" w:footer="720" w:gutter="0"/>
      <w:pgNumType w:fmt="decimalFullWidt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1569" w14:textId="77777777" w:rsidR="00755655" w:rsidRDefault="00755655">
      <w:pPr>
        <w:spacing w:line="240" w:lineRule="auto"/>
      </w:pPr>
      <w:r>
        <w:separator/>
      </w:r>
    </w:p>
  </w:endnote>
  <w:endnote w:type="continuationSeparator" w:id="0">
    <w:p w14:paraId="5A2C28DF" w14:textId="77777777" w:rsidR="00755655" w:rsidRDefault="00755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9D93" w14:textId="77777777" w:rsidR="00783AEA" w:rsidRDefault="0078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2152" w14:textId="77777777" w:rsidR="00EB4FDB" w:rsidRDefault="002C1E7B">
    <w:pPr>
      <w:pStyle w:val="Footer"/>
    </w:pPr>
    <w:r>
      <w:rPr>
        <w:noProof/>
      </w:rPr>
      <mc:AlternateContent>
        <mc:Choice Requires="wps">
          <w:drawing>
            <wp:anchor distT="0" distB="0" distL="114300" distR="114300" simplePos="0" relativeHeight="251658240" behindDoc="0" locked="0" layoutInCell="1" allowOverlap="1" wp14:anchorId="469628C6" wp14:editId="11C28BBD">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85875" w14:textId="77777777" w:rsidR="00EB4FDB" w:rsidRDefault="002C1E7B">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9628C6" id="_x0000_t202" coordsize="21600,21600" o:spt="202" path="m,l,21600r21600,l21600,xe">
              <v:stroke joinstyle="miter"/>
              <v:path gradientshapeok="t" o:connecttype="rect"/>
            </v:shapetype>
            <v:shape id="Text Box 16"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DHd&#10;DipSAgAACwUAAA4AAAAAAAAAAAAAAAAALgIAAGRycy9lMm9Eb2MueG1sUEsBAi0AFAAGAAgAAAAh&#10;AHGq0bnXAAAABQEAAA8AAAAAAAAAAAAAAAAArAQAAGRycy9kb3ducmV2LnhtbFBLBQYAAAAABAAE&#10;APMAAACwBQAAAAA=&#10;" filled="f" stroked="f" strokeweight=".5pt">
              <v:textbox style="mso-fit-shape-to-text:t" inset="0,0,0,0">
                <w:txbxContent>
                  <w:p w14:paraId="12285875" w14:textId="77777777" w:rsidR="00EB4FDB" w:rsidRDefault="002C1E7B">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0E3A" w14:textId="77777777" w:rsidR="00783AEA" w:rsidRDefault="0078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748E5" w14:textId="77777777" w:rsidR="00755655" w:rsidRDefault="00755655">
      <w:pPr>
        <w:spacing w:before="0" w:after="0"/>
      </w:pPr>
      <w:r>
        <w:separator/>
      </w:r>
    </w:p>
  </w:footnote>
  <w:footnote w:type="continuationSeparator" w:id="0">
    <w:p w14:paraId="1F20B04B" w14:textId="77777777" w:rsidR="00755655" w:rsidRDefault="007556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29C4" w14:textId="08D528BF" w:rsidR="00783AEA" w:rsidRDefault="00783AEA">
    <w:pPr>
      <w:pStyle w:val="Header"/>
    </w:pPr>
    <w:r>
      <w:rPr>
        <w:noProof/>
      </w:rPr>
      <w:pict w14:anchorId="03B31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92954" o:spid="_x0000_s2050" type="#_x0000_t136" style="position:absolute;margin-left:0;margin-top:0;width:526.05pt;height:59.3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8E4B" w14:textId="267126D5" w:rsidR="00783AEA" w:rsidRDefault="00783AEA">
    <w:pPr>
      <w:pStyle w:val="Header"/>
    </w:pPr>
    <w:r>
      <w:rPr>
        <w:noProof/>
      </w:rPr>
      <w:pict w14:anchorId="2FCEA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92955" o:spid="_x0000_s2051" type="#_x0000_t136" style="position:absolute;margin-left:0;margin-top:0;width:526.05pt;height:59.3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945E" w14:textId="6F5A8C6C" w:rsidR="00783AEA" w:rsidRDefault="00783AEA">
    <w:pPr>
      <w:pStyle w:val="Header"/>
    </w:pPr>
    <w:r>
      <w:rPr>
        <w:noProof/>
      </w:rPr>
      <w:pict w14:anchorId="7436A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92953" o:spid="_x0000_s2049" type="#_x0000_t136" style="position:absolute;margin-left:0;margin-top:0;width:526.05pt;height:59.3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CD0A63"/>
    <w:multiLevelType w:val="singleLevel"/>
    <w:tmpl w:val="9BCD0A63"/>
    <w:lvl w:ilvl="0">
      <w:start w:val="1"/>
      <w:numFmt w:val="decimal"/>
      <w:lvlText w:val="%1."/>
      <w:lvlJc w:val="left"/>
      <w:pPr>
        <w:tabs>
          <w:tab w:val="left" w:pos="425"/>
        </w:tabs>
        <w:ind w:left="425" w:hanging="425"/>
      </w:pPr>
      <w:rPr>
        <w:rFonts w:hint="default"/>
      </w:rPr>
    </w:lvl>
  </w:abstractNum>
  <w:abstractNum w:abstractNumId="1" w15:restartNumberingAfterBreak="0">
    <w:nsid w:val="FDC85A77"/>
    <w:multiLevelType w:val="singleLevel"/>
    <w:tmpl w:val="FDC85A77"/>
    <w:lvl w:ilvl="0">
      <w:start w:val="1"/>
      <w:numFmt w:val="decimal"/>
      <w:lvlText w:val="%1."/>
      <w:lvlJc w:val="left"/>
      <w:pPr>
        <w:tabs>
          <w:tab w:val="left" w:pos="425"/>
        </w:tabs>
        <w:ind w:left="425" w:hanging="425"/>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07F2F326"/>
    <w:multiLevelType w:val="singleLevel"/>
    <w:tmpl w:val="07F2F326"/>
    <w:lvl w:ilvl="0">
      <w:start w:val="1"/>
      <w:numFmt w:val="decimal"/>
      <w:lvlText w:val="%1."/>
      <w:lvlJc w:val="left"/>
      <w:pPr>
        <w:tabs>
          <w:tab w:val="left" w:pos="425"/>
        </w:tabs>
        <w:ind w:left="425" w:hanging="425"/>
      </w:pPr>
      <w:rPr>
        <w:rFonts w:hint="default"/>
      </w:rPr>
    </w:lvl>
  </w:abstractNum>
  <w:abstractNum w:abstractNumId="13" w15:restartNumberingAfterBreak="0">
    <w:nsid w:val="0D2858A9"/>
    <w:multiLevelType w:val="hybridMultilevel"/>
    <w:tmpl w:val="4A66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4EC38"/>
    <w:multiLevelType w:val="singleLevel"/>
    <w:tmpl w:val="1EC4EC38"/>
    <w:lvl w:ilvl="0">
      <w:start w:val="14"/>
      <w:numFmt w:val="decimal"/>
      <w:suff w:val="space"/>
      <w:lvlText w:val="%1."/>
      <w:lvlJc w:val="left"/>
    </w:lvl>
  </w:abstractNum>
  <w:abstractNum w:abstractNumId="15" w15:restartNumberingAfterBreak="0">
    <w:nsid w:val="30C59FEC"/>
    <w:multiLevelType w:val="singleLevel"/>
    <w:tmpl w:val="30C59FEC"/>
    <w:lvl w:ilvl="0">
      <w:start w:val="1"/>
      <w:numFmt w:val="decimal"/>
      <w:lvlText w:val="%1."/>
      <w:lvlJc w:val="left"/>
      <w:pPr>
        <w:tabs>
          <w:tab w:val="left" w:pos="425"/>
        </w:tabs>
        <w:ind w:left="425" w:hanging="425"/>
      </w:pPr>
      <w:rPr>
        <w:rFont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2"/>
  </w:num>
  <w:num w:numId="12">
    <w:abstractNumId w:val="15"/>
  </w:num>
  <w:num w:numId="13">
    <w:abstractNumId w:val="1"/>
  </w:num>
  <w:num w:numId="14">
    <w:abstractNumId w:val="0"/>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C34432"/>
    <w:rsid w:val="000141EA"/>
    <w:rsid w:val="00050A31"/>
    <w:rsid w:val="000716D2"/>
    <w:rsid w:val="00071AAB"/>
    <w:rsid w:val="00097E8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2E10"/>
    <w:rsid w:val="0026631D"/>
    <w:rsid w:val="002C1E7B"/>
    <w:rsid w:val="002C2F53"/>
    <w:rsid w:val="00331BD3"/>
    <w:rsid w:val="0033518C"/>
    <w:rsid w:val="003437C2"/>
    <w:rsid w:val="00377186"/>
    <w:rsid w:val="003A1C03"/>
    <w:rsid w:val="00414627"/>
    <w:rsid w:val="00425D63"/>
    <w:rsid w:val="0044723A"/>
    <w:rsid w:val="004643D8"/>
    <w:rsid w:val="00497C24"/>
    <w:rsid w:val="004B0EF5"/>
    <w:rsid w:val="004B2904"/>
    <w:rsid w:val="004C09CB"/>
    <w:rsid w:val="004C7BA5"/>
    <w:rsid w:val="004D2FA9"/>
    <w:rsid w:val="004E7628"/>
    <w:rsid w:val="004F48F2"/>
    <w:rsid w:val="00507F83"/>
    <w:rsid w:val="005149B1"/>
    <w:rsid w:val="00561507"/>
    <w:rsid w:val="005647F2"/>
    <w:rsid w:val="005662D1"/>
    <w:rsid w:val="00573A09"/>
    <w:rsid w:val="005A4526"/>
    <w:rsid w:val="005C1B16"/>
    <w:rsid w:val="005D213A"/>
    <w:rsid w:val="005E53D0"/>
    <w:rsid w:val="006002EB"/>
    <w:rsid w:val="006128EF"/>
    <w:rsid w:val="00615245"/>
    <w:rsid w:val="006264B4"/>
    <w:rsid w:val="00643033"/>
    <w:rsid w:val="00644CC3"/>
    <w:rsid w:val="00661468"/>
    <w:rsid w:val="006649F0"/>
    <w:rsid w:val="0067245D"/>
    <w:rsid w:val="0068470E"/>
    <w:rsid w:val="00695DCD"/>
    <w:rsid w:val="006A05CC"/>
    <w:rsid w:val="006A35A7"/>
    <w:rsid w:val="006C25E1"/>
    <w:rsid w:val="006F5EBF"/>
    <w:rsid w:val="00714BE7"/>
    <w:rsid w:val="007152D7"/>
    <w:rsid w:val="00723F16"/>
    <w:rsid w:val="00743B82"/>
    <w:rsid w:val="00746C14"/>
    <w:rsid w:val="00755655"/>
    <w:rsid w:val="007814E5"/>
    <w:rsid w:val="00783AEA"/>
    <w:rsid w:val="007849E6"/>
    <w:rsid w:val="007A228F"/>
    <w:rsid w:val="007C2C59"/>
    <w:rsid w:val="007F7226"/>
    <w:rsid w:val="00801F23"/>
    <w:rsid w:val="00837632"/>
    <w:rsid w:val="0085640F"/>
    <w:rsid w:val="008567AA"/>
    <w:rsid w:val="00892712"/>
    <w:rsid w:val="008A680A"/>
    <w:rsid w:val="008B0BB0"/>
    <w:rsid w:val="008E6C4B"/>
    <w:rsid w:val="008F18C0"/>
    <w:rsid w:val="00907648"/>
    <w:rsid w:val="00930FDE"/>
    <w:rsid w:val="009457D5"/>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168F2"/>
    <w:rsid w:val="00B24CF4"/>
    <w:rsid w:val="00B26993"/>
    <w:rsid w:val="00B4570C"/>
    <w:rsid w:val="00B5208C"/>
    <w:rsid w:val="00B549B5"/>
    <w:rsid w:val="00B74876"/>
    <w:rsid w:val="00B831AB"/>
    <w:rsid w:val="00BA66DC"/>
    <w:rsid w:val="00BB7C2B"/>
    <w:rsid w:val="00BC1664"/>
    <w:rsid w:val="00BC2546"/>
    <w:rsid w:val="00BF07ED"/>
    <w:rsid w:val="00BF1B3F"/>
    <w:rsid w:val="00C05085"/>
    <w:rsid w:val="00C1593D"/>
    <w:rsid w:val="00C267F6"/>
    <w:rsid w:val="00C36AA3"/>
    <w:rsid w:val="00C412B3"/>
    <w:rsid w:val="00C56C7E"/>
    <w:rsid w:val="00C776A4"/>
    <w:rsid w:val="00CA2C6C"/>
    <w:rsid w:val="00CB3F39"/>
    <w:rsid w:val="00CC0600"/>
    <w:rsid w:val="00CC78AC"/>
    <w:rsid w:val="00CF2E8B"/>
    <w:rsid w:val="00CF7953"/>
    <w:rsid w:val="00D0136C"/>
    <w:rsid w:val="00D07232"/>
    <w:rsid w:val="00D10245"/>
    <w:rsid w:val="00D21BDD"/>
    <w:rsid w:val="00D65F07"/>
    <w:rsid w:val="00D71500"/>
    <w:rsid w:val="00D92BB7"/>
    <w:rsid w:val="00D97F20"/>
    <w:rsid w:val="00DC76D2"/>
    <w:rsid w:val="00DD30ED"/>
    <w:rsid w:val="00DD75B2"/>
    <w:rsid w:val="00E61AE7"/>
    <w:rsid w:val="00E64C21"/>
    <w:rsid w:val="00EB4FDB"/>
    <w:rsid w:val="00EB67B0"/>
    <w:rsid w:val="00EC24C6"/>
    <w:rsid w:val="00EC3FD8"/>
    <w:rsid w:val="00EE4DB7"/>
    <w:rsid w:val="00EE623E"/>
    <w:rsid w:val="00EF2933"/>
    <w:rsid w:val="00F05146"/>
    <w:rsid w:val="00F1115D"/>
    <w:rsid w:val="00F3513C"/>
    <w:rsid w:val="00F436A9"/>
    <w:rsid w:val="00F465C5"/>
    <w:rsid w:val="00F5180D"/>
    <w:rsid w:val="00F51B21"/>
    <w:rsid w:val="00F51D87"/>
    <w:rsid w:val="00F8455C"/>
    <w:rsid w:val="00FB24B1"/>
    <w:rsid w:val="02685549"/>
    <w:rsid w:val="06B45F64"/>
    <w:rsid w:val="09C34432"/>
    <w:rsid w:val="0CA159C8"/>
    <w:rsid w:val="0CCA7DCA"/>
    <w:rsid w:val="0CFD47D2"/>
    <w:rsid w:val="0EEA683C"/>
    <w:rsid w:val="10D53471"/>
    <w:rsid w:val="11E567AE"/>
    <w:rsid w:val="16AE63D5"/>
    <w:rsid w:val="1A3B1EA6"/>
    <w:rsid w:val="1B3A6FA4"/>
    <w:rsid w:val="1D1469FF"/>
    <w:rsid w:val="1E317E22"/>
    <w:rsid w:val="1E367AEE"/>
    <w:rsid w:val="1E521F77"/>
    <w:rsid w:val="2041692B"/>
    <w:rsid w:val="206A45DE"/>
    <w:rsid w:val="223B00A3"/>
    <w:rsid w:val="22D30DEE"/>
    <w:rsid w:val="25FA0A26"/>
    <w:rsid w:val="278443B6"/>
    <w:rsid w:val="283723ED"/>
    <w:rsid w:val="29DA1AD6"/>
    <w:rsid w:val="2A2B33A7"/>
    <w:rsid w:val="2B3014F6"/>
    <w:rsid w:val="2C0415D9"/>
    <w:rsid w:val="2F3F350A"/>
    <w:rsid w:val="2F5F2142"/>
    <w:rsid w:val="2FBB5661"/>
    <w:rsid w:val="32F27335"/>
    <w:rsid w:val="34F53B2C"/>
    <w:rsid w:val="367B7D91"/>
    <w:rsid w:val="371B7598"/>
    <w:rsid w:val="3D521098"/>
    <w:rsid w:val="3EF604D7"/>
    <w:rsid w:val="3FAF4B4D"/>
    <w:rsid w:val="40CE5F26"/>
    <w:rsid w:val="42344739"/>
    <w:rsid w:val="43E4056D"/>
    <w:rsid w:val="447D2DED"/>
    <w:rsid w:val="490E2FDD"/>
    <w:rsid w:val="49364CAA"/>
    <w:rsid w:val="4D154241"/>
    <w:rsid w:val="4E321958"/>
    <w:rsid w:val="4F5D2E23"/>
    <w:rsid w:val="5102419C"/>
    <w:rsid w:val="51953E2A"/>
    <w:rsid w:val="531D4FFF"/>
    <w:rsid w:val="550F0D5B"/>
    <w:rsid w:val="58F873AB"/>
    <w:rsid w:val="5CC0222E"/>
    <w:rsid w:val="5D603730"/>
    <w:rsid w:val="609D3914"/>
    <w:rsid w:val="611B1FB0"/>
    <w:rsid w:val="61A75FDD"/>
    <w:rsid w:val="64FD156E"/>
    <w:rsid w:val="690040FA"/>
    <w:rsid w:val="6C6A14B7"/>
    <w:rsid w:val="73E57E14"/>
    <w:rsid w:val="75CF53EE"/>
    <w:rsid w:val="766B233D"/>
    <w:rsid w:val="785D5538"/>
    <w:rsid w:val="7B6C0B8B"/>
    <w:rsid w:val="7E631328"/>
    <w:rsid w:val="7EE00ED9"/>
    <w:rsid w:val="7FB7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475456"/>
  <w15:docId w15:val="{8B70A406-9EAD-4DB3-B97B-8A4C4C0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unhideWhenUsed="1"/>
    <w:lsdException w:name="heading 3"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before="100" w:beforeAutospacing="1" w:after="100" w:afterAutospacing="1" w:line="480" w:lineRule="auto"/>
      <w:outlineLvl w:val="0"/>
    </w:pPr>
    <w:rPr>
      <w:sz w:val="24"/>
    </w:rPr>
  </w:style>
  <w:style w:type="paragraph" w:styleId="Heading1">
    <w:name w:val="heading 1"/>
    <w:basedOn w:val="TableofAuthorities"/>
    <w:next w:val="Normal"/>
    <w:qFormat/>
    <w:pPr>
      <w:spacing w:before="0" w:beforeAutospacing="0" w:after="0" w:afterAutospacing="0"/>
      <w:jc w:val="center"/>
    </w:pPr>
    <w:rPr>
      <w:b/>
      <w:bCs/>
      <w:szCs w:val="48"/>
      <w:lang w:eastAsia="zh-CN"/>
    </w:rPr>
  </w:style>
  <w:style w:type="paragraph" w:styleId="Heading2">
    <w:name w:val="heading 2"/>
    <w:basedOn w:val="Normal"/>
    <w:next w:val="Normal"/>
    <w:link w:val="Heading2Char"/>
    <w:unhideWhenUsed/>
    <w:qFormat/>
    <w:pPr>
      <w:spacing w:before="0" w:beforeAutospacing="0" w:after="0" w:afterAutospacing="0"/>
      <w:outlineLvl w:val="1"/>
    </w:pPr>
    <w:rPr>
      <w:b/>
      <w:bCs/>
      <w:szCs w:val="36"/>
      <w:lang w:eastAsia="zh-CN"/>
    </w:rPr>
  </w:style>
  <w:style w:type="paragraph" w:styleId="Heading3">
    <w:name w:val="heading 3"/>
    <w:next w:val="Normal"/>
    <w:link w:val="Heading3Char"/>
    <w:unhideWhenUsed/>
    <w:qFormat/>
    <w:pPr>
      <w:spacing w:line="480" w:lineRule="auto"/>
      <w:outlineLvl w:val="2"/>
    </w:pPr>
    <w:rPr>
      <w:bCs/>
      <w:color w:val="000000" w:themeColor="text1"/>
      <w:sz w:val="24"/>
      <w:szCs w:val="27"/>
      <w:lang w:eastAsia="zh-CN"/>
    </w:rPr>
  </w:style>
  <w:style w:type="paragraph" w:styleId="Heading4">
    <w:name w:val="heading 4"/>
    <w:next w:val="Normal"/>
    <w:link w:val="Heading4Char"/>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qFormat/>
    <w:pPr>
      <w:ind w:leftChars="200" w:left="420"/>
    </w:pPr>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3Char">
    <w:name w:val="Heading 3 Char"/>
    <w:basedOn w:val="DefaultParagraphFont"/>
    <w:link w:val="Heading3"/>
    <w:uiPriority w:val="9"/>
    <w:qFormat/>
    <w:rPr>
      <w:rFonts w:ascii="Times New Roman" w:eastAsia="Arial" w:hAnsi="Times New Roman" w:cs="Arial" w:hint="default"/>
      <w:color w:val="000000" w:themeColor="text1"/>
      <w:sz w:val="24"/>
      <w:szCs w:val="22"/>
      <w:lang w:val="en" w:eastAsia="en-US"/>
    </w:rPr>
  </w:style>
  <w:style w:type="character" w:customStyle="1" w:styleId="Heading2Char">
    <w:name w:val="Heading 2 Char"/>
    <w:basedOn w:val="DefaultParagraphFont"/>
    <w:link w:val="Heading2"/>
    <w:uiPriority w:val="9"/>
    <w:qFormat/>
    <w:rPr>
      <w:rFonts w:ascii="Times New Roman" w:eastAsia="Arial" w:hAnsi="Times New Roman" w:cs="Arial" w:hint="default"/>
      <w:b/>
      <w:bCs/>
      <w:sz w:val="24"/>
      <w:szCs w:val="26"/>
      <w:lang w:val="en" w:eastAsia="en-US"/>
    </w:rPr>
  </w:style>
  <w:style w:type="character" w:customStyle="1" w:styleId="Heading4Char">
    <w:name w:val="Heading 4 Char"/>
    <w:basedOn w:val="DefaultParagraphFont"/>
    <w:link w:val="Heading4"/>
    <w:uiPriority w:val="9"/>
    <w:qFormat/>
    <w:rPr>
      <w:rFonts w:ascii="Times New Roman" w:eastAsia="Calibri" w:hAnsi="Times New Roman" w:cs="Calibri"/>
      <w:b/>
      <w:bCs/>
      <w:sz w:val="24"/>
      <w:szCs w:val="24"/>
      <w:lang w:val="en" w:eastAsia="en-US"/>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styleId="UnresolvedMention">
    <w:name w:val="Unresolved Mention"/>
    <w:basedOn w:val="DefaultParagraphFont"/>
    <w:uiPriority w:val="99"/>
    <w:semiHidden/>
    <w:unhideWhenUsed/>
    <w:rsid w:val="007F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128/JCM.03461-12" TargetMode="External"/><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136/sti.77.2.8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doi.org/10.60787/tnhj.v12i2.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128/JCM.03552-13" TargetMode="External"/><Relationship Id="rId32" Type="http://schemas.openxmlformats.org/officeDocument/2006/relationships/hyperlink" Target="https://www.who.int/publications/i/item/978924005377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pubmed.ncbi.nlm.nih.gov/12751565/" TargetMode="External"/><Relationship Id="rId28" Type="http://schemas.openxmlformats.org/officeDocument/2006/relationships/hyperlink" Target="https://www.ajrh.info/index.php/ajrh/article/view/13"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15585/mmwr.rr7004a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4103/0300-1652.128147" TargetMode="External"/><Relationship Id="rId27" Type="http://schemas.openxmlformats.org/officeDocument/2006/relationships/hyperlink" Target="https://doi.org/10.1155/2016/4386127" TargetMode="External"/><Relationship Id="rId30" Type="http://schemas.openxmlformats.org/officeDocument/2006/relationships/hyperlink" Target="https://doi.org/10.15585/mmwr.rr7004a1"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4E899-58C5-4F45-BE1F-B94A9246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7400</Words>
  <Characters>42184</Characters>
  <Application>Microsoft Office Word</Application>
  <DocSecurity>0</DocSecurity>
  <Lines>351</Lines>
  <Paragraphs>98</Paragraphs>
  <ScaleCrop>false</ScaleCrop>
  <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1084</cp:lastModifiedBy>
  <cp:revision>36</cp:revision>
  <dcterms:created xsi:type="dcterms:W3CDTF">2025-08-09T09:23:00Z</dcterms:created>
  <dcterms:modified xsi:type="dcterms:W3CDTF">2026-01-03T07:32:00Z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564ED9A5CAC544188F2B5B9CA38760EE_11</vt:lpwstr>
  </property>
  <property fmtid="{D5CDD505-2E9C-101B-9397-08002B2CF9AE}" pid="4" name="GrammarlyDocumentId">
    <vt:lpwstr>0f11e388-3f2c-402f-ad9d-b691340d4640</vt:lpwstr>
  </property>
</Properties>
</file>