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62623" w14:textId="48CEBD42" w:rsidR="0003285E" w:rsidRPr="001016D6" w:rsidRDefault="00094B97" w:rsidP="001A3D64">
      <w:pPr>
        <w:spacing w:line="360" w:lineRule="auto"/>
        <w:jc w:val="center"/>
        <w:rPr>
          <w:rFonts w:ascii="Times New Roman" w:eastAsiaTheme="majorEastAsia" w:hAnsi="Times New Roman" w:cs="Times New Roman"/>
          <w:b/>
          <w:bCs/>
          <w:color w:val="000000" w:themeColor="text1"/>
          <w:kern w:val="24"/>
          <w:sz w:val="24"/>
          <w:szCs w:val="24"/>
        </w:rPr>
      </w:pPr>
      <w:bookmarkStart w:id="0" w:name="_Hlk171491968"/>
      <w:bookmarkStart w:id="1" w:name="_Toc201687999"/>
      <w:r w:rsidRPr="001016D6">
        <w:rPr>
          <w:rFonts w:ascii="Times New Roman" w:hAnsi="Times New Roman" w:cs="Times New Roman"/>
          <w:b/>
          <w:bCs/>
          <w:color w:val="000000" w:themeColor="text1"/>
          <w:sz w:val="24"/>
          <w:szCs w:val="24"/>
        </w:rPr>
        <w:t xml:space="preserve">INCIDENCE AND FACTORS ASSOCIATED WITH OCULAR HYPERTENSION AFTER INTRAVITREAL TRIAMCINOLONE INJECTION </w:t>
      </w:r>
      <w:r w:rsidRPr="001016D6">
        <w:rPr>
          <w:rFonts w:ascii="Times New Roman" w:eastAsiaTheme="majorEastAsia" w:hAnsi="Times New Roman" w:cs="Times New Roman"/>
          <w:b/>
          <w:bCs/>
          <w:color w:val="000000" w:themeColor="text1"/>
          <w:kern w:val="24"/>
          <w:sz w:val="24"/>
          <w:szCs w:val="24"/>
        </w:rPr>
        <w:t>AMONG MACULA OEDEMA PATIENTS ATTENDING KCMC 2024-2025</w:t>
      </w:r>
    </w:p>
    <w:bookmarkEnd w:id="0"/>
    <w:p w14:paraId="2D90E167" w14:textId="77777777" w:rsidR="00BE574D" w:rsidRPr="001016D6" w:rsidRDefault="00BE574D" w:rsidP="001A3D64">
      <w:pPr>
        <w:pStyle w:val="NormalWeb"/>
        <w:spacing w:line="360" w:lineRule="auto"/>
        <w:rPr>
          <w:rStyle w:val="Strong"/>
          <w:color w:val="000000" w:themeColor="text1"/>
        </w:rPr>
      </w:pPr>
    </w:p>
    <w:p w14:paraId="2A23F4BA" w14:textId="77777777" w:rsidR="00FA3161" w:rsidRPr="001016D6" w:rsidRDefault="00BE574D" w:rsidP="001A3D64">
      <w:pPr>
        <w:pStyle w:val="NormalWeb"/>
        <w:spacing w:line="360" w:lineRule="auto"/>
        <w:rPr>
          <w:color w:val="000000" w:themeColor="text1"/>
        </w:rPr>
      </w:pPr>
      <w:r w:rsidRPr="001016D6">
        <w:rPr>
          <w:rStyle w:val="Strong"/>
          <w:color w:val="000000" w:themeColor="text1"/>
        </w:rPr>
        <w:t>Abstract</w:t>
      </w:r>
    </w:p>
    <w:p w14:paraId="407041E9" w14:textId="77777777" w:rsidR="00FA3161" w:rsidRPr="001016D6" w:rsidRDefault="00FA3161" w:rsidP="001A3D64">
      <w:pPr>
        <w:pStyle w:val="NormalWeb"/>
        <w:spacing w:line="360" w:lineRule="auto"/>
        <w:rPr>
          <w:color w:val="000000" w:themeColor="text1"/>
        </w:rPr>
      </w:pPr>
      <w:r w:rsidRPr="001016D6">
        <w:rPr>
          <w:rStyle w:val="Strong"/>
          <w:color w:val="000000" w:themeColor="text1"/>
        </w:rPr>
        <w:t>Background:</w:t>
      </w:r>
      <w:r w:rsidRPr="001016D6">
        <w:rPr>
          <w:color w:val="000000" w:themeColor="text1"/>
        </w:rPr>
        <w:t xml:space="preserve"> Intravitreal triamcinolone acetonide (IVTA) is an effective </w:t>
      </w:r>
      <w:proofErr w:type="spellStart"/>
      <w:r w:rsidRPr="001016D6">
        <w:rPr>
          <w:color w:val="000000" w:themeColor="text1"/>
        </w:rPr>
        <w:t>cor</w:t>
      </w:r>
      <w:proofErr w:type="spellEnd"/>
      <w:r w:rsidR="00E734B1" w:rsidRPr="001016D6">
        <w:rPr>
          <w:color w:val="000000" w:themeColor="text1"/>
        </w:rPr>
        <w:t xml:space="preserve"> </w:t>
      </w:r>
      <w:proofErr w:type="spellStart"/>
      <w:r w:rsidRPr="001016D6">
        <w:rPr>
          <w:color w:val="000000" w:themeColor="text1"/>
        </w:rPr>
        <w:t>ticosteroid</w:t>
      </w:r>
      <w:proofErr w:type="spellEnd"/>
      <w:r w:rsidRPr="001016D6">
        <w:rPr>
          <w:color w:val="000000" w:themeColor="text1"/>
        </w:rPr>
        <w:t xml:space="preserve"> used in managing retinal conditions such as cystoid macular edema (CME), diabetic macular edema (DME), and retinal vein occlusion (RVO). Despite its therapeutic benefits, IVTA is known to cause ocular hypertension (OHT), which can lead to irreversible glaucomatous damage if not adequately monitored, posing a particular challenge in resource-limited settings.</w:t>
      </w:r>
    </w:p>
    <w:p w14:paraId="2D9D6648" w14:textId="77777777" w:rsidR="00FA3161" w:rsidRPr="001016D6" w:rsidRDefault="00FA3161" w:rsidP="001A3D64">
      <w:pPr>
        <w:pStyle w:val="NormalWeb"/>
        <w:spacing w:line="360" w:lineRule="auto"/>
        <w:rPr>
          <w:color w:val="000000" w:themeColor="text1"/>
        </w:rPr>
      </w:pPr>
      <w:r w:rsidRPr="001016D6">
        <w:rPr>
          <w:rStyle w:val="Strong"/>
          <w:color w:val="000000" w:themeColor="text1"/>
        </w:rPr>
        <w:t>Objectives:</w:t>
      </w:r>
      <w:r w:rsidRPr="001016D6">
        <w:rPr>
          <w:color w:val="000000" w:themeColor="text1"/>
        </w:rPr>
        <w:t xml:space="preserve"> To determine the incidence, pattern, and associated risk factors of ocular hypertension following intravitreal triamcinolone injection among patients with macular edema attending the Eye Department at Kilimanjaro Christian Medical Centre (KCMC) between 2024 and 2025.</w:t>
      </w:r>
    </w:p>
    <w:p w14:paraId="0A699B72" w14:textId="77777777" w:rsidR="00FA3161" w:rsidRPr="001016D6" w:rsidRDefault="00FA3161" w:rsidP="001A3D64">
      <w:pPr>
        <w:pStyle w:val="NormalWeb"/>
        <w:spacing w:line="360" w:lineRule="auto"/>
        <w:rPr>
          <w:color w:val="000000" w:themeColor="text1"/>
        </w:rPr>
      </w:pPr>
      <w:r w:rsidRPr="001016D6">
        <w:rPr>
          <w:rStyle w:val="Strong"/>
          <w:color w:val="000000" w:themeColor="text1"/>
        </w:rPr>
        <w:t>Methods:</w:t>
      </w:r>
      <w:r w:rsidRPr="001016D6">
        <w:rPr>
          <w:color w:val="000000" w:themeColor="text1"/>
        </w:rPr>
        <w:t xml:space="preserve"> A prospective cohort study was conducted involving 110 adult patients diagnosed with macular edema and treated with a standardized 4 mg dose of IVTA. Intraocular pressure (IOP) was measured at baseline, immediately post-injection, and at 2-week and 6-week follow-up visits using an </w:t>
      </w:r>
      <w:proofErr w:type="spellStart"/>
      <w:r w:rsidRPr="001016D6">
        <w:rPr>
          <w:color w:val="000000" w:themeColor="text1"/>
        </w:rPr>
        <w:t>Icare</w:t>
      </w:r>
      <w:proofErr w:type="spellEnd"/>
      <w:r w:rsidRPr="001016D6">
        <w:rPr>
          <w:color w:val="000000" w:themeColor="text1"/>
        </w:rPr>
        <w:t xml:space="preserve"> tonometer. OHT was defined as IOP &gt; 21 mmHg or an increase ≥5 mmHg from baseline. Statistical analysis was performed using SPSS v25, with multivariate regression applied to identify independent predictors of OHT.</w:t>
      </w:r>
    </w:p>
    <w:p w14:paraId="107D1C3D" w14:textId="77777777" w:rsidR="00FA3161" w:rsidRPr="001016D6" w:rsidRDefault="00FA3161" w:rsidP="001A3D64">
      <w:pPr>
        <w:pStyle w:val="NormalWeb"/>
        <w:spacing w:line="360" w:lineRule="auto"/>
        <w:rPr>
          <w:color w:val="000000" w:themeColor="text1"/>
        </w:rPr>
      </w:pPr>
      <w:r w:rsidRPr="001016D6">
        <w:rPr>
          <w:rStyle w:val="Strong"/>
          <w:color w:val="000000" w:themeColor="text1"/>
        </w:rPr>
        <w:t>Results:</w:t>
      </w:r>
      <w:r w:rsidRPr="001016D6">
        <w:rPr>
          <w:color w:val="000000" w:themeColor="text1"/>
        </w:rPr>
        <w:t xml:space="preserve"> The incidence of ocular hypertension was 35%. Mean IOP rose significantly from 14.59 mmHg at baseline to 28.42 mmHg immediately post-injection, decreasing to 17.75 mmHg at 2 weeks and 17.05 mmHg at 6 weeks (p &lt; 0.001). Retinal vein occlusion was the strongest independent predictor of OHT (ARR = 3.23; 95% CI: 1.10–9.54; p = 0.033).</w:t>
      </w:r>
    </w:p>
    <w:p w14:paraId="2AB11000" w14:textId="77777777" w:rsidR="00FA3161" w:rsidRPr="001016D6" w:rsidRDefault="00FA3161" w:rsidP="001A3D64">
      <w:pPr>
        <w:pStyle w:val="NormalWeb"/>
        <w:spacing w:line="360" w:lineRule="auto"/>
        <w:rPr>
          <w:color w:val="000000" w:themeColor="text1"/>
        </w:rPr>
      </w:pPr>
      <w:r w:rsidRPr="001016D6">
        <w:rPr>
          <w:rStyle w:val="Strong"/>
          <w:color w:val="000000" w:themeColor="text1"/>
        </w:rPr>
        <w:lastRenderedPageBreak/>
        <w:t>Conclusion:</w:t>
      </w:r>
      <w:r w:rsidRPr="001016D6">
        <w:rPr>
          <w:color w:val="000000" w:themeColor="text1"/>
        </w:rPr>
        <w:t xml:space="preserve"> IVTA is associated with a high incidence of transient and sustained OHT. Early and routine IOP monitoring, especially in RVO patients, is crucial to prevent glaucomatous complications, particularly in low-resource settings.</w:t>
      </w:r>
    </w:p>
    <w:p w14:paraId="65BFA08C" w14:textId="77777777" w:rsidR="00BE574D" w:rsidRPr="001016D6" w:rsidRDefault="00BE574D" w:rsidP="00BE574D">
      <w:pPr>
        <w:spacing w:line="360" w:lineRule="auto"/>
        <w:rPr>
          <w:rFonts w:ascii="Times New Roman" w:eastAsia="Times New Roman" w:hAnsi="Times New Roman" w:cs="Times New Roman"/>
          <w:sz w:val="24"/>
          <w:szCs w:val="24"/>
          <w:lang w:eastAsia="en-GB"/>
        </w:rPr>
        <w:sectPr w:rsidR="00BE574D" w:rsidRPr="001016D6" w:rsidSect="00BE57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fmt="lowerRoman" w:start="1"/>
          <w:cols w:space="720"/>
          <w:docGrid w:linePitch="360"/>
        </w:sectPr>
      </w:pPr>
      <w:r w:rsidRPr="001016D6">
        <w:rPr>
          <w:rFonts w:ascii="Times New Roman" w:eastAsia="Times New Roman" w:hAnsi="Times New Roman" w:cs="Times New Roman"/>
          <w:b/>
          <w:bCs/>
          <w:sz w:val="24"/>
          <w:szCs w:val="24"/>
          <w:lang w:eastAsia="en-GB"/>
        </w:rPr>
        <w:t>Key words:</w:t>
      </w:r>
      <w:r w:rsidRPr="001016D6">
        <w:rPr>
          <w:rFonts w:ascii="Times New Roman" w:eastAsia="Times New Roman" w:hAnsi="Times New Roman" w:cs="Times New Roman"/>
          <w:sz w:val="24"/>
          <w:szCs w:val="24"/>
          <w:lang w:eastAsia="en-GB"/>
        </w:rPr>
        <w:t xml:space="preserve"> </w:t>
      </w:r>
      <w:r w:rsidRPr="001016D6">
        <w:rPr>
          <w:rFonts w:ascii="Times New Roman" w:hAnsi="Times New Roman" w:cs="Times New Roman"/>
          <w:i/>
          <w:sz w:val="24"/>
          <w:szCs w:val="24"/>
        </w:rPr>
        <w:t xml:space="preserve">Intravitreal Triamcinolone Acetonide, Ocular Hypertension, Macular </w:t>
      </w:r>
      <w:proofErr w:type="spellStart"/>
      <w:r w:rsidRPr="001016D6">
        <w:rPr>
          <w:rFonts w:ascii="Times New Roman" w:hAnsi="Times New Roman" w:cs="Times New Roman"/>
          <w:i/>
          <w:sz w:val="24"/>
          <w:szCs w:val="24"/>
        </w:rPr>
        <w:t>Edema</w:t>
      </w:r>
      <w:proofErr w:type="spellEnd"/>
      <w:r w:rsidRPr="001016D6">
        <w:rPr>
          <w:rFonts w:ascii="Times New Roman" w:hAnsi="Times New Roman" w:cs="Times New Roman"/>
          <w:i/>
          <w:sz w:val="24"/>
          <w:szCs w:val="24"/>
        </w:rPr>
        <w:t xml:space="preserve">, Intraocular </w:t>
      </w:r>
      <w:proofErr w:type="spellStart"/>
      <w:r w:rsidRPr="001016D6">
        <w:rPr>
          <w:rFonts w:ascii="Times New Roman" w:hAnsi="Times New Roman" w:cs="Times New Roman"/>
          <w:i/>
          <w:sz w:val="24"/>
          <w:szCs w:val="24"/>
        </w:rPr>
        <w:t>Pressur</w:t>
      </w:r>
      <w:proofErr w:type="spellEnd"/>
    </w:p>
    <w:bookmarkEnd w:id="1"/>
    <w:p w14:paraId="037EFED1" w14:textId="77777777" w:rsidR="00F46173" w:rsidRPr="001016D6" w:rsidRDefault="00BE574D" w:rsidP="001A3D64">
      <w:pPr>
        <w:spacing w:line="360" w:lineRule="auto"/>
        <w:rPr>
          <w:rFonts w:ascii="Times New Roman" w:hAnsi="Times New Roman" w:cs="Times New Roman"/>
          <w:b/>
          <w:color w:val="000000" w:themeColor="text1"/>
          <w:sz w:val="24"/>
          <w:szCs w:val="24"/>
        </w:rPr>
      </w:pPr>
      <w:r w:rsidRPr="001016D6">
        <w:rPr>
          <w:rFonts w:ascii="Times New Roman" w:hAnsi="Times New Roman" w:cs="Times New Roman"/>
          <w:b/>
          <w:color w:val="000000" w:themeColor="text1"/>
          <w:sz w:val="24"/>
          <w:szCs w:val="24"/>
        </w:rPr>
        <w:lastRenderedPageBreak/>
        <w:t>Background</w:t>
      </w:r>
    </w:p>
    <w:p w14:paraId="3A02573E" w14:textId="77777777" w:rsidR="00620CF1" w:rsidRPr="001016D6" w:rsidRDefault="00620CF1" w:rsidP="001A3D64">
      <w:pPr>
        <w:spacing w:after="0" w:line="360" w:lineRule="auto"/>
        <w:jc w:val="both"/>
        <w:rPr>
          <w:rFonts w:ascii="Times New Roman" w:hAnsi="Times New Roman" w:cs="Times New Roman"/>
          <w:color w:val="000000" w:themeColor="text1"/>
          <w:sz w:val="24"/>
          <w:szCs w:val="24"/>
        </w:rPr>
      </w:pPr>
      <w:r w:rsidRPr="001016D6">
        <w:rPr>
          <w:rFonts w:ascii="Times New Roman" w:hAnsi="Times New Roman" w:cs="Times New Roman"/>
          <w:color w:val="000000" w:themeColor="text1"/>
          <w:sz w:val="24"/>
          <w:szCs w:val="24"/>
        </w:rPr>
        <w:t xml:space="preserve">Intravitreal triamcinolone acetonide (IVTA) injection has been widely used to treat several intraocular neovascular, inflammatory, and </w:t>
      </w:r>
      <w:proofErr w:type="spellStart"/>
      <w:r w:rsidRPr="001016D6">
        <w:rPr>
          <w:rFonts w:ascii="Times New Roman" w:hAnsi="Times New Roman" w:cs="Times New Roman"/>
          <w:color w:val="000000" w:themeColor="text1"/>
          <w:sz w:val="24"/>
          <w:szCs w:val="24"/>
        </w:rPr>
        <w:t>edematous</w:t>
      </w:r>
      <w:proofErr w:type="spellEnd"/>
      <w:r w:rsidRPr="001016D6">
        <w:rPr>
          <w:rFonts w:ascii="Times New Roman" w:hAnsi="Times New Roman" w:cs="Times New Roman"/>
          <w:color w:val="000000" w:themeColor="text1"/>
          <w:sz w:val="24"/>
          <w:szCs w:val="24"/>
        </w:rPr>
        <w:t xml:space="preserve"> diseases. However, steroid-induced increase in the intraocular pressure (IOP) is one of the most widely cited side effects of IVTA injection. The amount of corticosteroid passes to the intravitreal issues after the injection, leading to a significant rise in the IOP. </w:t>
      </w:r>
      <w:r w:rsidRPr="001016D6">
        <w:rPr>
          <w:rFonts w:ascii="Times New Roman" w:hAnsi="Times New Roman" w:cs="Times New Roman"/>
          <w:color w:val="000000" w:themeColor="text1"/>
          <w:sz w:val="24"/>
          <w:szCs w:val="24"/>
        </w:rPr>
        <w:fldChar w:fldCharType="begin" w:fldLock="1"/>
      </w:r>
      <w:r w:rsidR="001A3D64" w:rsidRPr="001016D6">
        <w:rPr>
          <w:rFonts w:ascii="Times New Roman" w:hAnsi="Times New Roman" w:cs="Times New Roman"/>
          <w:color w:val="000000" w:themeColor="text1"/>
          <w:sz w:val="24"/>
          <w:szCs w:val="24"/>
        </w:rPr>
        <w:instrText>ADDIN CSL_CITATION {"citationItems":[{"id":"ITEM-1","itemData":{"DOI":"10.18240/ijo.2016.01.23","ISSN":"22274898","abstract":"AIM: To report on intraocular pressure (IOP) after intravitreal injections of triamcinolone acetonide. METHODS: Systematic literature review of studies that investigated the effects of an injection of triamcinolone intravitreal triamcinolone acetonide on IOP was conducted according to the Cochrane Collaboration methodology and the reported effects have been analyzed with Meta-analysis. RESULTS: We found that the IOP follows an inverted-U shape pattern over time starting with an average value of 14.81±1.22 mm Hg before the injection, rising to a maximum of 19.48±2.15 mm Hg after one month of injection and falling down to 16.16±1.92 mm Hg after 6mo. Moreover, country of study, age, previous history of glaucoma and gender compositions matter for cross-study were different in reported IOP changes. CONCLUSION: Our findings may be helpful in determining pressure elevation risk of intravitreal triamcinolone acetonide therapy as well as comparing it with those of more recent therapies such as the anti-vascular endothelial growth factor agents.","author":[{"dropping-particle":"","family":"Yuksel-Elgin","given":"Cansu","non-dropping-particle":"","parse-names":false,"suffix":""},{"dropping-particle":"","family":"Elgin","given":"Ceyhun","non-dropping-particle":"","parse-names":false,"suffix":""}],"container-title":"International Journal of Ophthalmology","id":"ITEM-1","issue":"1","issued":{"date-parts":[["2016"]]},"page":"139-144","title":"Intraocular pressure elevation after intravitreal triamcinolone acetonide injection: A Meta-analysis","type":"article-journal","volume":"9"},"uris":["http://www.mendeley.com/documents/?uuid=58a31bbc-ca9e-4394-a501-06dccdf86613"]}],"mendeley":{"formattedCitation":"(1)","plainTextFormattedCitation":"(1)","previouslyFormattedCitation":"(Yuksel-Elgin and Elgin, 2016)"},"properties":{"noteIndex":0},"schema":"https://github.com/citation-style-language/schema/raw/master/csl-citation.json"}</w:instrText>
      </w:r>
      <w:r w:rsidRPr="001016D6">
        <w:rPr>
          <w:rFonts w:ascii="Times New Roman" w:hAnsi="Times New Roman" w:cs="Times New Roman"/>
          <w:color w:val="000000" w:themeColor="text1"/>
          <w:sz w:val="24"/>
          <w:szCs w:val="24"/>
        </w:rPr>
        <w:fldChar w:fldCharType="separate"/>
      </w:r>
      <w:r w:rsidR="001A3D64" w:rsidRPr="001016D6">
        <w:rPr>
          <w:rFonts w:ascii="Times New Roman" w:hAnsi="Times New Roman" w:cs="Times New Roman"/>
          <w:noProof/>
          <w:color w:val="000000" w:themeColor="text1"/>
          <w:sz w:val="24"/>
          <w:szCs w:val="24"/>
        </w:rPr>
        <w:t>(1)</w:t>
      </w:r>
      <w:r w:rsidRPr="001016D6">
        <w:rPr>
          <w:rFonts w:ascii="Times New Roman" w:hAnsi="Times New Roman" w:cs="Times New Roman"/>
          <w:color w:val="000000" w:themeColor="text1"/>
          <w:sz w:val="24"/>
          <w:szCs w:val="24"/>
        </w:rPr>
        <w:fldChar w:fldCharType="end"/>
      </w:r>
      <w:r w:rsidR="009D1561" w:rsidRPr="001016D6">
        <w:rPr>
          <w:rFonts w:ascii="Times New Roman" w:hAnsi="Times New Roman" w:cs="Times New Roman"/>
          <w:color w:val="000000" w:themeColor="text1"/>
          <w:sz w:val="24"/>
          <w:szCs w:val="24"/>
        </w:rPr>
        <w:t>.</w:t>
      </w:r>
    </w:p>
    <w:p w14:paraId="06D9ABA9" w14:textId="77777777" w:rsidR="009D1561" w:rsidRPr="001016D6" w:rsidRDefault="009D1561" w:rsidP="001A3D64">
      <w:pPr>
        <w:spacing w:after="0" w:line="360" w:lineRule="auto"/>
        <w:jc w:val="both"/>
        <w:rPr>
          <w:rStyle w:val="Strong"/>
          <w:rFonts w:ascii="Times New Roman" w:hAnsi="Times New Roman" w:cs="Times New Roman"/>
          <w:b w:val="0"/>
          <w:color w:val="000000" w:themeColor="text1"/>
          <w:sz w:val="24"/>
          <w:szCs w:val="24"/>
        </w:rPr>
      </w:pPr>
    </w:p>
    <w:p w14:paraId="679B2678" w14:textId="77777777" w:rsidR="00620CF1" w:rsidRPr="001016D6" w:rsidRDefault="00620CF1" w:rsidP="001A3D64">
      <w:pPr>
        <w:spacing w:after="0" w:line="360" w:lineRule="auto"/>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 xml:space="preserve">TA, when injected into the eye, is an effective treatment for macular </w:t>
      </w:r>
      <w:proofErr w:type="spellStart"/>
      <w:r w:rsidRPr="001016D6">
        <w:rPr>
          <w:rFonts w:ascii="Times New Roman" w:eastAsia="Times New Roman" w:hAnsi="Times New Roman" w:cs="Times New Roman"/>
          <w:color w:val="000000" w:themeColor="text1"/>
          <w:sz w:val="24"/>
          <w:szCs w:val="24"/>
        </w:rPr>
        <w:t>edema</w:t>
      </w:r>
      <w:proofErr w:type="spellEnd"/>
      <w:r w:rsidRPr="001016D6">
        <w:rPr>
          <w:rFonts w:ascii="Times New Roman" w:eastAsia="Times New Roman" w:hAnsi="Times New Roman" w:cs="Times New Roman"/>
          <w:color w:val="000000" w:themeColor="text1"/>
          <w:sz w:val="24"/>
          <w:szCs w:val="24"/>
        </w:rPr>
        <w:t xml:space="preserve"> that occurs as a result of various eye conditions such as diabetic retinopathy, central retinal vein occlusion, branch retinal vein occlusion, uveitis, macular </w:t>
      </w:r>
      <w:proofErr w:type="spellStart"/>
      <w:r w:rsidRPr="001016D6">
        <w:rPr>
          <w:rFonts w:ascii="Times New Roman" w:eastAsia="Times New Roman" w:hAnsi="Times New Roman" w:cs="Times New Roman"/>
          <w:color w:val="000000" w:themeColor="text1"/>
          <w:sz w:val="24"/>
          <w:szCs w:val="24"/>
        </w:rPr>
        <w:t>edema</w:t>
      </w:r>
      <w:proofErr w:type="spellEnd"/>
      <w:r w:rsidRPr="001016D6">
        <w:rPr>
          <w:rFonts w:ascii="Times New Roman" w:eastAsia="Times New Roman" w:hAnsi="Times New Roman" w:cs="Times New Roman"/>
          <w:color w:val="000000" w:themeColor="text1"/>
          <w:sz w:val="24"/>
          <w:szCs w:val="24"/>
        </w:rPr>
        <w:t xml:space="preserve"> after cataract surgery, and age-related macular degeneration.</w:t>
      </w:r>
      <w:r w:rsidRPr="001016D6">
        <w:rPr>
          <w:rFonts w:ascii="Times New Roman" w:eastAsia="Times New Roman" w:hAnsi="Times New Roman" w:cs="Times New Roman"/>
          <w:color w:val="000000" w:themeColor="text1"/>
          <w:sz w:val="24"/>
          <w:szCs w:val="24"/>
        </w:rPr>
        <w:fldChar w:fldCharType="begin" w:fldLock="1"/>
      </w:r>
      <w:r w:rsidR="001A3D64" w:rsidRPr="001016D6">
        <w:rPr>
          <w:rFonts w:ascii="Times New Roman" w:eastAsia="Times New Roman" w:hAnsi="Times New Roman" w:cs="Times New Roman"/>
          <w:color w:val="000000" w:themeColor="text1"/>
          <w:sz w:val="24"/>
          <w:szCs w:val="24"/>
        </w:rPr>
        <w:instrText>ADDIN CSL_CITATION {"citationItems":[{"id":"ITEM-1","itemData":{"DOI":"10.19127/mbsjohs.413426","abstract":"Objective: The use of intravitreal triamcinolone acetonide (IVTA) for intraocular neovascular, proliferative and edematous diseases has led to an increased incidence of corticosteroid-induced ocular hypertension. Even though largely replaced with anti-vascular endothelial growth factor (anti-VEGF) agents and slow-release dexamethasone implants, boosters are still required in nonresponsive or minimally responsive patients, in cases of tachyplaxis to these agents, or in combination therapies with anti-VEGFs.Metods: The records of 136 eyes of 124 patients who underwent 4 mg/ml IVTA treatment for macular edema of variable etiologies of diabetic macular edema, retinal vein occlusions, subretinal choroidal neovascularization, Irvine-Gass Syndrome, retinitis pigmentosa and idiopathic juxtafoveal telengiectasia in the period 2001–2006 were reviewed. Seventy-six eyes of 71 patients of which were followed for at least 3 months were included in the study.  The patients were examined at the first day, second week, first month and every month after the injection. Mean intraocular pressure (IOP), IOP exceeding 21 mmHg and percentage of patients exhibiting IOP increase of 5 mmHg after IVTA injection, during the follow-up period were evaluated and compared statistically. Results: Mean age was 56.64±12.65 years and male to female ratio was 35/36. Mean follow-up time was 12.13±10.30 months. The mean IOP increased statistically (p= &amp;lt;0.001) during follow-up from 14.95±3.15 mmHg pre-injection level reaching to a maximum of 21.66±6.48 mmHg and decreased statistically (p= &amp;lt;0.001) to 15.58±4.16 mmHg at the end of the follow-up. There was no statistical difference between pre-injection and post-injection IOP levels (p=0.406). The IOP levels exceeded 21 mmHg in 46.05% of the eyes. There was an increase of 5 mmHg and more above the pre-injection level in the 53.94% of the eyes. Maximum IOP levels were reached at the 2.77±3.72 month. In 24 (31.58%)  eyes, topical antiglaucomatous therapy was needed and later 1 eye (4.6%) required surgical intervention and 1 eye (4.6%) required argon laser trabeculoplasty to lower the IOP. Conclusion: The most common complication following İVTA injections is rise in IOP. Most of these ocular hypertension cases are controllable by medical therapy. However, the risk of glaucoma requiring surgery or long term antiglaucomatous use validate the necessity of a meticulous patient selection and close monitorization of IOP.","author":[{"dropping-particle":"","family":"KARAKAHYA","given":"Refika Hande","non-dropping-particle":"","parse-names":false,"suffix":""},{"dropping-particle":"","family":"KALAYCI","given":"Defne","non-dropping-particle":"","parse-names":false,"suffix":""},{"dropping-particle":"","family":"KARAKURT","given":"Ahmet","non-dropping-particle":"","parse-names":false,"suffix":""}],"container-title":"Middle Black Sea Journal of Health Science","id":"ITEM-1","issue":"1","issued":{"date-parts":[["2018"]]},"page":"24-30","title":"Ocular Hypertension and Glaucoma after Intravitreal Injection of Triamcinolone Acetonide","type":"article-journal","volume":"4"},"uris":["http://www.mendeley.com/documents/?uuid=8fb7be62-1746-4cb2-b309-c9a25ab33be8"]}],"mendeley":{"formattedCitation":"(2)","plainTextFormattedCitation":"(2)","previouslyFormattedCitation":"(KARAKAHYA, KALAYCI and KARAKURT, 2018)"},"properties":{"noteIndex":0},"schema":"https://github.com/citation-style-language/schema/raw/master/csl-citation.json"}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rPr>
        <w:fldChar w:fldCharType="separate"/>
      </w:r>
      <w:r w:rsidR="001A3D64" w:rsidRPr="001016D6">
        <w:rPr>
          <w:rFonts w:ascii="Times New Roman" w:eastAsia="Times New Roman" w:hAnsi="Times New Roman" w:cs="Times New Roman"/>
          <w:noProof/>
          <w:color w:val="000000" w:themeColor="text1"/>
          <w:sz w:val="24"/>
          <w:szCs w:val="24"/>
        </w:rPr>
        <w:t>(2)</w:t>
      </w:r>
      <w:r w:rsidRPr="001016D6">
        <w:rPr>
          <w:rFonts w:ascii="Times New Roman" w:eastAsia="Times New Roman" w:hAnsi="Times New Roman" w:cs="Times New Roman"/>
          <w:color w:val="000000" w:themeColor="text1"/>
          <w:sz w:val="24"/>
          <w:szCs w:val="24"/>
        </w:rPr>
        <w:fldChar w:fldCharType="end"/>
      </w:r>
      <w:r w:rsidRPr="001016D6">
        <w:rPr>
          <w:rFonts w:ascii="Times New Roman" w:eastAsia="Times New Roman" w:hAnsi="Times New Roman" w:cs="Times New Roman"/>
          <w:color w:val="000000" w:themeColor="text1"/>
          <w:sz w:val="24"/>
          <w:szCs w:val="24"/>
        </w:rPr>
        <w:t>.</w:t>
      </w:r>
    </w:p>
    <w:p w14:paraId="461FACA6" w14:textId="77777777" w:rsidR="009D1561" w:rsidRPr="001016D6" w:rsidRDefault="009D1561" w:rsidP="001A3D64">
      <w:pPr>
        <w:spacing w:after="0" w:line="360" w:lineRule="auto"/>
        <w:jc w:val="both"/>
        <w:rPr>
          <w:rFonts w:ascii="Times New Roman" w:eastAsia="Times New Roman" w:hAnsi="Times New Roman" w:cs="Times New Roman"/>
          <w:color w:val="000000" w:themeColor="text1"/>
          <w:sz w:val="24"/>
          <w:szCs w:val="24"/>
        </w:rPr>
      </w:pPr>
    </w:p>
    <w:p w14:paraId="482F3B17" w14:textId="77777777" w:rsidR="00620CF1" w:rsidRPr="001016D6" w:rsidRDefault="00620CF1" w:rsidP="001A3D64">
      <w:pPr>
        <w:spacing w:line="360" w:lineRule="auto"/>
        <w:jc w:val="both"/>
        <w:rPr>
          <w:rFonts w:ascii="Times New Roman" w:hAnsi="Times New Roman" w:cs="Times New Roman"/>
          <w:b/>
          <w:bCs/>
          <w:color w:val="000000" w:themeColor="text1"/>
          <w:sz w:val="24"/>
          <w:szCs w:val="24"/>
        </w:rPr>
      </w:pPr>
      <w:r w:rsidRPr="001016D6">
        <w:rPr>
          <w:rFonts w:ascii="Times New Roman" w:hAnsi="Times New Roman" w:cs="Times New Roman"/>
          <w:color w:val="000000" w:themeColor="text1"/>
          <w:sz w:val="24"/>
          <w:szCs w:val="24"/>
        </w:rPr>
        <w:t xml:space="preserve">This steroid medication is widely used for treating various retinal diseases and is commercially available as an ester. </w:t>
      </w:r>
      <w:r w:rsidRPr="001016D6">
        <w:rPr>
          <w:rFonts w:ascii="Times New Roman" w:eastAsia="Times New Roman" w:hAnsi="Times New Roman" w:cs="Times New Roman"/>
          <w:color w:val="000000" w:themeColor="text1"/>
          <w:sz w:val="24"/>
          <w:szCs w:val="24"/>
        </w:rPr>
        <w:fldChar w:fldCharType="begin" w:fldLock="1"/>
      </w:r>
      <w:r w:rsidR="001A3D64" w:rsidRPr="001016D6">
        <w:rPr>
          <w:rFonts w:ascii="Times New Roman" w:eastAsia="Times New Roman" w:hAnsi="Times New Roman" w:cs="Times New Roman"/>
          <w:color w:val="000000" w:themeColor="text1"/>
          <w:sz w:val="24"/>
          <w:szCs w:val="24"/>
        </w:rPr>
        <w:instrText>ADDIN CSL_CITATION {"citationItems":[{"id":"ITEM-1","itemData":{"author":[{"dropping-particle":"","family":"Sarao","given":"Valentina","non-dropping-particle":"","parse-names":false,"suffix":""},{"dropping-particle":"","family":"Veritti","given":"Daniele","non-dropping-particle":"","parse-names":false,"suffix":""},{"dropping-particle":"","family":"Boscia","given":"Francesco","non-dropping-particle":"","parse-names":false,"suffix":""},{"dropping-particle":"","family":"Lanzetta","given":"Paolo","non-dropping-particle":"","parse-names":false,"suffix":""}],"id":"ITEM-1","issued":{"date-parts":[["2014"]]},"title":"Intravitreal Steroids for the Treatment of Retinal Diseases","type":"article-journal","volume":"2014"},"uris":["http://www.mendeley.com/documents/?uuid=adc75e33-4a86-48ae-b084-cbabd8f454f8"]}],"mendeley":{"formattedCitation":"(3)","manualFormatting":"(Sarao et al., 2014)","plainTextFormattedCitation":"(3)","previouslyFormattedCitation":"(Sarao &lt;i&gt;et al.&lt;/i&gt;, 2014b)"},"properties":{"noteIndex":0},"schema":"https://github.com/citation-style-language/schema/raw/master/csl-citation.json"}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rPr>
        <w:fldChar w:fldCharType="separate"/>
      </w:r>
      <w:r w:rsidRPr="001016D6">
        <w:rPr>
          <w:rFonts w:ascii="Times New Roman" w:eastAsia="Times New Roman" w:hAnsi="Times New Roman" w:cs="Times New Roman"/>
          <w:noProof/>
          <w:color w:val="000000" w:themeColor="text1"/>
          <w:sz w:val="24"/>
          <w:szCs w:val="24"/>
        </w:rPr>
        <w:t xml:space="preserve">(Sarao </w:t>
      </w:r>
      <w:r w:rsidRPr="001016D6">
        <w:rPr>
          <w:rFonts w:ascii="Times New Roman" w:eastAsia="Times New Roman" w:hAnsi="Times New Roman" w:cs="Times New Roman"/>
          <w:i/>
          <w:noProof/>
          <w:color w:val="000000" w:themeColor="text1"/>
          <w:sz w:val="24"/>
          <w:szCs w:val="24"/>
        </w:rPr>
        <w:t>et al.</w:t>
      </w:r>
      <w:r w:rsidRPr="001016D6">
        <w:rPr>
          <w:rFonts w:ascii="Times New Roman" w:eastAsia="Times New Roman" w:hAnsi="Times New Roman" w:cs="Times New Roman"/>
          <w:noProof/>
          <w:color w:val="000000" w:themeColor="text1"/>
          <w:sz w:val="24"/>
          <w:szCs w:val="24"/>
        </w:rPr>
        <w:t>, 2014)</w:t>
      </w:r>
      <w:r w:rsidRPr="001016D6">
        <w:rPr>
          <w:rFonts w:ascii="Times New Roman" w:eastAsia="Times New Roman" w:hAnsi="Times New Roman" w:cs="Times New Roman"/>
          <w:color w:val="000000" w:themeColor="text1"/>
          <w:sz w:val="24"/>
          <w:szCs w:val="24"/>
        </w:rPr>
        <w:fldChar w:fldCharType="end"/>
      </w:r>
      <w:r w:rsidRPr="001016D6">
        <w:rPr>
          <w:rFonts w:ascii="Times New Roman" w:eastAsia="Times New Roman" w:hAnsi="Times New Roman" w:cs="Times New Roman"/>
          <w:color w:val="000000" w:themeColor="text1"/>
          <w:sz w:val="24"/>
          <w:szCs w:val="24"/>
        </w:rPr>
        <w:t xml:space="preserve"> </w:t>
      </w:r>
      <w:r w:rsidRPr="001016D6">
        <w:rPr>
          <w:rFonts w:ascii="Times New Roman" w:hAnsi="Times New Roman" w:cs="Times New Roman"/>
          <w:color w:val="000000" w:themeColor="text1"/>
          <w:sz w:val="24"/>
          <w:szCs w:val="24"/>
        </w:rPr>
        <w:t xml:space="preserve">This medication can cause adverse effects, including intraocular hypertension. </w:t>
      </w:r>
      <w:r w:rsidRPr="001016D6">
        <w:rPr>
          <w:rFonts w:ascii="Times New Roman" w:eastAsia="Times New Roman" w:hAnsi="Times New Roman" w:cs="Times New Roman"/>
          <w:color w:val="000000" w:themeColor="text1"/>
          <w:sz w:val="24"/>
          <w:szCs w:val="24"/>
        </w:rPr>
        <w:fldChar w:fldCharType="begin" w:fldLock="1"/>
      </w:r>
      <w:r w:rsidR="001A3D64" w:rsidRPr="001016D6">
        <w:rPr>
          <w:rFonts w:ascii="Times New Roman" w:eastAsia="Times New Roman" w:hAnsi="Times New Roman" w:cs="Times New Roman"/>
          <w:color w:val="000000" w:themeColor="text1"/>
          <w:sz w:val="24"/>
          <w:szCs w:val="24"/>
        </w:rPr>
        <w:instrText>ADDIN CSL_CITATION {"citationItems":[{"id":"ITEM-1","itemData":{"DOI":"10.3390/biomedicines11071901","ISSN":"22279059","abstract":"Ophthalmic drug delivery to the posterior segment of the eye has been challenging due to the complex ocular anatomy. Intravitreal injection of drugs was introduced to deliver therapeutic doses in the posterior segment. Different posterior segment diseases including age-related macular degeneration, diabetic macular edema, retinal vein occlusions, uveitis, and cystoid macular edema, among others, have been historically treated with intravitreal corticosteroids injections, and more recently with intravitreal corticosteroids drug implants. Triamcinolone acetonide (TA) is the most frequently used intraocular synthetic corticosteroid. Using nanoparticle-based TA delivery systems has been proposed as an alternative to intravitreal injections in the treatment of posterior segment diseases. From these novel delivery systems, topical liposomes have been the most promising strategy. This review is oriented to exhibit triamcinolone acetonide drug evolution and its results in treating posterior segment diseases using diverse delivery platforms.","author":[{"dropping-particle":"","family":"Aceves-Franco","given":"Luis Abraham","non-dropping-particle":"","parse-names":false,"suffix":""},{"dropping-particle":"","family":"Sanchez-Aguilar","given":"Oscar Eduardo","non-dropping-particle":"","parse-names":false,"suffix":""},{"dropping-particle":"","family":"Barragan-Arias","given":"Allen Rafael","non-dropping-particle":"","parse-names":false,"suffix":""},{"dropping-particle":"","family":"Ponce-Gallegos","given":"Marco Antonio","non-dropping-particle":"","parse-names":false,"suffix":""},{"dropping-particle":"","family":"Navarro-Partida","given":"Jose","non-dropping-particle":"","parse-names":false,"suffix":""},{"dropping-particle":"","family":"Santos","given":"Arturo","non-dropping-particle":"","parse-names":false,"suffix":""}],"container-title":"Biomedicines","id":"ITEM-1","issue":"7","issued":{"date-parts":[["2023","7","1"]]},"publisher":"Multidisciplinary Digital Publishing Institute (MDPI)","title":"The Evolution of Triamcinolone Acetonide Therapeutic Use in Retinal Diseases: From Off-Label Intravitreal Injection to Advanced Nano-Drug Delivery Systems","type":"article","volume":"11"},"uris":["http://www.mendeley.com/documents/?uuid=a3483298-18ff-34fa-af43-5f586a95e80a"]}],"mendeley":{"formattedCitation":"(4)","plainTextFormattedCitation":"(4)","previouslyFormattedCitation":"(Aceves-Franco &lt;i&gt;et al.&lt;/i&gt;, 2023)"},"properties":{"noteIndex":0},"schema":"https://github.com/citation-style-language/schema/raw/master/csl-citation.json"}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rPr>
        <w:fldChar w:fldCharType="separate"/>
      </w:r>
      <w:r w:rsidR="001A3D64" w:rsidRPr="001016D6">
        <w:rPr>
          <w:rFonts w:ascii="Times New Roman" w:eastAsia="Times New Roman" w:hAnsi="Times New Roman" w:cs="Times New Roman"/>
          <w:noProof/>
          <w:color w:val="000000" w:themeColor="text1"/>
          <w:sz w:val="24"/>
          <w:szCs w:val="24"/>
        </w:rPr>
        <w:t>(4)</w:t>
      </w:r>
      <w:r w:rsidRPr="001016D6">
        <w:rPr>
          <w:rFonts w:ascii="Times New Roman" w:eastAsia="Times New Roman" w:hAnsi="Times New Roman" w:cs="Times New Roman"/>
          <w:color w:val="000000" w:themeColor="text1"/>
          <w:sz w:val="24"/>
          <w:szCs w:val="24"/>
        </w:rPr>
        <w:fldChar w:fldCharType="end"/>
      </w:r>
      <w:r w:rsidRPr="001016D6">
        <w:rPr>
          <w:rFonts w:ascii="Times New Roman" w:eastAsia="Times New Roman" w:hAnsi="Times New Roman" w:cs="Times New Roman"/>
          <w:color w:val="000000" w:themeColor="text1"/>
          <w:sz w:val="24"/>
          <w:szCs w:val="24"/>
        </w:rPr>
        <w:t>. The rise of intraocular pressure (IOP) can lead to chronic OAG in up to 52% of eyes.</w:t>
      </w:r>
      <w:r w:rsidRPr="001016D6">
        <w:rPr>
          <w:rFonts w:ascii="Times New Roman" w:eastAsia="Times New Roman" w:hAnsi="Times New Roman" w:cs="Times New Roman"/>
          <w:color w:val="000000" w:themeColor="text1"/>
          <w:sz w:val="24"/>
          <w:szCs w:val="24"/>
        </w:rPr>
        <w:fldChar w:fldCharType="begin" w:fldLock="1"/>
      </w:r>
      <w:r w:rsidR="001A3D64" w:rsidRPr="001016D6">
        <w:rPr>
          <w:rFonts w:ascii="Times New Roman" w:eastAsia="Times New Roman" w:hAnsi="Times New Roman" w:cs="Times New Roman"/>
          <w:color w:val="000000" w:themeColor="text1"/>
          <w:sz w:val="24"/>
          <w:szCs w:val="24"/>
        </w:rPr>
        <w:instrText>ADDIN CSL_CITATION {"citationItems":[{"id":"ITEM-1","itemData":{"DOI":"10.19127/mbsjohs.413426","abstract":"Objective: The use of intravitreal triamcinolone acetonide (IVTA) for intraocular neovascular, proliferative and edematous diseases has led to an increased incidence of corticosteroid-induced ocular hypertension. Even though largely replaced with anti-vascular endothelial growth factor (anti-VEGF) agents and slow-release dexamethasone implants, boosters are still required in nonresponsive or minimally responsive patients, in cases of tachyplaxis to these agents, or in combination therapies with anti-VEGFs.Metods: The records of 136 eyes of 124 patients who underwent 4 mg/ml IVTA treatment for macular edema of variable etiologies of diabetic macular edema, retinal vein occlusions, subretinal choroidal neovascularization, Irvine-Gass Syndrome, retinitis pigmentosa and idiopathic juxtafoveal telengiectasia in the period 2001–2006 were reviewed. Seventy-six eyes of 71 patients of which were followed for at least 3 months were included in the study.  The patients were examined at the first day, second week, first month and every month after the injection. Mean intraocular pressure (IOP), IOP exceeding 21 mmHg and percentage of patients exhibiting IOP increase of 5 mmHg after IVTA injection, during the follow-up period were evaluated and compared statistically. Results: Mean age was 56.64±12.65 years and male to female ratio was 35/36. Mean follow-up time was 12.13±10.30 months. The mean IOP increased statistically (p= &amp;lt;0.001) during follow-up from 14.95±3.15 mmHg pre-injection level reaching to a maximum of 21.66±6.48 mmHg and decreased statistically (p= &amp;lt;0.001) to 15.58±4.16 mmHg at the end of the follow-up. There was no statistical difference between pre-injection and post-injection IOP levels (p=0.406). The IOP levels exceeded 21 mmHg in 46.05% of the eyes. There was an increase of 5 mmHg and more above the pre-injection level in the 53.94% of the eyes. Maximum IOP levels were reached at the 2.77±3.72 month. In 24 (31.58%)  eyes, topical antiglaucomatous therapy was needed and later 1 eye (4.6%) required surgical intervention and 1 eye (4.6%) required argon laser trabeculoplasty to lower the IOP. Conclusion: The most common complication following İVTA injections is rise in IOP. Most of these ocular hypertension cases are controllable by medical therapy. However, the risk of glaucoma requiring surgery or long term antiglaucomatous use validate the necessity of a meticulous patient selection and close monitorization of IOP.","author":[{"dropping-particle":"","family":"KARAKAHYA","given":"Refika Hande","non-dropping-particle":"","parse-names":false,"suffix":""},{"dropping-particle":"","family":"KALAYCI","given":"Defne","non-dropping-particle":"","parse-names":false,"suffix":""},{"dropping-particle":"","family":"KARAKURT","given":"Ahmet","non-dropping-particle":"","parse-names":false,"suffix":""}],"container-title":"Middle Black Sea Journal of Health Science","id":"ITEM-1","issue":"1","issued":{"date-parts":[["2018"]]},"page":"24-30","title":"Ocular Hypertension and Glaucoma after Intravitreal Injection of Triamcinolone Acetonide","type":"article-journal","volume":"4"},"uris":["http://www.mendeley.com/documents/?uuid=8fb7be62-1746-4cb2-b309-c9a25ab33be8"]}],"mendeley":{"formattedCitation":"(2)","plainTextFormattedCitation":"(2)","previouslyFormattedCitation":"(KARAKAHYA, KALAYCI and KARAKURT, 2018)"},"properties":{"noteIndex":0},"schema":"https://github.com/citation-style-language/schema/raw/master/csl-citation.json"}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rPr>
        <w:fldChar w:fldCharType="separate"/>
      </w:r>
      <w:r w:rsidR="001A3D64" w:rsidRPr="001016D6">
        <w:rPr>
          <w:rFonts w:ascii="Times New Roman" w:eastAsia="Times New Roman" w:hAnsi="Times New Roman" w:cs="Times New Roman"/>
          <w:noProof/>
          <w:color w:val="000000" w:themeColor="text1"/>
          <w:sz w:val="24"/>
          <w:szCs w:val="24"/>
        </w:rPr>
        <w:t>(2)</w:t>
      </w:r>
      <w:r w:rsidRPr="001016D6">
        <w:rPr>
          <w:rFonts w:ascii="Times New Roman" w:eastAsia="Times New Roman" w:hAnsi="Times New Roman" w:cs="Times New Roman"/>
          <w:color w:val="000000" w:themeColor="text1"/>
          <w:sz w:val="24"/>
          <w:szCs w:val="24"/>
        </w:rPr>
        <w:fldChar w:fldCharType="end"/>
      </w:r>
      <w:r w:rsidRPr="001016D6">
        <w:rPr>
          <w:rFonts w:ascii="Times New Roman" w:eastAsia="Times New Roman" w:hAnsi="Times New Roman" w:cs="Times New Roman"/>
          <w:color w:val="000000" w:themeColor="text1"/>
          <w:sz w:val="24"/>
          <w:szCs w:val="24"/>
        </w:rPr>
        <w:t>.</w:t>
      </w:r>
    </w:p>
    <w:p w14:paraId="56FAB294" w14:textId="77777777" w:rsidR="00CE47F9" w:rsidRPr="001016D6" w:rsidRDefault="00620CF1" w:rsidP="001A3D64">
      <w:pPr>
        <w:spacing w:line="360" w:lineRule="auto"/>
        <w:rPr>
          <w:rFonts w:ascii="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 xml:space="preserve">Several doses of intravitreal triamcinolone acetonide (IVT TA) have been studied: 1, 2, 4, 5, 6, 8, 10, 20, and 25 mg have been studied. The most common dose in these investigations is 4 mg. After a 4 mg IVT TA injection, the therapeutic response and duration of action may last for about three months. </w:t>
      </w:r>
      <w:r w:rsidRPr="001016D6">
        <w:rPr>
          <w:rFonts w:ascii="Times New Roman" w:hAnsi="Times New Roman" w:cs="Times New Roman"/>
          <w:color w:val="000000" w:themeColor="text1"/>
          <w:sz w:val="24"/>
          <w:szCs w:val="24"/>
        </w:rPr>
        <w:fldChar w:fldCharType="begin" w:fldLock="1"/>
      </w:r>
      <w:r w:rsidR="001A3D64" w:rsidRPr="001016D6">
        <w:rPr>
          <w:rFonts w:ascii="Times New Roman" w:hAnsi="Times New Roman" w:cs="Times New Roman"/>
          <w:color w:val="000000" w:themeColor="text1"/>
          <w:sz w:val="24"/>
          <w:szCs w:val="24"/>
        </w:rPr>
        <w:instrText>ADDIN CSL_CITATION {"citationItems":[{"id":"ITEM-1","itemData":{"DOI":"10.1016/j.survophthal.2012.08.003","ISSN":"00396257","PMID":"23768920","abstract":"The use of intravitreal (IVT) corticosteroids for treatment of posterior segment diseases has increased significantly over the last decade. A commonly recognized complication of IVT steroids is secondary ocular hypertension (OHT) that can occur immediately secondary to direct intraocular volume increase or weeks to months later as a result of increased outflow resistance. We performed a meta-analysis and found 32% (95% confidence interval, 28.2-36.3) of individuals developed OHT following 4 mg IVT triamcinolone, 66% (50.2-78.8) and 79% (72.2-84.5) following 0.59 and 2.1 mg fluocinolone implant, respectively, and 11% (6.4-17.9) and 15% (9.2-24.3) following 0.35 and 0.7 mg dexamethasone implant, respectively. Risk factors included pre-existing glaucoma, higher baseline intraocular pressure (IOP), younger age, OHT following previous injection, uveitis, higher steroid dosage, and fluocinolone implant. Most cases of OHT can be controlled medically; up to 45% following fluocinolone implant require surgery, however. We suggest a protocol to monitor IOP after IVT steroid injection/implantation that includes checking IOP within 30 minutes after injection, followed by 1 week after IVT triamcinolone and 2 weeks after implant insertion, then every 2 weeks for the first month and monthly for up to 6 months after IVT triamcinolone and dexamethasone implantation and 9 months after fluocinolone implantation. © 2013 Elsevier Inc..","author":[{"dropping-particle":"","family":"Kiddee","given":"Weerawat","non-dropping-particle":"","parse-names":false,"suffix":""},{"dropping-particle":"","family":"Trope","given":"Graham E.","non-dropping-particle":"","parse-names":false,"suffix":""},{"dropping-particle":"","family":"Sheng","given":"Lisa","non-dropping-particle":"","parse-names":false,"suffix":""},{"dropping-particle":"","family":"Beltran-Agullo","given":"Laura","non-dropping-particle":"","parse-names":false,"suffix":""},{"dropping-particle":"","family":"Smith","given":"Michael","non-dropping-particle":"","parse-names":false,"suffix":""},{"dropping-particle":"","family":"Strungaru","given":"M. Hermina","non-dropping-particle":"","parse-names":false,"suffix":""},{"dropping-particle":"","family":"Baath","given":"Jasrajbir","non-dropping-particle":"","parse-names":false,"suffix":""},{"dropping-particle":"","family":"Buys","given":"Yvonne M.","non-dropping-particle":"","parse-names":false,"suffix":""}],"container-title":"Survey of Ophthalmology","id":"ITEM-1","issue":"4","issued":{"date-parts":[["2013"]]},"page":"291-310","title":"Intraocular Pressure Monitoring Post Intravitreal Steroids: A Systematic Review","type":"article-journal","volume":"58"},"uris":["http://www.mendeley.com/documents/?uuid=d7bc73e6-4f50-408e-a096-3f4f8230b605"]}],"mendeley":{"formattedCitation":"(5)","plainTextFormattedCitation":"(5)","previouslyFormattedCitation":"(Kiddee &lt;i&gt;et al.&lt;/i&gt;, 2013)"},"properties":{"noteIndex":0},"schema":"https://github.com/citation-style-language/schema/raw/master/csl-citation.json"}</w:instrText>
      </w:r>
      <w:r w:rsidRPr="001016D6">
        <w:rPr>
          <w:rFonts w:ascii="Times New Roman" w:hAnsi="Times New Roman" w:cs="Times New Roman"/>
          <w:color w:val="000000" w:themeColor="text1"/>
          <w:sz w:val="24"/>
          <w:szCs w:val="24"/>
        </w:rPr>
        <w:fldChar w:fldCharType="separate"/>
      </w:r>
      <w:r w:rsidR="001A3D64" w:rsidRPr="001016D6">
        <w:rPr>
          <w:rFonts w:ascii="Times New Roman" w:hAnsi="Times New Roman" w:cs="Times New Roman"/>
          <w:noProof/>
          <w:color w:val="000000" w:themeColor="text1"/>
          <w:sz w:val="24"/>
          <w:szCs w:val="24"/>
        </w:rPr>
        <w:t>(5)</w:t>
      </w:r>
      <w:r w:rsidRPr="001016D6">
        <w:rPr>
          <w:rFonts w:ascii="Times New Roman" w:hAnsi="Times New Roman" w:cs="Times New Roman"/>
          <w:color w:val="000000" w:themeColor="text1"/>
          <w:sz w:val="24"/>
          <w:szCs w:val="24"/>
        </w:rPr>
        <w:fldChar w:fldCharType="end"/>
      </w:r>
      <w:r w:rsidRPr="001016D6">
        <w:rPr>
          <w:rFonts w:ascii="Times New Roman" w:hAnsi="Times New Roman" w:cs="Times New Roman"/>
          <w:color w:val="000000" w:themeColor="text1"/>
          <w:sz w:val="24"/>
          <w:szCs w:val="24"/>
        </w:rPr>
        <w:t>.</w:t>
      </w:r>
    </w:p>
    <w:p w14:paraId="6AA1ADB5" w14:textId="77777777" w:rsidR="009D1561" w:rsidRPr="001016D6" w:rsidRDefault="009D1561" w:rsidP="001A3D64">
      <w:pPr>
        <w:spacing w:line="360" w:lineRule="auto"/>
        <w:rPr>
          <w:rFonts w:ascii="Times New Roman" w:hAnsi="Times New Roman" w:cs="Times New Roman"/>
          <w:color w:val="000000" w:themeColor="text1"/>
          <w:sz w:val="24"/>
          <w:szCs w:val="24"/>
        </w:rPr>
      </w:pPr>
    </w:p>
    <w:p w14:paraId="5791DFB4" w14:textId="77777777" w:rsidR="00620CF1" w:rsidRPr="001016D6" w:rsidRDefault="00620CF1" w:rsidP="001A3D64">
      <w:pPr>
        <w:spacing w:after="0" w:line="360" w:lineRule="auto"/>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Long-term usage of corticosteroids has been linked to an increase in intraocular pressure. According to certain research, at least 35% of subjects will have a rise in ocular pressure of more than 6 mmHg after using topical steroids for at least 4 weeks. Patients with primary open-angle glaucoma may experience this even more quickly. After quitting the drug, ocular pressure usually returns to normal in about one month. Steroids given systemically, topically, via injection locally, or by inhalation might raise intraocular pressure in those who are vulnerable.</w:t>
      </w:r>
    </w:p>
    <w:p w14:paraId="123FEC43" w14:textId="77777777" w:rsidR="00620CF1" w:rsidRPr="001016D6" w:rsidRDefault="00620CF1" w:rsidP="001A3D64">
      <w:pPr>
        <w:spacing w:after="0" w:line="360" w:lineRule="auto"/>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The exact cause of steroid-induced glaucoma is not completely understood. It is believed that the increase in intraocular pressure is due to increased resistance to the outflow of fluid from the eye.</w:t>
      </w:r>
      <w:r w:rsidRPr="001016D6">
        <w:rPr>
          <w:rFonts w:ascii="Times New Roman" w:eastAsia="Times New Roman" w:hAnsi="Times New Roman" w:cs="Times New Roman"/>
          <w:color w:val="000000" w:themeColor="text1"/>
          <w:sz w:val="24"/>
          <w:szCs w:val="24"/>
        </w:rPr>
        <w:fldChar w:fldCharType="begin" w:fldLock="1"/>
      </w:r>
      <w:r w:rsidR="001A3D64" w:rsidRPr="001016D6">
        <w:rPr>
          <w:rFonts w:ascii="Times New Roman" w:eastAsia="Times New Roman" w:hAnsi="Times New Roman" w:cs="Times New Roman"/>
          <w:color w:val="000000" w:themeColor="text1"/>
          <w:sz w:val="24"/>
          <w:szCs w:val="24"/>
        </w:rPr>
        <w:instrText>ADDIN CSL_CITATION {"citationItems":[{"id":"ITEM-1","itemData":{"DOI":"10.19127/mbsjohs.413426","abstract":"Objective: The use of intravitreal triamcinolone acetonide (IVTA) for intraocular neovascular, proliferative and edematous diseases has led to an increased incidence of corticosteroid-induced ocular hypertension. Even though largely replaced with anti-vascular endothelial growth factor (anti-VEGF) agents and slow-release dexamethasone implants, boosters are still required in nonresponsive or minimally responsive patients, in cases of tachyplaxis to these agents, or in combination therapies with anti-VEGFs.Metods: The records of 136 eyes of 124 patients who underwent 4 mg/ml IVTA treatment for macular edema of variable etiologies of diabetic macular edema, retinal vein occlusions, subretinal choroidal neovascularization, Irvine-Gass Syndrome, retinitis pigmentosa and idiopathic juxtafoveal telengiectasia in the period 2001–2006 were reviewed. Seventy-six eyes of 71 patients of which were followed for at least 3 months were included in the study.  The patients were examined at the first day, second week, first month and every month after the injection. Mean intraocular pressure (IOP), IOP exceeding 21 mmHg and percentage of patients exhibiting IOP increase of 5 mmHg after IVTA injection, during the follow-up period were evaluated and compared statistically. Results: Mean age was 56.64±12.65 years and male to female ratio was 35/36. Mean follow-up time was 12.13±10.30 months. The mean IOP increased statistically (p= &amp;lt;0.001) during follow-up from 14.95±3.15 mmHg pre-injection level reaching to a maximum of 21.66±6.48 mmHg and decreased statistically (p= &amp;lt;0.001) to 15.58±4.16 mmHg at the end of the follow-up. There was no statistical difference between pre-injection and post-injection IOP levels (p=0.406). The IOP levels exceeded 21 mmHg in 46.05% of the eyes. There was an increase of 5 mmHg and more above the pre-injection level in the 53.94% of the eyes. Maximum IOP levels were reached at the 2.77±3.72 month. In 24 (31.58%)  eyes, topical antiglaucomatous therapy was needed and later 1 eye (4.6%) required surgical intervention and 1 eye (4.6%) required argon laser trabeculoplasty to lower the IOP. Conclusion: The most common complication following İVTA injections is rise in IOP. Most of these ocular hypertension cases are controllable by medical therapy. However, the risk of glaucoma requiring surgery or long term antiglaucomatous use validate the necessity of a meticulous patient selection and close monitorization of IOP.","author":[{"dropping-particle":"","family":"KARAKAHYA","given":"Refika Hande","non-dropping-particle":"","parse-names":false,"suffix":""},{"dropping-particle":"","family":"KALAYCI","given":"Defne","non-dropping-particle":"","parse-names":false,"suffix":""},{"dropping-particle":"","family":"KARAKURT","given":"Ahmet","non-dropping-particle":"","parse-names":false,"suffix":""}],"container-title":"Middle Black Sea Journal of Health Science","id":"ITEM-1","issue":"1","issued":{"date-parts":[["2018"]]},"page":"24-30","title":"Ocular Hypertension and Glaucoma after Intravitreal Injection of Triamcinolone Acetonide","type":"article-journal","volume":"4"},"uris":["http://www.mendeley.com/documents/?uuid=8fb7be62-1746-4cb2-b309-c9a25ab33be8"]}],"mendeley":{"formattedCitation":"(2)","plainTextFormattedCitation":"(2)","previouslyFormattedCitation":"(KARAKAHYA, KALAYCI and KARAKURT, 2018)"},"properties":{"noteIndex":0},"schema":"https://github.com/citation-style-language/schema/raw/master/csl-citation.json"}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rPr>
        <w:fldChar w:fldCharType="separate"/>
      </w:r>
      <w:r w:rsidR="001A3D64" w:rsidRPr="001016D6">
        <w:rPr>
          <w:rFonts w:ascii="Times New Roman" w:eastAsia="Times New Roman" w:hAnsi="Times New Roman" w:cs="Times New Roman"/>
          <w:noProof/>
          <w:color w:val="000000" w:themeColor="text1"/>
          <w:sz w:val="24"/>
          <w:szCs w:val="24"/>
        </w:rPr>
        <w:t>(2)</w:t>
      </w:r>
      <w:r w:rsidRPr="001016D6">
        <w:rPr>
          <w:rFonts w:ascii="Times New Roman" w:eastAsia="Times New Roman" w:hAnsi="Times New Roman" w:cs="Times New Roman"/>
          <w:color w:val="000000" w:themeColor="text1"/>
          <w:sz w:val="24"/>
          <w:szCs w:val="24"/>
        </w:rPr>
        <w:fldChar w:fldCharType="end"/>
      </w:r>
      <w:r w:rsidRPr="001016D6">
        <w:rPr>
          <w:rFonts w:ascii="Times New Roman" w:eastAsia="Times New Roman" w:hAnsi="Times New Roman" w:cs="Times New Roman"/>
          <w:color w:val="000000" w:themeColor="text1"/>
          <w:sz w:val="24"/>
          <w:szCs w:val="24"/>
        </w:rPr>
        <w:t>.</w:t>
      </w:r>
    </w:p>
    <w:p w14:paraId="39578116" w14:textId="77777777" w:rsidR="00620CF1" w:rsidRPr="001016D6" w:rsidRDefault="00620CF1" w:rsidP="001A3D64">
      <w:pPr>
        <w:pStyle w:val="NoSpacing"/>
        <w:spacing w:line="360" w:lineRule="auto"/>
        <w:rPr>
          <w:rFonts w:ascii="Times New Roman" w:eastAsia="Times New Roman" w:hAnsi="Times New Roman" w:cs="Times New Roman"/>
          <w:color w:val="000000" w:themeColor="text1"/>
          <w:sz w:val="24"/>
          <w:szCs w:val="24"/>
        </w:rPr>
      </w:pPr>
    </w:p>
    <w:p w14:paraId="6CFFEC0D" w14:textId="77777777" w:rsidR="00620CF1" w:rsidRPr="001016D6" w:rsidRDefault="00620CF1" w:rsidP="001A3D64">
      <w:pPr>
        <w:spacing w:after="0" w:line="360" w:lineRule="auto"/>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lastRenderedPageBreak/>
        <w:t xml:space="preserve">Intraocular pressure rises during intravitreal injection (IVI) when the injected medicine abruptly expands the capacity of the closed vitreous cavity. IOP rises momentarily and immediately as a result of the volume effect's modification of the aqueous outflow. The cause of a persistent increase in IOP, however, is less clear. Eleven Long-term elevations of IOP may result in reduced blood supply to the ONH and juxta-papillary retina, which would permanently harm the retinal pigment epithelium. </w:t>
      </w:r>
      <w:r w:rsidRPr="001016D6">
        <w:rPr>
          <w:rFonts w:ascii="Times New Roman" w:eastAsia="Times New Roman" w:hAnsi="Times New Roman" w:cs="Times New Roman"/>
          <w:color w:val="000000" w:themeColor="text1"/>
          <w:sz w:val="24"/>
          <w:szCs w:val="24"/>
        </w:rPr>
        <w:fldChar w:fldCharType="begin" w:fldLock="1"/>
      </w:r>
      <w:r w:rsidR="001A3D64" w:rsidRPr="001016D6">
        <w:rPr>
          <w:rFonts w:ascii="Times New Roman" w:eastAsia="Times New Roman" w:hAnsi="Times New Roman" w:cs="Times New Roman"/>
          <w:color w:val="000000" w:themeColor="text1"/>
          <w:sz w:val="24"/>
          <w:szCs w:val="24"/>
        </w:rPr>
        <w:instrText>ADDIN CSL_CITATION {"citationItems":[{"id":"ITEM-1","itemData":{"DOI":"10.36351/pjo.v39i3.1626","author":[{"dropping-particle":"","family":"Article","given":"Original","non-dropping-particle":"","parse-names":false,"suffix":""},{"dropping-particle":"","family":"Rathi","given":"Rishabh","non-dropping-particle":"","parse-names":false,"suffix":""},{"dropping-particle":"","family":"Patel","given":"Smita","non-dropping-particle":"","parse-names":false,"suffix":""},{"dropping-particle":"","family":"Jain","given":"Amisha","non-dropping-particle":"","parse-names":false,"suffix":""},{"dropping-particle":"","family":"Jaiswal","given":"Komal","non-dropping-particle":"","parse-names":false,"suffix":""},{"dropping-particle":"","family":"Nema","given":"Nitin","non-dropping-particle":"","parse-names":false,"suffix":""}],"id":"ITEM-1","issue":"3","issued":{"date-parts":[["2023"]]},"page":"190-195","title":"Intraocular Pressure Elevation Following Intra- Vitreal Injection of Bevacizumab , Ranibizumab and Triamcinolone Acetonide","type":"article-journal","volume":"39"},"uris":["http://www.mendeley.com/documents/?uuid=983b9c85-a997-4352-844c-a271db0bf582"]}],"mendeley":{"formattedCitation":"(6)","manualFormatting":"( Rishabh Rathi et al., 2023)","plainTextFormattedCitation":"(6)","previouslyFormattedCitation":"(Article &lt;i&gt;et al.&lt;/i&gt;, 2023)"},"properties":{"noteIndex":0},"schema":"https://github.com/citation-style-language/schema/raw/master/csl-citation.json"}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rPr>
        <w:fldChar w:fldCharType="separate"/>
      </w:r>
      <w:r w:rsidRPr="001016D6">
        <w:rPr>
          <w:rFonts w:ascii="Times New Roman" w:eastAsia="Times New Roman" w:hAnsi="Times New Roman" w:cs="Times New Roman"/>
          <w:noProof/>
          <w:color w:val="000000" w:themeColor="text1"/>
          <w:sz w:val="24"/>
          <w:szCs w:val="24"/>
        </w:rPr>
        <w:t>(</w:t>
      </w:r>
      <w:r w:rsidRPr="001016D6">
        <w:rPr>
          <w:rFonts w:ascii="Times New Roman" w:hAnsi="Times New Roman" w:cs="Times New Roman"/>
          <w:noProof/>
          <w:color w:val="000000" w:themeColor="text1"/>
          <w:sz w:val="24"/>
          <w:szCs w:val="24"/>
        </w:rPr>
        <w:t xml:space="preserve"> </w:t>
      </w:r>
      <w:r w:rsidRPr="001016D6">
        <w:rPr>
          <w:rFonts w:ascii="Times New Roman" w:eastAsia="Times New Roman" w:hAnsi="Times New Roman" w:cs="Times New Roman"/>
          <w:noProof/>
          <w:color w:val="000000" w:themeColor="text1"/>
          <w:sz w:val="24"/>
          <w:szCs w:val="24"/>
        </w:rPr>
        <w:t xml:space="preserve">Rishabh Rathi </w:t>
      </w:r>
      <w:r w:rsidRPr="001016D6">
        <w:rPr>
          <w:rFonts w:ascii="Times New Roman" w:eastAsia="Times New Roman" w:hAnsi="Times New Roman" w:cs="Times New Roman"/>
          <w:i/>
          <w:noProof/>
          <w:color w:val="000000" w:themeColor="text1"/>
          <w:sz w:val="24"/>
          <w:szCs w:val="24"/>
        </w:rPr>
        <w:t>et al.</w:t>
      </w:r>
      <w:r w:rsidRPr="001016D6">
        <w:rPr>
          <w:rFonts w:ascii="Times New Roman" w:eastAsia="Times New Roman" w:hAnsi="Times New Roman" w:cs="Times New Roman"/>
          <w:noProof/>
          <w:color w:val="000000" w:themeColor="text1"/>
          <w:sz w:val="24"/>
          <w:szCs w:val="24"/>
        </w:rPr>
        <w:t>, 2023)</w:t>
      </w:r>
      <w:r w:rsidRPr="001016D6">
        <w:rPr>
          <w:rFonts w:ascii="Times New Roman" w:eastAsia="Times New Roman" w:hAnsi="Times New Roman" w:cs="Times New Roman"/>
          <w:color w:val="000000" w:themeColor="text1"/>
          <w:sz w:val="24"/>
          <w:szCs w:val="24"/>
        </w:rPr>
        <w:fldChar w:fldCharType="end"/>
      </w:r>
      <w:r w:rsidRPr="001016D6">
        <w:rPr>
          <w:rFonts w:ascii="Times New Roman" w:eastAsia="Times New Roman" w:hAnsi="Times New Roman" w:cs="Times New Roman"/>
          <w:color w:val="000000" w:themeColor="text1"/>
          <w:sz w:val="24"/>
          <w:szCs w:val="24"/>
        </w:rPr>
        <w:t>. Intraocular pressure (IOP) should naturally rise in response to an injection of fluid into the eye. Consequently, acute IOP changes will occur immediately following the intravitreal injection; these fluctuations are connected to the technique and typically remain for a few hours.</w:t>
      </w:r>
      <w:r w:rsidRPr="001016D6">
        <w:rPr>
          <w:rFonts w:ascii="Times New Roman" w:eastAsia="Times New Roman" w:hAnsi="Times New Roman" w:cs="Times New Roman"/>
          <w:color w:val="000000" w:themeColor="text1"/>
          <w:sz w:val="24"/>
          <w:szCs w:val="24"/>
        </w:rPr>
        <w:fldChar w:fldCharType="begin" w:fldLock="1"/>
      </w:r>
      <w:r w:rsidR="001A3D64" w:rsidRPr="001016D6">
        <w:rPr>
          <w:rFonts w:ascii="Times New Roman" w:eastAsia="Times New Roman" w:hAnsi="Times New Roman" w:cs="Times New Roman"/>
          <w:color w:val="000000" w:themeColor="text1"/>
          <w:sz w:val="24"/>
          <w:szCs w:val="24"/>
        </w:rPr>
        <w:instrText>ADDIN CSL_CITATION {"citationItems":[{"id":"ITEM-1","itemData":{"DOI":"10.1038/s41598-020-70269-7","ISBN":"0123456789","ISSN":"2045-2322","author":[{"dropping-particle":"De","family":"Vries","given":"Victor A","non-dropping-particle":"","parse-names":false,"suffix":""},{"dropping-particle":"","family":"Bassil","given":"Fabiana L","non-dropping-particle":"","parse-names":false,"suffix":""},{"dropping-particle":"","family":"Ramdas","given":"Wishal D","non-dropping-particle":"","parse-names":false,"suffix":""}],"container-title":"Scientific Reports","id":"ITEM-1","issued":{"date-parts":[["2020"]]},"page":"1-10","publisher":"Nature Publishing Group UK","title":"The effects of intravitreal injections on intraocular pressure and retinal nerve fiber layer : a systematic review and meta ‑ analysis","type":"article-journal"},"uris":["http://www.mendeley.com/documents/?uuid=c3318492-2670-4cf4-8f27-c464cf45290c"]}],"mendeley":{"formattedCitation":"(7)","plainTextFormattedCitation":"(7)","previouslyFormattedCitation":"(Vries, Bassil and Ramdas, 2020)"},"properties":{"noteIndex":0},"schema":"https://github.com/citation-style-language/schema/raw/master/csl-citation.json"}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rPr>
        <w:fldChar w:fldCharType="separate"/>
      </w:r>
      <w:r w:rsidR="001A3D64" w:rsidRPr="001016D6">
        <w:rPr>
          <w:rFonts w:ascii="Times New Roman" w:eastAsia="Times New Roman" w:hAnsi="Times New Roman" w:cs="Times New Roman"/>
          <w:noProof/>
          <w:color w:val="000000" w:themeColor="text1"/>
          <w:sz w:val="24"/>
          <w:szCs w:val="24"/>
        </w:rPr>
        <w:t>(7)</w:t>
      </w:r>
      <w:r w:rsidRPr="001016D6">
        <w:rPr>
          <w:rFonts w:ascii="Times New Roman" w:eastAsia="Times New Roman" w:hAnsi="Times New Roman" w:cs="Times New Roman"/>
          <w:color w:val="000000" w:themeColor="text1"/>
          <w:sz w:val="24"/>
          <w:szCs w:val="24"/>
        </w:rPr>
        <w:fldChar w:fldCharType="end"/>
      </w:r>
      <w:r w:rsidRPr="001016D6">
        <w:rPr>
          <w:rFonts w:ascii="Times New Roman" w:eastAsia="Times New Roman" w:hAnsi="Times New Roman" w:cs="Times New Roman"/>
          <w:color w:val="000000" w:themeColor="text1"/>
          <w:sz w:val="24"/>
          <w:szCs w:val="24"/>
        </w:rPr>
        <w:t>.</w:t>
      </w:r>
    </w:p>
    <w:p w14:paraId="310F9E5E" w14:textId="77777777" w:rsidR="009D1561" w:rsidRPr="001016D6" w:rsidRDefault="009D1561" w:rsidP="001A3D64">
      <w:pPr>
        <w:spacing w:after="0" w:line="360" w:lineRule="auto"/>
        <w:jc w:val="both"/>
        <w:rPr>
          <w:rFonts w:ascii="Times New Roman" w:eastAsia="Times New Roman" w:hAnsi="Times New Roman" w:cs="Times New Roman"/>
          <w:color w:val="000000" w:themeColor="text1"/>
          <w:sz w:val="24"/>
          <w:szCs w:val="24"/>
        </w:rPr>
      </w:pPr>
    </w:p>
    <w:p w14:paraId="3F3B4880" w14:textId="77777777" w:rsidR="00620CF1" w:rsidRPr="001016D6" w:rsidRDefault="00620CF1" w:rsidP="001A3D64">
      <w:pPr>
        <w:pStyle w:val="NoSpacing"/>
        <w:spacing w:line="360" w:lineRule="auto"/>
        <w:jc w:val="both"/>
        <w:rPr>
          <w:rFonts w:ascii="Times New Roman" w:eastAsiaTheme="minorHAnsi" w:hAnsi="Times New Roman" w:cs="Times New Roman"/>
          <w:color w:val="000000" w:themeColor="text1"/>
          <w:sz w:val="24"/>
          <w:szCs w:val="24"/>
        </w:rPr>
      </w:pPr>
      <w:r w:rsidRPr="001016D6">
        <w:rPr>
          <w:rFonts w:ascii="Times New Roman" w:eastAsiaTheme="minorHAnsi" w:hAnsi="Times New Roman" w:cs="Times New Roman"/>
          <w:color w:val="000000" w:themeColor="text1"/>
          <w:sz w:val="24"/>
          <w:szCs w:val="24"/>
        </w:rPr>
        <w:t xml:space="preserve">At KCMC Hospital, IVTA injections are frequently used to treat various retinal diseases. However, there is a lack of comprehensive data on the occurrence and contributing factors of Ocular Hypertension (OHT) in diverse populations, especially in low-resource settings like Tanzania. Furthermore, our understanding of the effects of long-term repeated Triamcinolone injections on Intraocular Pressure, particularly in diverse populations and settings, is incomplete. Additionally, the most effective monitoring and management strategies for patients at risk of OHT following Triamcinolone injections are not well-defined, contributing to </w:t>
      </w:r>
      <w:r w:rsidR="0094535A" w:rsidRPr="001016D6">
        <w:rPr>
          <w:rFonts w:ascii="Times New Roman" w:eastAsiaTheme="minorHAnsi" w:hAnsi="Times New Roman" w:cs="Times New Roman"/>
          <w:color w:val="000000" w:themeColor="text1"/>
          <w:sz w:val="24"/>
          <w:szCs w:val="24"/>
        </w:rPr>
        <w:t>the continuation of the problem.</w:t>
      </w:r>
    </w:p>
    <w:p w14:paraId="605933DC" w14:textId="77777777" w:rsidR="00BE574D" w:rsidRPr="001016D6" w:rsidRDefault="00BE574D" w:rsidP="001A3D64">
      <w:pPr>
        <w:pStyle w:val="NoSpacing"/>
        <w:spacing w:line="360" w:lineRule="auto"/>
        <w:jc w:val="both"/>
        <w:rPr>
          <w:rFonts w:ascii="Times New Roman" w:eastAsiaTheme="minorHAnsi" w:hAnsi="Times New Roman" w:cs="Times New Roman"/>
          <w:color w:val="000000" w:themeColor="text1"/>
          <w:sz w:val="24"/>
          <w:szCs w:val="24"/>
        </w:rPr>
      </w:pPr>
    </w:p>
    <w:p w14:paraId="59276533" w14:textId="77777777" w:rsidR="00BE574D" w:rsidRPr="001016D6" w:rsidRDefault="00BE574D" w:rsidP="001A3D64">
      <w:pPr>
        <w:pStyle w:val="NoSpacing"/>
        <w:spacing w:line="360" w:lineRule="auto"/>
        <w:jc w:val="both"/>
        <w:rPr>
          <w:rFonts w:ascii="Times New Roman" w:eastAsiaTheme="minorHAnsi" w:hAnsi="Times New Roman" w:cs="Times New Roman"/>
          <w:i/>
          <w:color w:val="000000" w:themeColor="text1"/>
          <w:sz w:val="24"/>
          <w:szCs w:val="24"/>
        </w:rPr>
      </w:pPr>
      <w:r w:rsidRPr="001016D6">
        <w:rPr>
          <w:rFonts w:ascii="Times New Roman" w:eastAsiaTheme="minorHAnsi" w:hAnsi="Times New Roman" w:cs="Times New Roman"/>
          <w:i/>
          <w:color w:val="000000" w:themeColor="text1"/>
          <w:sz w:val="24"/>
          <w:szCs w:val="24"/>
        </w:rPr>
        <w:t>Objectives</w:t>
      </w:r>
    </w:p>
    <w:p w14:paraId="57622D0B" w14:textId="77777777" w:rsidR="00BE574D" w:rsidRPr="001016D6" w:rsidRDefault="00BE574D" w:rsidP="00BE574D">
      <w:pPr>
        <w:pStyle w:val="NormalWeb"/>
        <w:spacing w:before="0" w:beforeAutospacing="0" w:after="0" w:afterAutospacing="0" w:line="360" w:lineRule="auto"/>
        <w:jc w:val="both"/>
      </w:pPr>
      <w:r w:rsidRPr="001016D6">
        <w:t>To determine the incidence, pattern, and risk factors associated with ocular hypertension following intravitreal triamcinolone injections among macular edema patients attending Kilimanjaro Christian Medical Centre (KCMC) from 2024 to 2025.</w:t>
      </w:r>
    </w:p>
    <w:p w14:paraId="6C66DED4" w14:textId="77777777" w:rsidR="00BE574D" w:rsidRPr="001016D6" w:rsidRDefault="00BE574D" w:rsidP="00BE574D">
      <w:pPr>
        <w:pStyle w:val="NormalWeb"/>
        <w:spacing w:before="0" w:beforeAutospacing="0" w:after="0" w:afterAutospacing="0" w:line="360" w:lineRule="auto"/>
        <w:jc w:val="both"/>
      </w:pPr>
    </w:p>
    <w:p w14:paraId="417F5111" w14:textId="77777777" w:rsidR="00BE574D" w:rsidRPr="001016D6" w:rsidRDefault="009D1561" w:rsidP="00BE574D">
      <w:pPr>
        <w:pStyle w:val="NormalWeb"/>
        <w:spacing w:before="0" w:beforeAutospacing="0" w:after="0" w:afterAutospacing="0" w:line="360" w:lineRule="auto"/>
        <w:jc w:val="both"/>
      </w:pPr>
      <w:r w:rsidRPr="001016D6">
        <w:rPr>
          <w:rStyle w:val="Strong"/>
          <w:color w:val="000000" w:themeColor="text1"/>
        </w:rPr>
        <w:t>Materials</w:t>
      </w:r>
      <w:r w:rsidR="0094535A" w:rsidRPr="001016D6">
        <w:rPr>
          <w:rStyle w:val="Strong"/>
          <w:color w:val="000000" w:themeColor="text1"/>
        </w:rPr>
        <w:t xml:space="preserve"> and Methods</w:t>
      </w:r>
    </w:p>
    <w:p w14:paraId="4C55E24D" w14:textId="77777777" w:rsidR="0094535A" w:rsidRPr="001016D6" w:rsidRDefault="0094535A" w:rsidP="00BE574D">
      <w:pPr>
        <w:pStyle w:val="NormalWeb"/>
        <w:spacing w:before="0" w:beforeAutospacing="0" w:after="0" w:afterAutospacing="0" w:line="360" w:lineRule="auto"/>
        <w:jc w:val="both"/>
      </w:pPr>
      <w:r w:rsidRPr="001016D6">
        <w:rPr>
          <w:color w:val="000000" w:themeColor="text1"/>
        </w:rPr>
        <w:t xml:space="preserve">This was a hospital-based prospective cohort study conducted at the Kilimanjaro Christian Medical Centre's (KCMC) Eye Department from September 2024 to May 2025. The department, a zonal referral hospital located in Moshi Municipality, Kilimanjaro Region, serves over 15 million people across Northern Tanzania and handles more than 38,000 eye patients annually. It is the primary referral center for ophthalmic care in Kilimanjaro, Arusha, Tanga, and Manyara regions. The department also provides training for a range of eye care professionals and manages over 2,466 </w:t>
      </w:r>
      <w:r w:rsidR="00C62744" w:rsidRPr="001016D6">
        <w:rPr>
          <w:color w:val="000000" w:themeColor="text1"/>
        </w:rPr>
        <w:t xml:space="preserve">patients with diabetic retinopathy </w:t>
      </w:r>
      <w:r w:rsidRPr="001016D6">
        <w:rPr>
          <w:color w:val="000000" w:themeColor="text1"/>
        </w:rPr>
        <w:t xml:space="preserve">per year. The study included all adult patients diagnosed with macular edema and scheduled for intravitreal triamcinolone injection at KCMC's Eye Department during the study period. Inclusion criteria </w:t>
      </w:r>
      <w:r w:rsidRPr="001016D6">
        <w:rPr>
          <w:color w:val="000000" w:themeColor="text1"/>
        </w:rPr>
        <w:lastRenderedPageBreak/>
        <w:t xml:space="preserve">required patients to be adults with macular edema receiving triamcinolone injection, while those with previously undocumented raised intraocular pressure (IOP &gt; 21 mmHg), prior intravitreal </w:t>
      </w:r>
      <w:r w:rsidR="00C62744" w:rsidRPr="001016D6">
        <w:rPr>
          <w:color w:val="000000" w:themeColor="text1"/>
        </w:rPr>
        <w:t xml:space="preserve">triamcinolone </w:t>
      </w:r>
      <w:r w:rsidRPr="001016D6">
        <w:rPr>
          <w:color w:val="000000" w:themeColor="text1"/>
        </w:rPr>
        <w:t>injections in the same eye within six months, eyes that had undergone vitrectomy and silicone oil fill, conditions hindering reliable IOP measurement such as corneal scars, or a history of allergies or adverse drug reactions were excluded.</w:t>
      </w:r>
    </w:p>
    <w:p w14:paraId="15D777BF" w14:textId="77777777" w:rsidR="0094535A" w:rsidRPr="001016D6" w:rsidRDefault="0094535A" w:rsidP="001A3D64">
      <w:pPr>
        <w:pStyle w:val="NormalWeb"/>
        <w:spacing w:line="360" w:lineRule="auto"/>
        <w:rPr>
          <w:color w:val="000000" w:themeColor="text1"/>
        </w:rPr>
      </w:pPr>
      <w:r w:rsidRPr="001016D6">
        <w:rPr>
          <w:color w:val="000000" w:themeColor="text1"/>
        </w:rPr>
        <w:t xml:space="preserve">A minimum sample size of 96 participants was used, obtained from a previous similar study conducted in India. A consecutive sampling technique was employed until the required sample size was reached. The study compared the exposed eye (receiving triamcinolone injection) with the non-injected fellow eye. The dependent variable was intraocular pressure change following the injection. Independent variables included visual acuity, demographic data (age, sex), lens status, number of previous injections, indications for injection such as cystoid macular edema (CME), diabetic macular edema (DME), retinal vein occlusion (RVO), age-related macular degeneration (AMD), and post-uveitis conditions, history of YAG capsulotomy, </w:t>
      </w:r>
      <w:proofErr w:type="spellStart"/>
      <w:r w:rsidRPr="001016D6">
        <w:rPr>
          <w:color w:val="000000" w:themeColor="text1"/>
        </w:rPr>
        <w:t>panretinal</w:t>
      </w:r>
      <w:proofErr w:type="spellEnd"/>
      <w:r w:rsidRPr="001016D6">
        <w:rPr>
          <w:color w:val="000000" w:themeColor="text1"/>
        </w:rPr>
        <w:t xml:space="preserve"> photocoagulation (PRP), retinal surgery, and systemic hypertension. Data collection was performed using structured tools that gathered demographic and clinical data through interviews and physical examinations. Data were also extracted from the hospital’s electronic medical records and, when necessary, from paper records. Key information collected included lens status, previous injections, and other relevant ocular history.</w:t>
      </w:r>
    </w:p>
    <w:p w14:paraId="061990B7" w14:textId="77777777" w:rsidR="0094535A" w:rsidRPr="001016D6" w:rsidRDefault="0094535A" w:rsidP="001A3D64">
      <w:pPr>
        <w:pStyle w:val="NormalWeb"/>
        <w:spacing w:line="360" w:lineRule="auto"/>
        <w:rPr>
          <w:color w:val="000000" w:themeColor="text1"/>
        </w:rPr>
      </w:pPr>
      <w:r w:rsidRPr="001016D6">
        <w:rPr>
          <w:color w:val="000000" w:themeColor="text1"/>
        </w:rPr>
        <w:t>Patients underwent ophthalmologic examinations</w:t>
      </w:r>
      <w:r w:rsidR="004C3B42" w:rsidRPr="001016D6">
        <w:rPr>
          <w:color w:val="000000" w:themeColor="text1"/>
        </w:rPr>
        <w:t>,</w:t>
      </w:r>
      <w:r w:rsidRPr="001016D6">
        <w:rPr>
          <w:color w:val="000000" w:themeColor="text1"/>
        </w:rPr>
        <w:t xml:space="preserve"> including measurement of visual acuity, slit-lamp evaluation, IOP using an </w:t>
      </w:r>
      <w:proofErr w:type="spellStart"/>
      <w:r w:rsidRPr="001016D6">
        <w:rPr>
          <w:color w:val="000000" w:themeColor="text1"/>
        </w:rPr>
        <w:t>Icare</w:t>
      </w:r>
      <w:proofErr w:type="spellEnd"/>
      <w:r w:rsidRPr="001016D6">
        <w:rPr>
          <w:color w:val="000000" w:themeColor="text1"/>
        </w:rPr>
        <w:t xml:space="preserve"> IC100 tonometer, fundus examination, and optical coherence tomography (OCT) when needed. All procedures were conducted by a trained senior ophthalmology resident, who also administered the injections. The intravitreal triamcinolone injection was performed under aseptic conditions in a minor operating theater using topical anesthesia. The procedure included irrigation of the conjunctival </w:t>
      </w:r>
      <w:proofErr w:type="spellStart"/>
      <w:r w:rsidRPr="001016D6">
        <w:rPr>
          <w:color w:val="000000" w:themeColor="text1"/>
        </w:rPr>
        <w:t>fornices</w:t>
      </w:r>
      <w:proofErr w:type="spellEnd"/>
      <w:r w:rsidRPr="001016D6">
        <w:rPr>
          <w:color w:val="000000" w:themeColor="text1"/>
        </w:rPr>
        <w:t xml:space="preserve"> with 5% povidone-iodine and disinfection of the periorbital skin and lid margin with 10% povidone-iodine. Sterile drapes and a lid speculum were applied. Triamcinolone was drawn into a tuberculin syringe or 30G needle and injected through the inferotemporal or </w:t>
      </w:r>
      <w:proofErr w:type="spellStart"/>
      <w:r w:rsidRPr="001016D6">
        <w:rPr>
          <w:color w:val="000000" w:themeColor="text1"/>
        </w:rPr>
        <w:t>superotemporal</w:t>
      </w:r>
      <w:proofErr w:type="spellEnd"/>
      <w:r w:rsidRPr="001016D6">
        <w:rPr>
          <w:color w:val="000000" w:themeColor="text1"/>
        </w:rPr>
        <w:t xml:space="preserve"> pars plana at 3.5 mm from the limbus in pseudophakic eyes and 4 mm in phakic eyes. Firm pressure was applied to the injection site with a sterile cotton-tip applicator for at least five seconds post-injection to reduce vitreous reflux.</w:t>
      </w:r>
    </w:p>
    <w:p w14:paraId="1DD1640C" w14:textId="77777777" w:rsidR="0094535A" w:rsidRPr="001016D6" w:rsidRDefault="0094535A" w:rsidP="001A3D64">
      <w:pPr>
        <w:pStyle w:val="NormalWeb"/>
        <w:spacing w:line="360" w:lineRule="auto"/>
        <w:rPr>
          <w:color w:val="000000" w:themeColor="text1"/>
        </w:rPr>
      </w:pPr>
      <w:r w:rsidRPr="001016D6">
        <w:rPr>
          <w:color w:val="000000" w:themeColor="text1"/>
        </w:rPr>
        <w:lastRenderedPageBreak/>
        <w:t>Baseline IOP was recorded five minutes before injection, immediately after injection, and again at two and six weeks during follow-up visits. Each IOP measurement was taken three times, and the average was used for analysis. The primary outcome was the proportion of eyes developing sustained IOP elevation, defined as either an IOP &gt; 21 mmHg or an increase greater than 20% from baseline. All patient care and study procedures adhered to the Declaration of Helsinki and Good Clinical Practice principles. Ethical approval was obtained from the KCMC University Research and Ethics Committee (Ref No PG 98/2024), and written informed consent was obtained from all participants. Permission to conduct the study was granted by the Hospital Executive Director and the Head of the Ophthalmology Department.</w:t>
      </w:r>
    </w:p>
    <w:p w14:paraId="04F7D03E" w14:textId="77777777" w:rsidR="0094535A" w:rsidRPr="001016D6" w:rsidRDefault="0094535A" w:rsidP="001A3D64">
      <w:pPr>
        <w:pStyle w:val="NormalWeb"/>
        <w:spacing w:line="360" w:lineRule="auto"/>
        <w:rPr>
          <w:color w:val="000000" w:themeColor="text1"/>
        </w:rPr>
      </w:pPr>
      <w:r w:rsidRPr="001016D6">
        <w:rPr>
          <w:color w:val="000000" w:themeColor="text1"/>
        </w:rPr>
        <w:t>Data management included regular checks of the data collection tools to ensure completeness and consistency. The data were entered into SPSS Version 25 and cleaned before analysis. Descriptive statistics were generated, and the relationship between IOP and potential predictors was assessed using Pearson correlation and paired sample t-tests. Repeated-measures linear regression was used to evaluate changes in IOP over time. Variables significantly associated with IOP changes in univariate analysis were further analyzed using multivariate regression to determine independent predictors. A p-value of less than 0.05 was considered statistically significant. Patients with a prior history of glaucoma were identified based on clinical signs of glaucomatous optic neuropathy and prior use of IOP-lowering medications.</w:t>
      </w:r>
    </w:p>
    <w:p w14:paraId="31FC909F" w14:textId="77777777" w:rsidR="0094535A" w:rsidRPr="001016D6" w:rsidRDefault="0094535A" w:rsidP="001A3D64">
      <w:pPr>
        <w:pStyle w:val="NormalWeb"/>
        <w:spacing w:line="360" w:lineRule="auto"/>
        <w:rPr>
          <w:color w:val="000000" w:themeColor="text1"/>
        </w:rPr>
      </w:pPr>
      <w:r w:rsidRPr="001016D6">
        <w:rPr>
          <w:color w:val="000000" w:themeColor="text1"/>
        </w:rPr>
        <w:t>Following completion of the study, the final report was submitted to the Department of Public Health at KCMC University and later prepared for publication in BMC. Copies were also delivered to the college and the KCMC Eye Department libraries for reference and academic use.</w:t>
      </w:r>
    </w:p>
    <w:p w14:paraId="41450325" w14:textId="77777777" w:rsidR="00EF6979" w:rsidRPr="001016D6" w:rsidRDefault="00EF6979" w:rsidP="001A3D64">
      <w:pPr>
        <w:pStyle w:val="Heading2"/>
        <w:spacing w:line="360" w:lineRule="auto"/>
        <w:rPr>
          <w:rFonts w:ascii="Times New Roman" w:eastAsia="SimSun" w:hAnsi="Times New Roman" w:cs="Times New Roman"/>
          <w:b/>
          <w:color w:val="000000" w:themeColor="text1"/>
          <w:sz w:val="24"/>
          <w:szCs w:val="24"/>
        </w:rPr>
      </w:pPr>
      <w:bookmarkStart w:id="2" w:name="_Toc201688042"/>
      <w:r w:rsidRPr="001016D6">
        <w:rPr>
          <w:rFonts w:ascii="Times New Roman" w:eastAsia="SimSun" w:hAnsi="Times New Roman" w:cs="Times New Roman"/>
          <w:b/>
          <w:color w:val="000000" w:themeColor="text1"/>
          <w:sz w:val="24"/>
          <w:szCs w:val="24"/>
        </w:rPr>
        <w:t>Results</w:t>
      </w:r>
      <w:bookmarkEnd w:id="2"/>
    </w:p>
    <w:p w14:paraId="0F96850D" w14:textId="77777777" w:rsidR="00EF6979" w:rsidRPr="001016D6" w:rsidRDefault="00EF6979" w:rsidP="001A3D64">
      <w:pPr>
        <w:spacing w:after="200" w:line="360" w:lineRule="auto"/>
        <w:jc w:val="both"/>
        <w:rPr>
          <w:rFonts w:ascii="Times New Roman" w:eastAsia="SimSun" w:hAnsi="Times New Roman" w:cs="Times New Roman"/>
          <w:color w:val="000000" w:themeColor="text1"/>
          <w:sz w:val="24"/>
          <w:szCs w:val="24"/>
        </w:rPr>
      </w:pPr>
      <w:r w:rsidRPr="001016D6">
        <w:rPr>
          <w:rFonts w:ascii="Times New Roman" w:eastAsia="SimSun" w:hAnsi="Times New Roman" w:cs="Times New Roman"/>
          <w:color w:val="000000" w:themeColor="text1"/>
          <w:sz w:val="24"/>
          <w:szCs w:val="24"/>
        </w:rPr>
        <w:t>A total of 110 participants who met the inclusion criteria were included in the analysis (</w:t>
      </w:r>
      <w:r w:rsidRPr="001016D6">
        <w:rPr>
          <w:rFonts w:ascii="Times New Roman" w:eastAsia="SimSun" w:hAnsi="Times New Roman" w:cs="Times New Roman"/>
          <w:b/>
          <w:color w:val="000000" w:themeColor="text1"/>
          <w:sz w:val="24"/>
          <w:szCs w:val="24"/>
        </w:rPr>
        <w:t>Table 1</w:t>
      </w:r>
      <w:r w:rsidRPr="001016D6">
        <w:rPr>
          <w:rFonts w:ascii="Times New Roman" w:eastAsia="SimSun" w:hAnsi="Times New Roman" w:cs="Times New Roman"/>
          <w:color w:val="000000" w:themeColor="text1"/>
          <w:sz w:val="24"/>
          <w:szCs w:val="24"/>
        </w:rPr>
        <w:t>). The median age was 65 years (interquartile range, 56-72 years). Among the participants enrolled, 68 (61.8%) were aged more than 70 years, and 57(51.8%) were male, where most lived in urban 71(64.5%). Half of the participants were hypertensive 56(50.9%), and 64 (58.2%) had pseudophakic eyes. Additionally, 42 (38.2%) eyes had undergone YAG laser capsulotomy, and 102 (92.7%) eyes had not undergone Retinal surgery.</w:t>
      </w:r>
    </w:p>
    <w:p w14:paraId="1C7AF8B3" w14:textId="77777777" w:rsidR="00EF6979" w:rsidRPr="001016D6" w:rsidRDefault="00EF6979" w:rsidP="001A3D64">
      <w:pPr>
        <w:spacing w:before="240" w:after="0" w:line="360" w:lineRule="auto"/>
        <w:rPr>
          <w:rFonts w:ascii="Times New Roman" w:eastAsia="SimSun" w:hAnsi="Times New Roman" w:cs="Times New Roman"/>
          <w:b/>
          <w:bCs/>
          <w:color w:val="000000" w:themeColor="text1"/>
          <w:sz w:val="24"/>
          <w:szCs w:val="24"/>
        </w:rPr>
      </w:pPr>
      <w:bookmarkStart w:id="3" w:name="_Toc201683029"/>
      <w:r w:rsidRPr="001016D6">
        <w:rPr>
          <w:rFonts w:ascii="Times New Roman" w:eastAsia="SimSun" w:hAnsi="Times New Roman" w:cs="Times New Roman"/>
          <w:b/>
          <w:bCs/>
          <w:color w:val="000000" w:themeColor="text1"/>
          <w:sz w:val="24"/>
          <w:szCs w:val="24"/>
        </w:rPr>
        <w:lastRenderedPageBreak/>
        <w:t xml:space="preserve">Table </w:t>
      </w:r>
      <w:r w:rsidRPr="001016D6">
        <w:rPr>
          <w:rFonts w:ascii="Times New Roman" w:eastAsia="SimSun" w:hAnsi="Times New Roman" w:cs="Times New Roman"/>
          <w:b/>
          <w:bCs/>
          <w:color w:val="000000" w:themeColor="text1"/>
          <w:sz w:val="24"/>
          <w:szCs w:val="24"/>
        </w:rPr>
        <w:fldChar w:fldCharType="begin"/>
      </w:r>
      <w:r w:rsidRPr="001016D6">
        <w:rPr>
          <w:rFonts w:ascii="Times New Roman" w:eastAsia="SimSun" w:hAnsi="Times New Roman" w:cs="Times New Roman"/>
          <w:b/>
          <w:bCs/>
          <w:color w:val="000000" w:themeColor="text1"/>
          <w:sz w:val="24"/>
          <w:szCs w:val="24"/>
        </w:rPr>
        <w:instrText xml:space="preserve"> SEQ Table \* ARABIC </w:instrText>
      </w:r>
      <w:r w:rsidRPr="001016D6">
        <w:rPr>
          <w:rFonts w:ascii="Times New Roman" w:eastAsia="SimSun" w:hAnsi="Times New Roman" w:cs="Times New Roman"/>
          <w:b/>
          <w:bCs/>
          <w:color w:val="000000" w:themeColor="text1"/>
          <w:sz w:val="24"/>
          <w:szCs w:val="24"/>
        </w:rPr>
        <w:fldChar w:fldCharType="separate"/>
      </w:r>
      <w:r w:rsidR="00BF1629" w:rsidRPr="001016D6">
        <w:rPr>
          <w:rFonts w:ascii="Times New Roman" w:eastAsia="SimSun" w:hAnsi="Times New Roman" w:cs="Times New Roman"/>
          <w:b/>
          <w:bCs/>
          <w:noProof/>
          <w:color w:val="000000" w:themeColor="text1"/>
          <w:sz w:val="24"/>
          <w:szCs w:val="24"/>
        </w:rPr>
        <w:t>1</w:t>
      </w:r>
      <w:r w:rsidRPr="001016D6">
        <w:rPr>
          <w:rFonts w:ascii="Times New Roman" w:eastAsia="SimSun" w:hAnsi="Times New Roman" w:cs="Times New Roman"/>
          <w:b/>
          <w:bCs/>
          <w:color w:val="000000" w:themeColor="text1"/>
          <w:sz w:val="24"/>
          <w:szCs w:val="24"/>
        </w:rPr>
        <w:fldChar w:fldCharType="end"/>
      </w:r>
      <w:r w:rsidRPr="001016D6">
        <w:rPr>
          <w:rFonts w:ascii="Times New Roman" w:eastAsia="SimSun" w:hAnsi="Times New Roman" w:cs="Times New Roman"/>
          <w:b/>
          <w:bCs/>
          <w:color w:val="000000" w:themeColor="text1"/>
          <w:sz w:val="24"/>
          <w:szCs w:val="24"/>
        </w:rPr>
        <w:t>: Participants’ background characteristics (N=110).</w:t>
      </w:r>
      <w:bookmarkEnd w:id="3"/>
    </w:p>
    <w:tbl>
      <w:tblPr>
        <w:tblStyle w:val="TableGrid2"/>
        <w:tblW w:w="90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0"/>
        <w:gridCol w:w="2226"/>
        <w:gridCol w:w="1964"/>
      </w:tblGrid>
      <w:tr w:rsidR="001A3D64" w:rsidRPr="001016D6" w14:paraId="269E77B7" w14:textId="77777777" w:rsidTr="00C62744">
        <w:trPr>
          <w:trHeight w:val="267"/>
        </w:trPr>
        <w:tc>
          <w:tcPr>
            <w:tcW w:w="4850" w:type="dxa"/>
            <w:tcBorders>
              <w:top w:val="single" w:sz="4" w:space="0" w:color="auto"/>
              <w:bottom w:val="single" w:sz="4" w:space="0" w:color="auto"/>
            </w:tcBorders>
            <w:noWrap/>
            <w:hideMark/>
          </w:tcPr>
          <w:p w14:paraId="34A3AE9D"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bookmarkStart w:id="4" w:name="_Hlk197779636"/>
            <w:r w:rsidRPr="001016D6">
              <w:rPr>
                <w:rFonts w:ascii="Times New Roman" w:eastAsia="Times New Roman" w:hAnsi="Times New Roman" w:cs="Times New Roman"/>
                <w:b/>
                <w:bCs/>
                <w:color w:val="000000" w:themeColor="text1"/>
                <w:sz w:val="24"/>
                <w:szCs w:val="24"/>
              </w:rPr>
              <w:t>Variable</w:t>
            </w:r>
          </w:p>
        </w:tc>
        <w:tc>
          <w:tcPr>
            <w:tcW w:w="2226" w:type="dxa"/>
            <w:tcBorders>
              <w:top w:val="single" w:sz="4" w:space="0" w:color="auto"/>
              <w:bottom w:val="single" w:sz="4" w:space="0" w:color="auto"/>
            </w:tcBorders>
            <w:noWrap/>
            <w:hideMark/>
          </w:tcPr>
          <w:p w14:paraId="066E90BC"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Frequency</w:t>
            </w:r>
          </w:p>
        </w:tc>
        <w:tc>
          <w:tcPr>
            <w:tcW w:w="1964" w:type="dxa"/>
            <w:tcBorders>
              <w:top w:val="single" w:sz="4" w:space="0" w:color="auto"/>
              <w:bottom w:val="single" w:sz="4" w:space="0" w:color="auto"/>
            </w:tcBorders>
            <w:noWrap/>
            <w:hideMark/>
          </w:tcPr>
          <w:p w14:paraId="5AB32BA6"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Percentage</w:t>
            </w:r>
          </w:p>
        </w:tc>
      </w:tr>
      <w:tr w:rsidR="001A3D64" w:rsidRPr="001016D6" w14:paraId="1CF03775" w14:textId="77777777" w:rsidTr="00C62744">
        <w:trPr>
          <w:trHeight w:val="267"/>
        </w:trPr>
        <w:tc>
          <w:tcPr>
            <w:tcW w:w="4850" w:type="dxa"/>
            <w:tcBorders>
              <w:top w:val="single" w:sz="4" w:space="0" w:color="auto"/>
            </w:tcBorders>
            <w:noWrap/>
            <w:hideMark/>
          </w:tcPr>
          <w:p w14:paraId="28637D5A"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Sex of the participant</w:t>
            </w:r>
          </w:p>
        </w:tc>
        <w:tc>
          <w:tcPr>
            <w:tcW w:w="2226" w:type="dxa"/>
            <w:tcBorders>
              <w:top w:val="single" w:sz="4" w:space="0" w:color="auto"/>
            </w:tcBorders>
            <w:noWrap/>
            <w:hideMark/>
          </w:tcPr>
          <w:p w14:paraId="0BCC9F5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964" w:type="dxa"/>
            <w:tcBorders>
              <w:top w:val="single" w:sz="4" w:space="0" w:color="auto"/>
            </w:tcBorders>
            <w:noWrap/>
            <w:hideMark/>
          </w:tcPr>
          <w:p w14:paraId="4408B40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1FC34A36" w14:textId="77777777" w:rsidTr="00C62744">
        <w:trPr>
          <w:trHeight w:val="267"/>
        </w:trPr>
        <w:tc>
          <w:tcPr>
            <w:tcW w:w="4850" w:type="dxa"/>
            <w:noWrap/>
            <w:hideMark/>
          </w:tcPr>
          <w:p w14:paraId="468C4A16"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Male</w:t>
            </w:r>
          </w:p>
        </w:tc>
        <w:tc>
          <w:tcPr>
            <w:tcW w:w="2226" w:type="dxa"/>
            <w:noWrap/>
          </w:tcPr>
          <w:p w14:paraId="0F030BE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53</w:t>
            </w:r>
          </w:p>
        </w:tc>
        <w:tc>
          <w:tcPr>
            <w:tcW w:w="1964" w:type="dxa"/>
            <w:noWrap/>
          </w:tcPr>
          <w:p w14:paraId="02EB811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48.2</w:t>
            </w:r>
          </w:p>
        </w:tc>
      </w:tr>
      <w:tr w:rsidR="001A3D64" w:rsidRPr="001016D6" w14:paraId="1BF660D3" w14:textId="77777777" w:rsidTr="00C62744">
        <w:trPr>
          <w:trHeight w:val="267"/>
        </w:trPr>
        <w:tc>
          <w:tcPr>
            <w:tcW w:w="4850" w:type="dxa"/>
            <w:noWrap/>
            <w:hideMark/>
          </w:tcPr>
          <w:p w14:paraId="2202B5B7"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Female</w:t>
            </w:r>
          </w:p>
        </w:tc>
        <w:tc>
          <w:tcPr>
            <w:tcW w:w="2226" w:type="dxa"/>
            <w:noWrap/>
          </w:tcPr>
          <w:p w14:paraId="5D01EB85"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57</w:t>
            </w:r>
          </w:p>
        </w:tc>
        <w:tc>
          <w:tcPr>
            <w:tcW w:w="1964" w:type="dxa"/>
            <w:noWrap/>
          </w:tcPr>
          <w:p w14:paraId="2DB5367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51.8</w:t>
            </w:r>
          </w:p>
        </w:tc>
      </w:tr>
      <w:tr w:rsidR="001A3D64" w:rsidRPr="001016D6" w14:paraId="2D7FE5F4" w14:textId="77777777" w:rsidTr="00C62744">
        <w:trPr>
          <w:trHeight w:val="267"/>
        </w:trPr>
        <w:tc>
          <w:tcPr>
            <w:tcW w:w="4850" w:type="dxa"/>
            <w:noWrap/>
            <w:hideMark/>
          </w:tcPr>
          <w:p w14:paraId="55ED34F9"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Age of the participant</w:t>
            </w:r>
          </w:p>
        </w:tc>
        <w:tc>
          <w:tcPr>
            <w:tcW w:w="2226" w:type="dxa"/>
            <w:noWrap/>
          </w:tcPr>
          <w:p w14:paraId="081628C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964" w:type="dxa"/>
            <w:noWrap/>
          </w:tcPr>
          <w:p w14:paraId="5525FDA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16B12432" w14:textId="77777777" w:rsidTr="00C62744">
        <w:trPr>
          <w:trHeight w:val="267"/>
        </w:trPr>
        <w:tc>
          <w:tcPr>
            <w:tcW w:w="4850" w:type="dxa"/>
            <w:noWrap/>
            <w:hideMark/>
          </w:tcPr>
          <w:p w14:paraId="1EA57AAA"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≤70</w:t>
            </w:r>
          </w:p>
        </w:tc>
        <w:tc>
          <w:tcPr>
            <w:tcW w:w="2226" w:type="dxa"/>
            <w:noWrap/>
          </w:tcPr>
          <w:p w14:paraId="4D5F880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68</w:t>
            </w:r>
          </w:p>
        </w:tc>
        <w:tc>
          <w:tcPr>
            <w:tcW w:w="1964" w:type="dxa"/>
            <w:noWrap/>
          </w:tcPr>
          <w:p w14:paraId="64F1435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61.8</w:t>
            </w:r>
          </w:p>
        </w:tc>
      </w:tr>
      <w:tr w:rsidR="001A3D64" w:rsidRPr="001016D6" w14:paraId="7C2F072C" w14:textId="77777777" w:rsidTr="00C62744">
        <w:trPr>
          <w:trHeight w:val="267"/>
        </w:trPr>
        <w:tc>
          <w:tcPr>
            <w:tcW w:w="4850" w:type="dxa"/>
            <w:noWrap/>
            <w:hideMark/>
          </w:tcPr>
          <w:p w14:paraId="24C63F7F"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&gt;70</w:t>
            </w:r>
          </w:p>
        </w:tc>
        <w:tc>
          <w:tcPr>
            <w:tcW w:w="2226" w:type="dxa"/>
            <w:noWrap/>
          </w:tcPr>
          <w:p w14:paraId="647EC0D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42</w:t>
            </w:r>
          </w:p>
        </w:tc>
        <w:tc>
          <w:tcPr>
            <w:tcW w:w="1964" w:type="dxa"/>
            <w:noWrap/>
          </w:tcPr>
          <w:p w14:paraId="6DB9639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38.2</w:t>
            </w:r>
          </w:p>
        </w:tc>
      </w:tr>
      <w:tr w:rsidR="001A3D64" w:rsidRPr="001016D6" w14:paraId="0D8B2677" w14:textId="77777777" w:rsidTr="00C62744">
        <w:trPr>
          <w:trHeight w:val="267"/>
        </w:trPr>
        <w:tc>
          <w:tcPr>
            <w:tcW w:w="4850" w:type="dxa"/>
            <w:noWrap/>
          </w:tcPr>
          <w:p w14:paraId="3333297B"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i/>
                <w:iCs/>
                <w:color w:val="000000" w:themeColor="text1"/>
                <w:sz w:val="24"/>
                <w:szCs w:val="24"/>
              </w:rPr>
              <w:t>Median (IQR)</w:t>
            </w:r>
          </w:p>
        </w:tc>
        <w:tc>
          <w:tcPr>
            <w:tcW w:w="2226" w:type="dxa"/>
            <w:noWrap/>
          </w:tcPr>
          <w:p w14:paraId="4CCB2F5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65(56-72)</w:t>
            </w:r>
          </w:p>
        </w:tc>
        <w:tc>
          <w:tcPr>
            <w:tcW w:w="1964" w:type="dxa"/>
            <w:noWrap/>
          </w:tcPr>
          <w:p w14:paraId="29E33C4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39375E0A" w14:textId="77777777" w:rsidTr="00C62744">
        <w:trPr>
          <w:trHeight w:val="267"/>
        </w:trPr>
        <w:tc>
          <w:tcPr>
            <w:tcW w:w="4850" w:type="dxa"/>
            <w:noWrap/>
          </w:tcPr>
          <w:p w14:paraId="2E4F5416" w14:textId="77777777" w:rsidR="00EF6979" w:rsidRPr="001016D6" w:rsidRDefault="00EF6979" w:rsidP="001A3D64">
            <w:pPr>
              <w:spacing w:line="360" w:lineRule="auto"/>
              <w:jc w:val="both"/>
              <w:rPr>
                <w:rFonts w:ascii="Times New Roman" w:eastAsia="Times New Roman" w:hAnsi="Times New Roman" w:cs="Times New Roman"/>
                <w:iCs/>
                <w:color w:val="000000" w:themeColor="text1"/>
                <w:sz w:val="24"/>
                <w:szCs w:val="24"/>
              </w:rPr>
            </w:pPr>
            <w:r w:rsidRPr="001016D6">
              <w:rPr>
                <w:rFonts w:ascii="Times New Roman" w:eastAsia="Times New Roman" w:hAnsi="Times New Roman" w:cs="Times New Roman"/>
                <w:iCs/>
                <w:color w:val="000000" w:themeColor="text1"/>
                <w:sz w:val="24"/>
                <w:szCs w:val="24"/>
              </w:rPr>
              <w:t>Residence</w:t>
            </w:r>
          </w:p>
        </w:tc>
        <w:tc>
          <w:tcPr>
            <w:tcW w:w="2226" w:type="dxa"/>
            <w:noWrap/>
          </w:tcPr>
          <w:p w14:paraId="345993F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964" w:type="dxa"/>
            <w:noWrap/>
          </w:tcPr>
          <w:p w14:paraId="6B8DC7D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39DBD139" w14:textId="77777777" w:rsidTr="00C62744">
        <w:trPr>
          <w:trHeight w:val="267"/>
        </w:trPr>
        <w:tc>
          <w:tcPr>
            <w:tcW w:w="4850" w:type="dxa"/>
            <w:noWrap/>
          </w:tcPr>
          <w:p w14:paraId="1C1F79A1" w14:textId="77777777" w:rsidR="00EF6979" w:rsidRPr="001016D6" w:rsidRDefault="00EF6979" w:rsidP="001A3D64">
            <w:pPr>
              <w:spacing w:line="360" w:lineRule="auto"/>
              <w:ind w:left="510"/>
              <w:jc w:val="both"/>
              <w:rPr>
                <w:rFonts w:ascii="Times New Roman" w:eastAsia="Times New Roman" w:hAnsi="Times New Roman" w:cs="Times New Roman"/>
                <w:iCs/>
                <w:color w:val="000000" w:themeColor="text1"/>
                <w:sz w:val="24"/>
                <w:szCs w:val="24"/>
              </w:rPr>
            </w:pPr>
            <w:r w:rsidRPr="001016D6">
              <w:rPr>
                <w:rFonts w:ascii="Times New Roman" w:eastAsia="Times New Roman" w:hAnsi="Times New Roman" w:cs="Times New Roman"/>
                <w:iCs/>
                <w:color w:val="000000" w:themeColor="text1"/>
                <w:sz w:val="24"/>
                <w:szCs w:val="24"/>
              </w:rPr>
              <w:t>Urban</w:t>
            </w:r>
          </w:p>
        </w:tc>
        <w:tc>
          <w:tcPr>
            <w:tcW w:w="2226" w:type="dxa"/>
            <w:noWrap/>
          </w:tcPr>
          <w:p w14:paraId="7E89E0B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71</w:t>
            </w:r>
          </w:p>
        </w:tc>
        <w:tc>
          <w:tcPr>
            <w:tcW w:w="1964" w:type="dxa"/>
            <w:noWrap/>
          </w:tcPr>
          <w:p w14:paraId="0A7EB46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64.5</w:t>
            </w:r>
          </w:p>
        </w:tc>
      </w:tr>
      <w:tr w:rsidR="001A3D64" w:rsidRPr="001016D6" w14:paraId="263620B3" w14:textId="77777777" w:rsidTr="00C62744">
        <w:trPr>
          <w:trHeight w:val="267"/>
        </w:trPr>
        <w:tc>
          <w:tcPr>
            <w:tcW w:w="4850" w:type="dxa"/>
            <w:noWrap/>
          </w:tcPr>
          <w:p w14:paraId="40F65092" w14:textId="77777777" w:rsidR="00EF6979" w:rsidRPr="001016D6" w:rsidRDefault="00EF6979" w:rsidP="001A3D64">
            <w:pPr>
              <w:spacing w:line="360" w:lineRule="auto"/>
              <w:ind w:left="510"/>
              <w:jc w:val="both"/>
              <w:rPr>
                <w:rFonts w:ascii="Times New Roman" w:eastAsia="Times New Roman" w:hAnsi="Times New Roman" w:cs="Times New Roman"/>
                <w:iCs/>
                <w:color w:val="000000" w:themeColor="text1"/>
                <w:sz w:val="24"/>
                <w:szCs w:val="24"/>
              </w:rPr>
            </w:pPr>
            <w:r w:rsidRPr="001016D6">
              <w:rPr>
                <w:rFonts w:ascii="Times New Roman" w:eastAsia="Times New Roman" w:hAnsi="Times New Roman" w:cs="Times New Roman"/>
                <w:iCs/>
                <w:color w:val="000000" w:themeColor="text1"/>
                <w:sz w:val="24"/>
                <w:szCs w:val="24"/>
              </w:rPr>
              <w:t>Rural</w:t>
            </w:r>
          </w:p>
        </w:tc>
        <w:tc>
          <w:tcPr>
            <w:tcW w:w="2226" w:type="dxa"/>
            <w:noWrap/>
          </w:tcPr>
          <w:p w14:paraId="447DDB3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39</w:t>
            </w:r>
          </w:p>
        </w:tc>
        <w:tc>
          <w:tcPr>
            <w:tcW w:w="1964" w:type="dxa"/>
            <w:noWrap/>
          </w:tcPr>
          <w:p w14:paraId="2B4F8F3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35.5</w:t>
            </w:r>
          </w:p>
        </w:tc>
      </w:tr>
      <w:tr w:rsidR="001A3D64" w:rsidRPr="001016D6" w14:paraId="138349E5" w14:textId="77777777" w:rsidTr="00C62744">
        <w:trPr>
          <w:trHeight w:val="267"/>
        </w:trPr>
        <w:tc>
          <w:tcPr>
            <w:tcW w:w="4850" w:type="dxa"/>
            <w:noWrap/>
            <w:hideMark/>
          </w:tcPr>
          <w:p w14:paraId="05914634"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Lens status</w:t>
            </w:r>
          </w:p>
        </w:tc>
        <w:tc>
          <w:tcPr>
            <w:tcW w:w="2226" w:type="dxa"/>
            <w:noWrap/>
          </w:tcPr>
          <w:p w14:paraId="313EDDD5"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964" w:type="dxa"/>
            <w:noWrap/>
          </w:tcPr>
          <w:p w14:paraId="53D0FCE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0A20DF77" w14:textId="77777777" w:rsidTr="00C62744">
        <w:trPr>
          <w:trHeight w:val="267"/>
        </w:trPr>
        <w:tc>
          <w:tcPr>
            <w:tcW w:w="4850" w:type="dxa"/>
            <w:noWrap/>
            <w:hideMark/>
          </w:tcPr>
          <w:p w14:paraId="2EB6821A"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Phakic</w:t>
            </w:r>
          </w:p>
        </w:tc>
        <w:tc>
          <w:tcPr>
            <w:tcW w:w="2226" w:type="dxa"/>
            <w:noWrap/>
          </w:tcPr>
          <w:p w14:paraId="2AA9E3D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46</w:t>
            </w:r>
          </w:p>
        </w:tc>
        <w:tc>
          <w:tcPr>
            <w:tcW w:w="1964" w:type="dxa"/>
            <w:noWrap/>
          </w:tcPr>
          <w:p w14:paraId="52971C2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41.8</w:t>
            </w:r>
          </w:p>
        </w:tc>
      </w:tr>
      <w:tr w:rsidR="001A3D64" w:rsidRPr="001016D6" w14:paraId="1EB60434" w14:textId="77777777" w:rsidTr="00C62744">
        <w:trPr>
          <w:trHeight w:val="267"/>
        </w:trPr>
        <w:tc>
          <w:tcPr>
            <w:tcW w:w="4850" w:type="dxa"/>
            <w:noWrap/>
            <w:hideMark/>
          </w:tcPr>
          <w:p w14:paraId="2A298809"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Pseudophakic</w:t>
            </w:r>
          </w:p>
        </w:tc>
        <w:tc>
          <w:tcPr>
            <w:tcW w:w="2226" w:type="dxa"/>
            <w:noWrap/>
          </w:tcPr>
          <w:p w14:paraId="165496C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64</w:t>
            </w:r>
          </w:p>
        </w:tc>
        <w:tc>
          <w:tcPr>
            <w:tcW w:w="1964" w:type="dxa"/>
            <w:noWrap/>
          </w:tcPr>
          <w:p w14:paraId="46289A5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58.2</w:t>
            </w:r>
          </w:p>
        </w:tc>
      </w:tr>
      <w:tr w:rsidR="001A3D64" w:rsidRPr="001016D6" w14:paraId="1AF56506" w14:textId="77777777" w:rsidTr="00C62744">
        <w:trPr>
          <w:trHeight w:val="267"/>
        </w:trPr>
        <w:tc>
          <w:tcPr>
            <w:tcW w:w="4850" w:type="dxa"/>
            <w:noWrap/>
          </w:tcPr>
          <w:p w14:paraId="47CBF763" w14:textId="77777777" w:rsidR="00EF6979" w:rsidRPr="001016D6" w:rsidRDefault="00EF6979" w:rsidP="001A3D64">
            <w:pPr>
              <w:spacing w:line="360" w:lineRule="auto"/>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Hypertension</w:t>
            </w:r>
          </w:p>
        </w:tc>
        <w:tc>
          <w:tcPr>
            <w:tcW w:w="2226" w:type="dxa"/>
            <w:noWrap/>
          </w:tcPr>
          <w:p w14:paraId="76DE6927"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964" w:type="dxa"/>
            <w:noWrap/>
          </w:tcPr>
          <w:p w14:paraId="4D74F55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0F9052F8" w14:textId="77777777" w:rsidTr="00C62744">
        <w:trPr>
          <w:trHeight w:val="267"/>
        </w:trPr>
        <w:tc>
          <w:tcPr>
            <w:tcW w:w="4850" w:type="dxa"/>
            <w:noWrap/>
          </w:tcPr>
          <w:p w14:paraId="53315D29"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2226" w:type="dxa"/>
            <w:noWrap/>
          </w:tcPr>
          <w:p w14:paraId="27CFE0C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56</w:t>
            </w:r>
          </w:p>
        </w:tc>
        <w:tc>
          <w:tcPr>
            <w:tcW w:w="1964" w:type="dxa"/>
            <w:noWrap/>
          </w:tcPr>
          <w:p w14:paraId="6CEE5DC5"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50.9</w:t>
            </w:r>
          </w:p>
        </w:tc>
      </w:tr>
      <w:tr w:rsidR="001A3D64" w:rsidRPr="001016D6" w14:paraId="0E714D66" w14:textId="77777777" w:rsidTr="00C62744">
        <w:trPr>
          <w:trHeight w:val="267"/>
        </w:trPr>
        <w:tc>
          <w:tcPr>
            <w:tcW w:w="4850" w:type="dxa"/>
            <w:noWrap/>
          </w:tcPr>
          <w:p w14:paraId="2ECBA613"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2226" w:type="dxa"/>
            <w:noWrap/>
          </w:tcPr>
          <w:p w14:paraId="55AEE04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54</w:t>
            </w:r>
          </w:p>
        </w:tc>
        <w:tc>
          <w:tcPr>
            <w:tcW w:w="1964" w:type="dxa"/>
            <w:noWrap/>
          </w:tcPr>
          <w:p w14:paraId="30DFA2B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49.1</w:t>
            </w:r>
          </w:p>
        </w:tc>
      </w:tr>
      <w:tr w:rsidR="001A3D64" w:rsidRPr="001016D6" w14:paraId="572177EB" w14:textId="77777777" w:rsidTr="00C62744">
        <w:trPr>
          <w:trHeight w:val="267"/>
        </w:trPr>
        <w:tc>
          <w:tcPr>
            <w:tcW w:w="4850" w:type="dxa"/>
            <w:noWrap/>
            <w:hideMark/>
          </w:tcPr>
          <w:p w14:paraId="2BB30784"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YAG laser capsulotomy</w:t>
            </w:r>
          </w:p>
        </w:tc>
        <w:tc>
          <w:tcPr>
            <w:tcW w:w="2226" w:type="dxa"/>
            <w:noWrap/>
          </w:tcPr>
          <w:p w14:paraId="0E34150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964" w:type="dxa"/>
            <w:noWrap/>
          </w:tcPr>
          <w:p w14:paraId="7F18026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1415671C" w14:textId="77777777" w:rsidTr="00C62744">
        <w:trPr>
          <w:trHeight w:val="267"/>
        </w:trPr>
        <w:tc>
          <w:tcPr>
            <w:tcW w:w="4850" w:type="dxa"/>
            <w:noWrap/>
            <w:hideMark/>
          </w:tcPr>
          <w:p w14:paraId="3A02634A"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2226" w:type="dxa"/>
            <w:noWrap/>
          </w:tcPr>
          <w:p w14:paraId="08A7DD7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42</w:t>
            </w:r>
          </w:p>
        </w:tc>
        <w:tc>
          <w:tcPr>
            <w:tcW w:w="1964" w:type="dxa"/>
            <w:noWrap/>
          </w:tcPr>
          <w:p w14:paraId="2AE7A79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38.2</w:t>
            </w:r>
          </w:p>
        </w:tc>
      </w:tr>
      <w:tr w:rsidR="001A3D64" w:rsidRPr="001016D6" w14:paraId="61812426" w14:textId="77777777" w:rsidTr="00C62744">
        <w:trPr>
          <w:trHeight w:val="267"/>
        </w:trPr>
        <w:tc>
          <w:tcPr>
            <w:tcW w:w="4850" w:type="dxa"/>
            <w:noWrap/>
            <w:hideMark/>
          </w:tcPr>
          <w:p w14:paraId="14215E70"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2226" w:type="dxa"/>
            <w:noWrap/>
          </w:tcPr>
          <w:p w14:paraId="5F30AA2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68</w:t>
            </w:r>
          </w:p>
        </w:tc>
        <w:tc>
          <w:tcPr>
            <w:tcW w:w="1964" w:type="dxa"/>
            <w:noWrap/>
          </w:tcPr>
          <w:p w14:paraId="68FD8917"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61.8</w:t>
            </w:r>
          </w:p>
        </w:tc>
      </w:tr>
      <w:tr w:rsidR="001A3D64" w:rsidRPr="001016D6" w14:paraId="24D34EF3" w14:textId="77777777" w:rsidTr="00C62744">
        <w:trPr>
          <w:trHeight w:val="267"/>
        </w:trPr>
        <w:tc>
          <w:tcPr>
            <w:tcW w:w="4850" w:type="dxa"/>
            <w:noWrap/>
            <w:hideMark/>
          </w:tcPr>
          <w:p w14:paraId="3254BC1E"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History of retina surgery</w:t>
            </w:r>
          </w:p>
        </w:tc>
        <w:tc>
          <w:tcPr>
            <w:tcW w:w="2226" w:type="dxa"/>
            <w:noWrap/>
          </w:tcPr>
          <w:p w14:paraId="77C19D77"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964" w:type="dxa"/>
            <w:noWrap/>
          </w:tcPr>
          <w:p w14:paraId="59C2E4E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498AB717" w14:textId="77777777" w:rsidTr="00C62744">
        <w:trPr>
          <w:trHeight w:val="267"/>
        </w:trPr>
        <w:tc>
          <w:tcPr>
            <w:tcW w:w="4850" w:type="dxa"/>
            <w:noWrap/>
            <w:hideMark/>
          </w:tcPr>
          <w:p w14:paraId="5988977E"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2226" w:type="dxa"/>
            <w:noWrap/>
          </w:tcPr>
          <w:p w14:paraId="6828A71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8</w:t>
            </w:r>
          </w:p>
        </w:tc>
        <w:tc>
          <w:tcPr>
            <w:tcW w:w="1964" w:type="dxa"/>
            <w:noWrap/>
          </w:tcPr>
          <w:p w14:paraId="7A9F3A4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7.3</w:t>
            </w:r>
          </w:p>
        </w:tc>
      </w:tr>
      <w:tr w:rsidR="001A3D64" w:rsidRPr="001016D6" w14:paraId="76DBBFC2" w14:textId="77777777" w:rsidTr="00C62744">
        <w:trPr>
          <w:trHeight w:val="267"/>
        </w:trPr>
        <w:tc>
          <w:tcPr>
            <w:tcW w:w="4850" w:type="dxa"/>
            <w:noWrap/>
            <w:hideMark/>
          </w:tcPr>
          <w:p w14:paraId="699EC159"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2226" w:type="dxa"/>
            <w:noWrap/>
          </w:tcPr>
          <w:p w14:paraId="0A6C64E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102</w:t>
            </w:r>
          </w:p>
        </w:tc>
        <w:tc>
          <w:tcPr>
            <w:tcW w:w="1964" w:type="dxa"/>
            <w:noWrap/>
          </w:tcPr>
          <w:p w14:paraId="7B6899A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92.7</w:t>
            </w:r>
          </w:p>
        </w:tc>
      </w:tr>
      <w:tr w:rsidR="001A3D64" w:rsidRPr="001016D6" w14:paraId="34874CCD" w14:textId="77777777" w:rsidTr="00C62744">
        <w:trPr>
          <w:trHeight w:val="267"/>
        </w:trPr>
        <w:tc>
          <w:tcPr>
            <w:tcW w:w="4850" w:type="dxa"/>
            <w:noWrap/>
          </w:tcPr>
          <w:p w14:paraId="67586DE2" w14:textId="77777777" w:rsidR="00EF6979" w:rsidRPr="001016D6" w:rsidRDefault="00EF6979" w:rsidP="001A3D64">
            <w:pPr>
              <w:spacing w:line="360" w:lineRule="auto"/>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b/>
                <w:bCs/>
                <w:color w:val="000000" w:themeColor="text1"/>
                <w:sz w:val="24"/>
                <w:szCs w:val="24"/>
              </w:rPr>
              <w:t>History of PRP</w:t>
            </w:r>
          </w:p>
        </w:tc>
        <w:tc>
          <w:tcPr>
            <w:tcW w:w="2226" w:type="dxa"/>
            <w:noWrap/>
          </w:tcPr>
          <w:p w14:paraId="467C736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964" w:type="dxa"/>
            <w:noWrap/>
          </w:tcPr>
          <w:p w14:paraId="2F6443B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523906D5" w14:textId="77777777" w:rsidTr="00C62744">
        <w:trPr>
          <w:trHeight w:val="267"/>
        </w:trPr>
        <w:tc>
          <w:tcPr>
            <w:tcW w:w="4850" w:type="dxa"/>
            <w:noWrap/>
          </w:tcPr>
          <w:p w14:paraId="459A3594"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2226" w:type="dxa"/>
            <w:noWrap/>
          </w:tcPr>
          <w:p w14:paraId="4806583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13</w:t>
            </w:r>
          </w:p>
        </w:tc>
        <w:tc>
          <w:tcPr>
            <w:tcW w:w="1964" w:type="dxa"/>
            <w:noWrap/>
          </w:tcPr>
          <w:p w14:paraId="36721915"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11.8</w:t>
            </w:r>
          </w:p>
        </w:tc>
      </w:tr>
      <w:tr w:rsidR="001A3D64" w:rsidRPr="001016D6" w14:paraId="0CD40F62" w14:textId="77777777" w:rsidTr="00C62744">
        <w:trPr>
          <w:trHeight w:val="267"/>
        </w:trPr>
        <w:tc>
          <w:tcPr>
            <w:tcW w:w="4850" w:type="dxa"/>
            <w:noWrap/>
          </w:tcPr>
          <w:p w14:paraId="70C7E8CD"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2226" w:type="dxa"/>
            <w:noWrap/>
          </w:tcPr>
          <w:p w14:paraId="403AEEF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97</w:t>
            </w:r>
          </w:p>
        </w:tc>
        <w:tc>
          <w:tcPr>
            <w:tcW w:w="1964" w:type="dxa"/>
            <w:noWrap/>
          </w:tcPr>
          <w:p w14:paraId="2FEF5D1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88.2</w:t>
            </w:r>
          </w:p>
        </w:tc>
      </w:tr>
      <w:bookmarkEnd w:id="4"/>
    </w:tbl>
    <w:p w14:paraId="3E5EE104" w14:textId="77777777" w:rsidR="00EF6979" w:rsidRPr="001016D6" w:rsidRDefault="00EF6979" w:rsidP="001A3D64">
      <w:pPr>
        <w:spacing w:after="200" w:line="360" w:lineRule="auto"/>
        <w:rPr>
          <w:rFonts w:ascii="Times New Roman" w:eastAsia="SimSun" w:hAnsi="Times New Roman" w:cs="Times New Roman"/>
          <w:color w:val="000000" w:themeColor="text1"/>
          <w:sz w:val="24"/>
          <w:szCs w:val="24"/>
        </w:rPr>
      </w:pPr>
    </w:p>
    <w:p w14:paraId="58EB3C0E" w14:textId="77777777" w:rsidR="00EF6979" w:rsidRPr="001016D6" w:rsidRDefault="00EF6979" w:rsidP="001A3D64">
      <w:pPr>
        <w:spacing w:after="200" w:line="360" w:lineRule="auto"/>
        <w:rPr>
          <w:rFonts w:ascii="Times New Roman" w:eastAsia="SimSun" w:hAnsi="Times New Roman" w:cs="Times New Roman"/>
          <w:color w:val="000000" w:themeColor="text1"/>
          <w:sz w:val="24"/>
          <w:szCs w:val="24"/>
        </w:rPr>
      </w:pPr>
    </w:p>
    <w:p w14:paraId="536BCA9D" w14:textId="77777777" w:rsidR="00EF6979" w:rsidRPr="001016D6" w:rsidRDefault="00EF6979" w:rsidP="001A3D64">
      <w:pPr>
        <w:spacing w:after="200" w:line="360" w:lineRule="auto"/>
        <w:rPr>
          <w:rFonts w:ascii="Times New Roman" w:eastAsia="SimSun" w:hAnsi="Times New Roman" w:cs="Times New Roman"/>
          <w:color w:val="000000" w:themeColor="text1"/>
          <w:sz w:val="24"/>
          <w:szCs w:val="24"/>
        </w:rPr>
      </w:pPr>
    </w:p>
    <w:p w14:paraId="6948C798" w14:textId="77777777" w:rsidR="00EF6979" w:rsidRPr="001016D6" w:rsidRDefault="00EF6979" w:rsidP="001A3D64">
      <w:pPr>
        <w:spacing w:after="200" w:line="360" w:lineRule="auto"/>
        <w:rPr>
          <w:rFonts w:ascii="Times New Roman" w:eastAsia="SimSun" w:hAnsi="Times New Roman" w:cs="Times New Roman"/>
          <w:color w:val="000000" w:themeColor="text1"/>
          <w:sz w:val="24"/>
          <w:szCs w:val="24"/>
        </w:rPr>
      </w:pPr>
    </w:p>
    <w:p w14:paraId="281DF4E7" w14:textId="77777777" w:rsidR="00EF6979" w:rsidRPr="001016D6" w:rsidRDefault="00EF6979" w:rsidP="001A3D64">
      <w:pPr>
        <w:pStyle w:val="Heading2"/>
        <w:spacing w:line="360" w:lineRule="auto"/>
        <w:rPr>
          <w:rFonts w:ascii="Times New Roman" w:eastAsia="Calibri" w:hAnsi="Times New Roman" w:cs="Times New Roman"/>
          <w:color w:val="000000" w:themeColor="text1"/>
          <w:sz w:val="24"/>
          <w:szCs w:val="24"/>
        </w:rPr>
      </w:pPr>
      <w:bookmarkStart w:id="5" w:name="_Toc201688043"/>
      <w:r w:rsidRPr="001016D6">
        <w:rPr>
          <w:rFonts w:ascii="Times New Roman" w:eastAsia="Calibri" w:hAnsi="Times New Roman" w:cs="Times New Roman"/>
          <w:color w:val="000000" w:themeColor="text1"/>
          <w:sz w:val="24"/>
          <w:szCs w:val="24"/>
        </w:rPr>
        <w:lastRenderedPageBreak/>
        <w:t>4.1 Indication for Triamcinolone intraocular injection</w:t>
      </w:r>
      <w:bookmarkEnd w:id="5"/>
    </w:p>
    <w:p w14:paraId="2048FDDD" w14:textId="77777777" w:rsidR="00EF6979" w:rsidRPr="001016D6" w:rsidRDefault="00EF6979" w:rsidP="001A3D64">
      <w:pPr>
        <w:spacing w:after="200" w:line="360" w:lineRule="auto"/>
        <w:jc w:val="both"/>
        <w:rPr>
          <w:rFonts w:ascii="Times New Roman" w:eastAsia="SimSun" w:hAnsi="Times New Roman" w:cs="Times New Roman"/>
          <w:color w:val="000000" w:themeColor="text1"/>
          <w:sz w:val="24"/>
          <w:szCs w:val="24"/>
        </w:rPr>
      </w:pPr>
      <w:r w:rsidRPr="001016D6">
        <w:rPr>
          <w:rFonts w:ascii="Times New Roman" w:eastAsia="SimSun" w:hAnsi="Times New Roman" w:cs="Times New Roman"/>
          <w:color w:val="000000" w:themeColor="text1"/>
          <w:sz w:val="24"/>
          <w:szCs w:val="24"/>
          <w:shd w:val="clear" w:color="auto" w:fill="FFFFFF"/>
        </w:rPr>
        <w:t xml:space="preserve">Cystoid macular </w:t>
      </w:r>
      <w:proofErr w:type="spellStart"/>
      <w:r w:rsidRPr="001016D6">
        <w:rPr>
          <w:rFonts w:ascii="Times New Roman" w:eastAsia="SimSun" w:hAnsi="Times New Roman" w:cs="Times New Roman"/>
          <w:color w:val="000000" w:themeColor="text1"/>
          <w:sz w:val="24"/>
          <w:szCs w:val="24"/>
          <w:shd w:val="clear" w:color="auto" w:fill="FFFFFF"/>
        </w:rPr>
        <w:t>edema</w:t>
      </w:r>
      <w:proofErr w:type="spellEnd"/>
      <w:r w:rsidRPr="001016D6">
        <w:rPr>
          <w:rFonts w:ascii="Times New Roman" w:eastAsia="SimSun" w:hAnsi="Times New Roman" w:cs="Times New Roman"/>
          <w:color w:val="000000" w:themeColor="text1"/>
          <w:sz w:val="24"/>
          <w:szCs w:val="24"/>
          <w:shd w:val="clear" w:color="auto" w:fill="FFFFFF"/>
        </w:rPr>
        <w:t xml:space="preserve"> (CME) was</w:t>
      </w:r>
      <w:r w:rsidRPr="001016D6">
        <w:rPr>
          <w:rFonts w:ascii="Times New Roman" w:eastAsia="SimSun" w:hAnsi="Times New Roman" w:cs="Times New Roman"/>
          <w:color w:val="000000" w:themeColor="text1"/>
          <w:sz w:val="24"/>
          <w:szCs w:val="24"/>
        </w:rPr>
        <w:t xml:space="preserve"> the leading indication for Triamcinolone intraocular injection, followed by Diabetic macular </w:t>
      </w:r>
      <w:proofErr w:type="spellStart"/>
      <w:r w:rsidRPr="001016D6">
        <w:rPr>
          <w:rFonts w:ascii="Times New Roman" w:eastAsia="SimSun" w:hAnsi="Times New Roman" w:cs="Times New Roman"/>
          <w:color w:val="000000" w:themeColor="text1"/>
          <w:sz w:val="24"/>
          <w:szCs w:val="24"/>
        </w:rPr>
        <w:t>edema</w:t>
      </w:r>
      <w:proofErr w:type="spellEnd"/>
      <w:r w:rsidRPr="001016D6">
        <w:rPr>
          <w:rFonts w:ascii="Times New Roman" w:eastAsia="SimSun" w:hAnsi="Times New Roman" w:cs="Times New Roman"/>
          <w:color w:val="000000" w:themeColor="text1"/>
          <w:sz w:val="24"/>
          <w:szCs w:val="24"/>
        </w:rPr>
        <w:t xml:space="preserve"> (29.1%), retinal vein occlusion (9.1%), AMD (4.5%), choroidal neovascularization (2.7%) (</w:t>
      </w:r>
      <w:r w:rsidRPr="001016D6">
        <w:rPr>
          <w:rFonts w:ascii="Times New Roman" w:eastAsia="SimSun" w:hAnsi="Times New Roman" w:cs="Times New Roman"/>
          <w:b/>
          <w:color w:val="000000" w:themeColor="text1"/>
          <w:sz w:val="24"/>
          <w:szCs w:val="24"/>
        </w:rPr>
        <w:t>Figure1</w:t>
      </w:r>
      <w:r w:rsidRPr="001016D6">
        <w:rPr>
          <w:rFonts w:ascii="Times New Roman" w:eastAsia="SimSun" w:hAnsi="Times New Roman" w:cs="Times New Roman"/>
          <w:color w:val="000000" w:themeColor="text1"/>
          <w:sz w:val="24"/>
          <w:szCs w:val="24"/>
        </w:rPr>
        <w:t>).</w:t>
      </w:r>
    </w:p>
    <w:p w14:paraId="2B3FC6C0" w14:textId="77777777" w:rsidR="00EF6979" w:rsidRPr="001016D6" w:rsidRDefault="00EF6979" w:rsidP="001A3D64">
      <w:pPr>
        <w:spacing w:after="200" w:line="360" w:lineRule="auto"/>
        <w:rPr>
          <w:rFonts w:ascii="Times New Roman" w:eastAsia="SimSun" w:hAnsi="Times New Roman" w:cs="Times New Roman"/>
          <w:color w:val="000000" w:themeColor="text1"/>
          <w:sz w:val="24"/>
          <w:szCs w:val="24"/>
        </w:rPr>
      </w:pPr>
      <w:bookmarkStart w:id="6" w:name="_Toc171518290"/>
      <w:r w:rsidRPr="001016D6">
        <w:rPr>
          <w:rFonts w:ascii="Times New Roman" w:eastAsia="SimSun" w:hAnsi="Times New Roman" w:cs="Times New Roman"/>
          <w:noProof/>
          <w:color w:val="000000" w:themeColor="text1"/>
          <w:sz w:val="24"/>
          <w:szCs w:val="24"/>
          <w:lang w:eastAsia="en-GB"/>
        </w:rPr>
        <w:drawing>
          <wp:inline distT="0" distB="0" distL="0" distR="0" wp14:anchorId="0C5122DF" wp14:editId="1FB3775E">
            <wp:extent cx="5671820" cy="3448050"/>
            <wp:effectExtent l="0" t="0" r="5080" b="0"/>
            <wp:docPr id="2" name="Chart 2">
              <a:extLst xmlns:a="http://schemas.openxmlformats.org/drawingml/2006/main">
                <a:ext uri="{FF2B5EF4-FFF2-40B4-BE49-F238E27FC236}">
                  <a16:creationId xmlns:a16="http://schemas.microsoft.com/office/drawing/2014/main" id="{1DD91873-6B68-492D-B84A-98451E6589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B887D2" w14:textId="77777777" w:rsidR="00EF6979" w:rsidRPr="001016D6" w:rsidRDefault="00EF6979" w:rsidP="001A3D64">
      <w:pPr>
        <w:spacing w:before="240" w:after="0" w:line="360" w:lineRule="auto"/>
        <w:rPr>
          <w:rFonts w:ascii="Times New Roman" w:eastAsia="SimSun" w:hAnsi="Times New Roman" w:cs="Times New Roman"/>
          <w:b/>
          <w:bCs/>
          <w:color w:val="000000" w:themeColor="text1"/>
          <w:sz w:val="24"/>
          <w:szCs w:val="24"/>
        </w:rPr>
      </w:pPr>
      <w:bookmarkStart w:id="7" w:name="_Toc171518294"/>
      <w:bookmarkStart w:id="8" w:name="_Toc201683027"/>
      <w:r w:rsidRPr="001016D6">
        <w:rPr>
          <w:rFonts w:ascii="Times New Roman" w:eastAsia="SimSun" w:hAnsi="Times New Roman" w:cs="Times New Roman"/>
          <w:b/>
          <w:bCs/>
          <w:color w:val="000000" w:themeColor="text1"/>
          <w:sz w:val="24"/>
          <w:szCs w:val="24"/>
        </w:rPr>
        <w:t xml:space="preserve">Figure </w:t>
      </w:r>
      <w:r w:rsidRPr="001016D6">
        <w:rPr>
          <w:rFonts w:ascii="Times New Roman" w:eastAsia="SimSun" w:hAnsi="Times New Roman" w:cs="Times New Roman"/>
          <w:b/>
          <w:bCs/>
          <w:color w:val="000000" w:themeColor="text1"/>
          <w:sz w:val="24"/>
          <w:szCs w:val="24"/>
        </w:rPr>
        <w:fldChar w:fldCharType="begin"/>
      </w:r>
      <w:r w:rsidRPr="001016D6">
        <w:rPr>
          <w:rFonts w:ascii="Times New Roman" w:eastAsia="SimSun" w:hAnsi="Times New Roman" w:cs="Times New Roman"/>
          <w:b/>
          <w:bCs/>
          <w:color w:val="000000" w:themeColor="text1"/>
          <w:sz w:val="24"/>
          <w:szCs w:val="24"/>
        </w:rPr>
        <w:instrText xml:space="preserve"> SEQ Figure \* ARABIC </w:instrText>
      </w:r>
      <w:r w:rsidRPr="001016D6">
        <w:rPr>
          <w:rFonts w:ascii="Times New Roman" w:eastAsia="SimSun" w:hAnsi="Times New Roman" w:cs="Times New Roman"/>
          <w:b/>
          <w:bCs/>
          <w:color w:val="000000" w:themeColor="text1"/>
          <w:sz w:val="24"/>
          <w:szCs w:val="24"/>
        </w:rPr>
        <w:fldChar w:fldCharType="separate"/>
      </w:r>
      <w:r w:rsidR="00BF1629" w:rsidRPr="001016D6">
        <w:rPr>
          <w:rFonts w:ascii="Times New Roman" w:eastAsia="SimSun" w:hAnsi="Times New Roman" w:cs="Times New Roman"/>
          <w:b/>
          <w:bCs/>
          <w:noProof/>
          <w:color w:val="000000" w:themeColor="text1"/>
          <w:sz w:val="24"/>
          <w:szCs w:val="24"/>
        </w:rPr>
        <w:t>1</w:t>
      </w:r>
      <w:r w:rsidRPr="001016D6">
        <w:rPr>
          <w:rFonts w:ascii="Times New Roman" w:eastAsia="SimSun" w:hAnsi="Times New Roman" w:cs="Times New Roman"/>
          <w:b/>
          <w:bCs/>
          <w:color w:val="000000" w:themeColor="text1"/>
          <w:sz w:val="24"/>
          <w:szCs w:val="24"/>
        </w:rPr>
        <w:fldChar w:fldCharType="end"/>
      </w:r>
      <w:r w:rsidRPr="001016D6">
        <w:rPr>
          <w:rFonts w:ascii="Times New Roman" w:eastAsia="SimSun" w:hAnsi="Times New Roman" w:cs="Times New Roman"/>
          <w:b/>
          <w:bCs/>
          <w:color w:val="000000" w:themeColor="text1"/>
          <w:sz w:val="24"/>
          <w:szCs w:val="24"/>
        </w:rPr>
        <w:t>:</w:t>
      </w:r>
      <w:bookmarkStart w:id="9" w:name="_Hlk198499520"/>
      <w:r w:rsidRPr="001016D6">
        <w:rPr>
          <w:rFonts w:ascii="Times New Roman" w:eastAsia="SimSun" w:hAnsi="Times New Roman" w:cs="Times New Roman"/>
          <w:b/>
          <w:bCs/>
          <w:color w:val="000000" w:themeColor="text1"/>
          <w:sz w:val="24"/>
          <w:szCs w:val="24"/>
        </w:rPr>
        <w:t xml:space="preserve"> Triamcinolone </w:t>
      </w:r>
      <w:bookmarkEnd w:id="9"/>
      <w:r w:rsidRPr="001016D6">
        <w:rPr>
          <w:rFonts w:ascii="Times New Roman" w:eastAsia="SimSun" w:hAnsi="Times New Roman" w:cs="Times New Roman"/>
          <w:b/>
          <w:bCs/>
          <w:color w:val="000000" w:themeColor="text1"/>
          <w:sz w:val="24"/>
          <w:szCs w:val="24"/>
        </w:rPr>
        <w:t>indication among participants (N=110).</w:t>
      </w:r>
      <w:bookmarkEnd w:id="7"/>
      <w:bookmarkEnd w:id="8"/>
    </w:p>
    <w:p w14:paraId="6A3F557C" w14:textId="77777777" w:rsidR="00EF6979" w:rsidRPr="001016D6" w:rsidRDefault="00EF6979" w:rsidP="001A3D64">
      <w:pPr>
        <w:spacing w:after="200" w:line="360" w:lineRule="auto"/>
        <w:rPr>
          <w:rFonts w:ascii="Times New Roman" w:eastAsia="SimSun" w:hAnsi="Times New Roman" w:cs="Times New Roman"/>
          <w:color w:val="000000" w:themeColor="text1"/>
          <w:sz w:val="24"/>
          <w:szCs w:val="24"/>
        </w:rPr>
      </w:pPr>
      <w:r w:rsidRPr="001016D6">
        <w:rPr>
          <w:rFonts w:ascii="Times New Roman" w:eastAsia="SimSun" w:hAnsi="Times New Roman" w:cs="Times New Roman"/>
          <w:color w:val="000000" w:themeColor="text1"/>
          <w:sz w:val="24"/>
          <w:szCs w:val="24"/>
          <w:shd w:val="clear" w:color="auto" w:fill="FFFFFF"/>
        </w:rPr>
        <w:t xml:space="preserve">Cystoid macular </w:t>
      </w:r>
      <w:proofErr w:type="spellStart"/>
      <w:r w:rsidRPr="001016D6">
        <w:rPr>
          <w:rFonts w:ascii="Times New Roman" w:eastAsia="SimSun" w:hAnsi="Times New Roman" w:cs="Times New Roman"/>
          <w:color w:val="000000" w:themeColor="text1"/>
          <w:sz w:val="24"/>
          <w:szCs w:val="24"/>
          <w:shd w:val="clear" w:color="auto" w:fill="FFFFFF"/>
        </w:rPr>
        <w:t>edema</w:t>
      </w:r>
      <w:proofErr w:type="spellEnd"/>
      <w:r w:rsidRPr="001016D6">
        <w:rPr>
          <w:rFonts w:ascii="Times New Roman" w:eastAsia="SimSun" w:hAnsi="Times New Roman" w:cs="Times New Roman"/>
          <w:color w:val="000000" w:themeColor="text1"/>
          <w:sz w:val="24"/>
          <w:szCs w:val="24"/>
          <w:shd w:val="clear" w:color="auto" w:fill="FFFFFF"/>
        </w:rPr>
        <w:t>(</w:t>
      </w:r>
      <w:r w:rsidRPr="001016D6">
        <w:rPr>
          <w:rFonts w:ascii="Times New Roman" w:eastAsia="SimSun" w:hAnsi="Times New Roman" w:cs="Times New Roman"/>
          <w:color w:val="000000" w:themeColor="text1"/>
          <w:sz w:val="24"/>
          <w:szCs w:val="24"/>
        </w:rPr>
        <w:t>CME</w:t>
      </w:r>
      <w:r w:rsidRPr="001016D6">
        <w:rPr>
          <w:rFonts w:ascii="Times New Roman" w:eastAsia="SimSun" w:hAnsi="Times New Roman" w:cs="Times New Roman"/>
          <w:color w:val="000000" w:themeColor="text1"/>
          <w:sz w:val="24"/>
          <w:szCs w:val="24"/>
          <w:shd w:val="clear" w:color="auto" w:fill="FFFFFF"/>
        </w:rPr>
        <w:t xml:space="preserve">), retinal vein occlusion (RVO), age-related macular degeneration (AMD), and Diabetic macular </w:t>
      </w:r>
      <w:proofErr w:type="spellStart"/>
      <w:r w:rsidRPr="001016D6">
        <w:rPr>
          <w:rFonts w:ascii="Times New Roman" w:eastAsia="SimSun" w:hAnsi="Times New Roman" w:cs="Times New Roman"/>
          <w:color w:val="000000" w:themeColor="text1"/>
          <w:sz w:val="24"/>
          <w:szCs w:val="24"/>
          <w:shd w:val="clear" w:color="auto" w:fill="FFFFFF"/>
        </w:rPr>
        <w:t>edema</w:t>
      </w:r>
      <w:proofErr w:type="spellEnd"/>
      <w:r w:rsidRPr="001016D6">
        <w:rPr>
          <w:rFonts w:ascii="Times New Roman" w:eastAsia="SimSun" w:hAnsi="Times New Roman" w:cs="Times New Roman"/>
          <w:color w:val="000000" w:themeColor="text1"/>
          <w:sz w:val="24"/>
          <w:szCs w:val="24"/>
          <w:shd w:val="clear" w:color="auto" w:fill="FFFFFF"/>
        </w:rPr>
        <w:t>(DME)</w:t>
      </w:r>
    </w:p>
    <w:p w14:paraId="1ABF59DB" w14:textId="77777777" w:rsidR="00EF6979" w:rsidRPr="001016D6" w:rsidRDefault="00EF6979" w:rsidP="001A3D64">
      <w:pPr>
        <w:pStyle w:val="Heading2"/>
        <w:spacing w:line="360" w:lineRule="auto"/>
        <w:rPr>
          <w:rFonts w:ascii="Times New Roman" w:eastAsia="Calibri" w:hAnsi="Times New Roman" w:cs="Times New Roman"/>
          <w:color w:val="000000" w:themeColor="text1"/>
          <w:sz w:val="24"/>
          <w:szCs w:val="24"/>
        </w:rPr>
      </w:pPr>
      <w:bookmarkStart w:id="10" w:name="_Toc201688044"/>
      <w:r w:rsidRPr="001016D6">
        <w:rPr>
          <w:rFonts w:ascii="Times New Roman" w:eastAsia="Calibri" w:hAnsi="Times New Roman" w:cs="Times New Roman"/>
          <w:color w:val="000000" w:themeColor="text1"/>
          <w:sz w:val="24"/>
          <w:szCs w:val="24"/>
        </w:rPr>
        <w:t>4.2 Incidence of Ocular hypertension</w:t>
      </w:r>
      <w:bookmarkEnd w:id="10"/>
    </w:p>
    <w:p w14:paraId="39E6D7F0" w14:textId="77777777" w:rsidR="00EF6979" w:rsidRPr="001016D6" w:rsidRDefault="00EF6979" w:rsidP="001A3D64">
      <w:pPr>
        <w:spacing w:after="0" w:line="360" w:lineRule="auto"/>
        <w:jc w:val="both"/>
        <w:rPr>
          <w:rFonts w:ascii="Times New Roman" w:eastAsia="SimSun" w:hAnsi="Times New Roman" w:cs="Times New Roman"/>
          <w:color w:val="000000" w:themeColor="text1"/>
          <w:sz w:val="24"/>
          <w:szCs w:val="24"/>
        </w:rPr>
      </w:pPr>
      <w:r w:rsidRPr="001016D6">
        <w:rPr>
          <w:rFonts w:ascii="Times New Roman" w:eastAsia="SimSun" w:hAnsi="Times New Roman" w:cs="Times New Roman"/>
          <w:color w:val="000000" w:themeColor="text1"/>
          <w:sz w:val="24"/>
          <w:szCs w:val="24"/>
        </w:rPr>
        <w:t xml:space="preserve">The overall incidence of ocular hypertension was 35% (39/110). </w:t>
      </w:r>
    </w:p>
    <w:p w14:paraId="67F6E08F" w14:textId="77777777" w:rsidR="00EF6979" w:rsidRPr="001016D6" w:rsidRDefault="00EF6979" w:rsidP="001A3D64">
      <w:pPr>
        <w:spacing w:after="200" w:line="360" w:lineRule="auto"/>
        <w:jc w:val="both"/>
        <w:rPr>
          <w:rFonts w:ascii="Times New Roman" w:eastAsia="SimSun" w:hAnsi="Times New Roman" w:cs="Times New Roman"/>
          <w:color w:val="000000" w:themeColor="text1"/>
          <w:sz w:val="24"/>
          <w:szCs w:val="24"/>
        </w:rPr>
      </w:pPr>
      <w:r w:rsidRPr="001016D6">
        <w:rPr>
          <w:rFonts w:ascii="Times New Roman" w:eastAsia="SimSun" w:hAnsi="Times New Roman" w:cs="Times New Roman"/>
          <w:color w:val="000000" w:themeColor="text1"/>
          <w:sz w:val="24"/>
          <w:szCs w:val="24"/>
        </w:rPr>
        <w:t xml:space="preserve">At each follow-up, the overall incidence of participants with intraocular pressure, immediately after injection, 2 weeks and 6 </w:t>
      </w:r>
      <w:r w:rsidR="00AE2366" w:rsidRPr="001016D6">
        <w:rPr>
          <w:rFonts w:ascii="Times New Roman" w:eastAsia="SimSun" w:hAnsi="Times New Roman" w:cs="Times New Roman"/>
          <w:color w:val="000000" w:themeColor="text1"/>
          <w:sz w:val="24"/>
          <w:szCs w:val="24"/>
        </w:rPr>
        <w:t>weeks’</w:t>
      </w:r>
      <w:r w:rsidRPr="001016D6">
        <w:rPr>
          <w:rFonts w:ascii="Times New Roman" w:eastAsia="SimSun" w:hAnsi="Times New Roman" w:cs="Times New Roman"/>
          <w:color w:val="000000" w:themeColor="text1"/>
          <w:sz w:val="24"/>
          <w:szCs w:val="24"/>
        </w:rPr>
        <w:t xml:space="preserve"> follow-up were 108(98.2%), 37(33.6%) and 34(30.9%) respectively. Among those with immediate IOP, 4(3.7%) persisted for 2 weeks only (4/108) and 34(31.48%) persisted for 6 weeks (34/108) but among those participants whose IOP persisted for 6 weeks, the IOP of two participants were not observed within 2 weeks’ follow-up. The intraocular pressure higher than 21 mmHg were 29(26.4%) and 27(24.5%) that persisted for 2 weeks and 6 weeks’ follow-ups after injection respectively while those who had ocular hypertension more than 5 mmHg from baseline had </w:t>
      </w:r>
      <w:r w:rsidRPr="001016D6">
        <w:rPr>
          <w:rFonts w:ascii="Times New Roman" w:eastAsia="Calibri" w:hAnsi="Times New Roman" w:cs="Times New Roman"/>
          <w:color w:val="000000" w:themeColor="text1"/>
          <w:sz w:val="24"/>
          <w:szCs w:val="24"/>
        </w:rPr>
        <w:t xml:space="preserve">8(7.3%) and </w:t>
      </w:r>
      <w:r w:rsidRPr="001016D6">
        <w:rPr>
          <w:rFonts w:ascii="Times New Roman" w:eastAsia="SimSun" w:hAnsi="Times New Roman" w:cs="Times New Roman"/>
          <w:color w:val="000000" w:themeColor="text1"/>
          <w:sz w:val="24"/>
          <w:szCs w:val="24"/>
        </w:rPr>
        <w:t>7(7.4%) that persisted for 2 weeks and 6 weeks respectively more details in (</w:t>
      </w:r>
      <w:r w:rsidRPr="001016D6">
        <w:rPr>
          <w:rFonts w:ascii="Times New Roman" w:eastAsia="SimSun" w:hAnsi="Times New Roman" w:cs="Times New Roman"/>
          <w:b/>
          <w:color w:val="000000" w:themeColor="text1"/>
          <w:sz w:val="24"/>
          <w:szCs w:val="24"/>
        </w:rPr>
        <w:t>Table 2</w:t>
      </w:r>
      <w:r w:rsidRPr="001016D6">
        <w:rPr>
          <w:rFonts w:ascii="Times New Roman" w:eastAsia="SimSun" w:hAnsi="Times New Roman" w:cs="Times New Roman"/>
          <w:color w:val="000000" w:themeColor="text1"/>
          <w:sz w:val="24"/>
          <w:szCs w:val="24"/>
        </w:rPr>
        <w:t>)</w:t>
      </w:r>
    </w:p>
    <w:p w14:paraId="0511CE01" w14:textId="77777777" w:rsidR="00EF6979" w:rsidRPr="001016D6" w:rsidRDefault="00EF6979" w:rsidP="001A3D64">
      <w:pPr>
        <w:pStyle w:val="Caption"/>
        <w:rPr>
          <w:color w:val="000000" w:themeColor="text1"/>
          <w:szCs w:val="24"/>
        </w:rPr>
      </w:pPr>
      <w:bookmarkStart w:id="11" w:name="_Toc201683030"/>
      <w:r w:rsidRPr="001016D6">
        <w:rPr>
          <w:color w:val="000000" w:themeColor="text1"/>
          <w:szCs w:val="24"/>
        </w:rPr>
        <w:lastRenderedPageBreak/>
        <w:t xml:space="preserve">Table </w:t>
      </w:r>
      <w:r w:rsidRPr="001016D6">
        <w:rPr>
          <w:color w:val="000000" w:themeColor="text1"/>
          <w:szCs w:val="24"/>
        </w:rPr>
        <w:fldChar w:fldCharType="begin"/>
      </w:r>
      <w:r w:rsidRPr="001016D6">
        <w:rPr>
          <w:color w:val="000000" w:themeColor="text1"/>
          <w:szCs w:val="24"/>
        </w:rPr>
        <w:instrText xml:space="preserve"> SEQ Table \* ARABIC </w:instrText>
      </w:r>
      <w:r w:rsidRPr="001016D6">
        <w:rPr>
          <w:color w:val="000000" w:themeColor="text1"/>
          <w:szCs w:val="24"/>
        </w:rPr>
        <w:fldChar w:fldCharType="separate"/>
      </w:r>
      <w:r w:rsidR="00BF1629" w:rsidRPr="001016D6">
        <w:rPr>
          <w:noProof/>
          <w:color w:val="000000" w:themeColor="text1"/>
          <w:szCs w:val="24"/>
        </w:rPr>
        <w:t>2</w:t>
      </w:r>
      <w:r w:rsidRPr="001016D6">
        <w:rPr>
          <w:noProof/>
          <w:color w:val="000000" w:themeColor="text1"/>
          <w:szCs w:val="24"/>
        </w:rPr>
        <w:fldChar w:fldCharType="end"/>
      </w:r>
      <w:r w:rsidRPr="001016D6">
        <w:rPr>
          <w:color w:val="000000" w:themeColor="text1"/>
          <w:szCs w:val="24"/>
        </w:rPr>
        <w:t>: Distribution of IOP readings (Prior to IOP Injection to 6 Weeks   After Injection) based on raised levels (N=110)</w:t>
      </w:r>
      <w:bookmarkEnd w:id="11"/>
    </w:p>
    <w:tbl>
      <w:tblPr>
        <w:tblStyle w:val="PlainTable21"/>
        <w:tblW w:w="9750" w:type="dxa"/>
        <w:tblLook w:val="04A0" w:firstRow="1" w:lastRow="0" w:firstColumn="1" w:lastColumn="0" w:noHBand="0" w:noVBand="1"/>
      </w:tblPr>
      <w:tblGrid>
        <w:gridCol w:w="3355"/>
        <w:gridCol w:w="1548"/>
        <w:gridCol w:w="2408"/>
        <w:gridCol w:w="2439"/>
      </w:tblGrid>
      <w:tr w:rsidR="001A3D64" w:rsidRPr="001016D6" w14:paraId="16F1ED4D" w14:textId="77777777" w:rsidTr="00C62744">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3355" w:type="dxa"/>
          </w:tcPr>
          <w:p w14:paraId="1718C01A" w14:textId="77777777" w:rsidR="00EF6979" w:rsidRPr="001016D6" w:rsidRDefault="00EF6979" w:rsidP="001A3D64">
            <w:pPr>
              <w:spacing w:line="360" w:lineRule="auto"/>
              <w:rPr>
                <w:rFonts w:ascii="Times New Roman" w:eastAsia="SimSun" w:hAnsi="Times New Roman" w:cs="Times New Roman"/>
                <w:color w:val="000000" w:themeColor="text1"/>
                <w:sz w:val="24"/>
                <w:szCs w:val="24"/>
              </w:rPr>
            </w:pPr>
          </w:p>
        </w:tc>
        <w:tc>
          <w:tcPr>
            <w:tcW w:w="1548" w:type="dxa"/>
          </w:tcPr>
          <w:p w14:paraId="2B8E60B7" w14:textId="77777777" w:rsidR="00EF6979" w:rsidRPr="001016D6" w:rsidRDefault="00EF6979" w:rsidP="001A3D6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t>Normal IOP</w:t>
            </w:r>
          </w:p>
        </w:tc>
        <w:tc>
          <w:tcPr>
            <w:tcW w:w="2408" w:type="dxa"/>
          </w:tcPr>
          <w:p w14:paraId="102119F6" w14:textId="77777777" w:rsidR="00EF6979" w:rsidRPr="001016D6" w:rsidRDefault="00EF6979" w:rsidP="001A3D6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t>Ocular hypertension ≥21 mmHg</w:t>
            </w:r>
          </w:p>
        </w:tc>
        <w:tc>
          <w:tcPr>
            <w:tcW w:w="2439" w:type="dxa"/>
          </w:tcPr>
          <w:p w14:paraId="60ED9ECC" w14:textId="77777777" w:rsidR="00EF6979" w:rsidRPr="001016D6" w:rsidRDefault="00EF6979" w:rsidP="001A3D6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t>Ocular hypertension    &gt;5 mmHg</w:t>
            </w:r>
          </w:p>
        </w:tc>
      </w:tr>
      <w:tr w:rsidR="001A3D64" w:rsidRPr="001016D6" w14:paraId="51640BB1" w14:textId="77777777" w:rsidTr="00C62744">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3355" w:type="dxa"/>
          </w:tcPr>
          <w:p w14:paraId="5A2959BE" w14:textId="77777777" w:rsidR="00EF6979" w:rsidRPr="001016D6" w:rsidRDefault="00EF6979" w:rsidP="001A3D64">
            <w:pPr>
              <w:spacing w:line="360" w:lineRule="auto"/>
              <w:rPr>
                <w:rFonts w:ascii="Times New Roman" w:eastAsia="SimSun" w:hAnsi="Times New Roman" w:cs="Times New Roman"/>
                <w:color w:val="000000" w:themeColor="text1"/>
                <w:sz w:val="24"/>
                <w:szCs w:val="24"/>
              </w:rPr>
            </w:pPr>
          </w:p>
        </w:tc>
        <w:tc>
          <w:tcPr>
            <w:tcW w:w="1548" w:type="dxa"/>
          </w:tcPr>
          <w:p w14:paraId="7F64C5C1" w14:textId="77777777" w:rsidR="00EF6979" w:rsidRPr="001016D6" w:rsidRDefault="00EF6979" w:rsidP="001A3D64">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16D6">
              <w:rPr>
                <w:rFonts w:ascii="Times New Roman" w:hAnsi="Times New Roman" w:cs="Times New Roman"/>
                <w:color w:val="000000" w:themeColor="text1"/>
                <w:sz w:val="24"/>
                <w:szCs w:val="24"/>
              </w:rPr>
              <w:t>n (%)</w:t>
            </w:r>
          </w:p>
        </w:tc>
        <w:tc>
          <w:tcPr>
            <w:tcW w:w="2408" w:type="dxa"/>
          </w:tcPr>
          <w:p w14:paraId="5803875B" w14:textId="77777777" w:rsidR="00EF6979" w:rsidRPr="001016D6" w:rsidRDefault="00EF6979" w:rsidP="001A3D64">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16D6">
              <w:rPr>
                <w:rFonts w:ascii="Times New Roman" w:hAnsi="Times New Roman" w:cs="Times New Roman"/>
                <w:color w:val="000000" w:themeColor="text1"/>
                <w:sz w:val="24"/>
                <w:szCs w:val="24"/>
              </w:rPr>
              <w:t>n (%)</w:t>
            </w:r>
          </w:p>
        </w:tc>
        <w:tc>
          <w:tcPr>
            <w:tcW w:w="2439" w:type="dxa"/>
          </w:tcPr>
          <w:p w14:paraId="1A6C8CD8" w14:textId="77777777" w:rsidR="00EF6979" w:rsidRPr="001016D6" w:rsidRDefault="00EF6979" w:rsidP="001A3D64">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16D6">
              <w:rPr>
                <w:rFonts w:ascii="Times New Roman" w:hAnsi="Times New Roman" w:cs="Times New Roman"/>
                <w:color w:val="000000" w:themeColor="text1"/>
                <w:sz w:val="24"/>
                <w:szCs w:val="24"/>
              </w:rPr>
              <w:t>n (%)</w:t>
            </w:r>
          </w:p>
        </w:tc>
      </w:tr>
      <w:tr w:rsidR="001A3D64" w:rsidRPr="001016D6" w14:paraId="0CAEB7E7" w14:textId="77777777" w:rsidTr="00C62744">
        <w:trPr>
          <w:trHeight w:val="323"/>
        </w:trPr>
        <w:tc>
          <w:tcPr>
            <w:cnfStyle w:val="001000000000" w:firstRow="0" w:lastRow="0" w:firstColumn="1" w:lastColumn="0" w:oddVBand="0" w:evenVBand="0" w:oddHBand="0" w:evenHBand="0" w:firstRowFirstColumn="0" w:firstRowLastColumn="0" w:lastRowFirstColumn="0" w:lastRowLastColumn="0"/>
            <w:tcW w:w="3355" w:type="dxa"/>
          </w:tcPr>
          <w:p w14:paraId="06215B3F" w14:textId="77777777" w:rsidR="00EF6979" w:rsidRPr="001016D6" w:rsidRDefault="00EF6979" w:rsidP="001A3D64">
            <w:pPr>
              <w:spacing w:line="360" w:lineRule="auto"/>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t>Prior to IOP Injection</w:t>
            </w:r>
          </w:p>
        </w:tc>
        <w:tc>
          <w:tcPr>
            <w:tcW w:w="1548" w:type="dxa"/>
          </w:tcPr>
          <w:p w14:paraId="48B6407A" w14:textId="77777777" w:rsidR="00EF6979" w:rsidRPr="001016D6" w:rsidRDefault="00EF6979" w:rsidP="001A3D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t>110(100)</w:t>
            </w:r>
          </w:p>
        </w:tc>
        <w:tc>
          <w:tcPr>
            <w:tcW w:w="2408" w:type="dxa"/>
          </w:tcPr>
          <w:p w14:paraId="12D451D4" w14:textId="77777777" w:rsidR="00EF6979" w:rsidRPr="001016D6" w:rsidRDefault="00EF6979" w:rsidP="001A3D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eastAsia="SimSun" w:hAnsi="Times New Roman" w:cs="Times New Roman"/>
                <w:color w:val="000000" w:themeColor="text1"/>
                <w:sz w:val="24"/>
                <w:szCs w:val="24"/>
              </w:rPr>
              <w:t>-</w:t>
            </w:r>
          </w:p>
        </w:tc>
        <w:tc>
          <w:tcPr>
            <w:tcW w:w="2439" w:type="dxa"/>
          </w:tcPr>
          <w:p w14:paraId="7653ECC2" w14:textId="77777777" w:rsidR="00EF6979" w:rsidRPr="001016D6" w:rsidRDefault="00EF6979" w:rsidP="001A3D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eastAsia="SimSun" w:hAnsi="Times New Roman" w:cs="Times New Roman"/>
                <w:color w:val="000000" w:themeColor="text1"/>
                <w:sz w:val="24"/>
                <w:szCs w:val="24"/>
              </w:rPr>
              <w:t>-</w:t>
            </w:r>
          </w:p>
        </w:tc>
      </w:tr>
      <w:tr w:rsidR="001A3D64" w:rsidRPr="001016D6" w14:paraId="307157C6" w14:textId="77777777" w:rsidTr="00C62744">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3355" w:type="dxa"/>
          </w:tcPr>
          <w:p w14:paraId="25D1E246" w14:textId="77777777" w:rsidR="00EF6979" w:rsidRPr="001016D6" w:rsidRDefault="00EF6979" w:rsidP="001A3D64">
            <w:pPr>
              <w:spacing w:line="360" w:lineRule="auto"/>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t>Immediate After IOP injection</w:t>
            </w:r>
          </w:p>
        </w:tc>
        <w:tc>
          <w:tcPr>
            <w:tcW w:w="1548" w:type="dxa"/>
          </w:tcPr>
          <w:p w14:paraId="7FE26A99" w14:textId="77777777" w:rsidR="00EF6979" w:rsidRPr="001016D6" w:rsidRDefault="00EF6979" w:rsidP="001A3D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t>2(1.8)</w:t>
            </w:r>
          </w:p>
        </w:tc>
        <w:tc>
          <w:tcPr>
            <w:tcW w:w="2408" w:type="dxa"/>
          </w:tcPr>
          <w:p w14:paraId="2C206140" w14:textId="77777777" w:rsidR="00EF6979" w:rsidRPr="001016D6" w:rsidRDefault="00EF6979" w:rsidP="001A3D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t>99(90)</w:t>
            </w:r>
          </w:p>
        </w:tc>
        <w:tc>
          <w:tcPr>
            <w:tcW w:w="2439" w:type="dxa"/>
          </w:tcPr>
          <w:p w14:paraId="713F9CDA" w14:textId="77777777" w:rsidR="00EF6979" w:rsidRPr="001016D6" w:rsidRDefault="00EF6979" w:rsidP="001A3D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t>9(8.2)</w:t>
            </w:r>
          </w:p>
        </w:tc>
      </w:tr>
      <w:tr w:rsidR="001A3D64" w:rsidRPr="001016D6" w14:paraId="29CC14F8" w14:textId="77777777" w:rsidTr="00C62744">
        <w:trPr>
          <w:trHeight w:val="333"/>
        </w:trPr>
        <w:tc>
          <w:tcPr>
            <w:cnfStyle w:val="001000000000" w:firstRow="0" w:lastRow="0" w:firstColumn="1" w:lastColumn="0" w:oddVBand="0" w:evenVBand="0" w:oddHBand="0" w:evenHBand="0" w:firstRowFirstColumn="0" w:firstRowLastColumn="0" w:lastRowFirstColumn="0" w:lastRowLastColumn="0"/>
            <w:tcW w:w="3355" w:type="dxa"/>
          </w:tcPr>
          <w:p w14:paraId="07411515" w14:textId="77777777" w:rsidR="00EF6979" w:rsidRPr="001016D6" w:rsidRDefault="00EF6979" w:rsidP="001A3D64">
            <w:pPr>
              <w:spacing w:line="360" w:lineRule="auto"/>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t>IOP at 2 Weeks After Injection</w:t>
            </w:r>
          </w:p>
        </w:tc>
        <w:tc>
          <w:tcPr>
            <w:tcW w:w="1548" w:type="dxa"/>
          </w:tcPr>
          <w:p w14:paraId="66D28B69" w14:textId="77777777" w:rsidR="00EF6979" w:rsidRPr="001016D6" w:rsidRDefault="00EF6979" w:rsidP="001A3D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t>73(66.4)</w:t>
            </w:r>
          </w:p>
        </w:tc>
        <w:tc>
          <w:tcPr>
            <w:tcW w:w="2408" w:type="dxa"/>
          </w:tcPr>
          <w:p w14:paraId="363B319B" w14:textId="77777777" w:rsidR="00EF6979" w:rsidRPr="001016D6" w:rsidRDefault="00EF6979" w:rsidP="001A3D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t>29(26.4)</w:t>
            </w:r>
          </w:p>
        </w:tc>
        <w:tc>
          <w:tcPr>
            <w:tcW w:w="2439" w:type="dxa"/>
          </w:tcPr>
          <w:p w14:paraId="17EAE7D2" w14:textId="77777777" w:rsidR="00EF6979" w:rsidRPr="001016D6" w:rsidRDefault="00EF6979" w:rsidP="001A3D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t>8(7.3)</w:t>
            </w:r>
          </w:p>
        </w:tc>
      </w:tr>
      <w:tr w:rsidR="001A3D64" w:rsidRPr="001016D6" w14:paraId="63A6B2B4" w14:textId="77777777" w:rsidTr="00C62744">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355" w:type="dxa"/>
          </w:tcPr>
          <w:p w14:paraId="154D31FB" w14:textId="77777777" w:rsidR="00EF6979" w:rsidRPr="001016D6" w:rsidRDefault="00EF6979" w:rsidP="001A3D64">
            <w:pPr>
              <w:autoSpaceDE w:val="0"/>
              <w:autoSpaceDN w:val="0"/>
              <w:adjustRightInd w:val="0"/>
              <w:spacing w:line="360" w:lineRule="auto"/>
              <w:rPr>
                <w:rFonts w:ascii="Times New Roman" w:hAnsi="Times New Roman" w:cs="Times New Roman"/>
                <w:color w:val="000000" w:themeColor="text1"/>
                <w:sz w:val="24"/>
                <w:szCs w:val="24"/>
              </w:rPr>
            </w:pPr>
            <w:r w:rsidRPr="001016D6">
              <w:rPr>
                <w:rFonts w:ascii="Times New Roman" w:hAnsi="Times New Roman" w:cs="Times New Roman"/>
                <w:color w:val="000000" w:themeColor="text1"/>
                <w:sz w:val="24"/>
                <w:szCs w:val="24"/>
              </w:rPr>
              <w:t>IOP at 6 Weeks After Injection</w:t>
            </w:r>
          </w:p>
        </w:tc>
        <w:tc>
          <w:tcPr>
            <w:tcW w:w="1548" w:type="dxa"/>
          </w:tcPr>
          <w:p w14:paraId="4D833363" w14:textId="77777777" w:rsidR="00EF6979" w:rsidRPr="001016D6" w:rsidRDefault="00EF6979" w:rsidP="001A3D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eastAsia="SimSun" w:hAnsi="Times New Roman" w:cs="Times New Roman"/>
                <w:color w:val="000000" w:themeColor="text1"/>
                <w:sz w:val="24"/>
                <w:szCs w:val="24"/>
              </w:rPr>
              <w:t>76(69.1)</w:t>
            </w:r>
          </w:p>
        </w:tc>
        <w:tc>
          <w:tcPr>
            <w:tcW w:w="2408" w:type="dxa"/>
          </w:tcPr>
          <w:p w14:paraId="3D574890" w14:textId="77777777" w:rsidR="00EF6979" w:rsidRPr="001016D6" w:rsidRDefault="00EF6979" w:rsidP="001A3D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t>27(24.5)</w:t>
            </w:r>
          </w:p>
        </w:tc>
        <w:tc>
          <w:tcPr>
            <w:tcW w:w="2439" w:type="dxa"/>
          </w:tcPr>
          <w:p w14:paraId="58878FDB" w14:textId="77777777" w:rsidR="00EF6979" w:rsidRPr="001016D6" w:rsidRDefault="00EF6979" w:rsidP="001A3D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color w:val="000000" w:themeColor="text1"/>
                <w:sz w:val="24"/>
                <w:szCs w:val="24"/>
              </w:rPr>
            </w:pPr>
            <w:r w:rsidRPr="001016D6">
              <w:rPr>
                <w:rFonts w:ascii="Times New Roman" w:hAnsi="Times New Roman" w:cs="Times New Roman"/>
                <w:color w:val="000000" w:themeColor="text1"/>
                <w:sz w:val="24"/>
                <w:szCs w:val="24"/>
              </w:rPr>
              <w:t>7(7.4)</w:t>
            </w:r>
          </w:p>
        </w:tc>
      </w:tr>
    </w:tbl>
    <w:p w14:paraId="0D227DAF" w14:textId="77777777" w:rsidR="00EF6979" w:rsidRPr="001016D6" w:rsidRDefault="00EF6979" w:rsidP="001A3D64">
      <w:pPr>
        <w:spacing w:after="200" w:line="360" w:lineRule="auto"/>
        <w:jc w:val="both"/>
        <w:rPr>
          <w:rFonts w:ascii="Times New Roman" w:eastAsia="SimSun" w:hAnsi="Times New Roman" w:cs="Times New Roman"/>
          <w:color w:val="000000" w:themeColor="text1"/>
          <w:sz w:val="24"/>
          <w:szCs w:val="24"/>
        </w:rPr>
      </w:pPr>
    </w:p>
    <w:p w14:paraId="7F3C5153" w14:textId="77777777" w:rsidR="00EF6979" w:rsidRPr="001016D6" w:rsidRDefault="00EF6979" w:rsidP="001A3D64">
      <w:pPr>
        <w:pStyle w:val="Heading2"/>
        <w:spacing w:line="360" w:lineRule="auto"/>
        <w:rPr>
          <w:rFonts w:ascii="Times New Roman" w:eastAsia="Calibri" w:hAnsi="Times New Roman" w:cs="Times New Roman"/>
          <w:color w:val="000000" w:themeColor="text1"/>
          <w:sz w:val="24"/>
          <w:szCs w:val="24"/>
        </w:rPr>
      </w:pPr>
      <w:bookmarkStart w:id="12" w:name="_Toc171521425"/>
      <w:bookmarkStart w:id="13" w:name="_Toc201688045"/>
      <w:r w:rsidRPr="001016D6">
        <w:rPr>
          <w:rFonts w:ascii="Times New Roman" w:eastAsia="Calibri" w:hAnsi="Times New Roman" w:cs="Times New Roman"/>
          <w:color w:val="000000" w:themeColor="text1"/>
          <w:sz w:val="24"/>
          <w:szCs w:val="24"/>
        </w:rPr>
        <w:t>4.3 Visual acuity of an injected and fellow eye at beginning and end of the study.</w:t>
      </w:r>
      <w:bookmarkEnd w:id="12"/>
      <w:bookmarkEnd w:id="13"/>
    </w:p>
    <w:p w14:paraId="4808EA8B" w14:textId="77777777" w:rsidR="00EF6979" w:rsidRPr="001016D6" w:rsidRDefault="00EF6979" w:rsidP="001A3D64">
      <w:pPr>
        <w:spacing w:after="0" w:line="360" w:lineRule="auto"/>
        <w:jc w:val="both"/>
        <w:rPr>
          <w:rFonts w:ascii="Times New Roman" w:eastAsia="SimSun" w:hAnsi="Times New Roman" w:cs="Times New Roman"/>
          <w:b/>
          <w:color w:val="000000" w:themeColor="text1"/>
          <w:sz w:val="24"/>
          <w:szCs w:val="24"/>
        </w:rPr>
      </w:pPr>
      <w:r w:rsidRPr="001016D6">
        <w:rPr>
          <w:rFonts w:ascii="Times New Roman" w:eastAsia="SimSun" w:hAnsi="Times New Roman" w:cs="Times New Roman"/>
          <w:color w:val="000000" w:themeColor="text1"/>
          <w:sz w:val="24"/>
          <w:szCs w:val="24"/>
        </w:rPr>
        <w:t>The mean visual acuity assessed using the logarithm of the minimum angle of resolution (</w:t>
      </w:r>
      <w:proofErr w:type="spellStart"/>
      <w:r w:rsidRPr="001016D6">
        <w:rPr>
          <w:rFonts w:ascii="Times New Roman" w:eastAsia="SimSun" w:hAnsi="Times New Roman" w:cs="Times New Roman"/>
          <w:color w:val="000000" w:themeColor="text1"/>
          <w:sz w:val="24"/>
          <w:szCs w:val="24"/>
        </w:rPr>
        <w:t>logMAR</w:t>
      </w:r>
      <w:proofErr w:type="spellEnd"/>
      <w:r w:rsidRPr="001016D6">
        <w:rPr>
          <w:rFonts w:ascii="Times New Roman" w:eastAsia="SimSun" w:hAnsi="Times New Roman" w:cs="Times New Roman"/>
          <w:color w:val="000000" w:themeColor="text1"/>
          <w:sz w:val="24"/>
          <w:szCs w:val="24"/>
        </w:rPr>
        <w:t xml:space="preserve">) scale, for the eye receiving Triamcinolone injections was 0.198(±0.028) pre-treatment and 0.198 (±0.39) post-treatment and the different is statistically significant at P-value&lt;0.001. For the contralateral (control) eye, the mean </w:t>
      </w:r>
      <w:proofErr w:type="spellStart"/>
      <w:r w:rsidRPr="001016D6">
        <w:rPr>
          <w:rFonts w:ascii="Times New Roman" w:eastAsia="SimSun" w:hAnsi="Times New Roman" w:cs="Times New Roman"/>
          <w:color w:val="000000" w:themeColor="text1"/>
          <w:sz w:val="24"/>
          <w:szCs w:val="24"/>
        </w:rPr>
        <w:t>logMAR</w:t>
      </w:r>
      <w:proofErr w:type="spellEnd"/>
      <w:r w:rsidRPr="001016D6">
        <w:rPr>
          <w:rFonts w:ascii="Times New Roman" w:eastAsia="SimSun" w:hAnsi="Times New Roman" w:cs="Times New Roman"/>
          <w:color w:val="000000" w:themeColor="text1"/>
          <w:sz w:val="24"/>
          <w:szCs w:val="24"/>
        </w:rPr>
        <w:t xml:space="preserve"> visual acuity values were 0.29 (±0.39) before and 0.25 (±0.36) after the study period and Statistical analysis revealed that the variations in mean visual acuity from baseline to follow-up in the control eyes did not reach a level of statistical significance at p-value of =0.08 </w:t>
      </w:r>
      <w:r w:rsidRPr="001016D6">
        <w:rPr>
          <w:rFonts w:ascii="Times New Roman" w:eastAsia="SimSun" w:hAnsi="Times New Roman" w:cs="Times New Roman"/>
          <w:b/>
          <w:color w:val="000000" w:themeColor="text1"/>
          <w:sz w:val="24"/>
          <w:szCs w:val="24"/>
        </w:rPr>
        <w:t>(Table 3).</w:t>
      </w:r>
    </w:p>
    <w:p w14:paraId="191AA70C" w14:textId="77777777" w:rsidR="00EF6979" w:rsidRPr="001016D6" w:rsidRDefault="00EF6979" w:rsidP="001A3D64">
      <w:pPr>
        <w:pStyle w:val="Caption"/>
        <w:rPr>
          <w:rFonts w:eastAsia="SimSun"/>
          <w:bCs w:val="0"/>
          <w:color w:val="000000" w:themeColor="text1"/>
          <w:szCs w:val="24"/>
        </w:rPr>
      </w:pPr>
      <w:bookmarkStart w:id="14" w:name="_Toc201683031"/>
      <w:r w:rsidRPr="001016D6">
        <w:rPr>
          <w:color w:val="000000" w:themeColor="text1"/>
          <w:szCs w:val="24"/>
        </w:rPr>
        <w:t xml:space="preserve">Table </w:t>
      </w:r>
      <w:r w:rsidRPr="001016D6">
        <w:rPr>
          <w:color w:val="000000" w:themeColor="text1"/>
          <w:szCs w:val="24"/>
        </w:rPr>
        <w:fldChar w:fldCharType="begin"/>
      </w:r>
      <w:r w:rsidRPr="001016D6">
        <w:rPr>
          <w:color w:val="000000" w:themeColor="text1"/>
          <w:szCs w:val="24"/>
        </w:rPr>
        <w:instrText xml:space="preserve"> SEQ Table \* ARABIC </w:instrText>
      </w:r>
      <w:r w:rsidRPr="001016D6">
        <w:rPr>
          <w:color w:val="000000" w:themeColor="text1"/>
          <w:szCs w:val="24"/>
        </w:rPr>
        <w:fldChar w:fldCharType="separate"/>
      </w:r>
      <w:r w:rsidR="00BF1629" w:rsidRPr="001016D6">
        <w:rPr>
          <w:noProof/>
          <w:color w:val="000000" w:themeColor="text1"/>
          <w:szCs w:val="24"/>
        </w:rPr>
        <w:t>3</w:t>
      </w:r>
      <w:r w:rsidRPr="001016D6">
        <w:rPr>
          <w:noProof/>
          <w:color w:val="000000" w:themeColor="text1"/>
          <w:szCs w:val="24"/>
        </w:rPr>
        <w:fldChar w:fldCharType="end"/>
      </w:r>
      <w:r w:rsidRPr="001016D6">
        <w:rPr>
          <w:color w:val="000000" w:themeColor="text1"/>
          <w:szCs w:val="24"/>
        </w:rPr>
        <w:t>: Mean best corrected visual acuity of injected and control eye at first visit and last visit</w:t>
      </w:r>
      <w:bookmarkEnd w:id="14"/>
    </w:p>
    <w:tbl>
      <w:tblPr>
        <w:tblW w:w="8955" w:type="dxa"/>
        <w:tblLook w:val="04A0" w:firstRow="1" w:lastRow="0" w:firstColumn="1" w:lastColumn="0" w:noHBand="0" w:noVBand="1"/>
      </w:tblPr>
      <w:tblGrid>
        <w:gridCol w:w="1879"/>
        <w:gridCol w:w="1343"/>
        <w:gridCol w:w="1341"/>
        <w:gridCol w:w="1260"/>
        <w:gridCol w:w="881"/>
        <w:gridCol w:w="111"/>
        <w:gridCol w:w="1051"/>
        <w:gridCol w:w="1089"/>
      </w:tblGrid>
      <w:tr w:rsidR="001A3D64" w:rsidRPr="001016D6" w14:paraId="5557ED70" w14:textId="77777777" w:rsidTr="00C62744">
        <w:trPr>
          <w:trHeight w:val="332"/>
        </w:trPr>
        <w:tc>
          <w:tcPr>
            <w:tcW w:w="1879" w:type="dxa"/>
            <w:tcBorders>
              <w:top w:val="single" w:sz="4" w:space="0" w:color="auto"/>
              <w:bottom w:val="single" w:sz="4" w:space="0" w:color="auto"/>
            </w:tcBorders>
            <w:noWrap/>
            <w:vAlign w:val="bottom"/>
          </w:tcPr>
          <w:p w14:paraId="2E8734F4" w14:textId="77777777" w:rsidR="00EF6979" w:rsidRPr="001016D6" w:rsidRDefault="00EF6979" w:rsidP="001A3D64">
            <w:pPr>
              <w:spacing w:after="0"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Variable</w:t>
            </w:r>
          </w:p>
        </w:tc>
        <w:tc>
          <w:tcPr>
            <w:tcW w:w="2684" w:type="dxa"/>
            <w:gridSpan w:val="2"/>
            <w:tcBorders>
              <w:top w:val="single" w:sz="4" w:space="0" w:color="auto"/>
              <w:bottom w:val="single" w:sz="4" w:space="0" w:color="auto"/>
            </w:tcBorders>
            <w:noWrap/>
            <w:vAlign w:val="bottom"/>
          </w:tcPr>
          <w:p w14:paraId="140733F5" w14:textId="77777777" w:rsidR="00EF6979" w:rsidRPr="001016D6" w:rsidRDefault="00EF6979" w:rsidP="001A3D64">
            <w:pPr>
              <w:spacing w:after="0"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Injected Eye</w:t>
            </w:r>
          </w:p>
        </w:tc>
        <w:tc>
          <w:tcPr>
            <w:tcW w:w="1260" w:type="dxa"/>
            <w:tcBorders>
              <w:top w:val="single" w:sz="4" w:space="0" w:color="auto"/>
              <w:bottom w:val="single" w:sz="4" w:space="0" w:color="auto"/>
            </w:tcBorders>
            <w:noWrap/>
            <w:vAlign w:val="bottom"/>
          </w:tcPr>
          <w:p w14:paraId="73610422" w14:textId="77777777" w:rsidR="00EF6979" w:rsidRPr="001016D6" w:rsidRDefault="00EF6979" w:rsidP="001A3D64">
            <w:pPr>
              <w:spacing w:after="0" w:line="360" w:lineRule="auto"/>
              <w:jc w:val="center"/>
              <w:rPr>
                <w:rFonts w:ascii="Times New Roman" w:eastAsia="Times New Roman" w:hAnsi="Times New Roman" w:cs="Times New Roman"/>
                <w:b/>
                <w:bCs/>
                <w:color w:val="000000" w:themeColor="text1"/>
                <w:sz w:val="24"/>
                <w:szCs w:val="24"/>
              </w:rPr>
            </w:pPr>
          </w:p>
        </w:tc>
        <w:tc>
          <w:tcPr>
            <w:tcW w:w="2043" w:type="dxa"/>
            <w:gridSpan w:val="3"/>
            <w:tcBorders>
              <w:top w:val="single" w:sz="4" w:space="0" w:color="auto"/>
              <w:bottom w:val="single" w:sz="4" w:space="0" w:color="auto"/>
            </w:tcBorders>
            <w:vAlign w:val="bottom"/>
          </w:tcPr>
          <w:p w14:paraId="6BE88D27" w14:textId="77777777" w:rsidR="00EF6979" w:rsidRPr="001016D6" w:rsidRDefault="00EF6979" w:rsidP="001A3D64">
            <w:pPr>
              <w:spacing w:after="0"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Control Eye</w:t>
            </w:r>
          </w:p>
        </w:tc>
        <w:tc>
          <w:tcPr>
            <w:tcW w:w="1089" w:type="dxa"/>
            <w:tcBorders>
              <w:top w:val="single" w:sz="4" w:space="0" w:color="auto"/>
              <w:bottom w:val="single" w:sz="4" w:space="0" w:color="auto"/>
            </w:tcBorders>
            <w:noWrap/>
            <w:vAlign w:val="bottom"/>
          </w:tcPr>
          <w:p w14:paraId="537BF44C" w14:textId="77777777" w:rsidR="00EF6979" w:rsidRPr="001016D6" w:rsidRDefault="00EF6979" w:rsidP="001A3D64">
            <w:pPr>
              <w:spacing w:after="0" w:line="360" w:lineRule="auto"/>
              <w:jc w:val="center"/>
              <w:rPr>
                <w:rFonts w:ascii="Times New Roman" w:eastAsia="Times New Roman" w:hAnsi="Times New Roman" w:cs="Times New Roman"/>
                <w:b/>
                <w:bCs/>
                <w:color w:val="000000" w:themeColor="text1"/>
                <w:sz w:val="24"/>
                <w:szCs w:val="24"/>
              </w:rPr>
            </w:pPr>
          </w:p>
        </w:tc>
      </w:tr>
      <w:tr w:rsidR="001A3D64" w:rsidRPr="001016D6" w14:paraId="3A25EF7F" w14:textId="77777777" w:rsidTr="00C62744">
        <w:trPr>
          <w:trHeight w:val="51"/>
        </w:trPr>
        <w:tc>
          <w:tcPr>
            <w:tcW w:w="1879" w:type="dxa"/>
            <w:tcBorders>
              <w:top w:val="single" w:sz="4" w:space="0" w:color="auto"/>
            </w:tcBorders>
            <w:noWrap/>
            <w:vAlign w:val="bottom"/>
            <w:hideMark/>
          </w:tcPr>
          <w:p w14:paraId="293CB5C2" w14:textId="77777777" w:rsidR="00EF6979" w:rsidRPr="001016D6" w:rsidRDefault="00EF6979" w:rsidP="001A3D64">
            <w:pPr>
              <w:spacing w:after="0" w:line="360" w:lineRule="auto"/>
              <w:jc w:val="both"/>
              <w:rPr>
                <w:rFonts w:ascii="Times New Roman" w:eastAsia="Times New Roman" w:hAnsi="Times New Roman" w:cs="Times New Roman"/>
                <w:b/>
                <w:bCs/>
                <w:color w:val="000000" w:themeColor="text1"/>
                <w:sz w:val="24"/>
                <w:szCs w:val="24"/>
              </w:rPr>
            </w:pPr>
          </w:p>
        </w:tc>
        <w:tc>
          <w:tcPr>
            <w:tcW w:w="1343" w:type="dxa"/>
            <w:tcBorders>
              <w:top w:val="single" w:sz="4" w:space="0" w:color="auto"/>
            </w:tcBorders>
            <w:noWrap/>
            <w:vAlign w:val="bottom"/>
            <w:hideMark/>
          </w:tcPr>
          <w:p w14:paraId="1915A5AD" w14:textId="77777777" w:rsidR="00EF6979" w:rsidRPr="001016D6" w:rsidRDefault="00EF6979" w:rsidP="001A3D64">
            <w:pPr>
              <w:spacing w:after="0"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Mean</w:t>
            </w:r>
          </w:p>
        </w:tc>
        <w:tc>
          <w:tcPr>
            <w:tcW w:w="1341" w:type="dxa"/>
            <w:tcBorders>
              <w:top w:val="single" w:sz="4" w:space="0" w:color="auto"/>
            </w:tcBorders>
            <w:noWrap/>
            <w:vAlign w:val="bottom"/>
            <w:hideMark/>
          </w:tcPr>
          <w:p w14:paraId="6E819B49" w14:textId="77777777" w:rsidR="00EF6979" w:rsidRPr="001016D6" w:rsidRDefault="00EF6979" w:rsidP="001A3D64">
            <w:pPr>
              <w:spacing w:after="0"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SD</w:t>
            </w:r>
          </w:p>
        </w:tc>
        <w:tc>
          <w:tcPr>
            <w:tcW w:w="1260" w:type="dxa"/>
            <w:tcBorders>
              <w:top w:val="single" w:sz="4" w:space="0" w:color="auto"/>
            </w:tcBorders>
            <w:noWrap/>
            <w:vAlign w:val="bottom"/>
            <w:hideMark/>
          </w:tcPr>
          <w:p w14:paraId="7D2F3D9F" w14:textId="77777777" w:rsidR="00EF6979" w:rsidRPr="001016D6" w:rsidRDefault="00EF6979" w:rsidP="001A3D64">
            <w:pPr>
              <w:spacing w:after="0"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P-value</w:t>
            </w:r>
          </w:p>
        </w:tc>
        <w:tc>
          <w:tcPr>
            <w:tcW w:w="881" w:type="dxa"/>
            <w:tcBorders>
              <w:top w:val="single" w:sz="4" w:space="0" w:color="auto"/>
            </w:tcBorders>
            <w:vAlign w:val="bottom"/>
          </w:tcPr>
          <w:p w14:paraId="185BF194" w14:textId="77777777" w:rsidR="00EF6979" w:rsidRPr="001016D6" w:rsidRDefault="00EF6979" w:rsidP="001A3D64">
            <w:pPr>
              <w:spacing w:after="0"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Mean</w:t>
            </w:r>
          </w:p>
        </w:tc>
        <w:tc>
          <w:tcPr>
            <w:tcW w:w="1161" w:type="dxa"/>
            <w:gridSpan w:val="2"/>
            <w:tcBorders>
              <w:top w:val="single" w:sz="4" w:space="0" w:color="auto"/>
            </w:tcBorders>
            <w:noWrap/>
            <w:vAlign w:val="bottom"/>
            <w:hideMark/>
          </w:tcPr>
          <w:p w14:paraId="1A4F7523" w14:textId="77777777" w:rsidR="00EF6979" w:rsidRPr="001016D6" w:rsidRDefault="00EF6979" w:rsidP="001A3D64">
            <w:pPr>
              <w:spacing w:after="0"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SD</w:t>
            </w:r>
          </w:p>
        </w:tc>
        <w:tc>
          <w:tcPr>
            <w:tcW w:w="1089" w:type="dxa"/>
            <w:tcBorders>
              <w:top w:val="single" w:sz="4" w:space="0" w:color="auto"/>
            </w:tcBorders>
            <w:noWrap/>
            <w:vAlign w:val="bottom"/>
            <w:hideMark/>
          </w:tcPr>
          <w:p w14:paraId="754D864B" w14:textId="77777777" w:rsidR="00EF6979" w:rsidRPr="001016D6" w:rsidRDefault="00EF6979" w:rsidP="001A3D64">
            <w:pPr>
              <w:spacing w:after="0"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P-value</w:t>
            </w:r>
          </w:p>
        </w:tc>
      </w:tr>
      <w:tr w:rsidR="001A3D64" w:rsidRPr="001016D6" w14:paraId="353005C1" w14:textId="77777777" w:rsidTr="00C62744">
        <w:trPr>
          <w:trHeight w:val="59"/>
        </w:trPr>
        <w:tc>
          <w:tcPr>
            <w:tcW w:w="1879" w:type="dxa"/>
            <w:noWrap/>
            <w:vAlign w:val="bottom"/>
            <w:hideMark/>
          </w:tcPr>
          <w:p w14:paraId="5C61A58A" w14:textId="77777777" w:rsidR="00EF6979" w:rsidRPr="001016D6" w:rsidRDefault="00EF6979" w:rsidP="001A3D64">
            <w:pPr>
              <w:spacing w:after="0" w:line="360" w:lineRule="auto"/>
              <w:jc w:val="both"/>
              <w:rPr>
                <w:rFonts w:ascii="Times New Roman" w:eastAsia="Times New Roman" w:hAnsi="Times New Roman" w:cs="Times New Roman"/>
                <w:b/>
                <w:bCs/>
                <w:color w:val="000000" w:themeColor="text1"/>
                <w:sz w:val="24"/>
                <w:szCs w:val="24"/>
              </w:rPr>
            </w:pPr>
            <w:bookmarkStart w:id="15" w:name="_Hlk198499558"/>
            <w:r w:rsidRPr="001016D6">
              <w:rPr>
                <w:rFonts w:ascii="Times New Roman" w:eastAsia="Times New Roman" w:hAnsi="Times New Roman" w:cs="Times New Roman"/>
                <w:b/>
                <w:bCs/>
                <w:color w:val="000000" w:themeColor="text1"/>
                <w:sz w:val="24"/>
                <w:szCs w:val="24"/>
              </w:rPr>
              <w:t>INITIALBVCA</w:t>
            </w:r>
          </w:p>
        </w:tc>
        <w:tc>
          <w:tcPr>
            <w:tcW w:w="1343" w:type="dxa"/>
            <w:noWrap/>
            <w:vAlign w:val="bottom"/>
            <w:hideMark/>
          </w:tcPr>
          <w:p w14:paraId="29188723" w14:textId="77777777" w:rsidR="00EF6979" w:rsidRPr="001016D6" w:rsidRDefault="00EF6979" w:rsidP="001A3D64">
            <w:pPr>
              <w:spacing w:after="0" w:line="360" w:lineRule="auto"/>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 xml:space="preserve">         0.198</w:t>
            </w:r>
          </w:p>
        </w:tc>
        <w:tc>
          <w:tcPr>
            <w:tcW w:w="1341" w:type="dxa"/>
            <w:noWrap/>
            <w:vAlign w:val="bottom"/>
            <w:hideMark/>
          </w:tcPr>
          <w:p w14:paraId="2D0501B0" w14:textId="77777777" w:rsidR="00EF6979" w:rsidRPr="001016D6" w:rsidRDefault="00EF6979" w:rsidP="001A3D64">
            <w:pPr>
              <w:spacing w:after="0"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±.028</w:t>
            </w:r>
          </w:p>
        </w:tc>
        <w:tc>
          <w:tcPr>
            <w:tcW w:w="1260" w:type="dxa"/>
            <w:noWrap/>
            <w:vAlign w:val="bottom"/>
            <w:hideMark/>
          </w:tcPr>
          <w:p w14:paraId="341E8AB7" w14:textId="77777777" w:rsidR="00EF6979" w:rsidRPr="001016D6" w:rsidRDefault="00EF6979" w:rsidP="001A3D64">
            <w:pPr>
              <w:spacing w:after="0" w:line="360" w:lineRule="auto"/>
              <w:jc w:val="center"/>
              <w:rPr>
                <w:rFonts w:ascii="Times New Roman" w:eastAsia="Times New Roman" w:hAnsi="Times New Roman" w:cs="Times New Roman"/>
                <w:color w:val="000000" w:themeColor="text1"/>
                <w:sz w:val="24"/>
                <w:szCs w:val="24"/>
              </w:rPr>
            </w:pPr>
          </w:p>
        </w:tc>
        <w:tc>
          <w:tcPr>
            <w:tcW w:w="992" w:type="dxa"/>
            <w:gridSpan w:val="2"/>
            <w:vAlign w:val="bottom"/>
          </w:tcPr>
          <w:p w14:paraId="12BC56CA" w14:textId="77777777" w:rsidR="00EF6979" w:rsidRPr="001016D6" w:rsidRDefault="00EF6979" w:rsidP="001A3D64">
            <w:pPr>
              <w:spacing w:after="0" w:line="360" w:lineRule="auto"/>
              <w:jc w:val="center"/>
              <w:rPr>
                <w:rFonts w:ascii="Times New Roman" w:eastAsia="Times New Roman" w:hAnsi="Times New Roman" w:cs="Times New Roman"/>
                <w:color w:val="000000" w:themeColor="text1"/>
                <w:sz w:val="24"/>
                <w:szCs w:val="24"/>
              </w:rPr>
            </w:pPr>
            <w:bookmarkStart w:id="16" w:name="_Hlk198499730"/>
            <w:r w:rsidRPr="001016D6">
              <w:rPr>
                <w:rFonts w:ascii="Times New Roman" w:eastAsia="Times New Roman" w:hAnsi="Times New Roman" w:cs="Times New Roman"/>
                <w:color w:val="000000" w:themeColor="text1"/>
                <w:sz w:val="24"/>
                <w:szCs w:val="24"/>
              </w:rPr>
              <w:t>0.</w:t>
            </w:r>
            <w:bookmarkEnd w:id="16"/>
            <w:r w:rsidRPr="001016D6">
              <w:rPr>
                <w:rFonts w:ascii="Times New Roman" w:eastAsia="Times New Roman" w:hAnsi="Times New Roman" w:cs="Times New Roman"/>
                <w:color w:val="000000" w:themeColor="text1"/>
                <w:sz w:val="24"/>
                <w:szCs w:val="24"/>
              </w:rPr>
              <w:t>29</w:t>
            </w:r>
          </w:p>
        </w:tc>
        <w:tc>
          <w:tcPr>
            <w:tcW w:w="1050" w:type="dxa"/>
            <w:noWrap/>
            <w:vAlign w:val="bottom"/>
          </w:tcPr>
          <w:p w14:paraId="5E5A41B9" w14:textId="77777777" w:rsidR="00EF6979" w:rsidRPr="001016D6" w:rsidRDefault="00EF6979" w:rsidP="001A3D64">
            <w:pPr>
              <w:spacing w:after="0" w:line="360" w:lineRule="auto"/>
              <w:jc w:val="center"/>
              <w:rPr>
                <w:rFonts w:ascii="Times New Roman" w:eastAsia="Times New Roman" w:hAnsi="Times New Roman" w:cs="Times New Roman"/>
                <w:color w:val="000000" w:themeColor="text1"/>
                <w:sz w:val="24"/>
                <w:szCs w:val="24"/>
              </w:rPr>
            </w:pPr>
            <w:bookmarkStart w:id="17" w:name="_Hlk198499747"/>
            <w:r w:rsidRPr="001016D6">
              <w:rPr>
                <w:rFonts w:ascii="Times New Roman" w:eastAsia="Times New Roman" w:hAnsi="Times New Roman" w:cs="Times New Roman"/>
                <w:color w:val="000000" w:themeColor="text1"/>
                <w:sz w:val="24"/>
                <w:szCs w:val="24"/>
              </w:rPr>
              <w:t>±0.39</w:t>
            </w:r>
            <w:bookmarkEnd w:id="17"/>
          </w:p>
        </w:tc>
        <w:tc>
          <w:tcPr>
            <w:tcW w:w="1089" w:type="dxa"/>
            <w:noWrap/>
            <w:vAlign w:val="bottom"/>
            <w:hideMark/>
          </w:tcPr>
          <w:p w14:paraId="479834D7" w14:textId="77777777" w:rsidR="00EF6979" w:rsidRPr="001016D6" w:rsidRDefault="00EF6979" w:rsidP="001A3D64">
            <w:pPr>
              <w:spacing w:after="0" w:line="360" w:lineRule="auto"/>
              <w:jc w:val="center"/>
              <w:rPr>
                <w:rFonts w:ascii="Times New Roman" w:eastAsia="Times New Roman" w:hAnsi="Times New Roman" w:cs="Times New Roman"/>
                <w:color w:val="000000" w:themeColor="text1"/>
                <w:sz w:val="24"/>
                <w:szCs w:val="24"/>
              </w:rPr>
            </w:pPr>
          </w:p>
        </w:tc>
      </w:tr>
      <w:bookmarkEnd w:id="15"/>
      <w:tr w:rsidR="001A3D64" w:rsidRPr="001016D6" w14:paraId="3C6C08F6" w14:textId="77777777" w:rsidTr="00C62744">
        <w:trPr>
          <w:trHeight w:val="332"/>
        </w:trPr>
        <w:tc>
          <w:tcPr>
            <w:tcW w:w="1879" w:type="dxa"/>
            <w:tcBorders>
              <w:bottom w:val="single" w:sz="4" w:space="0" w:color="auto"/>
            </w:tcBorders>
            <w:noWrap/>
            <w:vAlign w:val="bottom"/>
            <w:hideMark/>
          </w:tcPr>
          <w:p w14:paraId="0E599B4D" w14:textId="77777777" w:rsidR="00EF6979" w:rsidRPr="001016D6" w:rsidRDefault="00EF6979" w:rsidP="001A3D64">
            <w:pPr>
              <w:spacing w:after="0"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FINAL-BCVA</w:t>
            </w:r>
          </w:p>
        </w:tc>
        <w:tc>
          <w:tcPr>
            <w:tcW w:w="1343" w:type="dxa"/>
            <w:tcBorders>
              <w:bottom w:val="single" w:sz="4" w:space="0" w:color="auto"/>
            </w:tcBorders>
            <w:noWrap/>
            <w:vAlign w:val="bottom"/>
            <w:hideMark/>
          </w:tcPr>
          <w:p w14:paraId="1EA798D0" w14:textId="77777777" w:rsidR="00EF6979" w:rsidRPr="001016D6" w:rsidRDefault="00EF6979" w:rsidP="001A3D64">
            <w:pPr>
              <w:spacing w:after="0"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0.002</w:t>
            </w:r>
          </w:p>
        </w:tc>
        <w:tc>
          <w:tcPr>
            <w:tcW w:w="1341" w:type="dxa"/>
            <w:tcBorders>
              <w:bottom w:val="single" w:sz="4" w:space="0" w:color="auto"/>
            </w:tcBorders>
            <w:noWrap/>
            <w:vAlign w:val="bottom"/>
            <w:hideMark/>
          </w:tcPr>
          <w:p w14:paraId="1E9E341D" w14:textId="77777777" w:rsidR="00EF6979" w:rsidRPr="001016D6" w:rsidRDefault="00EF6979" w:rsidP="001A3D64">
            <w:pPr>
              <w:spacing w:after="0" w:line="360" w:lineRule="auto"/>
              <w:jc w:val="center"/>
              <w:rPr>
                <w:rFonts w:ascii="Times New Roman" w:eastAsia="Times New Roman" w:hAnsi="Times New Roman" w:cs="Times New Roman"/>
                <w:color w:val="000000" w:themeColor="text1"/>
                <w:sz w:val="24"/>
                <w:szCs w:val="24"/>
              </w:rPr>
            </w:pPr>
            <w:bookmarkStart w:id="18" w:name="_Hlk198499622"/>
            <w:r w:rsidRPr="001016D6">
              <w:rPr>
                <w:rFonts w:ascii="Times New Roman" w:eastAsia="Times New Roman" w:hAnsi="Times New Roman" w:cs="Times New Roman"/>
                <w:color w:val="000000" w:themeColor="text1"/>
                <w:sz w:val="24"/>
                <w:szCs w:val="24"/>
              </w:rPr>
              <w:t>±0.</w:t>
            </w:r>
            <w:bookmarkEnd w:id="18"/>
            <w:r w:rsidRPr="001016D6">
              <w:rPr>
                <w:rFonts w:ascii="Times New Roman" w:eastAsia="Times New Roman" w:hAnsi="Times New Roman" w:cs="Times New Roman"/>
                <w:color w:val="000000" w:themeColor="text1"/>
                <w:sz w:val="24"/>
                <w:szCs w:val="24"/>
              </w:rPr>
              <w:t>037</w:t>
            </w:r>
          </w:p>
        </w:tc>
        <w:tc>
          <w:tcPr>
            <w:tcW w:w="1260" w:type="dxa"/>
            <w:tcBorders>
              <w:bottom w:val="single" w:sz="4" w:space="0" w:color="auto"/>
            </w:tcBorders>
            <w:noWrap/>
            <w:vAlign w:val="bottom"/>
            <w:hideMark/>
          </w:tcPr>
          <w:p w14:paraId="3641FA21" w14:textId="77777777" w:rsidR="00EF6979" w:rsidRPr="001016D6" w:rsidRDefault="00EF6979" w:rsidP="001A3D64">
            <w:pPr>
              <w:spacing w:after="0"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&lt;0.001</w:t>
            </w:r>
          </w:p>
        </w:tc>
        <w:tc>
          <w:tcPr>
            <w:tcW w:w="992" w:type="dxa"/>
            <w:gridSpan w:val="2"/>
            <w:tcBorders>
              <w:bottom w:val="single" w:sz="4" w:space="0" w:color="auto"/>
            </w:tcBorders>
            <w:vAlign w:val="bottom"/>
          </w:tcPr>
          <w:p w14:paraId="1C25834E" w14:textId="77777777" w:rsidR="00EF6979" w:rsidRPr="001016D6" w:rsidRDefault="00EF6979" w:rsidP="001A3D64">
            <w:pPr>
              <w:spacing w:after="0" w:line="360" w:lineRule="auto"/>
              <w:jc w:val="center"/>
              <w:rPr>
                <w:rFonts w:ascii="Times New Roman" w:eastAsia="Times New Roman" w:hAnsi="Times New Roman" w:cs="Times New Roman"/>
                <w:color w:val="000000" w:themeColor="text1"/>
                <w:sz w:val="24"/>
                <w:szCs w:val="24"/>
              </w:rPr>
            </w:pPr>
            <w:bookmarkStart w:id="19" w:name="_Hlk198499698"/>
            <w:r w:rsidRPr="001016D6">
              <w:rPr>
                <w:rFonts w:ascii="Times New Roman" w:eastAsia="Times New Roman" w:hAnsi="Times New Roman" w:cs="Times New Roman"/>
                <w:color w:val="000000" w:themeColor="text1"/>
                <w:sz w:val="24"/>
                <w:szCs w:val="24"/>
              </w:rPr>
              <w:t>0.2</w:t>
            </w:r>
            <w:bookmarkEnd w:id="19"/>
            <w:r w:rsidRPr="001016D6">
              <w:rPr>
                <w:rFonts w:ascii="Times New Roman" w:eastAsia="Times New Roman" w:hAnsi="Times New Roman" w:cs="Times New Roman"/>
                <w:color w:val="000000" w:themeColor="text1"/>
                <w:sz w:val="24"/>
                <w:szCs w:val="24"/>
              </w:rPr>
              <w:t>5</w:t>
            </w:r>
          </w:p>
        </w:tc>
        <w:tc>
          <w:tcPr>
            <w:tcW w:w="1050" w:type="dxa"/>
            <w:tcBorders>
              <w:bottom w:val="single" w:sz="4" w:space="0" w:color="auto"/>
            </w:tcBorders>
            <w:noWrap/>
            <w:vAlign w:val="bottom"/>
          </w:tcPr>
          <w:p w14:paraId="662B0D78" w14:textId="77777777" w:rsidR="00EF6979" w:rsidRPr="001016D6" w:rsidRDefault="00EF6979" w:rsidP="001A3D64">
            <w:pPr>
              <w:spacing w:after="0" w:line="360" w:lineRule="auto"/>
              <w:jc w:val="center"/>
              <w:rPr>
                <w:rFonts w:ascii="Times New Roman" w:eastAsia="Times New Roman" w:hAnsi="Times New Roman" w:cs="Times New Roman"/>
                <w:color w:val="000000" w:themeColor="text1"/>
                <w:sz w:val="24"/>
                <w:szCs w:val="24"/>
              </w:rPr>
            </w:pPr>
            <w:bookmarkStart w:id="20" w:name="_Hlk198499711"/>
            <w:r w:rsidRPr="001016D6">
              <w:rPr>
                <w:rFonts w:ascii="Times New Roman" w:eastAsia="Times New Roman" w:hAnsi="Times New Roman" w:cs="Times New Roman"/>
                <w:color w:val="000000" w:themeColor="text1"/>
                <w:sz w:val="24"/>
                <w:szCs w:val="24"/>
              </w:rPr>
              <w:t>±0.</w:t>
            </w:r>
            <w:bookmarkEnd w:id="20"/>
            <w:r w:rsidRPr="001016D6">
              <w:rPr>
                <w:rFonts w:ascii="Times New Roman" w:eastAsia="Times New Roman" w:hAnsi="Times New Roman" w:cs="Times New Roman"/>
                <w:color w:val="000000" w:themeColor="text1"/>
                <w:sz w:val="24"/>
                <w:szCs w:val="24"/>
              </w:rPr>
              <w:t>36</w:t>
            </w:r>
          </w:p>
        </w:tc>
        <w:tc>
          <w:tcPr>
            <w:tcW w:w="1089" w:type="dxa"/>
            <w:tcBorders>
              <w:bottom w:val="single" w:sz="4" w:space="0" w:color="auto"/>
            </w:tcBorders>
            <w:noWrap/>
            <w:vAlign w:val="bottom"/>
            <w:hideMark/>
          </w:tcPr>
          <w:p w14:paraId="1CB08F09" w14:textId="77777777" w:rsidR="00EF6979" w:rsidRPr="001016D6" w:rsidRDefault="00EF6979" w:rsidP="001A3D64">
            <w:pPr>
              <w:spacing w:after="0" w:line="360" w:lineRule="auto"/>
              <w:jc w:val="center"/>
              <w:rPr>
                <w:rFonts w:ascii="Times New Roman" w:eastAsia="Times New Roman" w:hAnsi="Times New Roman" w:cs="Times New Roman"/>
                <w:color w:val="000000" w:themeColor="text1"/>
                <w:sz w:val="24"/>
                <w:szCs w:val="24"/>
              </w:rPr>
            </w:pPr>
            <w:bookmarkStart w:id="21" w:name="_Hlk198499789"/>
            <w:r w:rsidRPr="001016D6">
              <w:rPr>
                <w:rFonts w:ascii="Times New Roman" w:eastAsia="Times New Roman" w:hAnsi="Times New Roman" w:cs="Times New Roman"/>
                <w:color w:val="000000" w:themeColor="text1"/>
                <w:sz w:val="24"/>
                <w:szCs w:val="24"/>
              </w:rPr>
              <w:t>0.0</w:t>
            </w:r>
            <w:bookmarkEnd w:id="21"/>
            <w:r w:rsidRPr="001016D6">
              <w:rPr>
                <w:rFonts w:ascii="Times New Roman" w:eastAsia="Times New Roman" w:hAnsi="Times New Roman" w:cs="Times New Roman"/>
                <w:color w:val="000000" w:themeColor="text1"/>
                <w:sz w:val="24"/>
                <w:szCs w:val="24"/>
              </w:rPr>
              <w:t>8</w:t>
            </w:r>
          </w:p>
        </w:tc>
      </w:tr>
    </w:tbl>
    <w:p w14:paraId="17A0A427" w14:textId="77777777" w:rsidR="00EF6979" w:rsidRPr="001016D6" w:rsidRDefault="00EF6979" w:rsidP="001A3D64">
      <w:pPr>
        <w:pStyle w:val="NoSpacing"/>
        <w:spacing w:line="360" w:lineRule="auto"/>
        <w:rPr>
          <w:rFonts w:ascii="Times New Roman" w:eastAsia="SimSun" w:hAnsi="Times New Roman" w:cs="Times New Roman"/>
          <w:color w:val="000000" w:themeColor="text1"/>
          <w:sz w:val="24"/>
          <w:szCs w:val="24"/>
        </w:rPr>
      </w:pPr>
    </w:p>
    <w:p w14:paraId="08C63D65" w14:textId="77777777" w:rsidR="00EF6979" w:rsidRPr="001016D6" w:rsidRDefault="00EF6979" w:rsidP="001A3D64">
      <w:pPr>
        <w:pStyle w:val="Heading2"/>
        <w:spacing w:line="360" w:lineRule="auto"/>
        <w:rPr>
          <w:rFonts w:ascii="Times New Roman" w:eastAsia="SimSun" w:hAnsi="Times New Roman" w:cs="Times New Roman"/>
          <w:color w:val="000000" w:themeColor="text1"/>
          <w:sz w:val="24"/>
          <w:szCs w:val="24"/>
        </w:rPr>
      </w:pPr>
      <w:bookmarkStart w:id="22" w:name="_Toc201688046"/>
      <w:r w:rsidRPr="001016D6">
        <w:rPr>
          <w:rFonts w:ascii="Times New Roman" w:eastAsia="SimSun" w:hAnsi="Times New Roman" w:cs="Times New Roman"/>
          <w:color w:val="000000" w:themeColor="text1"/>
          <w:sz w:val="24"/>
          <w:szCs w:val="24"/>
        </w:rPr>
        <w:t>4.4 Pattern of IOP Rise after Intravitreal Bevacizumab Injections</w:t>
      </w:r>
      <w:bookmarkEnd w:id="22"/>
    </w:p>
    <w:p w14:paraId="382DFB46" w14:textId="77777777" w:rsidR="00EF6979" w:rsidRPr="001016D6" w:rsidRDefault="00EF6979" w:rsidP="001A3D64">
      <w:pPr>
        <w:spacing w:after="0" w:line="360" w:lineRule="auto"/>
        <w:outlineLvl w:val="1"/>
        <w:rPr>
          <w:rFonts w:ascii="Times New Roman" w:eastAsia="Calibri" w:hAnsi="Times New Roman" w:cs="Times New Roman"/>
          <w:b/>
          <w:bCs/>
          <w:color w:val="000000" w:themeColor="text1"/>
          <w:sz w:val="24"/>
          <w:szCs w:val="24"/>
        </w:rPr>
      </w:pPr>
      <w:bookmarkStart w:id="23" w:name="_Toc201688047"/>
      <w:r w:rsidRPr="001016D6">
        <w:rPr>
          <w:rStyle w:val="Heading3Char"/>
          <w:rFonts w:ascii="Times New Roman" w:hAnsi="Times New Roman" w:cs="Times New Roman"/>
          <w:color w:val="000000" w:themeColor="text1"/>
        </w:rPr>
        <w:t>4.4.1 Mean intraocular pressure at baseline and immediately, at 2 weeks, and 6 weeks</w:t>
      </w:r>
      <w:r w:rsidRPr="001016D6">
        <w:rPr>
          <w:rFonts w:ascii="Times New Roman" w:eastAsia="Calibri" w:hAnsi="Times New Roman" w:cs="Times New Roman"/>
          <w:b/>
          <w:bCs/>
          <w:color w:val="000000" w:themeColor="text1"/>
          <w:sz w:val="24"/>
          <w:szCs w:val="24"/>
        </w:rPr>
        <w:t xml:space="preserve"> after Intravitreal injection of </w:t>
      </w:r>
      <w:bookmarkStart w:id="24" w:name="_Hlk198336724"/>
      <w:r w:rsidRPr="001016D6">
        <w:rPr>
          <w:rFonts w:ascii="Times New Roman" w:eastAsia="Calibri" w:hAnsi="Times New Roman" w:cs="Times New Roman"/>
          <w:b/>
          <w:bCs/>
          <w:color w:val="000000" w:themeColor="text1"/>
          <w:sz w:val="24"/>
          <w:szCs w:val="24"/>
        </w:rPr>
        <w:t>Triamcinolone</w:t>
      </w:r>
      <w:bookmarkEnd w:id="23"/>
    </w:p>
    <w:bookmarkEnd w:id="24"/>
    <w:p w14:paraId="570D6D04" w14:textId="77777777" w:rsidR="00EF6979" w:rsidRPr="001016D6" w:rsidRDefault="00EF6979" w:rsidP="001A3D64">
      <w:pPr>
        <w:spacing w:after="200" w:line="360" w:lineRule="auto"/>
        <w:jc w:val="both"/>
        <w:rPr>
          <w:rFonts w:ascii="Times New Roman" w:eastAsia="SimSun" w:hAnsi="Times New Roman" w:cs="Times New Roman"/>
          <w:color w:val="000000" w:themeColor="text1"/>
          <w:sz w:val="24"/>
          <w:szCs w:val="24"/>
        </w:rPr>
      </w:pPr>
      <w:r w:rsidRPr="001016D6">
        <w:rPr>
          <w:rFonts w:ascii="Times New Roman" w:eastAsia="SimSun" w:hAnsi="Times New Roman" w:cs="Times New Roman"/>
          <w:color w:val="000000" w:themeColor="text1"/>
          <w:sz w:val="24"/>
          <w:szCs w:val="24"/>
        </w:rPr>
        <w:t xml:space="preserve">Significant statistical differences were observed in the mean intraocular pressure (IOP) changes after injection in both the initial and subsequent visits in the injected eye. The mean and </w:t>
      </w:r>
      <w:r w:rsidRPr="001016D6">
        <w:rPr>
          <w:rFonts w:ascii="Times New Roman" w:eastAsia="SimSun" w:hAnsi="Times New Roman" w:cs="Times New Roman"/>
          <w:color w:val="000000" w:themeColor="text1"/>
          <w:sz w:val="24"/>
          <w:szCs w:val="24"/>
        </w:rPr>
        <w:lastRenderedPageBreak/>
        <w:t xml:space="preserve">standard deviation (SD) of intraocular pressure (IOP) before Intravitreal </w:t>
      </w:r>
      <w:r w:rsidRPr="001016D6">
        <w:rPr>
          <w:rFonts w:ascii="Times New Roman" w:eastAsia="SimSun" w:hAnsi="Times New Roman" w:cs="Times New Roman"/>
          <w:bCs/>
          <w:color w:val="000000" w:themeColor="text1"/>
          <w:sz w:val="24"/>
          <w:szCs w:val="24"/>
        </w:rPr>
        <w:t>Triamcinolone</w:t>
      </w:r>
      <w:r w:rsidRPr="001016D6">
        <w:rPr>
          <w:rFonts w:ascii="Times New Roman" w:eastAsia="SimSun" w:hAnsi="Times New Roman" w:cs="Times New Roman"/>
          <w:color w:val="000000" w:themeColor="text1"/>
          <w:sz w:val="24"/>
          <w:szCs w:val="24"/>
        </w:rPr>
        <w:t xml:space="preserve"> injection was 14.59 ± 2.60 mmHg, increasing to </w:t>
      </w:r>
      <w:r w:rsidRPr="001016D6">
        <w:rPr>
          <w:rFonts w:ascii="Times New Roman" w:eastAsia="Times New Roman" w:hAnsi="Times New Roman" w:cs="Times New Roman"/>
          <w:color w:val="000000" w:themeColor="text1"/>
          <w:sz w:val="24"/>
          <w:szCs w:val="24"/>
        </w:rPr>
        <w:t>28.42</w:t>
      </w:r>
      <w:r w:rsidRPr="001016D6">
        <w:rPr>
          <w:rFonts w:ascii="Times New Roman" w:eastAsia="SimSun" w:hAnsi="Times New Roman" w:cs="Times New Roman"/>
          <w:color w:val="000000" w:themeColor="text1"/>
          <w:sz w:val="24"/>
          <w:szCs w:val="24"/>
        </w:rPr>
        <w:t xml:space="preserve"> ± 5.31 mmHg immediately post-injection and then returning to 17.75± 4.56 mmHg on second week follow-up and slightly decreased to 17.05±4.87 on the sixth week follow-up.</w:t>
      </w:r>
    </w:p>
    <w:p w14:paraId="391C2252" w14:textId="77777777" w:rsidR="00EF6979" w:rsidRPr="001016D6" w:rsidRDefault="00EF6979" w:rsidP="001A3D64">
      <w:pPr>
        <w:spacing w:after="0" w:line="360" w:lineRule="auto"/>
        <w:jc w:val="both"/>
        <w:rPr>
          <w:rFonts w:ascii="Times New Roman" w:eastAsia="SimSun" w:hAnsi="Times New Roman" w:cs="Times New Roman"/>
          <w:color w:val="000000" w:themeColor="text1"/>
          <w:sz w:val="24"/>
          <w:szCs w:val="24"/>
        </w:rPr>
      </w:pPr>
      <w:r w:rsidRPr="001016D6">
        <w:rPr>
          <w:rFonts w:ascii="Times New Roman" w:eastAsia="SimSun" w:hAnsi="Times New Roman" w:cs="Times New Roman"/>
          <w:color w:val="000000" w:themeColor="text1"/>
          <w:sz w:val="24"/>
          <w:szCs w:val="24"/>
        </w:rPr>
        <w:t>On the non-injected eye, the mean and standard deviation of intraocular pressure (IOP) changes at baseline, immediate, second week and sixth week follow-up were 13.85± 2.33mmHg, 13.45±2.18 mmHg, 13.61 ±1.36 and 12.90±1.26 respectively. However statistical significance was only observed on the sixth month (figure 2)</w:t>
      </w:r>
    </w:p>
    <w:p w14:paraId="075D84E6" w14:textId="77777777" w:rsidR="00EF6979" w:rsidRPr="001016D6" w:rsidRDefault="00EF6979" w:rsidP="001A3D64">
      <w:pPr>
        <w:pStyle w:val="Caption"/>
        <w:rPr>
          <w:rFonts w:eastAsia="SimSun"/>
          <w:b w:val="0"/>
          <w:bCs w:val="0"/>
          <w:color w:val="000000" w:themeColor="text1"/>
          <w:szCs w:val="24"/>
        </w:rPr>
      </w:pPr>
      <w:bookmarkStart w:id="25" w:name="_Toc201683032"/>
      <w:bookmarkEnd w:id="6"/>
      <w:r w:rsidRPr="001016D6">
        <w:rPr>
          <w:color w:val="000000" w:themeColor="text1"/>
          <w:szCs w:val="24"/>
        </w:rPr>
        <w:t xml:space="preserve">Table </w:t>
      </w:r>
      <w:r w:rsidRPr="001016D6">
        <w:rPr>
          <w:color w:val="000000" w:themeColor="text1"/>
          <w:szCs w:val="24"/>
        </w:rPr>
        <w:fldChar w:fldCharType="begin"/>
      </w:r>
      <w:r w:rsidRPr="001016D6">
        <w:rPr>
          <w:color w:val="000000" w:themeColor="text1"/>
          <w:szCs w:val="24"/>
        </w:rPr>
        <w:instrText xml:space="preserve"> SEQ Table \* ARABIC </w:instrText>
      </w:r>
      <w:r w:rsidRPr="001016D6">
        <w:rPr>
          <w:color w:val="000000" w:themeColor="text1"/>
          <w:szCs w:val="24"/>
        </w:rPr>
        <w:fldChar w:fldCharType="separate"/>
      </w:r>
      <w:r w:rsidR="00BF1629" w:rsidRPr="001016D6">
        <w:rPr>
          <w:noProof/>
          <w:color w:val="000000" w:themeColor="text1"/>
          <w:szCs w:val="24"/>
        </w:rPr>
        <w:t>4</w:t>
      </w:r>
      <w:r w:rsidRPr="001016D6">
        <w:rPr>
          <w:noProof/>
          <w:color w:val="000000" w:themeColor="text1"/>
          <w:szCs w:val="24"/>
        </w:rPr>
        <w:fldChar w:fldCharType="end"/>
      </w:r>
      <w:r w:rsidRPr="001016D6">
        <w:rPr>
          <w:color w:val="000000" w:themeColor="text1"/>
          <w:szCs w:val="24"/>
        </w:rPr>
        <w:t>: Mean IOP before and after Triamcinolone intravitreal injections of injected and fellow eye at third visit immediate after injection, 2 weeks and 6 weeks follow-up</w:t>
      </w:r>
      <w:bookmarkEnd w:id="25"/>
    </w:p>
    <w:tbl>
      <w:tblPr>
        <w:tblStyle w:val="TableGridLight1"/>
        <w:tblW w:w="9721" w:type="dxa"/>
        <w:tblInd w:w="-18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2170"/>
        <w:gridCol w:w="768"/>
        <w:gridCol w:w="1018"/>
        <w:gridCol w:w="2152"/>
        <w:gridCol w:w="926"/>
        <w:gridCol w:w="1041"/>
      </w:tblGrid>
      <w:tr w:rsidR="001A3D64" w:rsidRPr="001016D6" w14:paraId="0D88EBF4" w14:textId="77777777" w:rsidTr="00C62744">
        <w:trPr>
          <w:trHeight w:val="70"/>
        </w:trPr>
        <w:tc>
          <w:tcPr>
            <w:tcW w:w="1649" w:type="dxa"/>
            <w:tcBorders>
              <w:top w:val="single" w:sz="4" w:space="0" w:color="auto"/>
              <w:bottom w:val="single" w:sz="4" w:space="0" w:color="auto"/>
            </w:tcBorders>
            <w:noWrap/>
          </w:tcPr>
          <w:p w14:paraId="29C02E9E"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Variable</w:t>
            </w:r>
          </w:p>
        </w:tc>
        <w:tc>
          <w:tcPr>
            <w:tcW w:w="2935" w:type="dxa"/>
            <w:gridSpan w:val="2"/>
            <w:tcBorders>
              <w:top w:val="single" w:sz="4" w:space="0" w:color="auto"/>
              <w:bottom w:val="single" w:sz="4" w:space="0" w:color="auto"/>
            </w:tcBorders>
            <w:noWrap/>
          </w:tcPr>
          <w:p w14:paraId="4CC92CAE"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Injected Eye</w:t>
            </w:r>
          </w:p>
        </w:tc>
        <w:tc>
          <w:tcPr>
            <w:tcW w:w="1018" w:type="dxa"/>
            <w:tcBorders>
              <w:top w:val="single" w:sz="4" w:space="0" w:color="auto"/>
              <w:bottom w:val="single" w:sz="4" w:space="0" w:color="auto"/>
            </w:tcBorders>
            <w:noWrap/>
          </w:tcPr>
          <w:p w14:paraId="5CC3DB69"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P-value</w:t>
            </w:r>
          </w:p>
        </w:tc>
        <w:tc>
          <w:tcPr>
            <w:tcW w:w="3078" w:type="dxa"/>
            <w:gridSpan w:val="2"/>
            <w:tcBorders>
              <w:top w:val="single" w:sz="4" w:space="0" w:color="auto"/>
              <w:bottom w:val="single" w:sz="4" w:space="0" w:color="auto"/>
            </w:tcBorders>
            <w:noWrap/>
          </w:tcPr>
          <w:p w14:paraId="60C540EE"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Non-injected eye</w:t>
            </w:r>
          </w:p>
        </w:tc>
        <w:tc>
          <w:tcPr>
            <w:tcW w:w="1041" w:type="dxa"/>
            <w:tcBorders>
              <w:top w:val="single" w:sz="4" w:space="0" w:color="auto"/>
              <w:bottom w:val="single" w:sz="4" w:space="0" w:color="auto"/>
            </w:tcBorders>
            <w:noWrap/>
          </w:tcPr>
          <w:p w14:paraId="0A58D8FC"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P-value</w:t>
            </w:r>
          </w:p>
        </w:tc>
      </w:tr>
      <w:tr w:rsidR="001A3D64" w:rsidRPr="001016D6" w14:paraId="670B597C" w14:textId="77777777" w:rsidTr="00C62744">
        <w:trPr>
          <w:trHeight w:val="70"/>
        </w:trPr>
        <w:tc>
          <w:tcPr>
            <w:tcW w:w="1649" w:type="dxa"/>
            <w:tcBorders>
              <w:top w:val="single" w:sz="4" w:space="0" w:color="auto"/>
            </w:tcBorders>
            <w:noWrap/>
            <w:hideMark/>
          </w:tcPr>
          <w:p w14:paraId="58D0B027"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p>
        </w:tc>
        <w:tc>
          <w:tcPr>
            <w:tcW w:w="2170" w:type="dxa"/>
            <w:tcBorders>
              <w:top w:val="single" w:sz="4" w:space="0" w:color="auto"/>
              <w:bottom w:val="single" w:sz="4" w:space="0" w:color="auto"/>
            </w:tcBorders>
            <w:noWrap/>
            <w:hideMark/>
          </w:tcPr>
          <w:p w14:paraId="5902B111"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Mean(95%CI)</w:t>
            </w:r>
          </w:p>
        </w:tc>
        <w:tc>
          <w:tcPr>
            <w:tcW w:w="765" w:type="dxa"/>
            <w:tcBorders>
              <w:top w:val="single" w:sz="4" w:space="0" w:color="auto"/>
              <w:bottom w:val="single" w:sz="4" w:space="0" w:color="auto"/>
            </w:tcBorders>
            <w:noWrap/>
            <w:hideMark/>
          </w:tcPr>
          <w:p w14:paraId="574FBE67"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SD</w:t>
            </w:r>
          </w:p>
        </w:tc>
        <w:tc>
          <w:tcPr>
            <w:tcW w:w="1018" w:type="dxa"/>
            <w:tcBorders>
              <w:top w:val="single" w:sz="4" w:space="0" w:color="auto"/>
              <w:bottom w:val="single" w:sz="4" w:space="0" w:color="auto"/>
            </w:tcBorders>
            <w:noWrap/>
            <w:hideMark/>
          </w:tcPr>
          <w:p w14:paraId="29485E78"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p>
        </w:tc>
        <w:tc>
          <w:tcPr>
            <w:tcW w:w="2152" w:type="dxa"/>
            <w:tcBorders>
              <w:top w:val="single" w:sz="4" w:space="0" w:color="auto"/>
              <w:bottom w:val="single" w:sz="4" w:space="0" w:color="auto"/>
            </w:tcBorders>
            <w:noWrap/>
            <w:hideMark/>
          </w:tcPr>
          <w:p w14:paraId="585CEE65"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Mean (95%CI)</w:t>
            </w:r>
          </w:p>
        </w:tc>
        <w:tc>
          <w:tcPr>
            <w:tcW w:w="926" w:type="dxa"/>
            <w:tcBorders>
              <w:top w:val="single" w:sz="4" w:space="0" w:color="auto"/>
              <w:bottom w:val="single" w:sz="4" w:space="0" w:color="auto"/>
            </w:tcBorders>
          </w:tcPr>
          <w:p w14:paraId="00327981"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SD</w:t>
            </w:r>
          </w:p>
        </w:tc>
        <w:tc>
          <w:tcPr>
            <w:tcW w:w="1041" w:type="dxa"/>
            <w:tcBorders>
              <w:top w:val="single" w:sz="4" w:space="0" w:color="auto"/>
            </w:tcBorders>
            <w:noWrap/>
            <w:hideMark/>
          </w:tcPr>
          <w:p w14:paraId="2B6BF10D"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p>
        </w:tc>
      </w:tr>
      <w:tr w:rsidR="001A3D64" w:rsidRPr="001016D6" w14:paraId="1CCD03D5" w14:textId="77777777" w:rsidTr="00C62744">
        <w:trPr>
          <w:trHeight w:val="468"/>
        </w:trPr>
        <w:tc>
          <w:tcPr>
            <w:tcW w:w="1649" w:type="dxa"/>
            <w:noWrap/>
            <w:hideMark/>
          </w:tcPr>
          <w:p w14:paraId="3974E980" w14:textId="77777777" w:rsidR="00EF6979" w:rsidRPr="001016D6" w:rsidRDefault="00EF6979" w:rsidP="001A3D64">
            <w:pPr>
              <w:spacing w:line="360" w:lineRule="auto"/>
              <w:jc w:val="both"/>
              <w:rPr>
                <w:rFonts w:ascii="Times New Roman" w:eastAsia="Times New Roman" w:hAnsi="Times New Roman" w:cs="Times New Roman"/>
                <w:bCs/>
                <w:color w:val="000000" w:themeColor="text1"/>
                <w:sz w:val="24"/>
                <w:szCs w:val="24"/>
              </w:rPr>
            </w:pPr>
            <w:r w:rsidRPr="001016D6">
              <w:rPr>
                <w:rFonts w:ascii="Times New Roman" w:eastAsia="Times New Roman" w:hAnsi="Times New Roman" w:cs="Times New Roman"/>
                <w:bCs/>
                <w:color w:val="000000" w:themeColor="text1"/>
                <w:sz w:val="24"/>
                <w:szCs w:val="24"/>
              </w:rPr>
              <w:t>IOP Baseline</w:t>
            </w:r>
          </w:p>
        </w:tc>
        <w:tc>
          <w:tcPr>
            <w:tcW w:w="2170" w:type="dxa"/>
            <w:tcBorders>
              <w:top w:val="single" w:sz="4" w:space="0" w:color="auto"/>
            </w:tcBorders>
            <w:noWrap/>
          </w:tcPr>
          <w:p w14:paraId="552EAC37"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14.59(14.10-15.08)</w:t>
            </w:r>
          </w:p>
        </w:tc>
        <w:tc>
          <w:tcPr>
            <w:tcW w:w="765" w:type="dxa"/>
            <w:tcBorders>
              <w:top w:val="single" w:sz="4" w:space="0" w:color="auto"/>
            </w:tcBorders>
            <w:noWrap/>
          </w:tcPr>
          <w:p w14:paraId="7A919637" w14:textId="77777777" w:rsidR="00EF6979" w:rsidRPr="001016D6" w:rsidRDefault="00EF6979" w:rsidP="001A3D64">
            <w:pPr>
              <w:spacing w:line="360" w:lineRule="auto"/>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±2.60</w:t>
            </w:r>
          </w:p>
        </w:tc>
        <w:tc>
          <w:tcPr>
            <w:tcW w:w="1018" w:type="dxa"/>
            <w:tcBorders>
              <w:top w:val="single" w:sz="4" w:space="0" w:color="auto"/>
            </w:tcBorders>
            <w:noWrap/>
          </w:tcPr>
          <w:p w14:paraId="3E3CACD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52" w:type="dxa"/>
            <w:tcBorders>
              <w:top w:val="single" w:sz="4" w:space="0" w:color="auto"/>
            </w:tcBorders>
            <w:noWrap/>
          </w:tcPr>
          <w:p w14:paraId="38BEE36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13.85(13.41-14.29)</w:t>
            </w:r>
          </w:p>
        </w:tc>
        <w:tc>
          <w:tcPr>
            <w:tcW w:w="926" w:type="dxa"/>
            <w:tcBorders>
              <w:top w:val="single" w:sz="4" w:space="0" w:color="auto"/>
            </w:tcBorders>
          </w:tcPr>
          <w:p w14:paraId="0E26F4EF" w14:textId="77777777" w:rsidR="00EF6979" w:rsidRPr="001016D6" w:rsidRDefault="00EF6979" w:rsidP="001A3D64">
            <w:pPr>
              <w:spacing w:after="200" w:line="360" w:lineRule="auto"/>
              <w:rPr>
                <w:rFonts w:ascii="Times New Roman" w:eastAsia="SimSun" w:hAnsi="Times New Roman" w:cs="Times New Roman"/>
                <w:color w:val="000000" w:themeColor="text1"/>
                <w:sz w:val="24"/>
                <w:szCs w:val="24"/>
              </w:rPr>
            </w:pPr>
            <w:r w:rsidRPr="001016D6">
              <w:rPr>
                <w:rFonts w:ascii="Times New Roman" w:eastAsia="SimSun" w:hAnsi="Times New Roman" w:cs="Times New Roman"/>
                <w:color w:val="000000" w:themeColor="text1"/>
                <w:sz w:val="24"/>
                <w:szCs w:val="24"/>
              </w:rPr>
              <w:t>±2.33</w:t>
            </w:r>
          </w:p>
        </w:tc>
        <w:tc>
          <w:tcPr>
            <w:tcW w:w="1041" w:type="dxa"/>
            <w:noWrap/>
          </w:tcPr>
          <w:p w14:paraId="078F3AB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2803CCAE" w14:textId="77777777" w:rsidTr="00C62744">
        <w:trPr>
          <w:trHeight w:val="468"/>
        </w:trPr>
        <w:tc>
          <w:tcPr>
            <w:tcW w:w="1649" w:type="dxa"/>
            <w:noWrap/>
            <w:hideMark/>
          </w:tcPr>
          <w:p w14:paraId="0018CB70" w14:textId="77777777" w:rsidR="00EF6979" w:rsidRPr="001016D6" w:rsidRDefault="00EF6979" w:rsidP="001A3D64">
            <w:pPr>
              <w:spacing w:line="360" w:lineRule="auto"/>
              <w:jc w:val="both"/>
              <w:rPr>
                <w:rFonts w:ascii="Times New Roman" w:eastAsia="Times New Roman" w:hAnsi="Times New Roman" w:cs="Times New Roman"/>
                <w:bCs/>
                <w:color w:val="000000" w:themeColor="text1"/>
                <w:sz w:val="24"/>
                <w:szCs w:val="24"/>
              </w:rPr>
            </w:pPr>
            <w:r w:rsidRPr="001016D6">
              <w:rPr>
                <w:rFonts w:ascii="Times New Roman" w:eastAsia="Times New Roman" w:hAnsi="Times New Roman" w:cs="Times New Roman"/>
                <w:bCs/>
                <w:color w:val="000000" w:themeColor="text1"/>
                <w:sz w:val="24"/>
                <w:szCs w:val="24"/>
              </w:rPr>
              <w:t>IOP Immediate</w:t>
            </w:r>
          </w:p>
        </w:tc>
        <w:tc>
          <w:tcPr>
            <w:tcW w:w="2170" w:type="dxa"/>
            <w:noWrap/>
          </w:tcPr>
          <w:p w14:paraId="52413EF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28.42(27.41-29.42)</w:t>
            </w:r>
          </w:p>
        </w:tc>
        <w:tc>
          <w:tcPr>
            <w:tcW w:w="765" w:type="dxa"/>
            <w:noWrap/>
          </w:tcPr>
          <w:p w14:paraId="2C1A2556" w14:textId="77777777" w:rsidR="00EF6979" w:rsidRPr="001016D6" w:rsidRDefault="00EF6979" w:rsidP="001A3D64">
            <w:pPr>
              <w:spacing w:after="200" w:line="360" w:lineRule="auto"/>
              <w:rPr>
                <w:rFonts w:ascii="Times New Roman" w:eastAsia="SimSu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±5.31</w:t>
            </w:r>
          </w:p>
        </w:tc>
        <w:tc>
          <w:tcPr>
            <w:tcW w:w="1018" w:type="dxa"/>
            <w:noWrap/>
          </w:tcPr>
          <w:p w14:paraId="021728E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&lt;0.001</w:t>
            </w:r>
          </w:p>
        </w:tc>
        <w:tc>
          <w:tcPr>
            <w:tcW w:w="2152" w:type="dxa"/>
            <w:noWrap/>
          </w:tcPr>
          <w:p w14:paraId="4D89563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13.45(13.04-13.87)</w:t>
            </w:r>
          </w:p>
        </w:tc>
        <w:tc>
          <w:tcPr>
            <w:tcW w:w="926" w:type="dxa"/>
          </w:tcPr>
          <w:p w14:paraId="28BDB1E9" w14:textId="77777777" w:rsidR="00EF6979" w:rsidRPr="001016D6" w:rsidRDefault="00EF6979" w:rsidP="001A3D64">
            <w:pPr>
              <w:spacing w:after="200" w:line="360" w:lineRule="auto"/>
              <w:rPr>
                <w:rFonts w:ascii="Times New Roman" w:eastAsia="SimSun" w:hAnsi="Times New Roman" w:cs="Times New Roman"/>
                <w:color w:val="000000" w:themeColor="text1"/>
                <w:sz w:val="24"/>
                <w:szCs w:val="24"/>
              </w:rPr>
            </w:pPr>
            <w:r w:rsidRPr="001016D6">
              <w:rPr>
                <w:rFonts w:ascii="Times New Roman" w:eastAsia="SimSun" w:hAnsi="Times New Roman" w:cs="Times New Roman"/>
                <w:color w:val="000000" w:themeColor="text1"/>
                <w:sz w:val="24"/>
                <w:szCs w:val="24"/>
              </w:rPr>
              <w:t>±2.18</w:t>
            </w:r>
          </w:p>
        </w:tc>
        <w:tc>
          <w:tcPr>
            <w:tcW w:w="1041" w:type="dxa"/>
            <w:noWrap/>
          </w:tcPr>
          <w:p w14:paraId="105F0307"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0.232</w:t>
            </w:r>
          </w:p>
        </w:tc>
      </w:tr>
      <w:tr w:rsidR="001A3D64" w:rsidRPr="001016D6" w14:paraId="0F8A5679" w14:textId="77777777" w:rsidTr="00C62744">
        <w:trPr>
          <w:trHeight w:val="80"/>
        </w:trPr>
        <w:tc>
          <w:tcPr>
            <w:tcW w:w="1649" w:type="dxa"/>
            <w:noWrap/>
            <w:hideMark/>
          </w:tcPr>
          <w:p w14:paraId="34CFFE56" w14:textId="77777777" w:rsidR="00EF6979" w:rsidRPr="001016D6" w:rsidRDefault="00EF6979" w:rsidP="001A3D64">
            <w:pPr>
              <w:spacing w:line="360" w:lineRule="auto"/>
              <w:jc w:val="both"/>
              <w:rPr>
                <w:rFonts w:ascii="Times New Roman" w:eastAsia="Times New Roman" w:hAnsi="Times New Roman" w:cs="Times New Roman"/>
                <w:bCs/>
                <w:color w:val="000000" w:themeColor="text1"/>
                <w:sz w:val="24"/>
                <w:szCs w:val="24"/>
              </w:rPr>
            </w:pPr>
            <w:r w:rsidRPr="001016D6">
              <w:rPr>
                <w:rFonts w:ascii="Times New Roman" w:eastAsia="Times New Roman" w:hAnsi="Times New Roman" w:cs="Times New Roman"/>
                <w:bCs/>
                <w:color w:val="000000" w:themeColor="text1"/>
                <w:sz w:val="24"/>
                <w:szCs w:val="24"/>
              </w:rPr>
              <w:t>IOP 2 weeks</w:t>
            </w:r>
          </w:p>
        </w:tc>
        <w:tc>
          <w:tcPr>
            <w:tcW w:w="2170" w:type="dxa"/>
            <w:noWrap/>
          </w:tcPr>
          <w:p w14:paraId="2A5CFBE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17.75(16.88-18.61)</w:t>
            </w:r>
          </w:p>
        </w:tc>
        <w:tc>
          <w:tcPr>
            <w:tcW w:w="765" w:type="dxa"/>
            <w:noWrap/>
          </w:tcPr>
          <w:p w14:paraId="4C381AB7" w14:textId="77777777" w:rsidR="00EF6979" w:rsidRPr="001016D6" w:rsidRDefault="00EF6979" w:rsidP="001A3D64">
            <w:pPr>
              <w:spacing w:after="200" w:line="360" w:lineRule="auto"/>
              <w:rPr>
                <w:rFonts w:ascii="Times New Roman" w:eastAsia="SimSu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±4.56</w:t>
            </w:r>
          </w:p>
        </w:tc>
        <w:tc>
          <w:tcPr>
            <w:tcW w:w="1018" w:type="dxa"/>
            <w:noWrap/>
          </w:tcPr>
          <w:p w14:paraId="1F65C3D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&lt;0.001</w:t>
            </w:r>
          </w:p>
        </w:tc>
        <w:tc>
          <w:tcPr>
            <w:tcW w:w="2152" w:type="dxa"/>
            <w:noWrap/>
          </w:tcPr>
          <w:p w14:paraId="1E179F8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13.61(13.35-13.87)</w:t>
            </w:r>
          </w:p>
        </w:tc>
        <w:tc>
          <w:tcPr>
            <w:tcW w:w="926" w:type="dxa"/>
          </w:tcPr>
          <w:p w14:paraId="0B50826C" w14:textId="77777777" w:rsidR="00EF6979" w:rsidRPr="001016D6" w:rsidRDefault="00EF6979" w:rsidP="001A3D64">
            <w:pPr>
              <w:spacing w:after="200" w:line="360" w:lineRule="auto"/>
              <w:rPr>
                <w:rFonts w:ascii="Times New Roman" w:eastAsia="SimSun" w:hAnsi="Times New Roman" w:cs="Times New Roman"/>
                <w:color w:val="000000" w:themeColor="text1"/>
                <w:sz w:val="24"/>
                <w:szCs w:val="24"/>
              </w:rPr>
            </w:pPr>
            <w:r w:rsidRPr="001016D6">
              <w:rPr>
                <w:rFonts w:ascii="Times New Roman" w:eastAsia="SimSun" w:hAnsi="Times New Roman" w:cs="Times New Roman"/>
                <w:color w:val="000000" w:themeColor="text1"/>
                <w:sz w:val="24"/>
                <w:szCs w:val="24"/>
              </w:rPr>
              <w:t>±1.36</w:t>
            </w:r>
          </w:p>
        </w:tc>
        <w:tc>
          <w:tcPr>
            <w:tcW w:w="1041" w:type="dxa"/>
            <w:noWrap/>
          </w:tcPr>
          <w:p w14:paraId="2AA8246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1.000</w:t>
            </w:r>
          </w:p>
        </w:tc>
      </w:tr>
      <w:tr w:rsidR="001A3D64" w:rsidRPr="001016D6" w14:paraId="0B01AEAA" w14:textId="77777777" w:rsidTr="00C62744">
        <w:trPr>
          <w:trHeight w:val="80"/>
        </w:trPr>
        <w:tc>
          <w:tcPr>
            <w:tcW w:w="1649" w:type="dxa"/>
            <w:noWrap/>
            <w:hideMark/>
          </w:tcPr>
          <w:p w14:paraId="49241083" w14:textId="77777777" w:rsidR="00EF6979" w:rsidRPr="001016D6" w:rsidRDefault="00EF6979" w:rsidP="001A3D64">
            <w:pPr>
              <w:spacing w:line="360" w:lineRule="auto"/>
              <w:jc w:val="both"/>
              <w:rPr>
                <w:rFonts w:ascii="Times New Roman" w:eastAsia="Times New Roman" w:hAnsi="Times New Roman" w:cs="Times New Roman"/>
                <w:bCs/>
                <w:color w:val="000000" w:themeColor="text1"/>
                <w:sz w:val="24"/>
                <w:szCs w:val="24"/>
              </w:rPr>
            </w:pPr>
            <w:r w:rsidRPr="001016D6">
              <w:rPr>
                <w:rFonts w:ascii="Times New Roman" w:eastAsia="Times New Roman" w:hAnsi="Times New Roman" w:cs="Times New Roman"/>
                <w:bCs/>
                <w:color w:val="000000" w:themeColor="text1"/>
                <w:sz w:val="24"/>
                <w:szCs w:val="24"/>
              </w:rPr>
              <w:t>IOP 6 weeks</w:t>
            </w:r>
          </w:p>
        </w:tc>
        <w:tc>
          <w:tcPr>
            <w:tcW w:w="2170" w:type="dxa"/>
            <w:noWrap/>
          </w:tcPr>
          <w:p w14:paraId="079A400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17.05(16.14-17.97)</w:t>
            </w:r>
          </w:p>
        </w:tc>
        <w:tc>
          <w:tcPr>
            <w:tcW w:w="765" w:type="dxa"/>
            <w:noWrap/>
          </w:tcPr>
          <w:p w14:paraId="4397A04A" w14:textId="77777777" w:rsidR="00EF6979" w:rsidRPr="001016D6" w:rsidRDefault="00EF6979" w:rsidP="001A3D64">
            <w:pPr>
              <w:spacing w:after="200" w:line="360" w:lineRule="auto"/>
              <w:rPr>
                <w:rFonts w:ascii="Times New Roman" w:eastAsia="SimSu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±4.87</w:t>
            </w:r>
          </w:p>
        </w:tc>
        <w:tc>
          <w:tcPr>
            <w:tcW w:w="1018" w:type="dxa"/>
            <w:noWrap/>
          </w:tcPr>
          <w:p w14:paraId="2AED1CD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&lt;0.001</w:t>
            </w:r>
          </w:p>
        </w:tc>
        <w:tc>
          <w:tcPr>
            <w:tcW w:w="2152" w:type="dxa"/>
            <w:noWrap/>
          </w:tcPr>
          <w:p w14:paraId="657905E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12.90(12.66-13.14)</w:t>
            </w:r>
          </w:p>
        </w:tc>
        <w:tc>
          <w:tcPr>
            <w:tcW w:w="926" w:type="dxa"/>
          </w:tcPr>
          <w:p w14:paraId="6EE5456A" w14:textId="77777777" w:rsidR="00EF6979" w:rsidRPr="001016D6" w:rsidRDefault="00EF6979" w:rsidP="001A3D64">
            <w:pPr>
              <w:spacing w:after="200" w:line="360" w:lineRule="auto"/>
              <w:rPr>
                <w:rFonts w:ascii="Times New Roman" w:eastAsia="SimSun" w:hAnsi="Times New Roman" w:cs="Times New Roman"/>
                <w:color w:val="000000" w:themeColor="text1"/>
                <w:sz w:val="24"/>
                <w:szCs w:val="24"/>
              </w:rPr>
            </w:pPr>
            <w:r w:rsidRPr="001016D6">
              <w:rPr>
                <w:rFonts w:ascii="Times New Roman" w:eastAsia="SimSun" w:hAnsi="Times New Roman" w:cs="Times New Roman"/>
                <w:color w:val="000000" w:themeColor="text1"/>
                <w:sz w:val="24"/>
                <w:szCs w:val="24"/>
              </w:rPr>
              <w:t>±1.26</w:t>
            </w:r>
          </w:p>
        </w:tc>
        <w:tc>
          <w:tcPr>
            <w:tcW w:w="1041" w:type="dxa"/>
            <w:noWrap/>
          </w:tcPr>
          <w:p w14:paraId="6CA4D80F"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0.002</w:t>
            </w:r>
          </w:p>
        </w:tc>
      </w:tr>
    </w:tbl>
    <w:p w14:paraId="5A9662EF" w14:textId="77777777" w:rsidR="00EF6979" w:rsidRPr="001016D6" w:rsidRDefault="00EF6979" w:rsidP="001A3D64">
      <w:pPr>
        <w:spacing w:after="200" w:line="360" w:lineRule="auto"/>
        <w:jc w:val="both"/>
        <w:rPr>
          <w:rFonts w:ascii="Times New Roman" w:eastAsia="SimSun" w:hAnsi="Times New Roman" w:cs="Times New Roman"/>
          <w:i/>
          <w:iCs/>
          <w:color w:val="000000" w:themeColor="text1"/>
          <w:sz w:val="24"/>
          <w:szCs w:val="24"/>
        </w:rPr>
      </w:pPr>
      <w:r w:rsidRPr="001016D6">
        <w:rPr>
          <w:rFonts w:ascii="Times New Roman" w:eastAsia="SimSun" w:hAnsi="Times New Roman" w:cs="Times New Roman"/>
          <w:b/>
          <w:bCs/>
          <w:i/>
          <w:iCs/>
          <w:color w:val="000000" w:themeColor="text1"/>
          <w:sz w:val="24"/>
          <w:szCs w:val="24"/>
        </w:rPr>
        <w:t xml:space="preserve">Abbreviations: </w:t>
      </w:r>
      <w:r w:rsidRPr="001016D6">
        <w:rPr>
          <w:rFonts w:ascii="Times New Roman" w:eastAsia="SimSun" w:hAnsi="Times New Roman" w:cs="Times New Roman"/>
          <w:i/>
          <w:iCs/>
          <w:color w:val="000000" w:themeColor="text1"/>
          <w:sz w:val="24"/>
          <w:szCs w:val="24"/>
        </w:rPr>
        <w:t>IOP, Intraocular pressure; mmHg.</w:t>
      </w:r>
    </w:p>
    <w:p w14:paraId="565E46FC" w14:textId="77777777" w:rsidR="00EF6979" w:rsidRPr="001016D6" w:rsidRDefault="00EF6979" w:rsidP="001A3D64">
      <w:pPr>
        <w:pStyle w:val="Heading3"/>
        <w:spacing w:line="360" w:lineRule="auto"/>
        <w:rPr>
          <w:rFonts w:ascii="Times New Roman" w:eastAsia="Calibri" w:hAnsi="Times New Roman" w:cs="Times New Roman"/>
          <w:color w:val="000000" w:themeColor="text1"/>
        </w:rPr>
      </w:pPr>
      <w:bookmarkStart w:id="26" w:name="_Toc201688048"/>
      <w:r w:rsidRPr="001016D6">
        <w:rPr>
          <w:rFonts w:ascii="Times New Roman" w:eastAsia="Calibri" w:hAnsi="Times New Roman" w:cs="Times New Roman"/>
          <w:color w:val="000000" w:themeColor="text1"/>
        </w:rPr>
        <w:t>4.4.2 Pattern of IOP rise after Triamcinolone injection among the study participants at IOP immediate, IOP 2 weeks, and IOP 6 weeks (N= 110)</w:t>
      </w:r>
      <w:bookmarkEnd w:id="26"/>
    </w:p>
    <w:p w14:paraId="79D61B6B" w14:textId="77777777" w:rsidR="00EF6979" w:rsidRPr="001016D6" w:rsidRDefault="00EF6979" w:rsidP="001A3D64">
      <w:pPr>
        <w:spacing w:after="200" w:line="360" w:lineRule="auto"/>
        <w:jc w:val="both"/>
        <w:rPr>
          <w:rFonts w:ascii="Times New Roman" w:eastAsia="SimSun" w:hAnsi="Times New Roman" w:cs="Times New Roman"/>
          <w:b/>
          <w:bCs/>
          <w:color w:val="000000" w:themeColor="text1"/>
          <w:sz w:val="24"/>
          <w:szCs w:val="24"/>
        </w:rPr>
      </w:pPr>
      <w:r w:rsidRPr="001016D6">
        <w:rPr>
          <w:rFonts w:ascii="Times New Roman" w:eastAsia="SimSun" w:hAnsi="Times New Roman" w:cs="Times New Roman"/>
          <w:color w:val="000000" w:themeColor="text1"/>
          <w:sz w:val="24"/>
          <w:szCs w:val="24"/>
        </w:rPr>
        <w:t>The mean IOP in the injected eye increased rapidly, immediately after injections, it decreased gradually after two weeks and remained slightly constant to six weeks follow-up, in contrast to the non-injected eye the mean IOP remained stationary over the study period summarized in</w:t>
      </w:r>
      <w:r w:rsidRPr="001016D6">
        <w:rPr>
          <w:rFonts w:ascii="Times New Roman" w:eastAsia="SimSun" w:hAnsi="Times New Roman" w:cs="Times New Roman"/>
          <w:b/>
          <w:color w:val="000000" w:themeColor="text1"/>
          <w:sz w:val="24"/>
          <w:szCs w:val="24"/>
        </w:rPr>
        <w:t xml:space="preserve"> (</w:t>
      </w:r>
      <w:r w:rsidRPr="001016D6">
        <w:rPr>
          <w:rFonts w:ascii="Times New Roman" w:eastAsia="SimSun" w:hAnsi="Times New Roman" w:cs="Times New Roman"/>
          <w:b/>
          <w:bCs/>
          <w:color w:val="000000" w:themeColor="text1"/>
          <w:sz w:val="24"/>
          <w:szCs w:val="24"/>
        </w:rPr>
        <w:t>Fig 3).</w:t>
      </w:r>
      <w:bookmarkStart w:id="27" w:name="_Toc171521432"/>
    </w:p>
    <w:p w14:paraId="25E6CAF6" w14:textId="77777777" w:rsidR="00EF6979" w:rsidRPr="001016D6" w:rsidRDefault="00EF6979" w:rsidP="001A3D64">
      <w:pPr>
        <w:spacing w:after="200" w:line="360" w:lineRule="auto"/>
        <w:jc w:val="both"/>
        <w:rPr>
          <w:rFonts w:ascii="Times New Roman" w:eastAsia="SimSun" w:hAnsi="Times New Roman" w:cs="Times New Roman"/>
          <w:iCs/>
          <w:color w:val="000000" w:themeColor="text1"/>
          <w:sz w:val="24"/>
          <w:szCs w:val="24"/>
        </w:rPr>
      </w:pPr>
      <w:r w:rsidRPr="001016D6">
        <w:rPr>
          <w:rFonts w:ascii="Times New Roman" w:eastAsia="SimSun" w:hAnsi="Times New Roman" w:cs="Times New Roman"/>
          <w:noProof/>
          <w:color w:val="000000" w:themeColor="text1"/>
          <w:sz w:val="24"/>
          <w:szCs w:val="24"/>
          <w:lang w:eastAsia="en-GB"/>
        </w:rPr>
        <w:lastRenderedPageBreak/>
        <w:drawing>
          <wp:inline distT="0" distB="0" distL="114300" distR="114300" wp14:anchorId="42F70706" wp14:editId="19D53BA9">
            <wp:extent cx="6105525" cy="2800350"/>
            <wp:effectExtent l="0" t="0" r="9525" b="19050"/>
            <wp:docPr id="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2051935" w14:textId="77777777" w:rsidR="00EF6979" w:rsidRPr="001016D6" w:rsidRDefault="00EF6979" w:rsidP="001A3D64">
      <w:pPr>
        <w:pStyle w:val="Caption"/>
        <w:rPr>
          <w:rFonts w:eastAsia="SimSun"/>
          <w:b w:val="0"/>
          <w:bCs w:val="0"/>
          <w:color w:val="000000" w:themeColor="text1"/>
          <w:szCs w:val="24"/>
        </w:rPr>
      </w:pPr>
      <w:bookmarkStart w:id="28" w:name="_Toc201683028"/>
      <w:r w:rsidRPr="001016D6">
        <w:rPr>
          <w:color w:val="000000" w:themeColor="text1"/>
          <w:szCs w:val="24"/>
        </w:rPr>
        <w:t xml:space="preserve">Figure </w:t>
      </w:r>
      <w:r w:rsidRPr="001016D6">
        <w:rPr>
          <w:color w:val="000000" w:themeColor="text1"/>
          <w:szCs w:val="24"/>
        </w:rPr>
        <w:fldChar w:fldCharType="begin"/>
      </w:r>
      <w:r w:rsidRPr="001016D6">
        <w:rPr>
          <w:color w:val="000000" w:themeColor="text1"/>
          <w:szCs w:val="24"/>
        </w:rPr>
        <w:instrText xml:space="preserve"> SEQ Figure \* ARABIC </w:instrText>
      </w:r>
      <w:r w:rsidRPr="001016D6">
        <w:rPr>
          <w:color w:val="000000" w:themeColor="text1"/>
          <w:szCs w:val="24"/>
        </w:rPr>
        <w:fldChar w:fldCharType="separate"/>
      </w:r>
      <w:r w:rsidR="00BF1629" w:rsidRPr="001016D6">
        <w:rPr>
          <w:noProof/>
          <w:color w:val="000000" w:themeColor="text1"/>
          <w:szCs w:val="24"/>
        </w:rPr>
        <w:t>2</w:t>
      </w:r>
      <w:r w:rsidRPr="001016D6">
        <w:rPr>
          <w:noProof/>
          <w:color w:val="000000" w:themeColor="text1"/>
          <w:szCs w:val="24"/>
        </w:rPr>
        <w:fldChar w:fldCharType="end"/>
      </w:r>
      <w:r w:rsidRPr="001016D6">
        <w:rPr>
          <w:color w:val="000000" w:themeColor="text1"/>
          <w:szCs w:val="24"/>
        </w:rPr>
        <w:t>: Pattern IOP spike after Triamcinolone intravitreal injections among the study participants at IOP Baseline, IOP immediate, IOP 2 weeks, and IOP 6 weeks (N= 110)</w:t>
      </w:r>
      <w:bookmarkEnd w:id="28"/>
    </w:p>
    <w:p w14:paraId="38A4D7ED" w14:textId="77777777" w:rsidR="00EF6979" w:rsidRPr="001016D6" w:rsidRDefault="00EF6979" w:rsidP="001A3D64">
      <w:pPr>
        <w:pStyle w:val="Heading2"/>
        <w:spacing w:line="360" w:lineRule="auto"/>
        <w:rPr>
          <w:rFonts w:ascii="Times New Roman" w:eastAsia="SimSun" w:hAnsi="Times New Roman" w:cs="Times New Roman"/>
          <w:color w:val="000000" w:themeColor="text1"/>
          <w:sz w:val="24"/>
          <w:szCs w:val="24"/>
        </w:rPr>
      </w:pPr>
      <w:bookmarkStart w:id="29" w:name="_Toc201688049"/>
      <w:r w:rsidRPr="001016D6">
        <w:rPr>
          <w:rFonts w:ascii="Times New Roman" w:eastAsia="SimSun" w:hAnsi="Times New Roman" w:cs="Times New Roman"/>
          <w:color w:val="000000" w:themeColor="text1"/>
          <w:sz w:val="24"/>
          <w:szCs w:val="24"/>
        </w:rPr>
        <w:t>4.5 Risk Factors Associated with Ocular Hypertension after Intravitreal Triamcinolone Injections</w:t>
      </w:r>
      <w:bookmarkEnd w:id="29"/>
    </w:p>
    <w:p w14:paraId="26FC787D" w14:textId="77777777" w:rsidR="00EF6979" w:rsidRPr="001016D6" w:rsidRDefault="00EF6979" w:rsidP="001A3D64">
      <w:pPr>
        <w:pStyle w:val="Heading3"/>
        <w:spacing w:line="360" w:lineRule="auto"/>
        <w:rPr>
          <w:rFonts w:ascii="Times New Roman" w:eastAsia="Calibri" w:hAnsi="Times New Roman" w:cs="Times New Roman"/>
          <w:color w:val="000000" w:themeColor="text1"/>
        </w:rPr>
      </w:pPr>
      <w:bookmarkStart w:id="30" w:name="_Toc201688050"/>
      <w:r w:rsidRPr="001016D6">
        <w:rPr>
          <w:rFonts w:ascii="Times New Roman" w:eastAsia="Calibri" w:hAnsi="Times New Roman" w:cs="Times New Roman"/>
          <w:color w:val="000000" w:themeColor="text1"/>
        </w:rPr>
        <w:t>4.5.1 Distribution of ocular hypertension by participants’ characteristics</w:t>
      </w:r>
      <w:bookmarkEnd w:id="27"/>
      <w:r w:rsidRPr="001016D6">
        <w:rPr>
          <w:rFonts w:ascii="Times New Roman" w:eastAsia="Calibri" w:hAnsi="Times New Roman" w:cs="Times New Roman"/>
          <w:color w:val="000000" w:themeColor="text1"/>
        </w:rPr>
        <w:t xml:space="preserve"> (N=110)</w:t>
      </w:r>
      <w:bookmarkEnd w:id="30"/>
    </w:p>
    <w:p w14:paraId="3EA721A3" w14:textId="77777777" w:rsidR="00EF6979" w:rsidRPr="001016D6" w:rsidRDefault="00EF6979" w:rsidP="001A3D64">
      <w:pPr>
        <w:spacing w:after="200" w:line="360" w:lineRule="auto"/>
        <w:jc w:val="both"/>
        <w:rPr>
          <w:rFonts w:ascii="Times New Roman" w:eastAsia="SimSun" w:hAnsi="Times New Roman" w:cs="Times New Roman"/>
          <w:b/>
          <w:bCs/>
          <w:iCs/>
          <w:color w:val="000000" w:themeColor="text1"/>
          <w:sz w:val="24"/>
          <w:szCs w:val="24"/>
          <w:shd w:val="clear" w:color="auto" w:fill="FFFFFF"/>
        </w:rPr>
      </w:pPr>
      <w:r w:rsidRPr="001016D6">
        <w:rPr>
          <w:rFonts w:ascii="Times New Roman" w:eastAsia="SimSun" w:hAnsi="Times New Roman" w:cs="Times New Roman"/>
          <w:color w:val="000000" w:themeColor="text1"/>
          <w:sz w:val="24"/>
          <w:szCs w:val="24"/>
        </w:rPr>
        <w:t xml:space="preserve">Ocular hypertension significantly differed by </w:t>
      </w:r>
      <w:r w:rsidRPr="001016D6">
        <w:rPr>
          <w:rFonts w:ascii="Times New Roman" w:eastAsia="SimSun" w:hAnsi="Times New Roman" w:cs="Times New Roman"/>
          <w:i/>
          <w:iCs/>
          <w:color w:val="000000" w:themeColor="text1"/>
          <w:sz w:val="24"/>
          <w:szCs w:val="24"/>
          <w:shd w:val="clear" w:color="auto" w:fill="FFFFFF"/>
        </w:rPr>
        <w:t xml:space="preserve">lens status </w:t>
      </w:r>
      <w:r w:rsidRPr="001016D6">
        <w:rPr>
          <w:rFonts w:ascii="Times New Roman" w:eastAsia="SimSun" w:hAnsi="Times New Roman" w:cs="Times New Roman"/>
          <w:color w:val="000000" w:themeColor="text1"/>
          <w:sz w:val="24"/>
          <w:szCs w:val="24"/>
        </w:rPr>
        <w:t>(</w:t>
      </w:r>
      <w:r w:rsidRPr="001016D6">
        <w:rPr>
          <w:rFonts w:ascii="Times New Roman" w:eastAsia="SimSun" w:hAnsi="Times New Roman" w:cs="Times New Roman"/>
          <w:i/>
          <w:iCs/>
          <w:color w:val="000000" w:themeColor="text1"/>
          <w:sz w:val="24"/>
          <w:szCs w:val="24"/>
          <w:shd w:val="clear" w:color="auto" w:fill="FFFFFF"/>
        </w:rPr>
        <w:t>χ</w:t>
      </w:r>
      <w:r w:rsidRPr="001016D6">
        <w:rPr>
          <w:rFonts w:ascii="Times New Roman" w:eastAsia="SimSun" w:hAnsi="Times New Roman" w:cs="Times New Roman"/>
          <w:i/>
          <w:iCs/>
          <w:color w:val="000000" w:themeColor="text1"/>
          <w:sz w:val="24"/>
          <w:szCs w:val="24"/>
          <w:shd w:val="clear" w:color="auto" w:fill="FFFFFF"/>
          <w:vertAlign w:val="superscript"/>
        </w:rPr>
        <w:t>2</w:t>
      </w:r>
      <w:r w:rsidRPr="001016D6">
        <w:rPr>
          <w:rFonts w:ascii="Times New Roman" w:eastAsia="SimSun" w:hAnsi="Times New Roman" w:cs="Times New Roman"/>
          <w:i/>
          <w:iCs/>
          <w:color w:val="000000" w:themeColor="text1"/>
          <w:sz w:val="24"/>
          <w:szCs w:val="24"/>
          <w:shd w:val="clear" w:color="auto" w:fill="FFFFFF"/>
        </w:rPr>
        <w:t>=</w:t>
      </w:r>
      <w:r w:rsidRPr="001016D6">
        <w:rPr>
          <w:rFonts w:ascii="Times New Roman" w:eastAsia="Times New Roman" w:hAnsi="Times New Roman" w:cs="Times New Roman"/>
          <w:color w:val="000000" w:themeColor="text1"/>
          <w:sz w:val="24"/>
          <w:szCs w:val="24"/>
        </w:rPr>
        <w:t>5.8489</w:t>
      </w:r>
      <w:r w:rsidRPr="001016D6">
        <w:rPr>
          <w:rFonts w:ascii="Times New Roman" w:eastAsia="SimSun" w:hAnsi="Times New Roman" w:cs="Times New Roman"/>
          <w:i/>
          <w:iCs/>
          <w:color w:val="000000" w:themeColor="text1"/>
          <w:sz w:val="24"/>
          <w:szCs w:val="24"/>
          <w:shd w:val="clear" w:color="auto" w:fill="FFFFFF"/>
        </w:rPr>
        <w:t xml:space="preserve">, P-value=0.016), </w:t>
      </w:r>
      <w:r w:rsidRPr="001016D6">
        <w:rPr>
          <w:rFonts w:ascii="Times New Roman" w:eastAsia="Times New Roman" w:hAnsi="Times New Roman" w:cs="Times New Roman"/>
          <w:bCs/>
          <w:color w:val="000000" w:themeColor="text1"/>
          <w:sz w:val="24"/>
          <w:szCs w:val="24"/>
        </w:rPr>
        <w:t>history of retina surgery</w:t>
      </w:r>
      <w:r w:rsidRPr="001016D6">
        <w:rPr>
          <w:rFonts w:ascii="Times New Roman" w:eastAsia="SimSun" w:hAnsi="Times New Roman" w:cs="Times New Roman"/>
          <w:color w:val="000000" w:themeColor="text1"/>
          <w:sz w:val="24"/>
          <w:szCs w:val="24"/>
        </w:rPr>
        <w:t xml:space="preserve"> (</w:t>
      </w:r>
      <w:r w:rsidRPr="001016D6">
        <w:rPr>
          <w:rFonts w:ascii="Times New Roman" w:eastAsia="SimSun" w:hAnsi="Times New Roman" w:cs="Times New Roman"/>
          <w:i/>
          <w:iCs/>
          <w:color w:val="000000" w:themeColor="text1"/>
          <w:sz w:val="24"/>
          <w:szCs w:val="24"/>
          <w:shd w:val="clear" w:color="auto" w:fill="FFFFFF"/>
        </w:rPr>
        <w:t>χ</w:t>
      </w:r>
      <w:r w:rsidRPr="001016D6">
        <w:rPr>
          <w:rFonts w:ascii="Times New Roman" w:eastAsia="SimSun" w:hAnsi="Times New Roman" w:cs="Times New Roman"/>
          <w:i/>
          <w:iCs/>
          <w:color w:val="000000" w:themeColor="text1"/>
          <w:sz w:val="24"/>
          <w:szCs w:val="24"/>
          <w:shd w:val="clear" w:color="auto" w:fill="FFFFFF"/>
          <w:vertAlign w:val="superscript"/>
        </w:rPr>
        <w:t>2</w:t>
      </w:r>
      <w:r w:rsidRPr="001016D6">
        <w:rPr>
          <w:rFonts w:ascii="Times New Roman" w:eastAsia="SimSun" w:hAnsi="Times New Roman" w:cs="Times New Roman"/>
          <w:i/>
          <w:iCs/>
          <w:color w:val="000000" w:themeColor="text1"/>
          <w:sz w:val="24"/>
          <w:szCs w:val="24"/>
          <w:shd w:val="clear" w:color="auto" w:fill="FFFFFF"/>
        </w:rPr>
        <w:t>=</w:t>
      </w:r>
      <w:r w:rsidRPr="001016D6">
        <w:rPr>
          <w:rFonts w:ascii="Times New Roman" w:eastAsia="Times New Roman" w:hAnsi="Times New Roman" w:cs="Times New Roman"/>
          <w:color w:val="000000" w:themeColor="text1"/>
          <w:sz w:val="24"/>
          <w:szCs w:val="24"/>
        </w:rPr>
        <w:t>3.8596</w:t>
      </w:r>
      <w:r w:rsidRPr="001016D6">
        <w:rPr>
          <w:rFonts w:ascii="Times New Roman" w:eastAsia="SimSun" w:hAnsi="Times New Roman" w:cs="Times New Roman"/>
          <w:i/>
          <w:iCs/>
          <w:color w:val="000000" w:themeColor="text1"/>
          <w:sz w:val="24"/>
          <w:szCs w:val="24"/>
          <w:shd w:val="clear" w:color="auto" w:fill="FFFFFF"/>
        </w:rPr>
        <w:t xml:space="preserve">, </w:t>
      </w:r>
      <w:bookmarkStart w:id="31" w:name="_Hlk198339795"/>
      <w:r w:rsidRPr="001016D6">
        <w:rPr>
          <w:rFonts w:ascii="Times New Roman" w:eastAsia="SimSun" w:hAnsi="Times New Roman" w:cs="Times New Roman"/>
          <w:i/>
          <w:iCs/>
          <w:color w:val="000000" w:themeColor="text1"/>
          <w:sz w:val="24"/>
          <w:szCs w:val="24"/>
          <w:shd w:val="clear" w:color="auto" w:fill="FFFFFF"/>
        </w:rPr>
        <w:t>P-value=0.049</w:t>
      </w:r>
      <w:bookmarkEnd w:id="31"/>
      <w:r w:rsidRPr="001016D6">
        <w:rPr>
          <w:rFonts w:ascii="Times New Roman" w:eastAsia="SimSun" w:hAnsi="Times New Roman" w:cs="Times New Roman"/>
          <w:i/>
          <w:iCs/>
          <w:color w:val="000000" w:themeColor="text1"/>
          <w:sz w:val="24"/>
          <w:szCs w:val="24"/>
          <w:shd w:val="clear" w:color="auto" w:fill="FFFFFF"/>
        </w:rPr>
        <w:t>) and</w:t>
      </w:r>
      <w:r w:rsidRPr="001016D6">
        <w:rPr>
          <w:rFonts w:ascii="Times New Roman" w:eastAsia="SimSun" w:hAnsi="Times New Roman" w:cs="Times New Roman"/>
          <w:b/>
          <w:bCs/>
          <w:i/>
          <w:iCs/>
          <w:color w:val="000000" w:themeColor="text1"/>
          <w:sz w:val="24"/>
          <w:szCs w:val="24"/>
          <w:shd w:val="clear" w:color="auto" w:fill="FFFFFF"/>
        </w:rPr>
        <w:t xml:space="preserve"> </w:t>
      </w:r>
      <w:r w:rsidRPr="001016D6">
        <w:rPr>
          <w:rFonts w:ascii="Times New Roman" w:eastAsia="SimSun" w:hAnsi="Times New Roman" w:cs="Times New Roman"/>
          <w:bCs/>
          <w:iCs/>
          <w:color w:val="000000" w:themeColor="text1"/>
          <w:sz w:val="24"/>
          <w:szCs w:val="24"/>
          <w:shd w:val="clear" w:color="auto" w:fill="FFFFFF"/>
        </w:rPr>
        <w:t xml:space="preserve">retina venous occlusion </w:t>
      </w:r>
      <w:r w:rsidRPr="001016D6">
        <w:rPr>
          <w:rFonts w:ascii="Times New Roman" w:eastAsia="SimSun" w:hAnsi="Times New Roman" w:cs="Times New Roman"/>
          <w:color w:val="000000" w:themeColor="text1"/>
          <w:sz w:val="24"/>
          <w:szCs w:val="24"/>
        </w:rPr>
        <w:t>(</w:t>
      </w:r>
      <w:r w:rsidRPr="001016D6">
        <w:rPr>
          <w:rFonts w:ascii="Times New Roman" w:eastAsia="SimSun" w:hAnsi="Times New Roman" w:cs="Times New Roman"/>
          <w:i/>
          <w:iCs/>
          <w:color w:val="000000" w:themeColor="text1"/>
          <w:sz w:val="24"/>
          <w:szCs w:val="24"/>
          <w:shd w:val="clear" w:color="auto" w:fill="FFFFFF"/>
        </w:rPr>
        <w:t>χ</w:t>
      </w:r>
      <w:r w:rsidRPr="001016D6">
        <w:rPr>
          <w:rFonts w:ascii="Times New Roman" w:eastAsia="SimSun" w:hAnsi="Times New Roman" w:cs="Times New Roman"/>
          <w:i/>
          <w:iCs/>
          <w:color w:val="000000" w:themeColor="text1"/>
          <w:sz w:val="24"/>
          <w:szCs w:val="24"/>
          <w:shd w:val="clear" w:color="auto" w:fill="FFFFFF"/>
          <w:vertAlign w:val="superscript"/>
        </w:rPr>
        <w:t>2</w:t>
      </w:r>
      <w:r w:rsidRPr="001016D6">
        <w:rPr>
          <w:rFonts w:ascii="Times New Roman" w:eastAsia="SimSun" w:hAnsi="Times New Roman" w:cs="Times New Roman"/>
          <w:i/>
          <w:iCs/>
          <w:color w:val="000000" w:themeColor="text1"/>
          <w:sz w:val="24"/>
          <w:szCs w:val="24"/>
          <w:shd w:val="clear" w:color="auto" w:fill="FFFFFF"/>
        </w:rPr>
        <w:t>=</w:t>
      </w:r>
      <w:r w:rsidRPr="001016D6">
        <w:rPr>
          <w:rFonts w:ascii="Times New Roman" w:eastAsia="Times New Roman" w:hAnsi="Times New Roman" w:cs="Times New Roman"/>
          <w:color w:val="000000" w:themeColor="text1"/>
          <w:sz w:val="24"/>
          <w:szCs w:val="24"/>
        </w:rPr>
        <w:t>4.3591</w:t>
      </w:r>
      <w:r w:rsidRPr="001016D6">
        <w:rPr>
          <w:rFonts w:ascii="Times New Roman" w:eastAsia="SimSun" w:hAnsi="Times New Roman" w:cs="Times New Roman"/>
          <w:i/>
          <w:iCs/>
          <w:color w:val="000000" w:themeColor="text1"/>
          <w:sz w:val="24"/>
          <w:szCs w:val="24"/>
          <w:shd w:val="clear" w:color="auto" w:fill="FFFFFF"/>
        </w:rPr>
        <w:t xml:space="preserve">, P-value=0.037) and CME </w:t>
      </w:r>
      <w:r w:rsidRPr="001016D6">
        <w:rPr>
          <w:rFonts w:ascii="Times New Roman" w:eastAsia="SimSun" w:hAnsi="Times New Roman" w:cs="Times New Roman"/>
          <w:color w:val="000000" w:themeColor="text1"/>
          <w:sz w:val="24"/>
          <w:szCs w:val="24"/>
        </w:rPr>
        <w:t>(</w:t>
      </w:r>
      <w:r w:rsidRPr="001016D6">
        <w:rPr>
          <w:rFonts w:ascii="Times New Roman" w:eastAsia="SimSun" w:hAnsi="Times New Roman" w:cs="Times New Roman"/>
          <w:i/>
          <w:iCs/>
          <w:color w:val="000000" w:themeColor="text1"/>
          <w:sz w:val="24"/>
          <w:szCs w:val="24"/>
          <w:shd w:val="clear" w:color="auto" w:fill="FFFFFF"/>
        </w:rPr>
        <w:t>χ</w:t>
      </w:r>
      <w:r w:rsidRPr="001016D6">
        <w:rPr>
          <w:rFonts w:ascii="Times New Roman" w:eastAsia="SimSun" w:hAnsi="Times New Roman" w:cs="Times New Roman"/>
          <w:i/>
          <w:iCs/>
          <w:color w:val="000000" w:themeColor="text1"/>
          <w:sz w:val="24"/>
          <w:szCs w:val="24"/>
          <w:shd w:val="clear" w:color="auto" w:fill="FFFFFF"/>
          <w:vertAlign w:val="superscript"/>
        </w:rPr>
        <w:t>2</w:t>
      </w:r>
      <w:r w:rsidRPr="001016D6">
        <w:rPr>
          <w:rFonts w:ascii="Times New Roman" w:eastAsia="SimSun" w:hAnsi="Times New Roman" w:cs="Times New Roman"/>
          <w:i/>
          <w:iCs/>
          <w:color w:val="000000" w:themeColor="text1"/>
          <w:sz w:val="24"/>
          <w:szCs w:val="24"/>
          <w:shd w:val="clear" w:color="auto" w:fill="FFFFFF"/>
        </w:rPr>
        <w:t>=</w:t>
      </w:r>
      <w:r w:rsidRPr="001016D6">
        <w:rPr>
          <w:rFonts w:ascii="Times New Roman" w:eastAsia="Times New Roman" w:hAnsi="Times New Roman" w:cs="Times New Roman"/>
          <w:color w:val="000000" w:themeColor="text1"/>
          <w:sz w:val="24"/>
          <w:szCs w:val="24"/>
        </w:rPr>
        <w:t xml:space="preserve">6.5755, </w:t>
      </w:r>
      <w:r w:rsidRPr="001016D6">
        <w:rPr>
          <w:rFonts w:ascii="Times New Roman" w:eastAsia="Times New Roman" w:hAnsi="Times New Roman" w:cs="Times New Roman"/>
          <w:iCs/>
          <w:color w:val="000000" w:themeColor="text1"/>
          <w:sz w:val="24"/>
          <w:szCs w:val="24"/>
        </w:rPr>
        <w:t xml:space="preserve">P-value=0.049. Other variables were presented in </w:t>
      </w:r>
      <w:r w:rsidRPr="001016D6">
        <w:rPr>
          <w:rFonts w:ascii="Times New Roman" w:eastAsia="SimSun" w:hAnsi="Times New Roman" w:cs="Times New Roman"/>
          <w:b/>
          <w:bCs/>
          <w:iCs/>
          <w:color w:val="000000" w:themeColor="text1"/>
          <w:sz w:val="24"/>
          <w:szCs w:val="24"/>
          <w:shd w:val="clear" w:color="auto" w:fill="FFFFFF"/>
        </w:rPr>
        <w:t>Table 5</w:t>
      </w:r>
      <w:bookmarkStart w:id="32" w:name="_Toc171518292"/>
      <w:r w:rsidRPr="001016D6">
        <w:rPr>
          <w:rFonts w:ascii="Times New Roman" w:eastAsia="SimSun" w:hAnsi="Times New Roman" w:cs="Times New Roman"/>
          <w:b/>
          <w:bCs/>
          <w:iCs/>
          <w:color w:val="000000" w:themeColor="text1"/>
          <w:sz w:val="24"/>
          <w:szCs w:val="24"/>
          <w:shd w:val="clear" w:color="auto" w:fill="FFFFFF"/>
        </w:rPr>
        <w:t>.</w:t>
      </w:r>
    </w:p>
    <w:p w14:paraId="2CC235F8" w14:textId="77777777" w:rsidR="00EF6979" w:rsidRPr="001016D6" w:rsidRDefault="00EF6979" w:rsidP="001A3D64">
      <w:pPr>
        <w:pStyle w:val="Caption"/>
        <w:rPr>
          <w:rFonts w:eastAsia="SimSun"/>
          <w:color w:val="000000" w:themeColor="text1"/>
          <w:szCs w:val="24"/>
        </w:rPr>
      </w:pPr>
      <w:bookmarkStart w:id="33" w:name="_Toc201683033"/>
      <w:bookmarkEnd w:id="32"/>
      <w:r w:rsidRPr="001016D6">
        <w:rPr>
          <w:color w:val="000000" w:themeColor="text1"/>
          <w:szCs w:val="24"/>
        </w:rPr>
        <w:t xml:space="preserve">Table </w:t>
      </w:r>
      <w:r w:rsidRPr="001016D6">
        <w:rPr>
          <w:color w:val="000000" w:themeColor="text1"/>
          <w:szCs w:val="24"/>
        </w:rPr>
        <w:fldChar w:fldCharType="begin"/>
      </w:r>
      <w:r w:rsidRPr="001016D6">
        <w:rPr>
          <w:color w:val="000000" w:themeColor="text1"/>
          <w:szCs w:val="24"/>
        </w:rPr>
        <w:instrText xml:space="preserve"> SEQ Table \* ARABIC </w:instrText>
      </w:r>
      <w:r w:rsidRPr="001016D6">
        <w:rPr>
          <w:color w:val="000000" w:themeColor="text1"/>
          <w:szCs w:val="24"/>
        </w:rPr>
        <w:fldChar w:fldCharType="separate"/>
      </w:r>
      <w:r w:rsidR="00BF1629" w:rsidRPr="001016D6">
        <w:rPr>
          <w:noProof/>
          <w:color w:val="000000" w:themeColor="text1"/>
          <w:szCs w:val="24"/>
        </w:rPr>
        <w:t>5</w:t>
      </w:r>
      <w:r w:rsidRPr="001016D6">
        <w:rPr>
          <w:noProof/>
          <w:color w:val="000000" w:themeColor="text1"/>
          <w:szCs w:val="24"/>
        </w:rPr>
        <w:fldChar w:fldCharType="end"/>
      </w:r>
      <w:r w:rsidRPr="001016D6">
        <w:rPr>
          <w:color w:val="000000" w:themeColor="text1"/>
          <w:szCs w:val="24"/>
        </w:rPr>
        <w:t>: Distribution of ocular hypertension elevation by participants’ characteristics</w:t>
      </w:r>
      <w:bookmarkEnd w:id="33"/>
    </w:p>
    <w:tbl>
      <w:tblPr>
        <w:tblStyle w:val="TableGrid2"/>
        <w:tblW w:w="91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1800"/>
        <w:gridCol w:w="1736"/>
        <w:gridCol w:w="1276"/>
        <w:gridCol w:w="1618"/>
      </w:tblGrid>
      <w:tr w:rsidR="001A3D64" w:rsidRPr="001016D6" w14:paraId="1B9A1B8F" w14:textId="77777777" w:rsidTr="00C62744">
        <w:trPr>
          <w:trHeight w:val="257"/>
        </w:trPr>
        <w:tc>
          <w:tcPr>
            <w:tcW w:w="2760" w:type="dxa"/>
            <w:tcBorders>
              <w:top w:val="single" w:sz="4" w:space="0" w:color="auto"/>
              <w:bottom w:val="single" w:sz="4" w:space="0" w:color="auto"/>
            </w:tcBorders>
            <w:noWrap/>
            <w:hideMark/>
          </w:tcPr>
          <w:p w14:paraId="319D3712"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Variable</w:t>
            </w:r>
          </w:p>
        </w:tc>
        <w:tc>
          <w:tcPr>
            <w:tcW w:w="3536" w:type="dxa"/>
            <w:gridSpan w:val="2"/>
            <w:tcBorders>
              <w:top w:val="single" w:sz="4" w:space="0" w:color="auto"/>
              <w:bottom w:val="single" w:sz="4" w:space="0" w:color="auto"/>
            </w:tcBorders>
            <w:noWrap/>
            <w:hideMark/>
          </w:tcPr>
          <w:p w14:paraId="77568E6B"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Ocular Hypertension</w:t>
            </w:r>
          </w:p>
        </w:tc>
        <w:tc>
          <w:tcPr>
            <w:tcW w:w="1276" w:type="dxa"/>
            <w:tcBorders>
              <w:top w:val="single" w:sz="4" w:space="0" w:color="auto"/>
              <w:bottom w:val="single" w:sz="4" w:space="0" w:color="auto"/>
            </w:tcBorders>
            <w:noWrap/>
            <w:hideMark/>
          </w:tcPr>
          <w:p w14:paraId="4EA299C1"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SimSun" w:hAnsi="Times New Roman" w:cs="Times New Roman"/>
                <w:b/>
                <w:bCs/>
                <w:color w:val="000000" w:themeColor="text1"/>
                <w:sz w:val="24"/>
                <w:szCs w:val="24"/>
                <w:shd w:val="clear" w:color="auto" w:fill="FFFFFF"/>
              </w:rPr>
              <w:t>χ</w:t>
            </w:r>
            <w:r w:rsidRPr="001016D6">
              <w:rPr>
                <w:rFonts w:ascii="Times New Roman" w:eastAsia="SimSun" w:hAnsi="Times New Roman" w:cs="Times New Roman"/>
                <w:b/>
                <w:bCs/>
                <w:color w:val="000000" w:themeColor="text1"/>
                <w:sz w:val="24"/>
                <w:szCs w:val="24"/>
                <w:shd w:val="clear" w:color="auto" w:fill="FFFFFF"/>
                <w:vertAlign w:val="superscript"/>
              </w:rPr>
              <w:t>2</w:t>
            </w:r>
          </w:p>
        </w:tc>
        <w:tc>
          <w:tcPr>
            <w:tcW w:w="1618" w:type="dxa"/>
            <w:tcBorders>
              <w:top w:val="single" w:sz="4" w:space="0" w:color="auto"/>
              <w:bottom w:val="single" w:sz="4" w:space="0" w:color="auto"/>
            </w:tcBorders>
            <w:noWrap/>
            <w:hideMark/>
          </w:tcPr>
          <w:p w14:paraId="4EF156C1"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P-value</w:t>
            </w:r>
          </w:p>
        </w:tc>
      </w:tr>
      <w:tr w:rsidR="001A3D64" w:rsidRPr="001016D6" w14:paraId="2FD3F809" w14:textId="77777777" w:rsidTr="00C62744">
        <w:trPr>
          <w:trHeight w:val="32"/>
        </w:trPr>
        <w:tc>
          <w:tcPr>
            <w:tcW w:w="2760" w:type="dxa"/>
            <w:tcBorders>
              <w:top w:val="single" w:sz="4" w:space="0" w:color="auto"/>
            </w:tcBorders>
            <w:noWrap/>
            <w:hideMark/>
          </w:tcPr>
          <w:p w14:paraId="021FF094"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p>
        </w:tc>
        <w:tc>
          <w:tcPr>
            <w:tcW w:w="1800" w:type="dxa"/>
            <w:tcBorders>
              <w:top w:val="single" w:sz="4" w:space="0" w:color="auto"/>
              <w:bottom w:val="nil"/>
            </w:tcBorders>
            <w:noWrap/>
            <w:hideMark/>
          </w:tcPr>
          <w:p w14:paraId="1E5D1703" w14:textId="77777777" w:rsidR="00EF6979" w:rsidRPr="001016D6" w:rsidRDefault="00EF6979" w:rsidP="001A3D64">
            <w:pPr>
              <w:spacing w:line="360" w:lineRule="auto"/>
              <w:jc w:val="center"/>
              <w:rPr>
                <w:rFonts w:ascii="Times New Roman" w:eastAsia="Times New Roman" w:hAnsi="Times New Roman" w:cs="Times New Roman"/>
                <w:bCs/>
                <w:color w:val="000000" w:themeColor="text1"/>
                <w:sz w:val="24"/>
                <w:szCs w:val="24"/>
              </w:rPr>
            </w:pPr>
            <w:r w:rsidRPr="001016D6">
              <w:rPr>
                <w:rFonts w:ascii="Times New Roman" w:eastAsia="Times New Roman" w:hAnsi="Times New Roman" w:cs="Times New Roman"/>
                <w:bCs/>
                <w:color w:val="000000" w:themeColor="text1"/>
                <w:sz w:val="24"/>
                <w:szCs w:val="24"/>
              </w:rPr>
              <w:t>No</w:t>
            </w:r>
          </w:p>
        </w:tc>
        <w:tc>
          <w:tcPr>
            <w:tcW w:w="1735" w:type="dxa"/>
            <w:tcBorders>
              <w:top w:val="single" w:sz="4" w:space="0" w:color="auto"/>
              <w:bottom w:val="nil"/>
            </w:tcBorders>
            <w:noWrap/>
            <w:hideMark/>
          </w:tcPr>
          <w:p w14:paraId="74489F3D" w14:textId="77777777" w:rsidR="00EF6979" w:rsidRPr="001016D6" w:rsidRDefault="00EF6979" w:rsidP="001A3D64">
            <w:pPr>
              <w:spacing w:line="360" w:lineRule="auto"/>
              <w:rPr>
                <w:rFonts w:ascii="Times New Roman" w:eastAsia="Times New Roman" w:hAnsi="Times New Roman" w:cs="Times New Roman"/>
                <w:bCs/>
                <w:color w:val="000000" w:themeColor="text1"/>
                <w:sz w:val="24"/>
                <w:szCs w:val="24"/>
              </w:rPr>
            </w:pPr>
            <w:r w:rsidRPr="001016D6">
              <w:rPr>
                <w:rFonts w:ascii="Times New Roman" w:eastAsia="Times New Roman" w:hAnsi="Times New Roman" w:cs="Times New Roman"/>
                <w:bCs/>
                <w:color w:val="000000" w:themeColor="text1"/>
                <w:sz w:val="24"/>
                <w:szCs w:val="24"/>
              </w:rPr>
              <w:t xml:space="preserve">         Yes</w:t>
            </w:r>
          </w:p>
        </w:tc>
        <w:tc>
          <w:tcPr>
            <w:tcW w:w="1276" w:type="dxa"/>
            <w:tcBorders>
              <w:top w:val="single" w:sz="4" w:space="0" w:color="auto"/>
            </w:tcBorders>
            <w:noWrap/>
            <w:hideMark/>
          </w:tcPr>
          <w:p w14:paraId="2111CD24"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p>
        </w:tc>
        <w:tc>
          <w:tcPr>
            <w:tcW w:w="1618" w:type="dxa"/>
            <w:tcBorders>
              <w:top w:val="single" w:sz="4" w:space="0" w:color="auto"/>
            </w:tcBorders>
            <w:noWrap/>
            <w:hideMark/>
          </w:tcPr>
          <w:p w14:paraId="42F799CC"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p>
        </w:tc>
      </w:tr>
      <w:tr w:rsidR="001A3D64" w:rsidRPr="001016D6" w14:paraId="0A7EDE01" w14:textId="77777777" w:rsidTr="00C62744">
        <w:trPr>
          <w:trHeight w:val="32"/>
        </w:trPr>
        <w:tc>
          <w:tcPr>
            <w:tcW w:w="2760" w:type="dxa"/>
            <w:noWrap/>
            <w:hideMark/>
          </w:tcPr>
          <w:p w14:paraId="71DF2B56" w14:textId="77777777" w:rsidR="00EF6979" w:rsidRPr="001016D6" w:rsidRDefault="00EF6979" w:rsidP="001A3D64">
            <w:pPr>
              <w:spacing w:line="360" w:lineRule="auto"/>
              <w:jc w:val="both"/>
              <w:rPr>
                <w:rFonts w:ascii="Times New Roman" w:eastAsia="Times New Roman" w:hAnsi="Times New Roman" w:cs="Times New Roman"/>
                <w:color w:val="000000" w:themeColor="text1"/>
                <w:sz w:val="24"/>
                <w:szCs w:val="24"/>
              </w:rPr>
            </w:pPr>
          </w:p>
        </w:tc>
        <w:tc>
          <w:tcPr>
            <w:tcW w:w="1800" w:type="dxa"/>
            <w:tcBorders>
              <w:top w:val="nil"/>
              <w:bottom w:val="single" w:sz="4" w:space="0" w:color="auto"/>
            </w:tcBorders>
            <w:noWrap/>
            <w:hideMark/>
          </w:tcPr>
          <w:p w14:paraId="198E79AE" w14:textId="77777777" w:rsidR="00EF6979" w:rsidRPr="001016D6" w:rsidRDefault="00EF6979" w:rsidP="001A3D64">
            <w:pPr>
              <w:spacing w:line="360" w:lineRule="auto"/>
              <w:jc w:val="center"/>
              <w:rPr>
                <w:rFonts w:ascii="Times New Roman" w:eastAsia="Times New Roman" w:hAnsi="Times New Roman" w:cs="Times New Roman"/>
                <w:bCs/>
                <w:color w:val="000000" w:themeColor="text1"/>
                <w:sz w:val="24"/>
                <w:szCs w:val="24"/>
              </w:rPr>
            </w:pPr>
            <w:r w:rsidRPr="001016D6">
              <w:rPr>
                <w:rFonts w:ascii="Times New Roman" w:eastAsia="Times New Roman" w:hAnsi="Times New Roman" w:cs="Times New Roman"/>
                <w:bCs/>
                <w:color w:val="000000" w:themeColor="text1"/>
                <w:sz w:val="24"/>
                <w:szCs w:val="24"/>
              </w:rPr>
              <w:t>n (%)</w:t>
            </w:r>
          </w:p>
        </w:tc>
        <w:tc>
          <w:tcPr>
            <w:tcW w:w="1735" w:type="dxa"/>
            <w:tcBorders>
              <w:top w:val="nil"/>
              <w:bottom w:val="single" w:sz="4" w:space="0" w:color="auto"/>
            </w:tcBorders>
            <w:noWrap/>
            <w:hideMark/>
          </w:tcPr>
          <w:p w14:paraId="09DED05F" w14:textId="77777777" w:rsidR="00EF6979" w:rsidRPr="001016D6" w:rsidRDefault="00EF6979" w:rsidP="001A3D64">
            <w:pPr>
              <w:spacing w:line="360" w:lineRule="auto"/>
              <w:jc w:val="center"/>
              <w:rPr>
                <w:rFonts w:ascii="Times New Roman" w:eastAsia="Times New Roman" w:hAnsi="Times New Roman" w:cs="Times New Roman"/>
                <w:bCs/>
                <w:color w:val="000000" w:themeColor="text1"/>
                <w:sz w:val="24"/>
                <w:szCs w:val="24"/>
              </w:rPr>
            </w:pPr>
            <w:r w:rsidRPr="001016D6">
              <w:rPr>
                <w:rFonts w:ascii="Times New Roman" w:eastAsia="Times New Roman" w:hAnsi="Times New Roman" w:cs="Times New Roman"/>
                <w:bCs/>
                <w:color w:val="000000" w:themeColor="text1"/>
                <w:sz w:val="24"/>
                <w:szCs w:val="24"/>
              </w:rPr>
              <w:t>n (%)</w:t>
            </w:r>
          </w:p>
        </w:tc>
        <w:tc>
          <w:tcPr>
            <w:tcW w:w="1276" w:type="dxa"/>
            <w:noWrap/>
            <w:hideMark/>
          </w:tcPr>
          <w:p w14:paraId="43EC7CE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618" w:type="dxa"/>
            <w:noWrap/>
            <w:hideMark/>
          </w:tcPr>
          <w:p w14:paraId="628103E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6CD8ECD3" w14:textId="77777777" w:rsidTr="00C62744">
        <w:trPr>
          <w:trHeight w:val="257"/>
        </w:trPr>
        <w:tc>
          <w:tcPr>
            <w:tcW w:w="2760" w:type="dxa"/>
            <w:noWrap/>
            <w:hideMark/>
          </w:tcPr>
          <w:p w14:paraId="40178B3A"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 xml:space="preserve">Sex </w:t>
            </w:r>
          </w:p>
        </w:tc>
        <w:tc>
          <w:tcPr>
            <w:tcW w:w="1800" w:type="dxa"/>
            <w:tcBorders>
              <w:top w:val="single" w:sz="4" w:space="0" w:color="auto"/>
            </w:tcBorders>
            <w:noWrap/>
          </w:tcPr>
          <w:p w14:paraId="6245191E"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735" w:type="dxa"/>
            <w:tcBorders>
              <w:top w:val="single" w:sz="4" w:space="0" w:color="auto"/>
            </w:tcBorders>
            <w:noWrap/>
          </w:tcPr>
          <w:p w14:paraId="0FE18711"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276" w:type="dxa"/>
            <w:noWrap/>
          </w:tcPr>
          <w:p w14:paraId="5A07519E"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618" w:type="dxa"/>
            <w:noWrap/>
          </w:tcPr>
          <w:p w14:paraId="65D30E4F"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410D0906" w14:textId="77777777" w:rsidTr="00C62744">
        <w:trPr>
          <w:trHeight w:val="257"/>
        </w:trPr>
        <w:tc>
          <w:tcPr>
            <w:tcW w:w="2760" w:type="dxa"/>
            <w:noWrap/>
            <w:hideMark/>
          </w:tcPr>
          <w:p w14:paraId="59024BB8"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Male</w:t>
            </w:r>
          </w:p>
        </w:tc>
        <w:tc>
          <w:tcPr>
            <w:tcW w:w="1800" w:type="dxa"/>
            <w:noWrap/>
          </w:tcPr>
          <w:p w14:paraId="481FAF6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40(75.5)</w:t>
            </w:r>
          </w:p>
        </w:tc>
        <w:tc>
          <w:tcPr>
            <w:tcW w:w="1735" w:type="dxa"/>
            <w:noWrap/>
          </w:tcPr>
          <w:p w14:paraId="0299E3C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13(24.5)</w:t>
            </w:r>
          </w:p>
        </w:tc>
        <w:tc>
          <w:tcPr>
            <w:tcW w:w="1276" w:type="dxa"/>
            <w:noWrap/>
          </w:tcPr>
          <w:p w14:paraId="64C43ACF"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1.950</w:t>
            </w:r>
          </w:p>
        </w:tc>
        <w:tc>
          <w:tcPr>
            <w:tcW w:w="1618" w:type="dxa"/>
            <w:noWrap/>
          </w:tcPr>
          <w:p w14:paraId="5710F82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0.163</w:t>
            </w:r>
          </w:p>
        </w:tc>
      </w:tr>
      <w:tr w:rsidR="001A3D64" w:rsidRPr="001016D6" w14:paraId="4C69A457" w14:textId="77777777" w:rsidTr="00C62744">
        <w:trPr>
          <w:trHeight w:val="257"/>
        </w:trPr>
        <w:tc>
          <w:tcPr>
            <w:tcW w:w="2760" w:type="dxa"/>
            <w:noWrap/>
            <w:hideMark/>
          </w:tcPr>
          <w:p w14:paraId="2C1FF3A3"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Female</w:t>
            </w:r>
          </w:p>
        </w:tc>
        <w:tc>
          <w:tcPr>
            <w:tcW w:w="1800" w:type="dxa"/>
            <w:noWrap/>
          </w:tcPr>
          <w:p w14:paraId="60D2807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36(63.2)</w:t>
            </w:r>
          </w:p>
        </w:tc>
        <w:tc>
          <w:tcPr>
            <w:tcW w:w="1735" w:type="dxa"/>
            <w:noWrap/>
          </w:tcPr>
          <w:p w14:paraId="0698382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21(36.8)</w:t>
            </w:r>
          </w:p>
        </w:tc>
        <w:tc>
          <w:tcPr>
            <w:tcW w:w="1276" w:type="dxa"/>
            <w:noWrap/>
          </w:tcPr>
          <w:p w14:paraId="18AF8DA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618" w:type="dxa"/>
            <w:noWrap/>
          </w:tcPr>
          <w:p w14:paraId="21DA3D2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12DEAA36" w14:textId="77777777" w:rsidTr="00C62744">
        <w:trPr>
          <w:trHeight w:val="257"/>
        </w:trPr>
        <w:tc>
          <w:tcPr>
            <w:tcW w:w="2760" w:type="dxa"/>
            <w:noWrap/>
            <w:hideMark/>
          </w:tcPr>
          <w:p w14:paraId="0BD271E7"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Age of the participant</w:t>
            </w:r>
          </w:p>
        </w:tc>
        <w:tc>
          <w:tcPr>
            <w:tcW w:w="1800" w:type="dxa"/>
            <w:noWrap/>
          </w:tcPr>
          <w:p w14:paraId="23686BA8"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735" w:type="dxa"/>
            <w:noWrap/>
          </w:tcPr>
          <w:p w14:paraId="77F6E378"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276" w:type="dxa"/>
            <w:noWrap/>
          </w:tcPr>
          <w:p w14:paraId="558171D2"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618" w:type="dxa"/>
            <w:noWrap/>
          </w:tcPr>
          <w:p w14:paraId="61F86F9C"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2214C1A2" w14:textId="77777777" w:rsidTr="00C62744">
        <w:trPr>
          <w:trHeight w:val="257"/>
        </w:trPr>
        <w:tc>
          <w:tcPr>
            <w:tcW w:w="2760" w:type="dxa"/>
            <w:noWrap/>
            <w:hideMark/>
          </w:tcPr>
          <w:p w14:paraId="03349ABC"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≤70</w:t>
            </w:r>
          </w:p>
        </w:tc>
        <w:tc>
          <w:tcPr>
            <w:tcW w:w="1800" w:type="dxa"/>
            <w:noWrap/>
          </w:tcPr>
          <w:p w14:paraId="1420CBD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49(72.1)</w:t>
            </w:r>
          </w:p>
        </w:tc>
        <w:tc>
          <w:tcPr>
            <w:tcW w:w="1735" w:type="dxa"/>
            <w:noWrap/>
          </w:tcPr>
          <w:p w14:paraId="493954D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16(27.9)</w:t>
            </w:r>
          </w:p>
        </w:tc>
        <w:tc>
          <w:tcPr>
            <w:tcW w:w="1276" w:type="dxa"/>
            <w:noWrap/>
          </w:tcPr>
          <w:p w14:paraId="3777D8F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0.7346</w:t>
            </w:r>
          </w:p>
        </w:tc>
        <w:tc>
          <w:tcPr>
            <w:tcW w:w="1618" w:type="dxa"/>
            <w:noWrap/>
          </w:tcPr>
          <w:p w14:paraId="0BCBBCC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0.391</w:t>
            </w:r>
          </w:p>
        </w:tc>
      </w:tr>
      <w:tr w:rsidR="001A3D64" w:rsidRPr="001016D6" w14:paraId="7B57637E" w14:textId="77777777" w:rsidTr="00C62744">
        <w:trPr>
          <w:trHeight w:val="257"/>
        </w:trPr>
        <w:tc>
          <w:tcPr>
            <w:tcW w:w="2760" w:type="dxa"/>
            <w:noWrap/>
            <w:hideMark/>
          </w:tcPr>
          <w:p w14:paraId="115519F4"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&gt;70</w:t>
            </w:r>
          </w:p>
        </w:tc>
        <w:tc>
          <w:tcPr>
            <w:tcW w:w="1800" w:type="dxa"/>
            <w:noWrap/>
          </w:tcPr>
          <w:p w14:paraId="08D15EA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27(64.3)</w:t>
            </w:r>
          </w:p>
        </w:tc>
        <w:tc>
          <w:tcPr>
            <w:tcW w:w="1735" w:type="dxa"/>
            <w:noWrap/>
          </w:tcPr>
          <w:p w14:paraId="63295C0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15()35.7</w:t>
            </w:r>
          </w:p>
        </w:tc>
        <w:tc>
          <w:tcPr>
            <w:tcW w:w="1276" w:type="dxa"/>
            <w:noWrap/>
          </w:tcPr>
          <w:p w14:paraId="44BB475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618" w:type="dxa"/>
            <w:noWrap/>
          </w:tcPr>
          <w:p w14:paraId="5FAC983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62C00C98" w14:textId="77777777" w:rsidTr="00C62744">
        <w:trPr>
          <w:trHeight w:val="257"/>
        </w:trPr>
        <w:tc>
          <w:tcPr>
            <w:tcW w:w="2760" w:type="dxa"/>
            <w:noWrap/>
            <w:hideMark/>
          </w:tcPr>
          <w:p w14:paraId="6290D4DA" w14:textId="77777777" w:rsidR="00EF6979" w:rsidRPr="001016D6" w:rsidRDefault="00EF6979" w:rsidP="001A3D64">
            <w:pPr>
              <w:spacing w:line="360" w:lineRule="auto"/>
              <w:jc w:val="both"/>
              <w:rPr>
                <w:rFonts w:ascii="Times New Roman" w:eastAsia="Times New Roman" w:hAnsi="Times New Roman" w:cs="Times New Roman"/>
                <w:b/>
                <w:iCs/>
                <w:color w:val="000000" w:themeColor="text1"/>
                <w:sz w:val="24"/>
                <w:szCs w:val="24"/>
              </w:rPr>
            </w:pPr>
            <w:r w:rsidRPr="001016D6">
              <w:rPr>
                <w:rFonts w:ascii="Times New Roman" w:eastAsia="Times New Roman" w:hAnsi="Times New Roman" w:cs="Times New Roman"/>
                <w:b/>
                <w:iCs/>
                <w:color w:val="000000" w:themeColor="text1"/>
                <w:sz w:val="24"/>
                <w:szCs w:val="24"/>
              </w:rPr>
              <w:t>Residence</w:t>
            </w:r>
          </w:p>
        </w:tc>
        <w:tc>
          <w:tcPr>
            <w:tcW w:w="1800" w:type="dxa"/>
            <w:noWrap/>
          </w:tcPr>
          <w:p w14:paraId="6942A79A"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735" w:type="dxa"/>
            <w:noWrap/>
          </w:tcPr>
          <w:p w14:paraId="3D24BB2D"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276" w:type="dxa"/>
            <w:noWrap/>
          </w:tcPr>
          <w:p w14:paraId="452D8D55"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618" w:type="dxa"/>
            <w:noWrap/>
          </w:tcPr>
          <w:p w14:paraId="7F93C380"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462DC858" w14:textId="77777777" w:rsidTr="00C62744">
        <w:trPr>
          <w:trHeight w:val="257"/>
        </w:trPr>
        <w:tc>
          <w:tcPr>
            <w:tcW w:w="2760" w:type="dxa"/>
            <w:noWrap/>
            <w:hideMark/>
          </w:tcPr>
          <w:p w14:paraId="7CB0103C" w14:textId="77777777" w:rsidR="00EF6979" w:rsidRPr="001016D6" w:rsidRDefault="00EF6979" w:rsidP="001A3D64">
            <w:pPr>
              <w:spacing w:line="360" w:lineRule="auto"/>
              <w:ind w:left="510"/>
              <w:jc w:val="both"/>
              <w:rPr>
                <w:rFonts w:ascii="Times New Roman" w:eastAsia="Times New Roman" w:hAnsi="Times New Roman" w:cs="Times New Roman"/>
                <w:iCs/>
                <w:color w:val="000000" w:themeColor="text1"/>
                <w:sz w:val="24"/>
                <w:szCs w:val="24"/>
              </w:rPr>
            </w:pPr>
            <w:r w:rsidRPr="001016D6">
              <w:rPr>
                <w:rFonts w:ascii="Times New Roman" w:eastAsia="Times New Roman" w:hAnsi="Times New Roman" w:cs="Times New Roman"/>
                <w:iCs/>
                <w:color w:val="000000" w:themeColor="text1"/>
                <w:sz w:val="24"/>
                <w:szCs w:val="24"/>
              </w:rPr>
              <w:t>Urban</w:t>
            </w:r>
          </w:p>
        </w:tc>
        <w:tc>
          <w:tcPr>
            <w:tcW w:w="1800" w:type="dxa"/>
            <w:noWrap/>
          </w:tcPr>
          <w:p w14:paraId="096BD90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52(73.2)</w:t>
            </w:r>
          </w:p>
        </w:tc>
        <w:tc>
          <w:tcPr>
            <w:tcW w:w="1735" w:type="dxa"/>
            <w:noWrap/>
          </w:tcPr>
          <w:p w14:paraId="097134D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19(26.8)</w:t>
            </w:r>
          </w:p>
        </w:tc>
        <w:tc>
          <w:tcPr>
            <w:tcW w:w="1276" w:type="dxa"/>
            <w:noWrap/>
          </w:tcPr>
          <w:p w14:paraId="5703D88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1.6139</w:t>
            </w:r>
          </w:p>
        </w:tc>
        <w:tc>
          <w:tcPr>
            <w:tcW w:w="1618" w:type="dxa"/>
            <w:noWrap/>
          </w:tcPr>
          <w:p w14:paraId="4997233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0.204</w:t>
            </w:r>
          </w:p>
        </w:tc>
      </w:tr>
      <w:tr w:rsidR="001A3D64" w:rsidRPr="001016D6" w14:paraId="16E1C775" w14:textId="77777777" w:rsidTr="00C62744">
        <w:trPr>
          <w:trHeight w:val="257"/>
        </w:trPr>
        <w:tc>
          <w:tcPr>
            <w:tcW w:w="2760" w:type="dxa"/>
            <w:noWrap/>
            <w:hideMark/>
          </w:tcPr>
          <w:p w14:paraId="656BC4FD" w14:textId="77777777" w:rsidR="00EF6979" w:rsidRPr="001016D6" w:rsidRDefault="00EF6979" w:rsidP="001A3D64">
            <w:pPr>
              <w:spacing w:line="360" w:lineRule="auto"/>
              <w:ind w:left="510"/>
              <w:jc w:val="both"/>
              <w:rPr>
                <w:rFonts w:ascii="Times New Roman" w:eastAsia="Times New Roman" w:hAnsi="Times New Roman" w:cs="Times New Roman"/>
                <w:iCs/>
                <w:color w:val="000000" w:themeColor="text1"/>
                <w:sz w:val="24"/>
                <w:szCs w:val="24"/>
              </w:rPr>
            </w:pPr>
            <w:r w:rsidRPr="001016D6">
              <w:rPr>
                <w:rFonts w:ascii="Times New Roman" w:eastAsia="Times New Roman" w:hAnsi="Times New Roman" w:cs="Times New Roman"/>
                <w:iCs/>
                <w:color w:val="000000" w:themeColor="text1"/>
                <w:sz w:val="24"/>
                <w:szCs w:val="24"/>
              </w:rPr>
              <w:lastRenderedPageBreak/>
              <w:t>Rural</w:t>
            </w:r>
          </w:p>
        </w:tc>
        <w:tc>
          <w:tcPr>
            <w:tcW w:w="1800" w:type="dxa"/>
            <w:noWrap/>
          </w:tcPr>
          <w:p w14:paraId="727102C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24(61.5)</w:t>
            </w:r>
          </w:p>
        </w:tc>
        <w:tc>
          <w:tcPr>
            <w:tcW w:w="1735" w:type="dxa"/>
            <w:noWrap/>
          </w:tcPr>
          <w:p w14:paraId="7483DF6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15(38.5)</w:t>
            </w:r>
          </w:p>
        </w:tc>
        <w:tc>
          <w:tcPr>
            <w:tcW w:w="1276" w:type="dxa"/>
            <w:noWrap/>
          </w:tcPr>
          <w:p w14:paraId="021EA0A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618" w:type="dxa"/>
            <w:noWrap/>
          </w:tcPr>
          <w:p w14:paraId="6C05001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69ADF6CC" w14:textId="77777777" w:rsidTr="00C62744">
        <w:trPr>
          <w:trHeight w:val="257"/>
        </w:trPr>
        <w:tc>
          <w:tcPr>
            <w:tcW w:w="2760" w:type="dxa"/>
            <w:noWrap/>
            <w:hideMark/>
          </w:tcPr>
          <w:p w14:paraId="6EAD8E2C" w14:textId="77777777" w:rsidR="00EF6979" w:rsidRPr="001016D6" w:rsidRDefault="00EF6979" w:rsidP="001A3D64">
            <w:pPr>
              <w:spacing w:line="360" w:lineRule="auto"/>
              <w:jc w:val="both"/>
              <w:rPr>
                <w:rFonts w:ascii="Times New Roman" w:eastAsia="Times New Roman" w:hAnsi="Times New Roman" w:cs="Times New Roman"/>
                <w:bCs/>
                <w:color w:val="000000" w:themeColor="text1"/>
                <w:sz w:val="24"/>
                <w:szCs w:val="24"/>
              </w:rPr>
            </w:pPr>
            <w:r w:rsidRPr="001016D6">
              <w:rPr>
                <w:rFonts w:ascii="Times New Roman" w:eastAsia="Times New Roman" w:hAnsi="Times New Roman" w:cs="Times New Roman"/>
                <w:bCs/>
                <w:color w:val="000000" w:themeColor="text1"/>
                <w:sz w:val="24"/>
                <w:szCs w:val="24"/>
              </w:rPr>
              <w:t>Lens status</w:t>
            </w:r>
          </w:p>
        </w:tc>
        <w:tc>
          <w:tcPr>
            <w:tcW w:w="1800" w:type="dxa"/>
            <w:noWrap/>
          </w:tcPr>
          <w:p w14:paraId="1334107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735" w:type="dxa"/>
            <w:noWrap/>
          </w:tcPr>
          <w:p w14:paraId="4F678C9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276" w:type="dxa"/>
            <w:noWrap/>
          </w:tcPr>
          <w:p w14:paraId="5289C9B5"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618" w:type="dxa"/>
            <w:noWrap/>
          </w:tcPr>
          <w:p w14:paraId="0B0C15D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7E785E08" w14:textId="77777777" w:rsidTr="00C62744">
        <w:trPr>
          <w:trHeight w:val="257"/>
        </w:trPr>
        <w:tc>
          <w:tcPr>
            <w:tcW w:w="2760" w:type="dxa"/>
            <w:noWrap/>
            <w:hideMark/>
          </w:tcPr>
          <w:p w14:paraId="51E1E453"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Phakic</w:t>
            </w:r>
          </w:p>
        </w:tc>
        <w:tc>
          <w:tcPr>
            <w:tcW w:w="1800" w:type="dxa"/>
            <w:noWrap/>
          </w:tcPr>
          <w:p w14:paraId="6201136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26(56.5)</w:t>
            </w:r>
          </w:p>
        </w:tc>
        <w:tc>
          <w:tcPr>
            <w:tcW w:w="1735" w:type="dxa"/>
            <w:noWrap/>
          </w:tcPr>
          <w:p w14:paraId="5E531D2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20(43.5)</w:t>
            </w:r>
          </w:p>
        </w:tc>
        <w:tc>
          <w:tcPr>
            <w:tcW w:w="1276" w:type="dxa"/>
            <w:noWrap/>
          </w:tcPr>
          <w:p w14:paraId="35934CB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5.8489</w:t>
            </w:r>
          </w:p>
        </w:tc>
        <w:tc>
          <w:tcPr>
            <w:tcW w:w="1618" w:type="dxa"/>
            <w:noWrap/>
          </w:tcPr>
          <w:p w14:paraId="6EF314F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0.016</w:t>
            </w:r>
          </w:p>
        </w:tc>
      </w:tr>
      <w:tr w:rsidR="001A3D64" w:rsidRPr="001016D6" w14:paraId="7F88E933" w14:textId="77777777" w:rsidTr="00C62744">
        <w:trPr>
          <w:trHeight w:val="257"/>
        </w:trPr>
        <w:tc>
          <w:tcPr>
            <w:tcW w:w="2760" w:type="dxa"/>
            <w:noWrap/>
            <w:hideMark/>
          </w:tcPr>
          <w:p w14:paraId="6ABC677E"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Pseudophakic</w:t>
            </w:r>
          </w:p>
        </w:tc>
        <w:tc>
          <w:tcPr>
            <w:tcW w:w="1800" w:type="dxa"/>
            <w:noWrap/>
          </w:tcPr>
          <w:p w14:paraId="58DB401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50(78.1)</w:t>
            </w:r>
          </w:p>
        </w:tc>
        <w:tc>
          <w:tcPr>
            <w:tcW w:w="1735" w:type="dxa"/>
            <w:noWrap/>
          </w:tcPr>
          <w:p w14:paraId="6E367AB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14(21.9)</w:t>
            </w:r>
          </w:p>
        </w:tc>
        <w:tc>
          <w:tcPr>
            <w:tcW w:w="1276" w:type="dxa"/>
            <w:noWrap/>
          </w:tcPr>
          <w:p w14:paraId="3B0F69F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618" w:type="dxa"/>
            <w:noWrap/>
          </w:tcPr>
          <w:p w14:paraId="596129A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5E4AC27B" w14:textId="77777777" w:rsidTr="00C62744">
        <w:trPr>
          <w:trHeight w:val="257"/>
        </w:trPr>
        <w:tc>
          <w:tcPr>
            <w:tcW w:w="2760" w:type="dxa"/>
            <w:noWrap/>
            <w:hideMark/>
          </w:tcPr>
          <w:p w14:paraId="4267466F"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YAG laser capsulotomy</w:t>
            </w:r>
          </w:p>
        </w:tc>
        <w:tc>
          <w:tcPr>
            <w:tcW w:w="1800" w:type="dxa"/>
            <w:noWrap/>
          </w:tcPr>
          <w:p w14:paraId="0F05E260"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735" w:type="dxa"/>
            <w:noWrap/>
          </w:tcPr>
          <w:p w14:paraId="6FCA2C60"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276" w:type="dxa"/>
            <w:noWrap/>
          </w:tcPr>
          <w:p w14:paraId="3A156539"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618" w:type="dxa"/>
            <w:noWrap/>
          </w:tcPr>
          <w:p w14:paraId="61D90968"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171258C1" w14:textId="77777777" w:rsidTr="00C62744">
        <w:trPr>
          <w:trHeight w:val="257"/>
        </w:trPr>
        <w:tc>
          <w:tcPr>
            <w:tcW w:w="2760" w:type="dxa"/>
            <w:noWrap/>
            <w:hideMark/>
          </w:tcPr>
          <w:p w14:paraId="7513D181"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1800" w:type="dxa"/>
            <w:noWrap/>
          </w:tcPr>
          <w:p w14:paraId="1459467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32(76.2)</w:t>
            </w:r>
          </w:p>
        </w:tc>
        <w:tc>
          <w:tcPr>
            <w:tcW w:w="1735" w:type="dxa"/>
            <w:noWrap/>
          </w:tcPr>
          <w:p w14:paraId="3FF1F05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10(23.8)</w:t>
            </w:r>
          </w:p>
        </w:tc>
        <w:tc>
          <w:tcPr>
            <w:tcW w:w="1276" w:type="dxa"/>
            <w:noWrap/>
          </w:tcPr>
          <w:p w14:paraId="3F9F208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1.6036</w:t>
            </w:r>
          </w:p>
        </w:tc>
        <w:tc>
          <w:tcPr>
            <w:tcW w:w="1618" w:type="dxa"/>
            <w:noWrap/>
          </w:tcPr>
          <w:p w14:paraId="56AF1DA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0.205</w:t>
            </w:r>
          </w:p>
        </w:tc>
      </w:tr>
      <w:tr w:rsidR="001A3D64" w:rsidRPr="001016D6" w14:paraId="0EE10D04" w14:textId="77777777" w:rsidTr="00C62744">
        <w:trPr>
          <w:trHeight w:val="257"/>
        </w:trPr>
        <w:tc>
          <w:tcPr>
            <w:tcW w:w="2760" w:type="dxa"/>
            <w:noWrap/>
            <w:hideMark/>
          </w:tcPr>
          <w:p w14:paraId="35E3B4F6"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800" w:type="dxa"/>
            <w:noWrap/>
          </w:tcPr>
          <w:p w14:paraId="7BA21AD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44(64.7)</w:t>
            </w:r>
          </w:p>
        </w:tc>
        <w:tc>
          <w:tcPr>
            <w:tcW w:w="1735" w:type="dxa"/>
            <w:noWrap/>
          </w:tcPr>
          <w:p w14:paraId="14EC329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24(35.3)</w:t>
            </w:r>
          </w:p>
        </w:tc>
        <w:tc>
          <w:tcPr>
            <w:tcW w:w="1276" w:type="dxa"/>
            <w:noWrap/>
          </w:tcPr>
          <w:p w14:paraId="445CF91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618" w:type="dxa"/>
            <w:noWrap/>
          </w:tcPr>
          <w:p w14:paraId="3DCD7A7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50CACB36" w14:textId="77777777" w:rsidTr="00C62744">
        <w:trPr>
          <w:trHeight w:val="257"/>
        </w:trPr>
        <w:tc>
          <w:tcPr>
            <w:tcW w:w="2760" w:type="dxa"/>
            <w:noWrap/>
            <w:hideMark/>
          </w:tcPr>
          <w:p w14:paraId="6ABD12BD"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History of retina surgery</w:t>
            </w:r>
          </w:p>
        </w:tc>
        <w:tc>
          <w:tcPr>
            <w:tcW w:w="1800" w:type="dxa"/>
            <w:noWrap/>
          </w:tcPr>
          <w:p w14:paraId="7284D704"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735" w:type="dxa"/>
            <w:noWrap/>
          </w:tcPr>
          <w:p w14:paraId="6D39A60B"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276" w:type="dxa"/>
            <w:noWrap/>
          </w:tcPr>
          <w:p w14:paraId="57A3DBEC"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618" w:type="dxa"/>
            <w:noWrap/>
          </w:tcPr>
          <w:p w14:paraId="4438C42D"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6A6A36FF" w14:textId="77777777" w:rsidTr="00C62744">
        <w:trPr>
          <w:trHeight w:val="257"/>
        </w:trPr>
        <w:tc>
          <w:tcPr>
            <w:tcW w:w="2760" w:type="dxa"/>
            <w:noWrap/>
            <w:hideMark/>
          </w:tcPr>
          <w:p w14:paraId="0EE2C0CB"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1800" w:type="dxa"/>
            <w:noWrap/>
          </w:tcPr>
          <w:p w14:paraId="2C0AEDF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8(100)</w:t>
            </w:r>
          </w:p>
        </w:tc>
        <w:tc>
          <w:tcPr>
            <w:tcW w:w="1735" w:type="dxa"/>
            <w:noWrap/>
          </w:tcPr>
          <w:p w14:paraId="3A58A5E7"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w:t>
            </w:r>
          </w:p>
        </w:tc>
        <w:tc>
          <w:tcPr>
            <w:tcW w:w="1276" w:type="dxa"/>
            <w:noWrap/>
          </w:tcPr>
          <w:p w14:paraId="75E1621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3.8596</w:t>
            </w:r>
          </w:p>
        </w:tc>
        <w:tc>
          <w:tcPr>
            <w:tcW w:w="1618" w:type="dxa"/>
            <w:noWrap/>
          </w:tcPr>
          <w:p w14:paraId="627CD7A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0.049</w:t>
            </w:r>
          </w:p>
        </w:tc>
      </w:tr>
      <w:tr w:rsidR="001A3D64" w:rsidRPr="001016D6" w14:paraId="2D6C3295" w14:textId="77777777" w:rsidTr="00C62744">
        <w:trPr>
          <w:trHeight w:val="257"/>
        </w:trPr>
        <w:tc>
          <w:tcPr>
            <w:tcW w:w="2760" w:type="dxa"/>
            <w:noWrap/>
            <w:hideMark/>
          </w:tcPr>
          <w:p w14:paraId="07CCD538"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800" w:type="dxa"/>
            <w:noWrap/>
          </w:tcPr>
          <w:p w14:paraId="581C6D2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68(66.7)</w:t>
            </w:r>
          </w:p>
        </w:tc>
        <w:tc>
          <w:tcPr>
            <w:tcW w:w="1735" w:type="dxa"/>
            <w:noWrap/>
          </w:tcPr>
          <w:p w14:paraId="5593762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34(33.3)</w:t>
            </w:r>
          </w:p>
        </w:tc>
        <w:tc>
          <w:tcPr>
            <w:tcW w:w="1276" w:type="dxa"/>
            <w:noWrap/>
          </w:tcPr>
          <w:p w14:paraId="1527ECD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618" w:type="dxa"/>
            <w:noWrap/>
          </w:tcPr>
          <w:p w14:paraId="37B4C81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7E65F228" w14:textId="77777777" w:rsidTr="00C62744">
        <w:trPr>
          <w:trHeight w:val="257"/>
        </w:trPr>
        <w:tc>
          <w:tcPr>
            <w:tcW w:w="2760" w:type="dxa"/>
            <w:noWrap/>
            <w:hideMark/>
          </w:tcPr>
          <w:p w14:paraId="2ADD4204" w14:textId="77777777" w:rsidR="00EF6979" w:rsidRPr="001016D6" w:rsidRDefault="00EF6979" w:rsidP="001A3D64">
            <w:pPr>
              <w:spacing w:line="360" w:lineRule="auto"/>
              <w:jc w:val="both"/>
              <w:rPr>
                <w:rFonts w:ascii="Times New Roman" w:eastAsia="Times New Roman" w:hAnsi="Times New Roman" w:cs="Times New Roman"/>
                <w:b/>
                <w:color w:val="000000" w:themeColor="text1"/>
                <w:sz w:val="24"/>
                <w:szCs w:val="24"/>
              </w:rPr>
            </w:pPr>
            <w:r w:rsidRPr="001016D6">
              <w:rPr>
                <w:rFonts w:ascii="Times New Roman" w:eastAsia="Times New Roman" w:hAnsi="Times New Roman" w:cs="Times New Roman"/>
                <w:b/>
                <w:bCs/>
                <w:color w:val="000000" w:themeColor="text1"/>
                <w:sz w:val="24"/>
                <w:szCs w:val="24"/>
              </w:rPr>
              <w:t>History of PRP</w:t>
            </w:r>
          </w:p>
        </w:tc>
        <w:tc>
          <w:tcPr>
            <w:tcW w:w="1800" w:type="dxa"/>
            <w:noWrap/>
          </w:tcPr>
          <w:p w14:paraId="053A5CA9"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735" w:type="dxa"/>
            <w:noWrap/>
          </w:tcPr>
          <w:p w14:paraId="2B0184A1"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276" w:type="dxa"/>
            <w:noWrap/>
          </w:tcPr>
          <w:p w14:paraId="7449E808"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618" w:type="dxa"/>
            <w:noWrap/>
          </w:tcPr>
          <w:p w14:paraId="5257690D"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7DC44F47" w14:textId="77777777" w:rsidTr="00C62744">
        <w:trPr>
          <w:trHeight w:val="257"/>
        </w:trPr>
        <w:tc>
          <w:tcPr>
            <w:tcW w:w="2760" w:type="dxa"/>
            <w:noWrap/>
            <w:hideMark/>
          </w:tcPr>
          <w:p w14:paraId="2807F1F4"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1800" w:type="dxa"/>
            <w:noWrap/>
          </w:tcPr>
          <w:p w14:paraId="53D9D63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12(92.3)</w:t>
            </w:r>
          </w:p>
        </w:tc>
        <w:tc>
          <w:tcPr>
            <w:tcW w:w="1735" w:type="dxa"/>
            <w:noWrap/>
          </w:tcPr>
          <w:p w14:paraId="66FBB4C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1(7.7)</w:t>
            </w:r>
          </w:p>
        </w:tc>
        <w:tc>
          <w:tcPr>
            <w:tcW w:w="1276" w:type="dxa"/>
            <w:noWrap/>
          </w:tcPr>
          <w:p w14:paraId="615303F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3.7210</w:t>
            </w:r>
          </w:p>
        </w:tc>
        <w:tc>
          <w:tcPr>
            <w:tcW w:w="1618" w:type="dxa"/>
            <w:noWrap/>
          </w:tcPr>
          <w:p w14:paraId="48CD0EF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0.054</w:t>
            </w:r>
          </w:p>
        </w:tc>
      </w:tr>
      <w:tr w:rsidR="001A3D64" w:rsidRPr="001016D6" w14:paraId="187B2D81" w14:textId="77777777" w:rsidTr="00C62744">
        <w:trPr>
          <w:trHeight w:val="257"/>
        </w:trPr>
        <w:tc>
          <w:tcPr>
            <w:tcW w:w="2760" w:type="dxa"/>
            <w:noWrap/>
            <w:hideMark/>
          </w:tcPr>
          <w:p w14:paraId="6F225B6A"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800" w:type="dxa"/>
            <w:noWrap/>
          </w:tcPr>
          <w:p w14:paraId="1419DED5"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64(66.0)</w:t>
            </w:r>
          </w:p>
        </w:tc>
        <w:tc>
          <w:tcPr>
            <w:tcW w:w="1735" w:type="dxa"/>
            <w:noWrap/>
          </w:tcPr>
          <w:p w14:paraId="3F86457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33(34.0)</w:t>
            </w:r>
          </w:p>
        </w:tc>
        <w:tc>
          <w:tcPr>
            <w:tcW w:w="1276" w:type="dxa"/>
            <w:noWrap/>
          </w:tcPr>
          <w:p w14:paraId="1D23563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618" w:type="dxa"/>
            <w:noWrap/>
          </w:tcPr>
          <w:p w14:paraId="6FAE9AF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555DC94D" w14:textId="77777777" w:rsidTr="00C62744">
        <w:trPr>
          <w:trHeight w:val="257"/>
        </w:trPr>
        <w:tc>
          <w:tcPr>
            <w:tcW w:w="2760" w:type="dxa"/>
            <w:noWrap/>
          </w:tcPr>
          <w:p w14:paraId="488D5D71" w14:textId="77777777" w:rsidR="00EF6979" w:rsidRPr="001016D6" w:rsidRDefault="00EF6979" w:rsidP="001A3D64">
            <w:pPr>
              <w:spacing w:line="360" w:lineRule="auto"/>
              <w:jc w:val="both"/>
              <w:rPr>
                <w:rFonts w:ascii="Times New Roman" w:eastAsia="Times New Roman" w:hAnsi="Times New Roman" w:cs="Times New Roman"/>
                <w:b/>
                <w:color w:val="000000" w:themeColor="text1"/>
                <w:sz w:val="24"/>
                <w:szCs w:val="24"/>
              </w:rPr>
            </w:pPr>
            <w:r w:rsidRPr="001016D6">
              <w:rPr>
                <w:rFonts w:ascii="Times New Roman" w:eastAsia="Times New Roman" w:hAnsi="Times New Roman" w:cs="Times New Roman"/>
                <w:b/>
                <w:color w:val="000000" w:themeColor="text1"/>
                <w:sz w:val="24"/>
                <w:szCs w:val="24"/>
              </w:rPr>
              <w:t xml:space="preserve">Retina Venous Occlusion    </w:t>
            </w:r>
          </w:p>
        </w:tc>
        <w:tc>
          <w:tcPr>
            <w:tcW w:w="1800" w:type="dxa"/>
            <w:noWrap/>
          </w:tcPr>
          <w:p w14:paraId="72469F00"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735" w:type="dxa"/>
            <w:noWrap/>
          </w:tcPr>
          <w:p w14:paraId="1A4EB2DF"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276" w:type="dxa"/>
            <w:noWrap/>
          </w:tcPr>
          <w:p w14:paraId="5830CFD4"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618" w:type="dxa"/>
            <w:noWrap/>
          </w:tcPr>
          <w:p w14:paraId="63A1E868"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37E74B3A" w14:textId="77777777" w:rsidTr="00C62744">
        <w:trPr>
          <w:trHeight w:val="257"/>
        </w:trPr>
        <w:tc>
          <w:tcPr>
            <w:tcW w:w="2760" w:type="dxa"/>
            <w:noWrap/>
          </w:tcPr>
          <w:p w14:paraId="0A0081EB"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1800" w:type="dxa"/>
            <w:noWrap/>
          </w:tcPr>
          <w:p w14:paraId="5084B9E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4(40)</w:t>
            </w:r>
          </w:p>
        </w:tc>
        <w:tc>
          <w:tcPr>
            <w:tcW w:w="1735" w:type="dxa"/>
            <w:noWrap/>
          </w:tcPr>
          <w:p w14:paraId="0EDCF99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6(60)</w:t>
            </w:r>
          </w:p>
        </w:tc>
        <w:tc>
          <w:tcPr>
            <w:tcW w:w="1276" w:type="dxa"/>
            <w:noWrap/>
          </w:tcPr>
          <w:p w14:paraId="4E5EBB97"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4.3591</w:t>
            </w:r>
          </w:p>
        </w:tc>
        <w:tc>
          <w:tcPr>
            <w:tcW w:w="1618" w:type="dxa"/>
            <w:noWrap/>
          </w:tcPr>
          <w:p w14:paraId="234F652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0.037</w:t>
            </w:r>
          </w:p>
        </w:tc>
      </w:tr>
      <w:tr w:rsidR="001A3D64" w:rsidRPr="001016D6" w14:paraId="395592B3" w14:textId="77777777" w:rsidTr="00C62744">
        <w:trPr>
          <w:trHeight w:val="257"/>
        </w:trPr>
        <w:tc>
          <w:tcPr>
            <w:tcW w:w="2760" w:type="dxa"/>
            <w:noWrap/>
          </w:tcPr>
          <w:p w14:paraId="3F3DB84D"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800" w:type="dxa"/>
            <w:noWrap/>
          </w:tcPr>
          <w:p w14:paraId="3DD43FB5"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72(72)</w:t>
            </w:r>
          </w:p>
        </w:tc>
        <w:tc>
          <w:tcPr>
            <w:tcW w:w="1735" w:type="dxa"/>
            <w:noWrap/>
          </w:tcPr>
          <w:p w14:paraId="129CE58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28(28)</w:t>
            </w:r>
          </w:p>
        </w:tc>
        <w:tc>
          <w:tcPr>
            <w:tcW w:w="1276" w:type="dxa"/>
            <w:noWrap/>
          </w:tcPr>
          <w:p w14:paraId="281D958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618" w:type="dxa"/>
            <w:noWrap/>
          </w:tcPr>
          <w:p w14:paraId="11FD313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57645778" w14:textId="77777777" w:rsidTr="00C62744">
        <w:trPr>
          <w:trHeight w:val="257"/>
        </w:trPr>
        <w:tc>
          <w:tcPr>
            <w:tcW w:w="2760" w:type="dxa"/>
            <w:noWrap/>
          </w:tcPr>
          <w:p w14:paraId="22E9ABB4" w14:textId="77777777" w:rsidR="00EF6979" w:rsidRPr="001016D6" w:rsidRDefault="00EF6979" w:rsidP="001A3D64">
            <w:pPr>
              <w:spacing w:line="360" w:lineRule="auto"/>
              <w:jc w:val="both"/>
              <w:rPr>
                <w:rFonts w:ascii="Times New Roman" w:eastAsia="Times New Roman" w:hAnsi="Times New Roman" w:cs="Times New Roman"/>
                <w:b/>
                <w:color w:val="000000" w:themeColor="text1"/>
                <w:sz w:val="24"/>
                <w:szCs w:val="24"/>
              </w:rPr>
            </w:pPr>
            <w:r w:rsidRPr="001016D6">
              <w:rPr>
                <w:rFonts w:ascii="Times New Roman" w:eastAsia="Times New Roman" w:hAnsi="Times New Roman" w:cs="Times New Roman"/>
                <w:b/>
                <w:color w:val="000000" w:themeColor="text1"/>
                <w:sz w:val="24"/>
                <w:szCs w:val="24"/>
              </w:rPr>
              <w:t>CME</w:t>
            </w:r>
          </w:p>
        </w:tc>
        <w:tc>
          <w:tcPr>
            <w:tcW w:w="1800" w:type="dxa"/>
            <w:noWrap/>
          </w:tcPr>
          <w:p w14:paraId="796CE796"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735" w:type="dxa"/>
            <w:noWrap/>
          </w:tcPr>
          <w:p w14:paraId="61FD6578"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276" w:type="dxa"/>
            <w:noWrap/>
          </w:tcPr>
          <w:p w14:paraId="512A8FB9"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618" w:type="dxa"/>
            <w:noWrap/>
          </w:tcPr>
          <w:p w14:paraId="68D891F5"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55CD472A" w14:textId="77777777" w:rsidTr="00C62744">
        <w:trPr>
          <w:trHeight w:val="257"/>
        </w:trPr>
        <w:tc>
          <w:tcPr>
            <w:tcW w:w="2760" w:type="dxa"/>
            <w:noWrap/>
          </w:tcPr>
          <w:p w14:paraId="3F7C6CE9"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1800" w:type="dxa"/>
            <w:noWrap/>
          </w:tcPr>
          <w:p w14:paraId="236B0A1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49(79.0)</w:t>
            </w:r>
          </w:p>
        </w:tc>
        <w:tc>
          <w:tcPr>
            <w:tcW w:w="1735" w:type="dxa"/>
            <w:noWrap/>
          </w:tcPr>
          <w:p w14:paraId="5C6E562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13(21.0)</w:t>
            </w:r>
          </w:p>
        </w:tc>
        <w:tc>
          <w:tcPr>
            <w:tcW w:w="1276" w:type="dxa"/>
            <w:noWrap/>
          </w:tcPr>
          <w:p w14:paraId="0FEC6C3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6.5755</w:t>
            </w:r>
          </w:p>
        </w:tc>
        <w:tc>
          <w:tcPr>
            <w:tcW w:w="1618" w:type="dxa"/>
            <w:noWrap/>
          </w:tcPr>
          <w:p w14:paraId="7C0137F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0.010</w:t>
            </w:r>
          </w:p>
        </w:tc>
      </w:tr>
      <w:tr w:rsidR="001A3D64" w:rsidRPr="001016D6" w14:paraId="44AEF563" w14:textId="77777777" w:rsidTr="00C62744">
        <w:trPr>
          <w:trHeight w:val="257"/>
        </w:trPr>
        <w:tc>
          <w:tcPr>
            <w:tcW w:w="2760" w:type="dxa"/>
            <w:noWrap/>
          </w:tcPr>
          <w:p w14:paraId="3F2FEBE7"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800" w:type="dxa"/>
            <w:noWrap/>
          </w:tcPr>
          <w:p w14:paraId="2C79C7FF"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27(56.2)</w:t>
            </w:r>
          </w:p>
        </w:tc>
        <w:tc>
          <w:tcPr>
            <w:tcW w:w="1735" w:type="dxa"/>
            <w:noWrap/>
          </w:tcPr>
          <w:p w14:paraId="56FA5BA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21(43.8)</w:t>
            </w:r>
          </w:p>
        </w:tc>
        <w:tc>
          <w:tcPr>
            <w:tcW w:w="1276" w:type="dxa"/>
            <w:noWrap/>
          </w:tcPr>
          <w:p w14:paraId="5D99E8B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618" w:type="dxa"/>
            <w:noWrap/>
          </w:tcPr>
          <w:p w14:paraId="7482457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4735F7E6" w14:textId="77777777" w:rsidTr="00C62744">
        <w:trPr>
          <w:trHeight w:val="257"/>
        </w:trPr>
        <w:tc>
          <w:tcPr>
            <w:tcW w:w="2760" w:type="dxa"/>
            <w:noWrap/>
          </w:tcPr>
          <w:p w14:paraId="0708C231" w14:textId="77777777" w:rsidR="00EF6979" w:rsidRPr="001016D6" w:rsidRDefault="00EF6979" w:rsidP="001A3D64">
            <w:pPr>
              <w:spacing w:line="360" w:lineRule="auto"/>
              <w:jc w:val="both"/>
              <w:rPr>
                <w:rFonts w:ascii="Times New Roman" w:eastAsia="Times New Roman" w:hAnsi="Times New Roman" w:cs="Times New Roman"/>
                <w:b/>
                <w:color w:val="000000" w:themeColor="text1"/>
                <w:sz w:val="24"/>
                <w:szCs w:val="24"/>
              </w:rPr>
            </w:pPr>
            <w:r w:rsidRPr="001016D6">
              <w:rPr>
                <w:rFonts w:ascii="Times New Roman" w:eastAsia="Times New Roman" w:hAnsi="Times New Roman" w:cs="Times New Roman"/>
                <w:b/>
                <w:color w:val="000000" w:themeColor="text1"/>
                <w:sz w:val="24"/>
                <w:szCs w:val="24"/>
              </w:rPr>
              <w:t>CNV</w:t>
            </w:r>
          </w:p>
        </w:tc>
        <w:tc>
          <w:tcPr>
            <w:tcW w:w="1800" w:type="dxa"/>
            <w:noWrap/>
          </w:tcPr>
          <w:p w14:paraId="760E8280"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735" w:type="dxa"/>
            <w:noWrap/>
          </w:tcPr>
          <w:p w14:paraId="25B16B40"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276" w:type="dxa"/>
            <w:noWrap/>
          </w:tcPr>
          <w:p w14:paraId="226C4EBE"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618" w:type="dxa"/>
            <w:noWrap/>
          </w:tcPr>
          <w:p w14:paraId="3015965B"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657FB2BB" w14:textId="77777777" w:rsidTr="00C62744">
        <w:trPr>
          <w:trHeight w:val="257"/>
        </w:trPr>
        <w:tc>
          <w:tcPr>
            <w:tcW w:w="2760" w:type="dxa"/>
            <w:noWrap/>
          </w:tcPr>
          <w:p w14:paraId="7C742065"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1800" w:type="dxa"/>
            <w:noWrap/>
          </w:tcPr>
          <w:p w14:paraId="0E0BCDD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2(66.7)</w:t>
            </w:r>
          </w:p>
        </w:tc>
        <w:tc>
          <w:tcPr>
            <w:tcW w:w="1735" w:type="dxa"/>
            <w:noWrap/>
          </w:tcPr>
          <w:p w14:paraId="75E44A0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1(33.3)</w:t>
            </w:r>
          </w:p>
        </w:tc>
        <w:tc>
          <w:tcPr>
            <w:tcW w:w="1276" w:type="dxa"/>
            <w:noWrap/>
          </w:tcPr>
          <w:p w14:paraId="51F9E795"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0.0085</w:t>
            </w:r>
          </w:p>
        </w:tc>
        <w:tc>
          <w:tcPr>
            <w:tcW w:w="1618" w:type="dxa"/>
            <w:noWrap/>
          </w:tcPr>
          <w:p w14:paraId="7B36199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0.927</w:t>
            </w:r>
          </w:p>
        </w:tc>
      </w:tr>
      <w:tr w:rsidR="001A3D64" w:rsidRPr="001016D6" w14:paraId="4AF74F5A" w14:textId="77777777" w:rsidTr="00C62744">
        <w:trPr>
          <w:trHeight w:val="257"/>
        </w:trPr>
        <w:tc>
          <w:tcPr>
            <w:tcW w:w="2760" w:type="dxa"/>
            <w:noWrap/>
          </w:tcPr>
          <w:p w14:paraId="6EF88EDD"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800" w:type="dxa"/>
            <w:noWrap/>
          </w:tcPr>
          <w:p w14:paraId="508DB9CF"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74(69.2)</w:t>
            </w:r>
          </w:p>
        </w:tc>
        <w:tc>
          <w:tcPr>
            <w:tcW w:w="1735" w:type="dxa"/>
            <w:noWrap/>
          </w:tcPr>
          <w:p w14:paraId="681E080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33(30.8)</w:t>
            </w:r>
          </w:p>
        </w:tc>
        <w:tc>
          <w:tcPr>
            <w:tcW w:w="1276" w:type="dxa"/>
            <w:noWrap/>
          </w:tcPr>
          <w:p w14:paraId="6327A9FF"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618" w:type="dxa"/>
            <w:noWrap/>
          </w:tcPr>
          <w:p w14:paraId="03B17C3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1542417F" w14:textId="77777777" w:rsidTr="00C62744">
        <w:trPr>
          <w:trHeight w:val="257"/>
        </w:trPr>
        <w:tc>
          <w:tcPr>
            <w:tcW w:w="2760" w:type="dxa"/>
            <w:noWrap/>
          </w:tcPr>
          <w:p w14:paraId="0CAC15D3" w14:textId="77777777" w:rsidR="00EF6979" w:rsidRPr="001016D6" w:rsidRDefault="00EF6979" w:rsidP="001A3D64">
            <w:pPr>
              <w:spacing w:line="360" w:lineRule="auto"/>
              <w:jc w:val="both"/>
              <w:rPr>
                <w:rFonts w:ascii="Times New Roman" w:eastAsia="Times New Roman" w:hAnsi="Times New Roman" w:cs="Times New Roman"/>
                <w:b/>
                <w:color w:val="000000" w:themeColor="text1"/>
                <w:sz w:val="24"/>
                <w:szCs w:val="24"/>
              </w:rPr>
            </w:pPr>
            <w:r w:rsidRPr="001016D6">
              <w:rPr>
                <w:rFonts w:ascii="Times New Roman" w:eastAsia="Times New Roman" w:hAnsi="Times New Roman" w:cs="Times New Roman"/>
                <w:b/>
                <w:color w:val="000000" w:themeColor="text1"/>
                <w:sz w:val="24"/>
                <w:szCs w:val="24"/>
              </w:rPr>
              <w:t xml:space="preserve">DME </w:t>
            </w:r>
          </w:p>
        </w:tc>
        <w:tc>
          <w:tcPr>
            <w:tcW w:w="1800" w:type="dxa"/>
            <w:noWrap/>
          </w:tcPr>
          <w:p w14:paraId="40CE093B"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735" w:type="dxa"/>
            <w:noWrap/>
          </w:tcPr>
          <w:p w14:paraId="3B450482"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276" w:type="dxa"/>
            <w:noWrap/>
          </w:tcPr>
          <w:p w14:paraId="61CAD487"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618" w:type="dxa"/>
            <w:noWrap/>
          </w:tcPr>
          <w:p w14:paraId="3D482F10"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0DA7E730" w14:textId="77777777" w:rsidTr="00C62744">
        <w:trPr>
          <w:trHeight w:val="257"/>
        </w:trPr>
        <w:tc>
          <w:tcPr>
            <w:tcW w:w="2760" w:type="dxa"/>
            <w:noWrap/>
          </w:tcPr>
          <w:p w14:paraId="29D75FF5"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1800" w:type="dxa"/>
            <w:noWrap/>
          </w:tcPr>
          <w:p w14:paraId="4689040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18(56.3)</w:t>
            </w:r>
          </w:p>
        </w:tc>
        <w:tc>
          <w:tcPr>
            <w:tcW w:w="1735" w:type="dxa"/>
            <w:noWrap/>
          </w:tcPr>
          <w:p w14:paraId="116C926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14(43.8)</w:t>
            </w:r>
          </w:p>
        </w:tc>
        <w:tc>
          <w:tcPr>
            <w:tcW w:w="1276" w:type="dxa"/>
            <w:noWrap/>
          </w:tcPr>
          <w:p w14:paraId="0D3A528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3.4844</w:t>
            </w:r>
          </w:p>
        </w:tc>
        <w:tc>
          <w:tcPr>
            <w:tcW w:w="1618" w:type="dxa"/>
            <w:noWrap/>
          </w:tcPr>
          <w:p w14:paraId="117D440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0.062</w:t>
            </w:r>
          </w:p>
        </w:tc>
      </w:tr>
      <w:tr w:rsidR="001A3D64" w:rsidRPr="001016D6" w14:paraId="3E7F2495" w14:textId="77777777" w:rsidTr="00C62744">
        <w:trPr>
          <w:trHeight w:val="257"/>
        </w:trPr>
        <w:tc>
          <w:tcPr>
            <w:tcW w:w="2760" w:type="dxa"/>
            <w:noWrap/>
          </w:tcPr>
          <w:p w14:paraId="7D5CCEB6"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800" w:type="dxa"/>
            <w:noWrap/>
          </w:tcPr>
          <w:p w14:paraId="6C7317BF"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58(74.4)</w:t>
            </w:r>
          </w:p>
        </w:tc>
        <w:tc>
          <w:tcPr>
            <w:tcW w:w="1735" w:type="dxa"/>
            <w:noWrap/>
          </w:tcPr>
          <w:p w14:paraId="1662EF8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20(25.6)</w:t>
            </w:r>
          </w:p>
        </w:tc>
        <w:tc>
          <w:tcPr>
            <w:tcW w:w="1276" w:type="dxa"/>
            <w:noWrap/>
          </w:tcPr>
          <w:p w14:paraId="6C8AD7B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618" w:type="dxa"/>
            <w:noWrap/>
          </w:tcPr>
          <w:p w14:paraId="2583707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09706807" w14:textId="77777777" w:rsidTr="00C62744">
        <w:trPr>
          <w:trHeight w:val="257"/>
        </w:trPr>
        <w:tc>
          <w:tcPr>
            <w:tcW w:w="2760" w:type="dxa"/>
            <w:noWrap/>
          </w:tcPr>
          <w:p w14:paraId="2EAB324F" w14:textId="77777777" w:rsidR="00EF6979" w:rsidRPr="001016D6" w:rsidRDefault="00EF6979" w:rsidP="001A3D64">
            <w:pPr>
              <w:spacing w:line="360" w:lineRule="auto"/>
              <w:jc w:val="both"/>
              <w:rPr>
                <w:rFonts w:ascii="Times New Roman" w:eastAsia="Times New Roman" w:hAnsi="Times New Roman" w:cs="Times New Roman"/>
                <w:b/>
                <w:color w:val="000000" w:themeColor="text1"/>
                <w:sz w:val="24"/>
                <w:szCs w:val="24"/>
              </w:rPr>
            </w:pPr>
            <w:r w:rsidRPr="001016D6">
              <w:rPr>
                <w:rFonts w:ascii="Times New Roman" w:eastAsia="Times New Roman" w:hAnsi="Times New Roman" w:cs="Times New Roman"/>
                <w:b/>
                <w:color w:val="000000" w:themeColor="text1"/>
                <w:sz w:val="24"/>
                <w:szCs w:val="24"/>
              </w:rPr>
              <w:t>Posterior uveitis</w:t>
            </w:r>
          </w:p>
        </w:tc>
        <w:tc>
          <w:tcPr>
            <w:tcW w:w="1800" w:type="dxa"/>
            <w:noWrap/>
          </w:tcPr>
          <w:p w14:paraId="78B5D3CB"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735" w:type="dxa"/>
            <w:noWrap/>
          </w:tcPr>
          <w:p w14:paraId="728AFD71"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276" w:type="dxa"/>
            <w:noWrap/>
          </w:tcPr>
          <w:p w14:paraId="5929CB11"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618" w:type="dxa"/>
            <w:noWrap/>
          </w:tcPr>
          <w:p w14:paraId="33601E1F"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56E3B7B3" w14:textId="77777777" w:rsidTr="00C62744">
        <w:trPr>
          <w:trHeight w:val="257"/>
        </w:trPr>
        <w:tc>
          <w:tcPr>
            <w:tcW w:w="2760" w:type="dxa"/>
            <w:noWrap/>
          </w:tcPr>
          <w:p w14:paraId="38538313"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1800" w:type="dxa"/>
            <w:noWrap/>
          </w:tcPr>
          <w:p w14:paraId="76D84205"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w:t>
            </w:r>
          </w:p>
        </w:tc>
        <w:tc>
          <w:tcPr>
            <w:tcW w:w="1735" w:type="dxa"/>
            <w:noWrap/>
          </w:tcPr>
          <w:p w14:paraId="6169BD0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1(100.0)</w:t>
            </w:r>
          </w:p>
        </w:tc>
        <w:tc>
          <w:tcPr>
            <w:tcW w:w="1276" w:type="dxa"/>
            <w:noWrap/>
          </w:tcPr>
          <w:p w14:paraId="30851E6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2.2558</w:t>
            </w:r>
          </w:p>
        </w:tc>
        <w:tc>
          <w:tcPr>
            <w:tcW w:w="1618" w:type="dxa"/>
            <w:noWrap/>
          </w:tcPr>
          <w:p w14:paraId="7DEBB74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0.133</w:t>
            </w:r>
          </w:p>
        </w:tc>
      </w:tr>
      <w:tr w:rsidR="001A3D64" w:rsidRPr="001016D6" w14:paraId="1F433CD7" w14:textId="77777777" w:rsidTr="00C62744">
        <w:trPr>
          <w:trHeight w:val="257"/>
        </w:trPr>
        <w:tc>
          <w:tcPr>
            <w:tcW w:w="2760" w:type="dxa"/>
            <w:noWrap/>
          </w:tcPr>
          <w:p w14:paraId="790B26D0"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800" w:type="dxa"/>
            <w:noWrap/>
          </w:tcPr>
          <w:p w14:paraId="3BDD032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76(63.7)</w:t>
            </w:r>
          </w:p>
        </w:tc>
        <w:tc>
          <w:tcPr>
            <w:tcW w:w="1735" w:type="dxa"/>
            <w:noWrap/>
          </w:tcPr>
          <w:p w14:paraId="28CDF5B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33(30.3)</w:t>
            </w:r>
          </w:p>
        </w:tc>
        <w:tc>
          <w:tcPr>
            <w:tcW w:w="1276" w:type="dxa"/>
            <w:noWrap/>
          </w:tcPr>
          <w:p w14:paraId="0058101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618" w:type="dxa"/>
            <w:noWrap/>
          </w:tcPr>
          <w:p w14:paraId="4D6E65C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bl>
    <w:p w14:paraId="7181D925" w14:textId="77777777" w:rsidR="00EF6979" w:rsidRPr="001016D6" w:rsidRDefault="00EF6979" w:rsidP="001A3D64">
      <w:pPr>
        <w:spacing w:after="200" w:line="360" w:lineRule="auto"/>
        <w:jc w:val="both"/>
        <w:rPr>
          <w:rFonts w:ascii="Times New Roman" w:eastAsia="SimSun" w:hAnsi="Times New Roman" w:cs="Times New Roman"/>
          <w:bCs/>
          <w:color w:val="000000" w:themeColor="text1"/>
          <w:sz w:val="24"/>
          <w:szCs w:val="24"/>
        </w:rPr>
      </w:pPr>
    </w:p>
    <w:p w14:paraId="1D7466DD" w14:textId="77777777" w:rsidR="00EF6979" w:rsidRPr="001016D6" w:rsidRDefault="00EF6979" w:rsidP="001A3D64">
      <w:pPr>
        <w:pStyle w:val="Heading2"/>
        <w:spacing w:line="360" w:lineRule="auto"/>
        <w:rPr>
          <w:rFonts w:ascii="Times New Roman" w:eastAsia="SimSun" w:hAnsi="Times New Roman" w:cs="Times New Roman"/>
          <w:bCs/>
          <w:color w:val="000000" w:themeColor="text1"/>
          <w:sz w:val="24"/>
          <w:szCs w:val="24"/>
        </w:rPr>
      </w:pPr>
      <w:bookmarkStart w:id="34" w:name="_Toc201688051"/>
      <w:r w:rsidRPr="001016D6">
        <w:rPr>
          <w:rFonts w:ascii="Times New Roman" w:eastAsia="SimSun" w:hAnsi="Times New Roman" w:cs="Times New Roman"/>
          <w:bCs/>
          <w:color w:val="000000" w:themeColor="text1"/>
          <w:sz w:val="24"/>
          <w:szCs w:val="24"/>
        </w:rPr>
        <w:t xml:space="preserve">4.6 Multivariate analysis for risk </w:t>
      </w:r>
      <w:r w:rsidRPr="001016D6">
        <w:rPr>
          <w:rFonts w:ascii="Times New Roman" w:eastAsia="SimSun" w:hAnsi="Times New Roman" w:cs="Times New Roman"/>
          <w:color w:val="000000" w:themeColor="text1"/>
          <w:sz w:val="24"/>
          <w:szCs w:val="24"/>
        </w:rPr>
        <w:t>factors associated with ocular hypertension</w:t>
      </w:r>
      <w:bookmarkEnd w:id="34"/>
      <w:r w:rsidRPr="001016D6">
        <w:rPr>
          <w:rFonts w:ascii="Times New Roman" w:eastAsia="SimSun" w:hAnsi="Times New Roman" w:cs="Times New Roman"/>
          <w:bCs/>
          <w:color w:val="000000" w:themeColor="text1"/>
          <w:sz w:val="24"/>
          <w:szCs w:val="24"/>
        </w:rPr>
        <w:t xml:space="preserve"> </w:t>
      </w:r>
    </w:p>
    <w:p w14:paraId="159B0108" w14:textId="77777777" w:rsidR="00EF6979" w:rsidRPr="001016D6" w:rsidRDefault="00EF6979" w:rsidP="001A3D64">
      <w:pPr>
        <w:spacing w:after="100" w:afterAutospacing="1" w:line="360" w:lineRule="auto"/>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b/>
          <w:bCs/>
          <w:color w:val="000000" w:themeColor="text1"/>
          <w:sz w:val="24"/>
          <w:szCs w:val="24"/>
        </w:rPr>
        <w:t>Table 6</w:t>
      </w:r>
      <w:r w:rsidRPr="001016D6">
        <w:rPr>
          <w:rFonts w:ascii="Times New Roman" w:eastAsia="Times New Roman" w:hAnsi="Times New Roman" w:cs="Times New Roman"/>
          <w:color w:val="000000" w:themeColor="text1"/>
          <w:sz w:val="24"/>
          <w:szCs w:val="24"/>
        </w:rPr>
        <w:t xml:space="preserve"> presents the factors associated with ocular hypertension. In the crude analysis, lens status, cystoid macular </w:t>
      </w:r>
      <w:proofErr w:type="spellStart"/>
      <w:r w:rsidRPr="001016D6">
        <w:rPr>
          <w:rFonts w:ascii="Times New Roman" w:eastAsia="Times New Roman" w:hAnsi="Times New Roman" w:cs="Times New Roman"/>
          <w:color w:val="000000" w:themeColor="text1"/>
          <w:sz w:val="24"/>
          <w:szCs w:val="24"/>
        </w:rPr>
        <w:t>edema</w:t>
      </w:r>
      <w:proofErr w:type="spellEnd"/>
      <w:r w:rsidRPr="001016D6">
        <w:rPr>
          <w:rFonts w:ascii="Times New Roman" w:eastAsia="Times New Roman" w:hAnsi="Times New Roman" w:cs="Times New Roman"/>
          <w:color w:val="000000" w:themeColor="text1"/>
          <w:sz w:val="24"/>
          <w:szCs w:val="24"/>
        </w:rPr>
        <w:t xml:space="preserve"> (CME), and retinal vein occlusion (RVO) were significantly </w:t>
      </w:r>
      <w:r w:rsidRPr="001016D6">
        <w:rPr>
          <w:rFonts w:ascii="Times New Roman" w:eastAsia="Times New Roman" w:hAnsi="Times New Roman" w:cs="Times New Roman"/>
          <w:color w:val="000000" w:themeColor="text1"/>
          <w:sz w:val="24"/>
          <w:szCs w:val="24"/>
        </w:rPr>
        <w:lastRenderedPageBreak/>
        <w:t>associated with ocular hypertension. However, after adjusting for potential confounders, only RVO remained an independent significant predictor.</w:t>
      </w:r>
    </w:p>
    <w:p w14:paraId="76835417" w14:textId="7777777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 xml:space="preserve">Participants with phakic lenses had a significantly 98% higher risk of developing ocular hypertension compared to those with pseudophakic lenses (Crude Risk Ratio [CRR] = 1.98; 95% CI: 1.12–3.51; </w:t>
      </w:r>
      <w:r w:rsidRPr="001016D6">
        <w:rPr>
          <w:rFonts w:ascii="Times New Roman" w:eastAsia="SimSun" w:hAnsi="Times New Roman" w:cs="Times New Roman"/>
          <w:i/>
          <w:iCs/>
          <w:color w:val="000000" w:themeColor="text1"/>
          <w:sz w:val="24"/>
          <w:szCs w:val="24"/>
        </w:rPr>
        <w:t>p</w:t>
      </w:r>
      <w:r w:rsidRPr="001016D6">
        <w:rPr>
          <w:rFonts w:ascii="Times New Roman" w:eastAsia="Times New Roman" w:hAnsi="Times New Roman" w:cs="Times New Roman"/>
          <w:color w:val="000000" w:themeColor="text1"/>
          <w:sz w:val="24"/>
          <w:szCs w:val="24"/>
        </w:rPr>
        <w:t xml:space="preserve"> = 0.018). However, after adjusting for CME, RVO, and diabetic macular </w:t>
      </w:r>
      <w:proofErr w:type="spellStart"/>
      <w:r w:rsidRPr="001016D6">
        <w:rPr>
          <w:rFonts w:ascii="Times New Roman" w:eastAsia="Times New Roman" w:hAnsi="Times New Roman" w:cs="Times New Roman"/>
          <w:color w:val="000000" w:themeColor="text1"/>
          <w:sz w:val="24"/>
          <w:szCs w:val="24"/>
        </w:rPr>
        <w:t>edema</w:t>
      </w:r>
      <w:proofErr w:type="spellEnd"/>
      <w:r w:rsidRPr="001016D6">
        <w:rPr>
          <w:rFonts w:ascii="Times New Roman" w:eastAsia="Times New Roman" w:hAnsi="Times New Roman" w:cs="Times New Roman"/>
          <w:color w:val="000000" w:themeColor="text1"/>
          <w:sz w:val="24"/>
          <w:szCs w:val="24"/>
        </w:rPr>
        <w:t xml:space="preserve"> (DME), the risk was reduced by 38% (Adjusted Risk Ratio [ARR] = 0.62; 95% CI: 0.13–3.07; </w:t>
      </w:r>
      <w:r w:rsidRPr="001016D6">
        <w:rPr>
          <w:rFonts w:ascii="Times New Roman" w:eastAsia="SimSun" w:hAnsi="Times New Roman" w:cs="Times New Roman"/>
          <w:i/>
          <w:iCs/>
          <w:color w:val="000000" w:themeColor="text1"/>
          <w:sz w:val="24"/>
          <w:szCs w:val="24"/>
        </w:rPr>
        <w:t>p</w:t>
      </w:r>
      <w:r w:rsidRPr="001016D6">
        <w:rPr>
          <w:rFonts w:ascii="Times New Roman" w:eastAsia="Times New Roman" w:hAnsi="Times New Roman" w:cs="Times New Roman"/>
          <w:color w:val="000000" w:themeColor="text1"/>
          <w:sz w:val="24"/>
          <w:szCs w:val="24"/>
        </w:rPr>
        <w:t xml:space="preserve"> = 0.566), though this association was not statistically significant.</w:t>
      </w:r>
    </w:p>
    <w:p w14:paraId="273DDB70" w14:textId="7777777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 xml:space="preserve">Patients with CME initially showed a 52% lower risk of ocular hypertension (CRR = 0.48; 95% CI: 0.27–0.85; </w:t>
      </w:r>
      <w:r w:rsidRPr="001016D6">
        <w:rPr>
          <w:rFonts w:ascii="Times New Roman" w:eastAsia="SimSun" w:hAnsi="Times New Roman" w:cs="Times New Roman"/>
          <w:i/>
          <w:iCs/>
          <w:color w:val="000000" w:themeColor="text1"/>
          <w:sz w:val="24"/>
          <w:szCs w:val="24"/>
        </w:rPr>
        <w:t>p</w:t>
      </w:r>
      <w:r w:rsidRPr="001016D6">
        <w:rPr>
          <w:rFonts w:ascii="Times New Roman" w:eastAsia="Times New Roman" w:hAnsi="Times New Roman" w:cs="Times New Roman"/>
          <w:color w:val="000000" w:themeColor="text1"/>
          <w:sz w:val="24"/>
          <w:szCs w:val="24"/>
        </w:rPr>
        <w:t xml:space="preserve"> = 0.013), but after adjustment for lens status, RVO, and DME, the protective effect diminished (ARR = 0.71; 95% CI: 0.11–4.65; </w:t>
      </w:r>
      <w:r w:rsidRPr="001016D6">
        <w:rPr>
          <w:rFonts w:ascii="Times New Roman" w:eastAsia="SimSun" w:hAnsi="Times New Roman" w:cs="Times New Roman"/>
          <w:i/>
          <w:iCs/>
          <w:color w:val="000000" w:themeColor="text1"/>
          <w:sz w:val="24"/>
          <w:szCs w:val="24"/>
        </w:rPr>
        <w:t>p</w:t>
      </w:r>
      <w:r w:rsidRPr="001016D6">
        <w:rPr>
          <w:rFonts w:ascii="Times New Roman" w:eastAsia="Times New Roman" w:hAnsi="Times New Roman" w:cs="Times New Roman"/>
          <w:color w:val="000000" w:themeColor="text1"/>
          <w:sz w:val="24"/>
          <w:szCs w:val="24"/>
        </w:rPr>
        <w:t xml:space="preserve"> = 0.723) and lost statistical significance.</w:t>
      </w:r>
    </w:p>
    <w:p w14:paraId="0B180C84" w14:textId="7777777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 xml:space="preserve">Importantly, individuals with RVO had two times higher risk of ocular hypertension in the crude model (CRR = 2.14; 95% CI: 1.18–3.90; </w:t>
      </w:r>
      <w:r w:rsidRPr="001016D6">
        <w:rPr>
          <w:rFonts w:ascii="Times New Roman" w:eastAsia="SimSun" w:hAnsi="Times New Roman" w:cs="Times New Roman"/>
          <w:i/>
          <w:iCs/>
          <w:color w:val="000000" w:themeColor="text1"/>
          <w:sz w:val="24"/>
          <w:szCs w:val="24"/>
        </w:rPr>
        <w:t>p</w:t>
      </w:r>
      <w:r w:rsidRPr="001016D6">
        <w:rPr>
          <w:rFonts w:ascii="Times New Roman" w:eastAsia="Times New Roman" w:hAnsi="Times New Roman" w:cs="Times New Roman"/>
          <w:color w:val="000000" w:themeColor="text1"/>
          <w:sz w:val="24"/>
          <w:szCs w:val="24"/>
        </w:rPr>
        <w:t xml:space="preserve"> = 0.013), and this association strengthened after adjustment, with the risk rising to over threefold (ARR = 3.23; 95% CI: 1.10–9.54; </w:t>
      </w:r>
      <w:r w:rsidRPr="001016D6">
        <w:rPr>
          <w:rFonts w:ascii="Times New Roman" w:eastAsia="SimSun" w:hAnsi="Times New Roman" w:cs="Times New Roman"/>
          <w:i/>
          <w:iCs/>
          <w:color w:val="000000" w:themeColor="text1"/>
          <w:sz w:val="24"/>
          <w:szCs w:val="24"/>
        </w:rPr>
        <w:t>p</w:t>
      </w:r>
      <w:r w:rsidRPr="001016D6">
        <w:rPr>
          <w:rFonts w:ascii="Times New Roman" w:eastAsia="Times New Roman" w:hAnsi="Times New Roman" w:cs="Times New Roman"/>
          <w:color w:val="000000" w:themeColor="text1"/>
          <w:sz w:val="24"/>
          <w:szCs w:val="24"/>
        </w:rPr>
        <w:t xml:space="preserve"> = 0.033), remaining statistically significant.</w:t>
      </w:r>
    </w:p>
    <w:p w14:paraId="34A4D99A" w14:textId="7777777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 xml:space="preserve">However, for patients with DME, there was a nonsignificant trend toward increased risk in both crude and adjusted analyses. The crude risk was elevated by 71% (CRR = 1.71; 95% CI: 0.99–2.95; </w:t>
      </w:r>
      <w:r w:rsidRPr="001016D6">
        <w:rPr>
          <w:rFonts w:ascii="Times New Roman" w:eastAsia="SimSun" w:hAnsi="Times New Roman" w:cs="Times New Roman"/>
          <w:i/>
          <w:iCs/>
          <w:color w:val="000000" w:themeColor="text1"/>
          <w:sz w:val="24"/>
          <w:szCs w:val="24"/>
        </w:rPr>
        <w:t>p</w:t>
      </w:r>
      <w:r w:rsidRPr="001016D6">
        <w:rPr>
          <w:rFonts w:ascii="Times New Roman" w:eastAsia="Times New Roman" w:hAnsi="Times New Roman" w:cs="Times New Roman"/>
          <w:color w:val="000000" w:themeColor="text1"/>
          <w:sz w:val="24"/>
          <w:szCs w:val="24"/>
        </w:rPr>
        <w:t xml:space="preserve"> = 0.056), and after adjustment, the risk doubled (ARR = 2.40; 95% CI: 0.87–6.63; </w:t>
      </w:r>
      <w:r w:rsidRPr="001016D6">
        <w:rPr>
          <w:rFonts w:ascii="Times New Roman" w:eastAsia="SimSun" w:hAnsi="Times New Roman" w:cs="Times New Roman"/>
          <w:i/>
          <w:iCs/>
          <w:color w:val="000000" w:themeColor="text1"/>
          <w:sz w:val="24"/>
          <w:szCs w:val="24"/>
        </w:rPr>
        <w:t>p</w:t>
      </w:r>
      <w:r w:rsidRPr="001016D6">
        <w:rPr>
          <w:rFonts w:ascii="Times New Roman" w:eastAsia="Times New Roman" w:hAnsi="Times New Roman" w:cs="Times New Roman"/>
          <w:color w:val="000000" w:themeColor="text1"/>
          <w:sz w:val="24"/>
          <w:szCs w:val="24"/>
        </w:rPr>
        <w:t xml:space="preserve"> = 0.090), though this too did not reach statistical significance.  Additional variables assessed are detailed in </w:t>
      </w:r>
      <w:r w:rsidRPr="001016D6">
        <w:rPr>
          <w:rFonts w:ascii="Times New Roman" w:eastAsia="Times New Roman" w:hAnsi="Times New Roman" w:cs="Times New Roman"/>
          <w:b/>
          <w:bCs/>
          <w:color w:val="000000" w:themeColor="text1"/>
          <w:sz w:val="24"/>
          <w:szCs w:val="24"/>
        </w:rPr>
        <w:t>Table 6</w:t>
      </w:r>
      <w:r w:rsidRPr="001016D6">
        <w:rPr>
          <w:rFonts w:ascii="Times New Roman" w:eastAsia="Times New Roman" w:hAnsi="Times New Roman" w:cs="Times New Roman"/>
          <w:color w:val="000000" w:themeColor="text1"/>
          <w:sz w:val="24"/>
          <w:szCs w:val="24"/>
        </w:rPr>
        <w:t>.</w:t>
      </w:r>
    </w:p>
    <w:p w14:paraId="333CC4E2" w14:textId="77777777" w:rsidR="00EF6979" w:rsidRPr="001016D6" w:rsidRDefault="00EF6979" w:rsidP="001A3D64">
      <w:pPr>
        <w:spacing w:after="200" w:line="360" w:lineRule="auto"/>
        <w:jc w:val="both"/>
        <w:rPr>
          <w:rFonts w:ascii="Times New Roman" w:eastAsia="Times New Roman" w:hAnsi="Times New Roman" w:cs="Times New Roman"/>
          <w:color w:val="000000" w:themeColor="text1"/>
          <w:sz w:val="24"/>
          <w:szCs w:val="24"/>
        </w:rPr>
      </w:pPr>
    </w:p>
    <w:p w14:paraId="3D59E712" w14:textId="77777777" w:rsidR="00EF6979" w:rsidRPr="001016D6" w:rsidRDefault="00EF6979" w:rsidP="001A3D64">
      <w:pPr>
        <w:spacing w:after="200" w:line="360" w:lineRule="auto"/>
        <w:jc w:val="both"/>
        <w:rPr>
          <w:rFonts w:ascii="Times New Roman" w:eastAsia="Times New Roman" w:hAnsi="Times New Roman" w:cs="Times New Roman"/>
          <w:color w:val="000000" w:themeColor="text1"/>
          <w:sz w:val="24"/>
          <w:szCs w:val="24"/>
        </w:rPr>
      </w:pPr>
    </w:p>
    <w:p w14:paraId="3D0276A1" w14:textId="77777777" w:rsidR="00EF6979" w:rsidRPr="001016D6" w:rsidRDefault="00EF6979" w:rsidP="001A3D64">
      <w:pPr>
        <w:spacing w:after="200" w:line="360" w:lineRule="auto"/>
        <w:jc w:val="both"/>
        <w:rPr>
          <w:rFonts w:ascii="Times New Roman" w:eastAsia="Times New Roman" w:hAnsi="Times New Roman" w:cs="Times New Roman"/>
          <w:color w:val="000000" w:themeColor="text1"/>
          <w:sz w:val="24"/>
          <w:szCs w:val="24"/>
        </w:rPr>
      </w:pPr>
    </w:p>
    <w:p w14:paraId="228DD735" w14:textId="77777777" w:rsidR="00EF6979" w:rsidRPr="001016D6" w:rsidRDefault="00EF6979" w:rsidP="001A3D64">
      <w:pPr>
        <w:spacing w:after="200" w:line="360" w:lineRule="auto"/>
        <w:jc w:val="both"/>
        <w:rPr>
          <w:rFonts w:ascii="Times New Roman" w:eastAsia="Times New Roman" w:hAnsi="Times New Roman" w:cs="Times New Roman"/>
          <w:color w:val="000000" w:themeColor="text1"/>
          <w:sz w:val="24"/>
          <w:szCs w:val="24"/>
        </w:rPr>
      </w:pPr>
    </w:p>
    <w:p w14:paraId="3685C221" w14:textId="77777777" w:rsidR="00EF6979" w:rsidRPr="001016D6" w:rsidRDefault="00EF6979" w:rsidP="001A3D64">
      <w:pPr>
        <w:spacing w:after="200" w:line="360" w:lineRule="auto"/>
        <w:jc w:val="both"/>
        <w:rPr>
          <w:rFonts w:ascii="Times New Roman" w:eastAsia="Times New Roman" w:hAnsi="Times New Roman" w:cs="Times New Roman"/>
          <w:color w:val="000000" w:themeColor="text1"/>
          <w:sz w:val="24"/>
          <w:szCs w:val="24"/>
        </w:rPr>
      </w:pPr>
    </w:p>
    <w:p w14:paraId="44753678" w14:textId="77777777" w:rsidR="001A3D64" w:rsidRPr="001016D6" w:rsidRDefault="001A3D64" w:rsidP="001A3D64">
      <w:pPr>
        <w:pStyle w:val="Caption"/>
        <w:rPr>
          <w:color w:val="000000" w:themeColor="text1"/>
          <w:szCs w:val="24"/>
        </w:rPr>
      </w:pPr>
      <w:bookmarkStart w:id="35" w:name="_Toc201683034"/>
    </w:p>
    <w:p w14:paraId="5FB76233" w14:textId="77777777" w:rsidR="001A3D64" w:rsidRPr="001016D6" w:rsidRDefault="001A3D64" w:rsidP="001A3D64">
      <w:pPr>
        <w:pStyle w:val="Caption"/>
        <w:rPr>
          <w:color w:val="000000" w:themeColor="text1"/>
          <w:szCs w:val="24"/>
        </w:rPr>
      </w:pPr>
    </w:p>
    <w:p w14:paraId="193F18BE" w14:textId="77777777" w:rsidR="00EF6979" w:rsidRPr="001016D6" w:rsidRDefault="00EF6979" w:rsidP="001A3D64">
      <w:pPr>
        <w:pStyle w:val="Caption"/>
        <w:rPr>
          <w:rFonts w:eastAsia="SimSun"/>
          <w:b w:val="0"/>
          <w:color w:val="000000" w:themeColor="text1"/>
          <w:szCs w:val="24"/>
        </w:rPr>
      </w:pPr>
      <w:r w:rsidRPr="001016D6">
        <w:rPr>
          <w:color w:val="000000" w:themeColor="text1"/>
          <w:szCs w:val="24"/>
        </w:rPr>
        <w:lastRenderedPageBreak/>
        <w:t xml:space="preserve">Table </w:t>
      </w:r>
      <w:r w:rsidRPr="001016D6">
        <w:rPr>
          <w:color w:val="000000" w:themeColor="text1"/>
          <w:szCs w:val="24"/>
        </w:rPr>
        <w:fldChar w:fldCharType="begin"/>
      </w:r>
      <w:r w:rsidRPr="001016D6">
        <w:rPr>
          <w:color w:val="000000" w:themeColor="text1"/>
          <w:szCs w:val="24"/>
        </w:rPr>
        <w:instrText xml:space="preserve"> SEQ Table \* ARABIC </w:instrText>
      </w:r>
      <w:r w:rsidRPr="001016D6">
        <w:rPr>
          <w:color w:val="000000" w:themeColor="text1"/>
          <w:szCs w:val="24"/>
        </w:rPr>
        <w:fldChar w:fldCharType="separate"/>
      </w:r>
      <w:r w:rsidR="00BF1629" w:rsidRPr="001016D6">
        <w:rPr>
          <w:noProof/>
          <w:color w:val="000000" w:themeColor="text1"/>
          <w:szCs w:val="24"/>
        </w:rPr>
        <w:t>6</w:t>
      </w:r>
      <w:r w:rsidRPr="001016D6">
        <w:rPr>
          <w:noProof/>
          <w:color w:val="000000" w:themeColor="text1"/>
          <w:szCs w:val="24"/>
        </w:rPr>
        <w:fldChar w:fldCharType="end"/>
      </w:r>
      <w:r w:rsidRPr="001016D6">
        <w:rPr>
          <w:color w:val="000000" w:themeColor="text1"/>
          <w:szCs w:val="24"/>
        </w:rPr>
        <w:t>: Risk Factors Associated with Ocular Hypertension After Intravitreal Triamcinolone</w:t>
      </w:r>
      <w:bookmarkEnd w:id="35"/>
    </w:p>
    <w:tbl>
      <w:tblPr>
        <w:tblStyle w:val="TableGrid2"/>
        <w:tblW w:w="951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3"/>
        <w:gridCol w:w="1947"/>
        <w:gridCol w:w="1343"/>
        <w:gridCol w:w="2126"/>
        <w:gridCol w:w="1334"/>
      </w:tblGrid>
      <w:tr w:rsidR="001A3D64" w:rsidRPr="001016D6" w14:paraId="5F068A32" w14:textId="77777777" w:rsidTr="00C62744">
        <w:trPr>
          <w:trHeight w:val="215"/>
        </w:trPr>
        <w:tc>
          <w:tcPr>
            <w:tcW w:w="2763" w:type="dxa"/>
            <w:tcBorders>
              <w:top w:val="single" w:sz="4" w:space="0" w:color="auto"/>
              <w:bottom w:val="single" w:sz="4" w:space="0" w:color="auto"/>
            </w:tcBorders>
            <w:noWrap/>
            <w:hideMark/>
          </w:tcPr>
          <w:p w14:paraId="24A4FF2D"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Variable</w:t>
            </w:r>
          </w:p>
        </w:tc>
        <w:tc>
          <w:tcPr>
            <w:tcW w:w="1947" w:type="dxa"/>
            <w:tcBorders>
              <w:top w:val="single" w:sz="4" w:space="0" w:color="auto"/>
              <w:bottom w:val="single" w:sz="4" w:space="0" w:color="auto"/>
            </w:tcBorders>
            <w:noWrap/>
            <w:hideMark/>
          </w:tcPr>
          <w:p w14:paraId="68DE2621"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CRR (95%CI)</w:t>
            </w:r>
          </w:p>
        </w:tc>
        <w:tc>
          <w:tcPr>
            <w:tcW w:w="1343" w:type="dxa"/>
            <w:tcBorders>
              <w:top w:val="single" w:sz="4" w:space="0" w:color="auto"/>
              <w:bottom w:val="single" w:sz="4" w:space="0" w:color="auto"/>
            </w:tcBorders>
            <w:noWrap/>
            <w:hideMark/>
          </w:tcPr>
          <w:p w14:paraId="2D69B674"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P-value</w:t>
            </w:r>
          </w:p>
        </w:tc>
        <w:tc>
          <w:tcPr>
            <w:tcW w:w="2126" w:type="dxa"/>
            <w:tcBorders>
              <w:top w:val="single" w:sz="4" w:space="0" w:color="auto"/>
              <w:bottom w:val="single" w:sz="4" w:space="0" w:color="auto"/>
            </w:tcBorders>
            <w:noWrap/>
            <w:hideMark/>
          </w:tcPr>
          <w:p w14:paraId="4B893A49"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ARR (95%CI)</w:t>
            </w:r>
          </w:p>
        </w:tc>
        <w:tc>
          <w:tcPr>
            <w:tcW w:w="1334" w:type="dxa"/>
            <w:tcBorders>
              <w:top w:val="single" w:sz="4" w:space="0" w:color="auto"/>
              <w:bottom w:val="single" w:sz="4" w:space="0" w:color="auto"/>
            </w:tcBorders>
            <w:noWrap/>
            <w:hideMark/>
          </w:tcPr>
          <w:p w14:paraId="6A8DDA8F" w14:textId="77777777" w:rsidR="00EF6979" w:rsidRPr="001016D6" w:rsidRDefault="00EF6979" w:rsidP="001A3D64">
            <w:pPr>
              <w:spacing w:line="360" w:lineRule="auto"/>
              <w:jc w:val="center"/>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P-value</w:t>
            </w:r>
          </w:p>
        </w:tc>
      </w:tr>
      <w:tr w:rsidR="001A3D64" w:rsidRPr="001016D6" w14:paraId="3F212E8A" w14:textId="77777777" w:rsidTr="00C62744">
        <w:trPr>
          <w:trHeight w:val="280"/>
        </w:trPr>
        <w:tc>
          <w:tcPr>
            <w:tcW w:w="2763" w:type="dxa"/>
            <w:tcBorders>
              <w:top w:val="single" w:sz="4" w:space="0" w:color="auto"/>
            </w:tcBorders>
            <w:noWrap/>
            <w:hideMark/>
          </w:tcPr>
          <w:p w14:paraId="18F08FBC"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Sex</w:t>
            </w:r>
          </w:p>
        </w:tc>
        <w:tc>
          <w:tcPr>
            <w:tcW w:w="1947" w:type="dxa"/>
            <w:tcBorders>
              <w:top w:val="single" w:sz="4" w:space="0" w:color="auto"/>
            </w:tcBorders>
            <w:noWrap/>
            <w:hideMark/>
          </w:tcPr>
          <w:p w14:paraId="5FC6E487"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tcBorders>
              <w:top w:val="single" w:sz="4" w:space="0" w:color="auto"/>
            </w:tcBorders>
            <w:noWrap/>
            <w:hideMark/>
          </w:tcPr>
          <w:p w14:paraId="6C3A08F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tcBorders>
              <w:top w:val="single" w:sz="4" w:space="0" w:color="auto"/>
            </w:tcBorders>
            <w:noWrap/>
            <w:hideMark/>
          </w:tcPr>
          <w:p w14:paraId="0976406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tcBorders>
              <w:top w:val="single" w:sz="4" w:space="0" w:color="auto"/>
            </w:tcBorders>
            <w:noWrap/>
            <w:hideMark/>
          </w:tcPr>
          <w:p w14:paraId="189249A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6F7A7059" w14:textId="77777777" w:rsidTr="00C62744">
        <w:trPr>
          <w:trHeight w:val="280"/>
        </w:trPr>
        <w:tc>
          <w:tcPr>
            <w:tcW w:w="2763" w:type="dxa"/>
            <w:noWrap/>
            <w:hideMark/>
          </w:tcPr>
          <w:p w14:paraId="770342EA"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Male</w:t>
            </w:r>
          </w:p>
        </w:tc>
        <w:tc>
          <w:tcPr>
            <w:tcW w:w="1947" w:type="dxa"/>
            <w:noWrap/>
          </w:tcPr>
          <w:p w14:paraId="532B029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340F572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4B8FA6D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61009C5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0191E199" w14:textId="77777777" w:rsidTr="00C62744">
        <w:trPr>
          <w:trHeight w:val="280"/>
        </w:trPr>
        <w:tc>
          <w:tcPr>
            <w:tcW w:w="2763" w:type="dxa"/>
            <w:noWrap/>
            <w:hideMark/>
          </w:tcPr>
          <w:p w14:paraId="4734EFC2"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Female</w:t>
            </w:r>
          </w:p>
        </w:tc>
        <w:tc>
          <w:tcPr>
            <w:tcW w:w="1947" w:type="dxa"/>
            <w:noWrap/>
          </w:tcPr>
          <w:p w14:paraId="54DEAED5"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1.50(0.84-2.69)</w:t>
            </w:r>
          </w:p>
        </w:tc>
        <w:tc>
          <w:tcPr>
            <w:tcW w:w="1343" w:type="dxa"/>
            <w:noWrap/>
          </w:tcPr>
          <w:p w14:paraId="7DE5F48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0.173</w:t>
            </w:r>
          </w:p>
        </w:tc>
        <w:tc>
          <w:tcPr>
            <w:tcW w:w="2126" w:type="dxa"/>
            <w:noWrap/>
          </w:tcPr>
          <w:p w14:paraId="79E3908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2A2C53A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295184E3" w14:textId="77777777" w:rsidTr="00C62744">
        <w:trPr>
          <w:trHeight w:val="280"/>
        </w:trPr>
        <w:tc>
          <w:tcPr>
            <w:tcW w:w="2763" w:type="dxa"/>
            <w:noWrap/>
            <w:hideMark/>
          </w:tcPr>
          <w:p w14:paraId="54885956"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Age of the participant</w:t>
            </w:r>
          </w:p>
        </w:tc>
        <w:tc>
          <w:tcPr>
            <w:tcW w:w="1947" w:type="dxa"/>
            <w:noWrap/>
          </w:tcPr>
          <w:p w14:paraId="0DD81F46"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343" w:type="dxa"/>
            <w:noWrap/>
          </w:tcPr>
          <w:p w14:paraId="37347601"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2126" w:type="dxa"/>
            <w:noWrap/>
          </w:tcPr>
          <w:p w14:paraId="729FD954"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334" w:type="dxa"/>
            <w:noWrap/>
          </w:tcPr>
          <w:p w14:paraId="79616AF7"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080A0D68" w14:textId="77777777" w:rsidTr="00C62744">
        <w:trPr>
          <w:trHeight w:val="280"/>
        </w:trPr>
        <w:tc>
          <w:tcPr>
            <w:tcW w:w="2763" w:type="dxa"/>
            <w:noWrap/>
            <w:hideMark/>
          </w:tcPr>
          <w:p w14:paraId="3763B562"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≤70</w:t>
            </w:r>
          </w:p>
        </w:tc>
        <w:tc>
          <w:tcPr>
            <w:tcW w:w="1947" w:type="dxa"/>
            <w:noWrap/>
          </w:tcPr>
          <w:p w14:paraId="07323DE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2D7E9852" w14:textId="77777777" w:rsidR="00EF6979" w:rsidRPr="001016D6" w:rsidRDefault="00EF6979" w:rsidP="001A3D64">
            <w:pPr>
              <w:spacing w:line="360" w:lineRule="auto"/>
              <w:rPr>
                <w:rFonts w:ascii="Times New Roman" w:eastAsia="Times New Roman" w:hAnsi="Times New Roman" w:cs="Times New Roman"/>
                <w:color w:val="000000" w:themeColor="text1"/>
                <w:sz w:val="24"/>
                <w:szCs w:val="24"/>
              </w:rPr>
            </w:pPr>
          </w:p>
        </w:tc>
        <w:tc>
          <w:tcPr>
            <w:tcW w:w="2126" w:type="dxa"/>
            <w:noWrap/>
          </w:tcPr>
          <w:p w14:paraId="6CA658D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44ABA5F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6F9AC64F" w14:textId="77777777" w:rsidTr="00C62744">
        <w:trPr>
          <w:trHeight w:val="280"/>
        </w:trPr>
        <w:tc>
          <w:tcPr>
            <w:tcW w:w="2763" w:type="dxa"/>
            <w:noWrap/>
            <w:hideMark/>
          </w:tcPr>
          <w:p w14:paraId="04B1161E" w14:textId="77777777" w:rsidR="00EF6979" w:rsidRPr="001016D6" w:rsidRDefault="00EF6979" w:rsidP="001A3D64">
            <w:pPr>
              <w:spacing w:line="360" w:lineRule="auto"/>
              <w:ind w:left="51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&gt;70</w:t>
            </w:r>
          </w:p>
        </w:tc>
        <w:tc>
          <w:tcPr>
            <w:tcW w:w="1947" w:type="dxa"/>
            <w:noWrap/>
          </w:tcPr>
          <w:p w14:paraId="18AA2D6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1.28(0.73-2.24)</w:t>
            </w:r>
          </w:p>
        </w:tc>
        <w:tc>
          <w:tcPr>
            <w:tcW w:w="1343" w:type="dxa"/>
            <w:noWrap/>
          </w:tcPr>
          <w:p w14:paraId="539BA9B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0.390</w:t>
            </w:r>
          </w:p>
        </w:tc>
        <w:tc>
          <w:tcPr>
            <w:tcW w:w="2126" w:type="dxa"/>
            <w:noWrap/>
          </w:tcPr>
          <w:p w14:paraId="15CADCA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227EA55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4C9808B4" w14:textId="77777777" w:rsidTr="00C62744">
        <w:trPr>
          <w:trHeight w:val="280"/>
        </w:trPr>
        <w:tc>
          <w:tcPr>
            <w:tcW w:w="2763" w:type="dxa"/>
            <w:noWrap/>
          </w:tcPr>
          <w:p w14:paraId="1FB6C9A0" w14:textId="77777777" w:rsidR="00EF6979" w:rsidRPr="001016D6" w:rsidRDefault="00EF6979" w:rsidP="001A3D64">
            <w:pPr>
              <w:spacing w:line="360" w:lineRule="auto"/>
              <w:jc w:val="both"/>
              <w:rPr>
                <w:rFonts w:ascii="Times New Roman" w:eastAsia="Times New Roman" w:hAnsi="Times New Roman" w:cs="Times New Roman"/>
                <w:b/>
                <w:iCs/>
                <w:color w:val="000000" w:themeColor="text1"/>
                <w:sz w:val="24"/>
                <w:szCs w:val="24"/>
              </w:rPr>
            </w:pPr>
            <w:r w:rsidRPr="001016D6">
              <w:rPr>
                <w:rFonts w:ascii="Times New Roman" w:eastAsia="Times New Roman" w:hAnsi="Times New Roman" w:cs="Times New Roman"/>
                <w:b/>
                <w:iCs/>
                <w:color w:val="000000" w:themeColor="text1"/>
                <w:sz w:val="24"/>
                <w:szCs w:val="24"/>
              </w:rPr>
              <w:t>Residence</w:t>
            </w:r>
          </w:p>
        </w:tc>
        <w:tc>
          <w:tcPr>
            <w:tcW w:w="1947" w:type="dxa"/>
            <w:noWrap/>
          </w:tcPr>
          <w:p w14:paraId="4261BB98"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343" w:type="dxa"/>
            <w:noWrap/>
          </w:tcPr>
          <w:p w14:paraId="3A668019"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2126" w:type="dxa"/>
            <w:noWrap/>
          </w:tcPr>
          <w:p w14:paraId="094D1CAC"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334" w:type="dxa"/>
            <w:noWrap/>
          </w:tcPr>
          <w:p w14:paraId="6E51A0F0"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23BE560D" w14:textId="77777777" w:rsidTr="00C62744">
        <w:trPr>
          <w:trHeight w:val="280"/>
        </w:trPr>
        <w:tc>
          <w:tcPr>
            <w:tcW w:w="2763" w:type="dxa"/>
            <w:noWrap/>
          </w:tcPr>
          <w:p w14:paraId="7F92C26B" w14:textId="77777777" w:rsidR="00EF6979" w:rsidRPr="001016D6" w:rsidRDefault="00EF6979" w:rsidP="001A3D64">
            <w:pPr>
              <w:spacing w:line="360" w:lineRule="auto"/>
              <w:ind w:left="510"/>
              <w:jc w:val="both"/>
              <w:rPr>
                <w:rFonts w:ascii="Times New Roman" w:eastAsia="Times New Roman" w:hAnsi="Times New Roman" w:cs="Times New Roman"/>
                <w:iCs/>
                <w:color w:val="000000" w:themeColor="text1"/>
                <w:sz w:val="24"/>
                <w:szCs w:val="24"/>
              </w:rPr>
            </w:pPr>
            <w:r w:rsidRPr="001016D6">
              <w:rPr>
                <w:rFonts w:ascii="Times New Roman" w:eastAsia="Times New Roman" w:hAnsi="Times New Roman" w:cs="Times New Roman"/>
                <w:iCs/>
                <w:color w:val="000000" w:themeColor="text1"/>
                <w:sz w:val="24"/>
                <w:szCs w:val="24"/>
              </w:rPr>
              <w:t>Urban</w:t>
            </w:r>
          </w:p>
        </w:tc>
        <w:tc>
          <w:tcPr>
            <w:tcW w:w="1947" w:type="dxa"/>
            <w:noWrap/>
          </w:tcPr>
          <w:p w14:paraId="3C398BB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06B0D2D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4895CEF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36317E1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73B5AB49" w14:textId="77777777" w:rsidTr="00C62744">
        <w:trPr>
          <w:trHeight w:val="280"/>
        </w:trPr>
        <w:tc>
          <w:tcPr>
            <w:tcW w:w="2763" w:type="dxa"/>
            <w:noWrap/>
          </w:tcPr>
          <w:p w14:paraId="57F7FE92" w14:textId="77777777" w:rsidR="00EF6979" w:rsidRPr="001016D6" w:rsidRDefault="00EF6979" w:rsidP="001A3D64">
            <w:pPr>
              <w:spacing w:line="360" w:lineRule="auto"/>
              <w:ind w:left="510"/>
              <w:jc w:val="both"/>
              <w:rPr>
                <w:rFonts w:ascii="Times New Roman" w:eastAsia="Times New Roman" w:hAnsi="Times New Roman" w:cs="Times New Roman"/>
                <w:iCs/>
                <w:color w:val="000000" w:themeColor="text1"/>
                <w:sz w:val="24"/>
                <w:szCs w:val="24"/>
              </w:rPr>
            </w:pPr>
            <w:r w:rsidRPr="001016D6">
              <w:rPr>
                <w:rFonts w:ascii="Times New Roman" w:eastAsia="Times New Roman" w:hAnsi="Times New Roman" w:cs="Times New Roman"/>
                <w:iCs/>
                <w:color w:val="000000" w:themeColor="text1"/>
                <w:sz w:val="24"/>
                <w:szCs w:val="24"/>
              </w:rPr>
              <w:t>Rural</w:t>
            </w:r>
          </w:p>
        </w:tc>
        <w:tc>
          <w:tcPr>
            <w:tcW w:w="1947" w:type="dxa"/>
            <w:noWrap/>
          </w:tcPr>
          <w:p w14:paraId="5FEE1CA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1.44(0.82-2.50)</w:t>
            </w:r>
          </w:p>
        </w:tc>
        <w:tc>
          <w:tcPr>
            <w:tcW w:w="1343" w:type="dxa"/>
            <w:noWrap/>
          </w:tcPr>
          <w:p w14:paraId="4CCEF96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0.201</w:t>
            </w:r>
          </w:p>
        </w:tc>
        <w:tc>
          <w:tcPr>
            <w:tcW w:w="2126" w:type="dxa"/>
            <w:noWrap/>
          </w:tcPr>
          <w:p w14:paraId="3B43CFF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338E433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52BCEEA4" w14:textId="77777777" w:rsidTr="00C62744">
        <w:trPr>
          <w:trHeight w:val="280"/>
        </w:trPr>
        <w:tc>
          <w:tcPr>
            <w:tcW w:w="2763" w:type="dxa"/>
            <w:noWrap/>
            <w:hideMark/>
          </w:tcPr>
          <w:p w14:paraId="1B78F799"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Lens status</w:t>
            </w:r>
          </w:p>
        </w:tc>
        <w:tc>
          <w:tcPr>
            <w:tcW w:w="1947" w:type="dxa"/>
            <w:noWrap/>
          </w:tcPr>
          <w:p w14:paraId="0ABF679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6BF6293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5D979AD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1C1AFF3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2B5D81DC" w14:textId="77777777" w:rsidTr="00C62744">
        <w:trPr>
          <w:trHeight w:val="280"/>
        </w:trPr>
        <w:tc>
          <w:tcPr>
            <w:tcW w:w="2763" w:type="dxa"/>
            <w:noWrap/>
            <w:hideMark/>
          </w:tcPr>
          <w:p w14:paraId="351BDC60"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Phakic</w:t>
            </w:r>
          </w:p>
        </w:tc>
        <w:tc>
          <w:tcPr>
            <w:tcW w:w="1947" w:type="dxa"/>
            <w:noWrap/>
          </w:tcPr>
          <w:p w14:paraId="08E21DB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1.98(1.12-3.51)</w:t>
            </w:r>
          </w:p>
        </w:tc>
        <w:tc>
          <w:tcPr>
            <w:tcW w:w="1343" w:type="dxa"/>
            <w:noWrap/>
          </w:tcPr>
          <w:p w14:paraId="659A392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0.018</w:t>
            </w:r>
          </w:p>
        </w:tc>
        <w:tc>
          <w:tcPr>
            <w:tcW w:w="2126" w:type="dxa"/>
            <w:noWrap/>
          </w:tcPr>
          <w:p w14:paraId="688FD1A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0.62(0.13-3.07)</w:t>
            </w:r>
          </w:p>
        </w:tc>
        <w:tc>
          <w:tcPr>
            <w:tcW w:w="1334" w:type="dxa"/>
            <w:noWrap/>
          </w:tcPr>
          <w:p w14:paraId="7069F15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0.566</w:t>
            </w:r>
          </w:p>
        </w:tc>
      </w:tr>
      <w:tr w:rsidR="001A3D64" w:rsidRPr="001016D6" w14:paraId="293796FE" w14:textId="77777777" w:rsidTr="00C62744">
        <w:trPr>
          <w:trHeight w:val="280"/>
        </w:trPr>
        <w:tc>
          <w:tcPr>
            <w:tcW w:w="2763" w:type="dxa"/>
            <w:noWrap/>
            <w:hideMark/>
          </w:tcPr>
          <w:p w14:paraId="3D4B9F2D"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Pseudophakic</w:t>
            </w:r>
          </w:p>
        </w:tc>
        <w:tc>
          <w:tcPr>
            <w:tcW w:w="1947" w:type="dxa"/>
            <w:noWrap/>
          </w:tcPr>
          <w:p w14:paraId="19265B6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6F8DB1B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29E7D33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3D9F7425"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00074C8C" w14:textId="77777777" w:rsidTr="00C62744">
        <w:trPr>
          <w:trHeight w:val="280"/>
        </w:trPr>
        <w:tc>
          <w:tcPr>
            <w:tcW w:w="2763" w:type="dxa"/>
            <w:noWrap/>
            <w:hideMark/>
          </w:tcPr>
          <w:p w14:paraId="54A86929"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YAG</w:t>
            </w:r>
          </w:p>
        </w:tc>
        <w:tc>
          <w:tcPr>
            <w:tcW w:w="1947" w:type="dxa"/>
            <w:noWrap/>
          </w:tcPr>
          <w:p w14:paraId="5BD73065"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69687F1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68E14F0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26A0C08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13932DF7" w14:textId="77777777" w:rsidTr="00C62744">
        <w:trPr>
          <w:trHeight w:val="280"/>
        </w:trPr>
        <w:tc>
          <w:tcPr>
            <w:tcW w:w="2763" w:type="dxa"/>
            <w:noWrap/>
            <w:hideMark/>
          </w:tcPr>
          <w:p w14:paraId="3310453E"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1947" w:type="dxa"/>
            <w:noWrap/>
          </w:tcPr>
          <w:p w14:paraId="123D1FB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0.67(0.36-1.27)</w:t>
            </w:r>
          </w:p>
        </w:tc>
        <w:tc>
          <w:tcPr>
            <w:tcW w:w="1343" w:type="dxa"/>
            <w:noWrap/>
          </w:tcPr>
          <w:p w14:paraId="4DF6557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0.222</w:t>
            </w:r>
          </w:p>
        </w:tc>
        <w:tc>
          <w:tcPr>
            <w:tcW w:w="2126" w:type="dxa"/>
            <w:noWrap/>
          </w:tcPr>
          <w:p w14:paraId="7E39B9F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079FABE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308AECAB" w14:textId="77777777" w:rsidTr="00C62744">
        <w:trPr>
          <w:trHeight w:val="280"/>
        </w:trPr>
        <w:tc>
          <w:tcPr>
            <w:tcW w:w="2763" w:type="dxa"/>
            <w:noWrap/>
            <w:hideMark/>
          </w:tcPr>
          <w:p w14:paraId="10571D2C"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947" w:type="dxa"/>
            <w:noWrap/>
          </w:tcPr>
          <w:p w14:paraId="7906DC8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1747F69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3ECB27D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12C5278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131C9D47" w14:textId="77777777" w:rsidTr="00C62744">
        <w:trPr>
          <w:trHeight w:val="280"/>
        </w:trPr>
        <w:tc>
          <w:tcPr>
            <w:tcW w:w="2763" w:type="dxa"/>
            <w:noWrap/>
            <w:hideMark/>
          </w:tcPr>
          <w:p w14:paraId="5CA6288C"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History of PRP</w:t>
            </w:r>
          </w:p>
        </w:tc>
        <w:tc>
          <w:tcPr>
            <w:tcW w:w="1947" w:type="dxa"/>
            <w:noWrap/>
          </w:tcPr>
          <w:p w14:paraId="6D6E673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3F797E9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32FA654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4B0B7F3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20FBB1B6" w14:textId="77777777" w:rsidTr="00C62744">
        <w:trPr>
          <w:trHeight w:val="280"/>
        </w:trPr>
        <w:tc>
          <w:tcPr>
            <w:tcW w:w="2763" w:type="dxa"/>
            <w:noWrap/>
            <w:hideMark/>
          </w:tcPr>
          <w:p w14:paraId="4BCA7207"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1947" w:type="dxa"/>
            <w:noWrap/>
          </w:tcPr>
          <w:p w14:paraId="30854A17"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0.23(.03-1.53)</w:t>
            </w:r>
          </w:p>
        </w:tc>
        <w:tc>
          <w:tcPr>
            <w:tcW w:w="1343" w:type="dxa"/>
            <w:noWrap/>
          </w:tcPr>
          <w:p w14:paraId="04781C2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0.128</w:t>
            </w:r>
          </w:p>
        </w:tc>
        <w:tc>
          <w:tcPr>
            <w:tcW w:w="2126" w:type="dxa"/>
            <w:noWrap/>
          </w:tcPr>
          <w:p w14:paraId="0EDC450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33500C7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3D4164B8" w14:textId="77777777" w:rsidTr="00C62744">
        <w:trPr>
          <w:trHeight w:val="280"/>
        </w:trPr>
        <w:tc>
          <w:tcPr>
            <w:tcW w:w="2763" w:type="dxa"/>
            <w:noWrap/>
            <w:hideMark/>
          </w:tcPr>
          <w:p w14:paraId="72DD6396"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947" w:type="dxa"/>
            <w:noWrap/>
          </w:tcPr>
          <w:p w14:paraId="324274D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3A8945F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3F4E7AE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40CE167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4C0EB39E" w14:textId="77777777" w:rsidTr="00C62744">
        <w:trPr>
          <w:trHeight w:val="280"/>
        </w:trPr>
        <w:tc>
          <w:tcPr>
            <w:tcW w:w="2763" w:type="dxa"/>
            <w:noWrap/>
          </w:tcPr>
          <w:p w14:paraId="10C1C03D" w14:textId="77777777" w:rsidR="00EF6979" w:rsidRPr="001016D6" w:rsidRDefault="00EF6979" w:rsidP="001A3D64">
            <w:pPr>
              <w:spacing w:line="360" w:lineRule="auto"/>
              <w:jc w:val="both"/>
              <w:rPr>
                <w:rFonts w:ascii="Times New Roman" w:eastAsia="Times New Roman" w:hAnsi="Times New Roman" w:cs="Times New Roman"/>
                <w:b/>
                <w:color w:val="000000" w:themeColor="text1"/>
                <w:sz w:val="24"/>
                <w:szCs w:val="24"/>
              </w:rPr>
            </w:pPr>
            <w:r w:rsidRPr="001016D6">
              <w:rPr>
                <w:rFonts w:ascii="Times New Roman" w:eastAsia="Times New Roman" w:hAnsi="Times New Roman" w:cs="Times New Roman"/>
                <w:b/>
                <w:color w:val="000000" w:themeColor="text1"/>
                <w:sz w:val="24"/>
                <w:szCs w:val="24"/>
              </w:rPr>
              <w:t>Hypertension</w:t>
            </w:r>
          </w:p>
        </w:tc>
        <w:tc>
          <w:tcPr>
            <w:tcW w:w="1947" w:type="dxa"/>
            <w:noWrap/>
          </w:tcPr>
          <w:p w14:paraId="73F88C05"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343" w:type="dxa"/>
            <w:noWrap/>
          </w:tcPr>
          <w:p w14:paraId="21208DEF"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2126" w:type="dxa"/>
            <w:noWrap/>
          </w:tcPr>
          <w:p w14:paraId="78F1D5E0"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334" w:type="dxa"/>
            <w:noWrap/>
          </w:tcPr>
          <w:p w14:paraId="70A6DA39"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14BF9B29" w14:textId="77777777" w:rsidTr="00C62744">
        <w:trPr>
          <w:trHeight w:val="280"/>
        </w:trPr>
        <w:tc>
          <w:tcPr>
            <w:tcW w:w="2763" w:type="dxa"/>
            <w:noWrap/>
          </w:tcPr>
          <w:p w14:paraId="6B0D986D"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1947" w:type="dxa"/>
            <w:noWrap/>
          </w:tcPr>
          <w:p w14:paraId="039D7A3F"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1.22(0.69-2.15)</w:t>
            </w:r>
          </w:p>
        </w:tc>
        <w:tc>
          <w:tcPr>
            <w:tcW w:w="1343" w:type="dxa"/>
            <w:noWrap/>
          </w:tcPr>
          <w:p w14:paraId="4B67850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0.489</w:t>
            </w:r>
          </w:p>
        </w:tc>
        <w:tc>
          <w:tcPr>
            <w:tcW w:w="2126" w:type="dxa"/>
            <w:noWrap/>
          </w:tcPr>
          <w:p w14:paraId="5D68061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7ABF377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72F1E544" w14:textId="77777777" w:rsidTr="00C62744">
        <w:trPr>
          <w:trHeight w:val="280"/>
        </w:trPr>
        <w:tc>
          <w:tcPr>
            <w:tcW w:w="2763" w:type="dxa"/>
            <w:noWrap/>
          </w:tcPr>
          <w:p w14:paraId="15B03FF3"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947" w:type="dxa"/>
            <w:noWrap/>
          </w:tcPr>
          <w:p w14:paraId="25920EC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6F4D459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0273FAF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366F9D4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3AF90D6C" w14:textId="77777777" w:rsidTr="00C62744">
        <w:trPr>
          <w:trHeight w:val="280"/>
        </w:trPr>
        <w:tc>
          <w:tcPr>
            <w:tcW w:w="2763" w:type="dxa"/>
            <w:noWrap/>
            <w:hideMark/>
          </w:tcPr>
          <w:p w14:paraId="44F55A30"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CME</w:t>
            </w:r>
          </w:p>
        </w:tc>
        <w:tc>
          <w:tcPr>
            <w:tcW w:w="1947" w:type="dxa"/>
            <w:noWrap/>
          </w:tcPr>
          <w:p w14:paraId="1391C047"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598A194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21F9204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6D56EE1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4C411D97" w14:textId="77777777" w:rsidTr="00C62744">
        <w:trPr>
          <w:trHeight w:val="280"/>
        </w:trPr>
        <w:tc>
          <w:tcPr>
            <w:tcW w:w="2763" w:type="dxa"/>
            <w:noWrap/>
            <w:hideMark/>
          </w:tcPr>
          <w:p w14:paraId="7F84C810"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1947" w:type="dxa"/>
            <w:noWrap/>
          </w:tcPr>
          <w:p w14:paraId="23FC1A3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0.48(0.27-0.85)</w:t>
            </w:r>
          </w:p>
        </w:tc>
        <w:tc>
          <w:tcPr>
            <w:tcW w:w="1343" w:type="dxa"/>
            <w:noWrap/>
          </w:tcPr>
          <w:p w14:paraId="19870C3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0.013</w:t>
            </w:r>
          </w:p>
        </w:tc>
        <w:tc>
          <w:tcPr>
            <w:tcW w:w="2126" w:type="dxa"/>
            <w:noWrap/>
          </w:tcPr>
          <w:p w14:paraId="6CEBADE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0.71 (0.11-4.65)</w:t>
            </w:r>
          </w:p>
        </w:tc>
        <w:tc>
          <w:tcPr>
            <w:tcW w:w="1334" w:type="dxa"/>
            <w:noWrap/>
          </w:tcPr>
          <w:p w14:paraId="287C868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0.723</w:t>
            </w:r>
          </w:p>
        </w:tc>
      </w:tr>
      <w:tr w:rsidR="001A3D64" w:rsidRPr="001016D6" w14:paraId="4A7D3A2C" w14:textId="77777777" w:rsidTr="00C62744">
        <w:trPr>
          <w:trHeight w:val="280"/>
        </w:trPr>
        <w:tc>
          <w:tcPr>
            <w:tcW w:w="2763" w:type="dxa"/>
            <w:noWrap/>
            <w:hideMark/>
          </w:tcPr>
          <w:p w14:paraId="79190710"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947" w:type="dxa"/>
            <w:noWrap/>
          </w:tcPr>
          <w:p w14:paraId="5030EF8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00617AC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36B0571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2609368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0F45E77D" w14:textId="77777777" w:rsidTr="00C62744">
        <w:trPr>
          <w:trHeight w:val="280"/>
        </w:trPr>
        <w:tc>
          <w:tcPr>
            <w:tcW w:w="2763" w:type="dxa"/>
            <w:noWrap/>
            <w:hideMark/>
          </w:tcPr>
          <w:p w14:paraId="412D8A1E"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RVO</w:t>
            </w:r>
          </w:p>
        </w:tc>
        <w:tc>
          <w:tcPr>
            <w:tcW w:w="1947" w:type="dxa"/>
            <w:noWrap/>
          </w:tcPr>
          <w:p w14:paraId="0B187C77"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343" w:type="dxa"/>
            <w:noWrap/>
          </w:tcPr>
          <w:p w14:paraId="456B935C"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2126" w:type="dxa"/>
            <w:noWrap/>
          </w:tcPr>
          <w:p w14:paraId="4B00F7C1"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c>
          <w:tcPr>
            <w:tcW w:w="1334" w:type="dxa"/>
            <w:noWrap/>
          </w:tcPr>
          <w:p w14:paraId="7F2D7DF4" w14:textId="77777777" w:rsidR="00EF6979" w:rsidRPr="001016D6" w:rsidRDefault="00EF6979" w:rsidP="001A3D64">
            <w:pPr>
              <w:spacing w:line="360" w:lineRule="auto"/>
              <w:jc w:val="center"/>
              <w:rPr>
                <w:rFonts w:ascii="Times New Roman" w:eastAsia="Times New Roman" w:hAnsi="Times New Roman" w:cs="Times New Roman"/>
                <w:b/>
                <w:color w:val="000000" w:themeColor="text1"/>
                <w:sz w:val="24"/>
                <w:szCs w:val="24"/>
              </w:rPr>
            </w:pPr>
          </w:p>
        </w:tc>
      </w:tr>
      <w:tr w:rsidR="001A3D64" w:rsidRPr="001016D6" w14:paraId="37D08E50" w14:textId="77777777" w:rsidTr="00C62744">
        <w:trPr>
          <w:trHeight w:val="280"/>
        </w:trPr>
        <w:tc>
          <w:tcPr>
            <w:tcW w:w="2763" w:type="dxa"/>
            <w:noWrap/>
            <w:hideMark/>
          </w:tcPr>
          <w:p w14:paraId="07CE64FB"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1947" w:type="dxa"/>
            <w:noWrap/>
          </w:tcPr>
          <w:p w14:paraId="14049800"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2.14(1.18-3.90)</w:t>
            </w:r>
          </w:p>
        </w:tc>
        <w:tc>
          <w:tcPr>
            <w:tcW w:w="1343" w:type="dxa"/>
            <w:noWrap/>
          </w:tcPr>
          <w:p w14:paraId="0F47EEE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0.013</w:t>
            </w:r>
          </w:p>
        </w:tc>
        <w:tc>
          <w:tcPr>
            <w:tcW w:w="2126" w:type="dxa"/>
            <w:noWrap/>
          </w:tcPr>
          <w:p w14:paraId="55A5B30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3.23(1.10-9.54)</w:t>
            </w:r>
          </w:p>
        </w:tc>
        <w:tc>
          <w:tcPr>
            <w:tcW w:w="1334" w:type="dxa"/>
            <w:noWrap/>
          </w:tcPr>
          <w:p w14:paraId="50D288A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0.033*</w:t>
            </w:r>
          </w:p>
        </w:tc>
      </w:tr>
      <w:tr w:rsidR="001A3D64" w:rsidRPr="001016D6" w14:paraId="2D497D1E" w14:textId="77777777" w:rsidTr="00C62744">
        <w:trPr>
          <w:trHeight w:val="280"/>
        </w:trPr>
        <w:tc>
          <w:tcPr>
            <w:tcW w:w="2763" w:type="dxa"/>
            <w:noWrap/>
            <w:hideMark/>
          </w:tcPr>
          <w:p w14:paraId="56F05646"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947" w:type="dxa"/>
            <w:noWrap/>
          </w:tcPr>
          <w:p w14:paraId="5D2A92A5"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4548AE4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105236E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3D1016DA"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1D567855" w14:textId="77777777" w:rsidTr="00C62744">
        <w:trPr>
          <w:trHeight w:val="280"/>
        </w:trPr>
        <w:tc>
          <w:tcPr>
            <w:tcW w:w="2763" w:type="dxa"/>
            <w:noWrap/>
            <w:hideMark/>
          </w:tcPr>
          <w:p w14:paraId="7751AC28" w14:textId="77777777" w:rsidR="00EF6979" w:rsidRPr="001016D6" w:rsidRDefault="00EF6979" w:rsidP="001A3D64">
            <w:pPr>
              <w:spacing w:line="360" w:lineRule="auto"/>
              <w:jc w:val="both"/>
              <w:rPr>
                <w:rFonts w:ascii="Times New Roman" w:eastAsia="Times New Roman" w:hAnsi="Times New Roman" w:cs="Times New Roman"/>
                <w:b/>
                <w:bCs/>
                <w:color w:val="000000" w:themeColor="text1"/>
                <w:sz w:val="24"/>
                <w:szCs w:val="24"/>
              </w:rPr>
            </w:pPr>
            <w:r w:rsidRPr="001016D6">
              <w:rPr>
                <w:rFonts w:ascii="Times New Roman" w:eastAsia="Times New Roman" w:hAnsi="Times New Roman" w:cs="Times New Roman"/>
                <w:b/>
                <w:bCs/>
                <w:color w:val="000000" w:themeColor="text1"/>
                <w:sz w:val="24"/>
                <w:szCs w:val="24"/>
              </w:rPr>
              <w:t>CNV</w:t>
            </w:r>
          </w:p>
        </w:tc>
        <w:tc>
          <w:tcPr>
            <w:tcW w:w="1947" w:type="dxa"/>
            <w:noWrap/>
          </w:tcPr>
          <w:p w14:paraId="13466695"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0EDA12E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5F1431A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24C10E8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056F2853" w14:textId="77777777" w:rsidTr="00C62744">
        <w:trPr>
          <w:trHeight w:val="280"/>
        </w:trPr>
        <w:tc>
          <w:tcPr>
            <w:tcW w:w="2763" w:type="dxa"/>
            <w:noWrap/>
            <w:hideMark/>
          </w:tcPr>
          <w:p w14:paraId="195305F6"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1947" w:type="dxa"/>
            <w:noWrap/>
          </w:tcPr>
          <w:p w14:paraId="211860DF"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1.08(.21-5.53)</w:t>
            </w:r>
          </w:p>
        </w:tc>
        <w:tc>
          <w:tcPr>
            <w:tcW w:w="1343" w:type="dxa"/>
            <w:noWrap/>
          </w:tcPr>
          <w:p w14:paraId="3F490ED2"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0.926</w:t>
            </w:r>
          </w:p>
        </w:tc>
        <w:tc>
          <w:tcPr>
            <w:tcW w:w="2126" w:type="dxa"/>
            <w:noWrap/>
          </w:tcPr>
          <w:p w14:paraId="70CA76E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223FD22F"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123CAF82" w14:textId="77777777" w:rsidTr="00C62744">
        <w:trPr>
          <w:trHeight w:val="280"/>
        </w:trPr>
        <w:tc>
          <w:tcPr>
            <w:tcW w:w="2763" w:type="dxa"/>
            <w:noWrap/>
            <w:hideMark/>
          </w:tcPr>
          <w:p w14:paraId="146AA410"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947" w:type="dxa"/>
            <w:noWrap/>
          </w:tcPr>
          <w:p w14:paraId="5A24BE39"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4EA2645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46EFB94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75A33BDE"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421CDC60" w14:textId="77777777" w:rsidTr="00C62744">
        <w:trPr>
          <w:trHeight w:val="280"/>
        </w:trPr>
        <w:tc>
          <w:tcPr>
            <w:tcW w:w="2763" w:type="dxa"/>
            <w:noWrap/>
          </w:tcPr>
          <w:p w14:paraId="3D25CB72" w14:textId="77777777" w:rsidR="00EF6979" w:rsidRPr="001016D6" w:rsidRDefault="00EF6979" w:rsidP="001A3D64">
            <w:pPr>
              <w:spacing w:line="360" w:lineRule="auto"/>
              <w:jc w:val="both"/>
              <w:rPr>
                <w:rFonts w:ascii="Times New Roman" w:eastAsia="Times New Roman" w:hAnsi="Times New Roman" w:cs="Times New Roman"/>
                <w:b/>
                <w:color w:val="000000" w:themeColor="text1"/>
                <w:sz w:val="24"/>
                <w:szCs w:val="24"/>
              </w:rPr>
            </w:pPr>
            <w:r w:rsidRPr="001016D6">
              <w:rPr>
                <w:rFonts w:ascii="Times New Roman" w:eastAsia="Times New Roman" w:hAnsi="Times New Roman" w:cs="Times New Roman"/>
                <w:b/>
                <w:color w:val="000000" w:themeColor="text1"/>
                <w:sz w:val="24"/>
                <w:szCs w:val="24"/>
              </w:rPr>
              <w:lastRenderedPageBreak/>
              <w:t>DME</w:t>
            </w:r>
          </w:p>
        </w:tc>
        <w:tc>
          <w:tcPr>
            <w:tcW w:w="1947" w:type="dxa"/>
            <w:noWrap/>
          </w:tcPr>
          <w:p w14:paraId="6DFA973F"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41894CF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4B5B5E8D"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0B471C7F"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r w:rsidR="001A3D64" w:rsidRPr="001016D6" w14:paraId="6F3D9F68" w14:textId="77777777" w:rsidTr="00C62744">
        <w:trPr>
          <w:trHeight w:val="280"/>
        </w:trPr>
        <w:tc>
          <w:tcPr>
            <w:tcW w:w="2763" w:type="dxa"/>
            <w:noWrap/>
          </w:tcPr>
          <w:p w14:paraId="683F171B"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Yes</w:t>
            </w:r>
          </w:p>
        </w:tc>
        <w:tc>
          <w:tcPr>
            <w:tcW w:w="1947" w:type="dxa"/>
            <w:noWrap/>
          </w:tcPr>
          <w:p w14:paraId="5766448B"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1.71(0.99-2.95)</w:t>
            </w:r>
          </w:p>
        </w:tc>
        <w:tc>
          <w:tcPr>
            <w:tcW w:w="1343" w:type="dxa"/>
            <w:noWrap/>
          </w:tcPr>
          <w:p w14:paraId="09606B41"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 xml:space="preserve">0.056  </w:t>
            </w:r>
          </w:p>
        </w:tc>
        <w:tc>
          <w:tcPr>
            <w:tcW w:w="2126" w:type="dxa"/>
            <w:noWrap/>
          </w:tcPr>
          <w:p w14:paraId="52FF5F86"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2.40(0.87-6.63)</w:t>
            </w:r>
          </w:p>
        </w:tc>
        <w:tc>
          <w:tcPr>
            <w:tcW w:w="1334" w:type="dxa"/>
            <w:noWrap/>
          </w:tcPr>
          <w:p w14:paraId="2A007963"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0.090</w:t>
            </w:r>
          </w:p>
        </w:tc>
      </w:tr>
      <w:tr w:rsidR="001A3D64" w:rsidRPr="001016D6" w14:paraId="553123FB" w14:textId="77777777" w:rsidTr="00C62744">
        <w:trPr>
          <w:trHeight w:val="280"/>
        </w:trPr>
        <w:tc>
          <w:tcPr>
            <w:tcW w:w="2763" w:type="dxa"/>
            <w:noWrap/>
          </w:tcPr>
          <w:p w14:paraId="2A194DD2" w14:textId="77777777" w:rsidR="00EF6979" w:rsidRPr="001016D6" w:rsidRDefault="00EF6979" w:rsidP="001A3D64">
            <w:pPr>
              <w:spacing w:line="360" w:lineRule="auto"/>
              <w:ind w:left="240"/>
              <w:jc w:val="both"/>
              <w:rPr>
                <w:rFonts w:ascii="Times New Roman" w:eastAsia="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rPr>
              <w:t>No</w:t>
            </w:r>
          </w:p>
        </w:tc>
        <w:tc>
          <w:tcPr>
            <w:tcW w:w="1947" w:type="dxa"/>
            <w:noWrap/>
          </w:tcPr>
          <w:p w14:paraId="27CB40A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43" w:type="dxa"/>
            <w:noWrap/>
          </w:tcPr>
          <w:p w14:paraId="3B7B94C4"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2126" w:type="dxa"/>
            <w:noWrap/>
          </w:tcPr>
          <w:p w14:paraId="0F06FE18"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c>
          <w:tcPr>
            <w:tcW w:w="1334" w:type="dxa"/>
            <w:noWrap/>
          </w:tcPr>
          <w:p w14:paraId="1A4E9EDC" w14:textId="77777777" w:rsidR="00EF6979" w:rsidRPr="001016D6" w:rsidRDefault="00EF6979" w:rsidP="001A3D64">
            <w:pPr>
              <w:spacing w:line="360" w:lineRule="auto"/>
              <w:jc w:val="center"/>
              <w:rPr>
                <w:rFonts w:ascii="Times New Roman" w:eastAsia="Times New Roman" w:hAnsi="Times New Roman" w:cs="Times New Roman"/>
                <w:color w:val="000000" w:themeColor="text1"/>
                <w:sz w:val="24"/>
                <w:szCs w:val="24"/>
              </w:rPr>
            </w:pPr>
          </w:p>
        </w:tc>
      </w:tr>
    </w:tbl>
    <w:p w14:paraId="593E27A7" w14:textId="77777777" w:rsidR="00BE574D" w:rsidRPr="001016D6" w:rsidRDefault="00EF6979" w:rsidP="00BE574D">
      <w:pPr>
        <w:spacing w:after="200" w:line="360" w:lineRule="auto"/>
        <w:jc w:val="both"/>
        <w:rPr>
          <w:rFonts w:ascii="Times New Roman" w:eastAsia="SimSun" w:hAnsi="Times New Roman" w:cs="Times New Roman"/>
          <w:bCs/>
          <w:color w:val="000000" w:themeColor="text1"/>
          <w:sz w:val="24"/>
          <w:szCs w:val="24"/>
        </w:rPr>
      </w:pPr>
      <w:r w:rsidRPr="001016D6">
        <w:rPr>
          <w:rFonts w:ascii="Times New Roman" w:eastAsia="SimSun" w:hAnsi="Times New Roman" w:cs="Times New Roman"/>
          <w:bCs/>
          <w:color w:val="000000" w:themeColor="text1"/>
          <w:sz w:val="24"/>
          <w:szCs w:val="24"/>
        </w:rPr>
        <w:t>*Statistically significant, p &lt;0.05</w:t>
      </w:r>
      <w:bookmarkStart w:id="36" w:name="_Toc171521435"/>
      <w:bookmarkStart w:id="37" w:name="_Toc201688053"/>
    </w:p>
    <w:p w14:paraId="408418D8" w14:textId="77777777" w:rsidR="00EF6979" w:rsidRPr="001016D6" w:rsidRDefault="00EF6979" w:rsidP="00BE574D">
      <w:pPr>
        <w:spacing w:after="200" w:line="360" w:lineRule="auto"/>
        <w:jc w:val="both"/>
        <w:rPr>
          <w:rFonts w:ascii="Times New Roman" w:eastAsia="SimSun" w:hAnsi="Times New Roman" w:cs="Times New Roman"/>
          <w:bCs/>
          <w:color w:val="000000" w:themeColor="text1"/>
          <w:sz w:val="24"/>
          <w:szCs w:val="24"/>
        </w:rPr>
      </w:pPr>
      <w:r w:rsidRPr="001016D6">
        <w:rPr>
          <w:rFonts w:ascii="Times New Roman" w:hAnsi="Times New Roman" w:cs="Times New Roman"/>
          <w:b/>
          <w:color w:val="000000" w:themeColor="text1"/>
          <w:sz w:val="24"/>
          <w:szCs w:val="24"/>
        </w:rPr>
        <w:t>Discussion</w:t>
      </w:r>
      <w:bookmarkEnd w:id="36"/>
      <w:bookmarkEnd w:id="37"/>
    </w:p>
    <w:p w14:paraId="26B9F4E1" w14:textId="77777777" w:rsidR="00EF6979" w:rsidRPr="001016D6" w:rsidRDefault="00EF6979" w:rsidP="001A3D64">
      <w:pPr>
        <w:pStyle w:val="Heading2"/>
        <w:spacing w:line="360" w:lineRule="auto"/>
        <w:rPr>
          <w:rFonts w:ascii="Times New Roman" w:hAnsi="Times New Roman" w:cs="Times New Roman"/>
          <w:color w:val="000000" w:themeColor="text1"/>
          <w:sz w:val="24"/>
          <w:szCs w:val="24"/>
        </w:rPr>
      </w:pPr>
      <w:bookmarkStart w:id="38" w:name="_Toc201683128"/>
      <w:bookmarkStart w:id="39" w:name="_Toc201688054"/>
      <w:r w:rsidRPr="001016D6">
        <w:rPr>
          <w:rFonts w:ascii="Times New Roman" w:eastAsia="Times New Roman" w:hAnsi="Times New Roman" w:cs="Times New Roman"/>
          <w:color w:val="000000" w:themeColor="text1"/>
          <w:sz w:val="24"/>
          <w:szCs w:val="24"/>
          <w:lang w:eastAsia="en-GB"/>
        </w:rPr>
        <w:t xml:space="preserve">Intravitreal triamcinolone acetonide (IVTA) is still widely used in managing macular </w:t>
      </w:r>
      <w:proofErr w:type="spellStart"/>
      <w:r w:rsidRPr="001016D6">
        <w:rPr>
          <w:rFonts w:ascii="Times New Roman" w:eastAsia="Times New Roman" w:hAnsi="Times New Roman" w:cs="Times New Roman"/>
          <w:color w:val="000000" w:themeColor="text1"/>
          <w:sz w:val="24"/>
          <w:szCs w:val="24"/>
          <w:lang w:eastAsia="en-GB"/>
        </w:rPr>
        <w:t>edema</w:t>
      </w:r>
      <w:proofErr w:type="spellEnd"/>
      <w:r w:rsidRPr="001016D6">
        <w:rPr>
          <w:rFonts w:ascii="Times New Roman" w:eastAsia="Times New Roman" w:hAnsi="Times New Roman" w:cs="Times New Roman"/>
          <w:color w:val="000000" w:themeColor="text1"/>
          <w:sz w:val="24"/>
          <w:szCs w:val="24"/>
          <w:lang w:eastAsia="en-GB"/>
        </w:rPr>
        <w:t xml:space="preserve"> due to diabetic retinopathy, retinal vein occlusion, AMD, and uveitis. However, elevation of intraocular pressure (IOP) induced by Triamcinolone remains a significant adverse effect. This discussion evaluates the findings of this prospective study conducted at KCMC and compares them with recently published research to highlight similarities, differences, and future directions.</w:t>
      </w:r>
      <w:bookmarkEnd w:id="38"/>
      <w:bookmarkEnd w:id="39"/>
    </w:p>
    <w:p w14:paraId="46F4307B" w14:textId="77777777" w:rsidR="00EF6979" w:rsidRPr="001016D6" w:rsidRDefault="00EF6979" w:rsidP="001A3D64">
      <w:pPr>
        <w:spacing w:before="100" w:beforeAutospacing="1" w:after="100" w:afterAutospacing="1" w:line="360" w:lineRule="auto"/>
        <w:jc w:val="both"/>
        <w:rPr>
          <w:rFonts w:ascii="Times New Roman" w:hAnsi="Times New Roman" w:cs="Times New Roman"/>
          <w:color w:val="000000" w:themeColor="text1"/>
          <w:sz w:val="24"/>
          <w:szCs w:val="24"/>
        </w:rPr>
      </w:pPr>
      <w:r w:rsidRPr="001016D6">
        <w:rPr>
          <w:rFonts w:ascii="Times New Roman" w:hAnsi="Times New Roman" w:cs="Times New Roman"/>
          <w:color w:val="000000" w:themeColor="text1"/>
          <w:sz w:val="24"/>
          <w:szCs w:val="24"/>
        </w:rPr>
        <w:t xml:space="preserve">In this study conducted at Kilimanjaro Christian Medical Centre (KCMC), the most frequent indications for intravitreal triamcinolone acetonide (IVTA) injections among macular </w:t>
      </w:r>
      <w:proofErr w:type="spellStart"/>
      <w:r w:rsidRPr="001016D6">
        <w:rPr>
          <w:rFonts w:ascii="Times New Roman" w:hAnsi="Times New Roman" w:cs="Times New Roman"/>
          <w:color w:val="000000" w:themeColor="text1"/>
          <w:sz w:val="24"/>
          <w:szCs w:val="24"/>
        </w:rPr>
        <w:t>edema</w:t>
      </w:r>
      <w:proofErr w:type="spellEnd"/>
      <w:r w:rsidRPr="001016D6">
        <w:rPr>
          <w:rFonts w:ascii="Times New Roman" w:hAnsi="Times New Roman" w:cs="Times New Roman"/>
          <w:color w:val="000000" w:themeColor="text1"/>
          <w:sz w:val="24"/>
          <w:szCs w:val="24"/>
        </w:rPr>
        <w:t xml:space="preserve"> patients were </w:t>
      </w:r>
      <w:r w:rsidRPr="001016D6">
        <w:rPr>
          <w:rStyle w:val="Strong"/>
          <w:rFonts w:ascii="Times New Roman" w:hAnsi="Times New Roman" w:cs="Times New Roman"/>
          <w:b w:val="0"/>
          <w:color w:val="000000" w:themeColor="text1"/>
          <w:sz w:val="24"/>
          <w:szCs w:val="24"/>
        </w:rPr>
        <w:t xml:space="preserve">cystoid macular </w:t>
      </w:r>
      <w:proofErr w:type="spellStart"/>
      <w:r w:rsidRPr="001016D6">
        <w:rPr>
          <w:rStyle w:val="Strong"/>
          <w:rFonts w:ascii="Times New Roman" w:hAnsi="Times New Roman" w:cs="Times New Roman"/>
          <w:b w:val="0"/>
          <w:color w:val="000000" w:themeColor="text1"/>
          <w:sz w:val="24"/>
          <w:szCs w:val="24"/>
        </w:rPr>
        <w:t>edema</w:t>
      </w:r>
      <w:proofErr w:type="spellEnd"/>
      <w:r w:rsidRPr="001016D6">
        <w:rPr>
          <w:rStyle w:val="Strong"/>
          <w:rFonts w:ascii="Times New Roman" w:hAnsi="Times New Roman" w:cs="Times New Roman"/>
          <w:b w:val="0"/>
          <w:color w:val="000000" w:themeColor="text1"/>
          <w:sz w:val="24"/>
          <w:szCs w:val="24"/>
        </w:rPr>
        <w:t xml:space="preserve"> (CME-58.9%)</w:t>
      </w:r>
      <w:r w:rsidRPr="001016D6">
        <w:rPr>
          <w:rFonts w:ascii="Times New Roman" w:hAnsi="Times New Roman" w:cs="Times New Roman"/>
          <w:color w:val="000000" w:themeColor="text1"/>
          <w:sz w:val="24"/>
          <w:szCs w:val="24"/>
        </w:rPr>
        <w:t xml:space="preserve"> and </w:t>
      </w:r>
      <w:r w:rsidRPr="001016D6">
        <w:rPr>
          <w:rStyle w:val="Strong"/>
          <w:rFonts w:ascii="Times New Roman" w:hAnsi="Times New Roman" w:cs="Times New Roman"/>
          <w:b w:val="0"/>
          <w:color w:val="000000" w:themeColor="text1"/>
          <w:sz w:val="24"/>
          <w:szCs w:val="24"/>
        </w:rPr>
        <w:t xml:space="preserve">diabetic macular </w:t>
      </w:r>
      <w:proofErr w:type="spellStart"/>
      <w:r w:rsidRPr="001016D6">
        <w:rPr>
          <w:rStyle w:val="Strong"/>
          <w:rFonts w:ascii="Times New Roman" w:hAnsi="Times New Roman" w:cs="Times New Roman"/>
          <w:b w:val="0"/>
          <w:color w:val="000000" w:themeColor="text1"/>
          <w:sz w:val="24"/>
          <w:szCs w:val="24"/>
        </w:rPr>
        <w:t>edema</w:t>
      </w:r>
      <w:proofErr w:type="spellEnd"/>
      <w:r w:rsidRPr="001016D6">
        <w:rPr>
          <w:rStyle w:val="Strong"/>
          <w:rFonts w:ascii="Times New Roman" w:hAnsi="Times New Roman" w:cs="Times New Roman"/>
          <w:b w:val="0"/>
          <w:color w:val="000000" w:themeColor="text1"/>
          <w:sz w:val="24"/>
          <w:szCs w:val="24"/>
        </w:rPr>
        <w:t xml:space="preserve"> (DME-28%)</w:t>
      </w:r>
      <w:r w:rsidRPr="001016D6">
        <w:rPr>
          <w:rFonts w:ascii="Times New Roman" w:hAnsi="Times New Roman" w:cs="Times New Roman"/>
          <w:color w:val="000000" w:themeColor="text1"/>
          <w:sz w:val="24"/>
          <w:szCs w:val="24"/>
        </w:rPr>
        <w:t xml:space="preserve">, followed by </w:t>
      </w:r>
      <w:r w:rsidRPr="001016D6">
        <w:rPr>
          <w:rStyle w:val="Strong"/>
          <w:rFonts w:ascii="Times New Roman" w:hAnsi="Times New Roman" w:cs="Times New Roman"/>
          <w:b w:val="0"/>
          <w:color w:val="000000" w:themeColor="text1"/>
          <w:sz w:val="24"/>
          <w:szCs w:val="24"/>
        </w:rPr>
        <w:t>retinal vein occlusion (RVO-9.3%)</w:t>
      </w:r>
      <w:r w:rsidRPr="001016D6">
        <w:rPr>
          <w:rFonts w:ascii="Times New Roman" w:hAnsi="Times New Roman" w:cs="Times New Roman"/>
          <w:color w:val="000000" w:themeColor="text1"/>
          <w:sz w:val="24"/>
          <w:szCs w:val="24"/>
        </w:rPr>
        <w:t xml:space="preserve">, </w:t>
      </w:r>
      <w:r w:rsidRPr="001016D6">
        <w:rPr>
          <w:rStyle w:val="Strong"/>
          <w:rFonts w:ascii="Times New Roman" w:hAnsi="Times New Roman" w:cs="Times New Roman"/>
          <w:b w:val="0"/>
          <w:color w:val="000000" w:themeColor="text1"/>
          <w:sz w:val="24"/>
          <w:szCs w:val="24"/>
        </w:rPr>
        <w:t>age-related macular degeneration (AMD-3.7%)</w:t>
      </w:r>
      <w:r w:rsidRPr="001016D6">
        <w:rPr>
          <w:rFonts w:ascii="Times New Roman" w:hAnsi="Times New Roman" w:cs="Times New Roman"/>
          <w:color w:val="000000" w:themeColor="text1"/>
          <w:sz w:val="24"/>
          <w:szCs w:val="24"/>
        </w:rPr>
        <w:t xml:space="preserve">, and </w:t>
      </w:r>
      <w:r w:rsidRPr="001016D6">
        <w:rPr>
          <w:rStyle w:val="Strong"/>
          <w:rFonts w:ascii="Times New Roman" w:hAnsi="Times New Roman" w:cs="Times New Roman"/>
          <w:b w:val="0"/>
          <w:color w:val="000000" w:themeColor="text1"/>
          <w:sz w:val="24"/>
          <w:szCs w:val="24"/>
        </w:rPr>
        <w:t>posterior uveitis</w:t>
      </w:r>
      <w:r w:rsidRPr="001016D6">
        <w:rPr>
          <w:rFonts w:ascii="Times New Roman" w:hAnsi="Times New Roman" w:cs="Times New Roman"/>
          <w:color w:val="000000" w:themeColor="text1"/>
          <w:sz w:val="24"/>
          <w:szCs w:val="24"/>
        </w:rPr>
        <w:t>. This distribution reflects the wide spectrum of posterior segment diseases for which corticosteroid therapy remains a mainstay, especially in resource-limited settings.</w:t>
      </w:r>
    </w:p>
    <w:p w14:paraId="20F4C93C" w14:textId="77777777" w:rsidR="00EF6979" w:rsidRPr="001016D6" w:rsidRDefault="00EF6979" w:rsidP="001A3D64">
      <w:pPr>
        <w:spacing w:before="100" w:beforeAutospacing="1" w:after="100" w:afterAutospacing="1" w:line="360" w:lineRule="auto"/>
        <w:jc w:val="both"/>
        <w:rPr>
          <w:rFonts w:ascii="Times New Roman" w:hAnsi="Times New Roman" w:cs="Times New Roman"/>
          <w:color w:val="000000" w:themeColor="text1"/>
          <w:sz w:val="24"/>
          <w:szCs w:val="24"/>
        </w:rPr>
      </w:pPr>
      <w:r w:rsidRPr="001016D6">
        <w:rPr>
          <w:rFonts w:ascii="Times New Roman" w:hAnsi="Times New Roman" w:cs="Times New Roman"/>
          <w:color w:val="000000" w:themeColor="text1"/>
          <w:sz w:val="24"/>
          <w:szCs w:val="24"/>
        </w:rPr>
        <w:t xml:space="preserve">CME was the leading indication in our cohort, consistent with reports from similar tertiary </w:t>
      </w:r>
      <w:proofErr w:type="spellStart"/>
      <w:r w:rsidRPr="001016D6">
        <w:rPr>
          <w:rFonts w:ascii="Times New Roman" w:hAnsi="Times New Roman" w:cs="Times New Roman"/>
          <w:color w:val="000000" w:themeColor="text1"/>
          <w:sz w:val="24"/>
          <w:szCs w:val="24"/>
        </w:rPr>
        <w:t>centers</w:t>
      </w:r>
      <w:proofErr w:type="spellEnd"/>
      <w:r w:rsidRPr="001016D6">
        <w:rPr>
          <w:rFonts w:ascii="Times New Roman" w:hAnsi="Times New Roman" w:cs="Times New Roman"/>
          <w:color w:val="000000" w:themeColor="text1"/>
          <w:sz w:val="24"/>
          <w:szCs w:val="24"/>
        </w:rPr>
        <w:t xml:space="preserve">. According to </w:t>
      </w:r>
      <w:r w:rsidRPr="001016D6">
        <w:rPr>
          <w:rFonts w:ascii="Times New Roman" w:hAnsi="Times New Roman" w:cs="Times New Roman"/>
          <w:color w:val="000000" w:themeColor="text1"/>
          <w:sz w:val="24"/>
          <w:szCs w:val="24"/>
        </w:rPr>
        <w:fldChar w:fldCharType="begin" w:fldLock="1"/>
      </w:r>
      <w:r w:rsidR="001A3D64" w:rsidRPr="001016D6">
        <w:rPr>
          <w:rFonts w:ascii="Times New Roman" w:hAnsi="Times New Roman" w:cs="Times New Roman"/>
          <w:color w:val="000000" w:themeColor="text1"/>
          <w:sz w:val="24"/>
          <w:szCs w:val="24"/>
        </w:rPr>
        <w:instrText>ADDIN CSL_CITATION {"citationItems":[{"id":"ITEM-1","itemData":{"DOI":"10.19127/mbsjohs.413426","abstract":"Objective: The use of intravitreal triamcinolone acetonide (IVTA) for intraocular neovascular, proliferative and edematous diseases has led to an increased incidence of corticosteroid-induced ocular hypertension. Even though largely replaced with anti-vascular endothelial growth factor (anti-VEGF) agents and slow-release dexamethasone implants, boosters are still required in nonresponsive or minimally responsive patients, in cases of tachyplaxis to these agents, or in combination therapies with anti-VEGFs.Metods: The records of 136 eyes of 124 patients who underwent 4 mg/ml IVTA treatment for macular edema of variable etiologies of diabetic macular edema, retinal vein occlusions, subretinal choroidal neovascularization, Irvine-Gass Syndrome, retinitis pigmentosa and idiopathic juxtafoveal telengiectasia in the period 2001–2006 were reviewed. Seventy-six eyes of 71 patients of which were followed for at least 3 months were included in the study.  The patients were examined at the first day, second week, first month and every month after the injection. Mean intraocular pressure (IOP), IOP exceeding 21 mmHg and percentage of patients exhibiting IOP increase of 5 mmHg after IVTA injection, during the follow-up period were evaluated and compared statistically. Results: Mean age was 56.64±12.65 years and male to female ratio was 35/36. Mean follow-up time was 12.13±10.30 months. The mean IOP increased statistically (p= &amp;lt;0.001) during follow-up from 14.95±3.15 mmHg pre-injection level reaching to a maximum of 21.66±6.48 mmHg and decreased statistically (p= &amp;lt;0.001) to 15.58±4.16 mmHg at the end of the follow-up. There was no statistical difference between pre-injection and post-injection IOP levels (p=0.406). The IOP levels exceeded 21 mmHg in 46.05% of the eyes. There was an increase of 5 mmHg and more above the pre-injection level in the 53.94% of the eyes. Maximum IOP levels were reached at the 2.77±3.72 month. In 24 (31.58%)  eyes, topical antiglaucomatous therapy was needed and later 1 eye (4.6%) required surgical intervention and 1 eye (4.6%) required argon laser trabeculoplasty to lower the IOP. Conclusion: The most common complication following İVTA injections is rise in IOP. Most of these ocular hypertension cases are controllable by medical therapy. However, the risk of glaucoma requiring surgery or long term antiglaucomatous use validate the necessity of a meticulous patient selection and close monitorization of IOP.","author":[{"dropping-particle":"","family":"KARAKAHYA","given":"Refika Hande","non-dropping-particle":"","parse-names":false,"suffix":""},{"dropping-particle":"","family":"KALAYCI","given":"Defne","non-dropping-particle":"","parse-names":false,"suffix":""},{"dropping-particle":"","family":"KARAKURT","given":"Ahmet","non-dropping-particle":"","parse-names":false,"suffix":""}],"container-title":"Middle Black Sea Journal of Health Science","id":"ITEM-1","issue":"1","issued":{"date-parts":[["2018"]]},"page":"24-30","title":"Ocular Hypertension and Glaucoma after Intravitreal Injection of Triamcinolone Acetonide","type":"article-journal","volume":"4"},"uris":["http://www.mendeley.com/documents/?uuid=8fb7be62-1746-4cb2-b309-c9a25ab33be8"]}],"mendeley":{"formattedCitation":"(2)","plainTextFormattedCitation":"(2)","previouslyFormattedCitation":"(KARAKAHYA, KALAYCI and KARAKURT, 2018)"},"properties":{"noteIndex":0},"schema":"https://github.com/citation-style-language/schema/raw/master/csl-citation.json"}</w:instrText>
      </w:r>
      <w:r w:rsidRPr="001016D6">
        <w:rPr>
          <w:rFonts w:ascii="Times New Roman" w:hAnsi="Times New Roman" w:cs="Times New Roman"/>
          <w:color w:val="000000" w:themeColor="text1"/>
          <w:sz w:val="24"/>
          <w:szCs w:val="24"/>
        </w:rPr>
        <w:fldChar w:fldCharType="separate"/>
      </w:r>
      <w:r w:rsidR="001A3D64" w:rsidRPr="001016D6">
        <w:rPr>
          <w:rFonts w:ascii="Times New Roman" w:hAnsi="Times New Roman" w:cs="Times New Roman"/>
          <w:noProof/>
          <w:color w:val="000000" w:themeColor="text1"/>
          <w:sz w:val="24"/>
          <w:szCs w:val="24"/>
        </w:rPr>
        <w:t>(2)</w:t>
      </w:r>
      <w:r w:rsidRPr="001016D6">
        <w:rPr>
          <w:rFonts w:ascii="Times New Roman" w:hAnsi="Times New Roman" w:cs="Times New Roman"/>
          <w:color w:val="000000" w:themeColor="text1"/>
          <w:sz w:val="24"/>
          <w:szCs w:val="24"/>
        </w:rPr>
        <w:fldChar w:fldCharType="end"/>
      </w:r>
      <w:r w:rsidRPr="001016D6">
        <w:rPr>
          <w:rFonts w:ascii="Times New Roman" w:hAnsi="Times New Roman" w:cs="Times New Roman"/>
          <w:color w:val="000000" w:themeColor="text1"/>
          <w:sz w:val="24"/>
          <w:szCs w:val="24"/>
        </w:rPr>
        <w:t>, IVTA was predominantly used in their Turkish cohort for CME due to pseudophakia and chronic uveitis. The anti-inflammatory and anti-</w:t>
      </w:r>
      <w:proofErr w:type="spellStart"/>
      <w:r w:rsidRPr="001016D6">
        <w:rPr>
          <w:rFonts w:ascii="Times New Roman" w:hAnsi="Times New Roman" w:cs="Times New Roman"/>
          <w:color w:val="000000" w:themeColor="text1"/>
          <w:sz w:val="24"/>
          <w:szCs w:val="24"/>
        </w:rPr>
        <w:t>edematous</w:t>
      </w:r>
      <w:proofErr w:type="spellEnd"/>
      <w:r w:rsidRPr="001016D6">
        <w:rPr>
          <w:rFonts w:ascii="Times New Roman" w:hAnsi="Times New Roman" w:cs="Times New Roman"/>
          <w:color w:val="000000" w:themeColor="text1"/>
          <w:sz w:val="24"/>
          <w:szCs w:val="24"/>
        </w:rPr>
        <w:t xml:space="preserve"> effects of triamcinolone make them particularly effective in CME cases, especially where anti-VEGF treatment is either contraindicated or unavailable.</w:t>
      </w:r>
    </w:p>
    <w:p w14:paraId="69D8C182" w14:textId="77777777" w:rsidR="00EF6979" w:rsidRPr="001016D6" w:rsidRDefault="00EF6979" w:rsidP="001A3D64">
      <w:pPr>
        <w:spacing w:before="100" w:beforeAutospacing="1" w:after="100" w:afterAutospacing="1" w:line="360" w:lineRule="auto"/>
        <w:jc w:val="both"/>
        <w:rPr>
          <w:rFonts w:ascii="Times New Roman" w:hAnsi="Times New Roman" w:cs="Times New Roman"/>
          <w:color w:val="000000" w:themeColor="text1"/>
          <w:sz w:val="24"/>
          <w:szCs w:val="24"/>
        </w:rPr>
      </w:pPr>
      <w:r w:rsidRPr="001016D6">
        <w:rPr>
          <w:rStyle w:val="Strong"/>
          <w:rFonts w:ascii="Times New Roman" w:hAnsi="Times New Roman" w:cs="Times New Roman"/>
          <w:b w:val="0"/>
          <w:color w:val="000000" w:themeColor="text1"/>
          <w:sz w:val="24"/>
          <w:szCs w:val="24"/>
        </w:rPr>
        <w:t>DME</w:t>
      </w:r>
      <w:r w:rsidRPr="001016D6">
        <w:rPr>
          <w:rFonts w:ascii="Times New Roman" w:hAnsi="Times New Roman" w:cs="Times New Roman"/>
          <w:color w:val="000000" w:themeColor="text1"/>
          <w:sz w:val="24"/>
          <w:szCs w:val="24"/>
        </w:rPr>
        <w:t>, the second most common indication at KCMC, is widely recognized as a primary target for IVTA therapy. The corticosteroid acts by inhibiting VEGF production and reducing retinal capillary permeability. In a 2023 prospective trial by</w:t>
      </w:r>
      <w:r w:rsidRPr="001016D6">
        <w:rPr>
          <w:rFonts w:ascii="Times New Roman" w:hAnsi="Times New Roman" w:cs="Times New Roman"/>
          <w:color w:val="000000" w:themeColor="text1"/>
          <w:sz w:val="24"/>
          <w:szCs w:val="24"/>
        </w:rPr>
        <w:fldChar w:fldCharType="begin" w:fldLock="1"/>
      </w:r>
      <w:r w:rsidR="001A3D64" w:rsidRPr="001016D6">
        <w:rPr>
          <w:rFonts w:ascii="Times New Roman" w:hAnsi="Times New Roman" w:cs="Times New Roman"/>
          <w:color w:val="000000" w:themeColor="text1"/>
          <w:sz w:val="24"/>
          <w:szCs w:val="24"/>
        </w:rPr>
        <w:instrText>ADDIN CSL_CITATION {"citationItems":[{"id":"ITEM-1","itemData":{"DOI":"10.1111/ced.14381","ISSN":"0307-6938","abstract":"Alopecia areata (AA) is a chronic, autoimmune disorder that results in nonscarring hair loss. Analysis of the affected follicular units in acute AA and regrowing white hair showed that the disease preferentially affected the hair bulb melanocytes and differentiating cortical keratinocytes, respectively. Reports on sparing of senile white hair suggests that melanocytes in the hair follicle are favoured as the main target in the pathogenesis of AA.1, 2 The lifetime incidence of idiopathic AA (IAA) is approximately 2.1%, but there are limited data on drug‐induced AA (DIAA). 3 We report a case of DIAA associated with lansoprazole.","author":[{"dropping-particle":"","family":"Murad","given":"A","non-dropping-particle":"","parse-names":false,"suffix":""},{"dropping-particle":"","family":"Maguire","given":"J","non-dropping-particle":"","parse-names":false,"suffix":""},{"dropping-particle":"","family":"Bergfeld","given":"W","non-dropping-particle":"","parse-names":false,"suffix":""}],"container-title":"Clinical and Experimental Dermatology","id":"ITEM-1","issue":"2","issued":{"date-parts":[["2021","3","1"]]},"page":"363-366","title":"Drug‐induced alopecia areata?","type":"article-journal","volume":"46"},"uris":["http://www.mendeley.com/documents/?uuid=506b41a2-2ee6-43c9-aa1c-8ba48dfb60c0"]}],"mendeley":{"formattedCitation":"(8)","plainTextFormattedCitation":"(8)","previouslyFormattedCitation":"(Murad, Maguire and Bergfeld, 2021)"},"properties":{"noteIndex":0},"schema":"https://github.com/citation-style-language/schema/raw/master/csl-citation.json"}</w:instrText>
      </w:r>
      <w:r w:rsidRPr="001016D6">
        <w:rPr>
          <w:rFonts w:ascii="Times New Roman" w:hAnsi="Times New Roman" w:cs="Times New Roman"/>
          <w:color w:val="000000" w:themeColor="text1"/>
          <w:sz w:val="24"/>
          <w:szCs w:val="24"/>
        </w:rPr>
        <w:fldChar w:fldCharType="separate"/>
      </w:r>
      <w:r w:rsidR="001A3D64" w:rsidRPr="001016D6">
        <w:rPr>
          <w:rFonts w:ascii="Times New Roman" w:hAnsi="Times New Roman" w:cs="Times New Roman"/>
          <w:noProof/>
          <w:color w:val="000000" w:themeColor="text1"/>
          <w:sz w:val="24"/>
          <w:szCs w:val="24"/>
        </w:rPr>
        <w:t>(8)</w:t>
      </w:r>
      <w:r w:rsidRPr="001016D6">
        <w:rPr>
          <w:rFonts w:ascii="Times New Roman" w:hAnsi="Times New Roman" w:cs="Times New Roman"/>
          <w:color w:val="000000" w:themeColor="text1"/>
          <w:sz w:val="24"/>
          <w:szCs w:val="24"/>
        </w:rPr>
        <w:fldChar w:fldCharType="end"/>
      </w:r>
      <w:r w:rsidRPr="001016D6">
        <w:rPr>
          <w:rFonts w:ascii="Times New Roman" w:hAnsi="Times New Roman" w:cs="Times New Roman"/>
          <w:color w:val="000000" w:themeColor="text1"/>
          <w:sz w:val="24"/>
          <w:szCs w:val="24"/>
        </w:rPr>
        <w:t xml:space="preserve"> in Qatar, IVTA was administered to 97 patients with chronic DME unresponsive to anti-VEGF. Their study reported significant improvement in central macular thickness and visual acuity, supporting IVTA as a viable second-line treatment. Similarly </w:t>
      </w:r>
      <w:r w:rsidRPr="001016D6">
        <w:rPr>
          <w:rFonts w:ascii="Times New Roman" w:hAnsi="Times New Roman" w:cs="Times New Roman"/>
          <w:color w:val="000000" w:themeColor="text1"/>
          <w:sz w:val="24"/>
          <w:szCs w:val="24"/>
        </w:rPr>
        <w:fldChar w:fldCharType="begin" w:fldLock="1"/>
      </w:r>
      <w:r w:rsidR="001A3D64" w:rsidRPr="001016D6">
        <w:rPr>
          <w:rFonts w:ascii="Times New Roman" w:hAnsi="Times New Roman" w:cs="Times New Roman"/>
          <w:color w:val="000000" w:themeColor="text1"/>
          <w:sz w:val="24"/>
          <w:szCs w:val="24"/>
        </w:rPr>
        <w:instrText>ADDIN CSL_CITATION {"citationItems":[{"id":"ITEM-1","itemData":{"DOI":"10.1007/s40123-025-01172-5","ISBN":"0123456789","ISSN":"2193-6528","author":[{"dropping-particle":"","family":"Silpa","given":"Sukhum","non-dropping-particle":"","parse-names":false,"suffix":""},{"dropping-particle":"","family":"Peranut","given":"Nganthavee","non-dropping-particle":"","parse-names":false,"suffix":""}],"container-title":"Ophthalmology and Therapy","id":"ITEM-1","issue":"0123456789","issued":{"date-parts":[["2025"]]},"publisher":"Springer Healthcare","title":"Revisiting the Role of Intravitreal Triamcinolone in Diabetic Macular Edema : 12 ‑ Month Outcomes after Bevacizumab Failure","type":"article-journal"},"uris":["http://www.mendeley.com/documents/?uuid=fefea817-7783-4479-b570-5b8a932c0082"]}],"mendeley":{"formattedCitation":"(9)","plainTextFormattedCitation":"(9)","previouslyFormattedCitation":"(Silpa and Peranut, 2025)"},"properties":{"noteIndex":0},"schema":"https://github.com/citation-style-language/schema/raw/master/csl-citation.json"}</w:instrText>
      </w:r>
      <w:r w:rsidRPr="001016D6">
        <w:rPr>
          <w:rFonts w:ascii="Times New Roman" w:hAnsi="Times New Roman" w:cs="Times New Roman"/>
          <w:color w:val="000000" w:themeColor="text1"/>
          <w:sz w:val="24"/>
          <w:szCs w:val="24"/>
        </w:rPr>
        <w:fldChar w:fldCharType="separate"/>
      </w:r>
      <w:r w:rsidR="001A3D64" w:rsidRPr="001016D6">
        <w:rPr>
          <w:rFonts w:ascii="Times New Roman" w:hAnsi="Times New Roman" w:cs="Times New Roman"/>
          <w:noProof/>
          <w:color w:val="000000" w:themeColor="text1"/>
          <w:sz w:val="24"/>
          <w:szCs w:val="24"/>
        </w:rPr>
        <w:t>(9)</w:t>
      </w:r>
      <w:r w:rsidRPr="001016D6">
        <w:rPr>
          <w:rFonts w:ascii="Times New Roman" w:hAnsi="Times New Roman" w:cs="Times New Roman"/>
          <w:color w:val="000000" w:themeColor="text1"/>
          <w:sz w:val="24"/>
          <w:szCs w:val="24"/>
        </w:rPr>
        <w:fldChar w:fldCharType="end"/>
      </w:r>
      <w:r w:rsidRPr="001016D6">
        <w:rPr>
          <w:rStyle w:val="Strong"/>
          <w:rFonts w:ascii="Times New Roman" w:hAnsi="Times New Roman" w:cs="Times New Roman"/>
          <w:b w:val="0"/>
          <w:color w:val="000000" w:themeColor="text1"/>
          <w:sz w:val="24"/>
          <w:szCs w:val="24"/>
        </w:rPr>
        <w:t xml:space="preserve"> </w:t>
      </w:r>
      <w:r w:rsidRPr="001016D6">
        <w:rPr>
          <w:rFonts w:ascii="Times New Roman" w:hAnsi="Times New Roman" w:cs="Times New Roman"/>
          <w:color w:val="000000" w:themeColor="text1"/>
          <w:sz w:val="24"/>
          <w:szCs w:val="24"/>
        </w:rPr>
        <w:t>observed that IVTA is more cost-effective than anti-VEGF agents in DME when long-term affordability is a concern, which aligns with its frequent use in our Tanzanian population.</w:t>
      </w:r>
    </w:p>
    <w:p w14:paraId="3B8499B4" w14:textId="77777777" w:rsidR="00EF6979" w:rsidRPr="001016D6" w:rsidRDefault="00EF6979" w:rsidP="001A3D64">
      <w:pPr>
        <w:spacing w:before="100" w:beforeAutospacing="1" w:after="100" w:afterAutospacing="1" w:line="360" w:lineRule="auto"/>
        <w:jc w:val="both"/>
        <w:rPr>
          <w:rFonts w:ascii="Times New Roman" w:hAnsi="Times New Roman" w:cs="Times New Roman"/>
          <w:color w:val="000000" w:themeColor="text1"/>
          <w:sz w:val="24"/>
          <w:szCs w:val="24"/>
        </w:rPr>
      </w:pPr>
      <w:r w:rsidRPr="001016D6">
        <w:rPr>
          <w:rStyle w:val="Strong"/>
          <w:rFonts w:ascii="Times New Roman" w:hAnsi="Times New Roman" w:cs="Times New Roman"/>
          <w:b w:val="0"/>
          <w:color w:val="000000" w:themeColor="text1"/>
          <w:sz w:val="24"/>
          <w:szCs w:val="24"/>
        </w:rPr>
        <w:lastRenderedPageBreak/>
        <w:t xml:space="preserve">Retinal vein occlusion (RVO) was another major indication in our study. This corresponds with findings from </w:t>
      </w:r>
      <w:r w:rsidRPr="001016D6">
        <w:rPr>
          <w:rStyle w:val="Strong"/>
          <w:rFonts w:ascii="Times New Roman" w:hAnsi="Times New Roman" w:cs="Times New Roman"/>
          <w:b w:val="0"/>
          <w:color w:val="000000" w:themeColor="text1"/>
          <w:sz w:val="24"/>
          <w:szCs w:val="24"/>
        </w:rPr>
        <w:fldChar w:fldCharType="begin" w:fldLock="1"/>
      </w:r>
      <w:r w:rsidR="001A3D64" w:rsidRPr="001016D6">
        <w:rPr>
          <w:rStyle w:val="Strong"/>
          <w:rFonts w:ascii="Times New Roman" w:hAnsi="Times New Roman" w:cs="Times New Roman"/>
          <w:b w:val="0"/>
          <w:color w:val="000000" w:themeColor="text1"/>
          <w:sz w:val="24"/>
          <w:szCs w:val="24"/>
        </w:rPr>
        <w:instrText>ADDIN CSL_CITATION {"citationItems":[{"id":"ITEM-1","itemData":{"DOI":"10.1089/jop.2010.0039","ISSN":"1080-7683","abstract":"Abstract Purpose: To evaluate secondary ocular hypertension after intravitreal injection of triamcinolone acetonide (IVTA) with 2?mg/0.05?mL or 4?mg/0.1?mL for macular edema associated with retinal vein occlusion (RVO). Methods: A retrospective chart review was performed. Patients with RVO, including central RVO and branch RVO, were divided into 2 groups. Group 1 was patients who received 2?mg IVTA and group 2 received 4?mg IVTA. The dose of IVTA was dependent on individual surgeon's decision. Secondary ocular hypertension was defined as intraocular pressure (IOP) &gt;21?mmHg. Long-term antiglaucoma medication referred to eyes that required antiglaucoma agents for &gt;6 months. Results: Thirty-six eyes in group 1 and 32 eyes in group 2 were included in the analyses. The mean age of all the patients was 58.6 years, and 52.9% of patients were men. The mean follow-up period was 12.4 months. A wide range (from day 7 to month 8) of time until the onset of the IOP spike was recorded after the injection. The incidence of secondary ocular hypertension was not significantly different between group 2 and group 1 (38.9% vs. 50%, P?=?0.36). However, group 2 had a higher proportion of long-term antiglaucoma medication usage than group 1 (5.6% vs. 40.6%; Pearson chi-square, P?&lt;?0.001). Ultimately, 2.9% of patients underwent filtration surgery. Macular edema diminished and best-corrected visual acuity improved at 3 months later in both groups. Conclusions: With a similar effect on vision recovery and alleviating macular edema associated with RVO, 2?mg IVTA required a shorter duration of medical control for secondary ocular hypertension than 4?mg IVTA.","author":[{"dropping-particle":"","family":"Chuang","given":"Lan-Hsin","non-dropping-particle":"","parse-names":false,"suffix":""},{"dropping-particle":"","family":"Yeung","given":"Ling","non-dropping-particle":"","parse-names":false,"suffix":""},{"dropping-particle":"","family":"Wang","given":"Nan-Kai","non-dropping-particle":"","parse-names":false,"suffix":""},{"dropping-particle":"","family":"Chen","given":"Henry Shen-Lih","non-dropping-particle":"","parse-names":false,"suffix":""},{"dropping-particle":"","family":"Ku","given":"Wan-Chen","non-dropping-particle":"","parse-names":false,"suffix":""},{"dropping-particle":"","family":"Lai","given":"Chi-Chun","non-dropping-particle":"","parse-names":false,"suffix":""}],"container-title":"Journal of Ocular Pharmacology and Therapeutics","id":"ITEM-1","issue":"4","issued":{"date-parts":[["2010","7","24"]]},"note":"doi: 10.1089/jop.2010.0039","page":"325-328","publisher":"Mary Ann Liebert, Inc., publishers","title":"Secondary Ocular Hypertension After Intravitreal Injection with 2 mg or 4 mg of Triamcinolone in Retinal Vein Occlusion","type":"article-journal","volume":"26"},"uris":["http://www.mendeley.com/documents/?uuid=8a973a2a-c1cf-4668-9691-bfaa533af644"]}],"mendeley":{"formattedCitation":"(10)","plainTextFormattedCitation":"(10)","previouslyFormattedCitation":"(L.-H. Chuang &lt;i&gt;et al.&lt;/i&gt;, 2010)"},"properties":{"noteIndex":0},"schema":"https://github.com/citation-style-language/schema/raw/master/csl-citation.json"}</w:instrText>
      </w:r>
      <w:r w:rsidRPr="001016D6">
        <w:rPr>
          <w:rStyle w:val="Strong"/>
          <w:rFonts w:ascii="Times New Roman" w:hAnsi="Times New Roman" w:cs="Times New Roman"/>
          <w:b w:val="0"/>
          <w:color w:val="000000" w:themeColor="text1"/>
          <w:sz w:val="24"/>
          <w:szCs w:val="24"/>
        </w:rPr>
        <w:fldChar w:fldCharType="separate"/>
      </w:r>
      <w:r w:rsidR="001A3D64" w:rsidRPr="001016D6">
        <w:rPr>
          <w:rStyle w:val="Strong"/>
          <w:rFonts w:ascii="Times New Roman" w:hAnsi="Times New Roman" w:cs="Times New Roman"/>
          <w:b w:val="0"/>
          <w:noProof/>
          <w:color w:val="000000" w:themeColor="text1"/>
          <w:sz w:val="24"/>
          <w:szCs w:val="24"/>
        </w:rPr>
        <w:t>(10)</w:t>
      </w:r>
      <w:r w:rsidRPr="001016D6">
        <w:rPr>
          <w:rStyle w:val="Strong"/>
          <w:rFonts w:ascii="Times New Roman" w:hAnsi="Times New Roman" w:cs="Times New Roman"/>
          <w:b w:val="0"/>
          <w:color w:val="000000" w:themeColor="text1"/>
          <w:sz w:val="24"/>
          <w:szCs w:val="24"/>
        </w:rPr>
        <w:fldChar w:fldCharType="end"/>
      </w:r>
      <w:r w:rsidRPr="001016D6">
        <w:rPr>
          <w:rStyle w:val="Strong"/>
          <w:rFonts w:ascii="Times New Roman" w:hAnsi="Times New Roman" w:cs="Times New Roman"/>
          <w:b w:val="0"/>
          <w:color w:val="000000" w:themeColor="text1"/>
          <w:sz w:val="24"/>
          <w:szCs w:val="24"/>
        </w:rPr>
        <w:t xml:space="preserve">, who found IVTA effective in reducing macular </w:t>
      </w:r>
      <w:proofErr w:type="spellStart"/>
      <w:r w:rsidRPr="001016D6">
        <w:rPr>
          <w:rStyle w:val="Strong"/>
          <w:rFonts w:ascii="Times New Roman" w:hAnsi="Times New Roman" w:cs="Times New Roman"/>
          <w:b w:val="0"/>
          <w:color w:val="000000" w:themeColor="text1"/>
          <w:sz w:val="24"/>
          <w:szCs w:val="24"/>
        </w:rPr>
        <w:t>edema</w:t>
      </w:r>
      <w:proofErr w:type="spellEnd"/>
      <w:r w:rsidRPr="001016D6">
        <w:rPr>
          <w:rStyle w:val="Strong"/>
          <w:rFonts w:ascii="Times New Roman" w:hAnsi="Times New Roman" w:cs="Times New Roman"/>
          <w:b w:val="0"/>
          <w:color w:val="000000" w:themeColor="text1"/>
          <w:sz w:val="24"/>
          <w:szCs w:val="24"/>
        </w:rPr>
        <w:t xml:space="preserve"> secondary to both branch and central RVO. These findings also align with those of </w:t>
      </w:r>
      <w:r w:rsidRPr="001016D6">
        <w:rPr>
          <w:rStyle w:val="Strong"/>
          <w:rFonts w:ascii="Times New Roman" w:hAnsi="Times New Roman" w:cs="Times New Roman"/>
          <w:b w:val="0"/>
          <w:color w:val="000000" w:themeColor="text1"/>
          <w:sz w:val="24"/>
          <w:szCs w:val="24"/>
        </w:rPr>
        <w:fldChar w:fldCharType="begin" w:fldLock="1"/>
      </w:r>
      <w:r w:rsidR="001A3D64" w:rsidRPr="001016D6">
        <w:rPr>
          <w:rStyle w:val="Strong"/>
          <w:rFonts w:ascii="Times New Roman" w:hAnsi="Times New Roman" w:cs="Times New Roman"/>
          <w:b w:val="0"/>
          <w:color w:val="000000" w:themeColor="text1"/>
          <w:sz w:val="24"/>
          <w:szCs w:val="24"/>
        </w:rPr>
        <w:instrText>ADDIN CSL_CITATION {"citationItems":[{"id":"ITEM-1","itemData":{"DOI":"10.1159/000533443","ISSN":"14230267","PMID":"37579730","abstract":"Background: The comparative safety and efficacy of different doses of intravitreal triamcinolone acetonide (IVTA) for diabetic macular edema (DME) and macular edema (ME) secondary to retinal vein occlusion (RVO) is unclear. Objectives: This meta-analysis aimed to compare the safety and efficacy of different doses of IVTA in this setting. Methods: A systematic literature search for randomized clinical trials (RCTs) was conducted on Cochrane Library, Ovid MEDLINE, and EMBASE from January 2005 to May 2022. Studies that reported on patients with DME or ME secondary to RVO that received treatment with different doses of IVTA were included. A random-effects meta-analysis was performed. Cochrane’s Risk of Bias Tool 2 was used to assess the risk of bias, and Grading of Recommendations, Assessment, Development and Evaluation (GRADE) guidelines were used to assess certainty of evidence. Results: Five RCTs reporting on 1,041 eyes at baseline were included in this meta-analysis. In eyes with ME secondary to RVO, high-dose (4 mg) IVTA achieved a significantly better change in best-corrected visual acuity (WMD = −4.75 ETDRS letters, 95% CI = [−7.73, −1.78], p = 0.002) and reduction in retinal thickness (WMD = −93.02 μm, 95% CI = [−153.23, −32.82], p = 0.002) at months 4–6 compared to low-dose (1–2 mg) IVTA. However, high-dose IVTA had a higher risk of intraocular pressure-related adverse events (RR = 2.99, 95% CI = [1.05, 8.50], p = 0.04) and cataract surgery (RR = 5.67, 95% CI = [3.09, 10.41], p &lt; 0.00001) than low-dose IVTA in eyes with ME secondary to RVO. These efficacy and safety differences in high-dose and low-dose IVTA were not observed in DME eyes. Conclusions: The RCT evidence in this setting is limited. High-dose IVTA achieved greater improvements in visual acuity and reductions in retinal thickness than low-dose IVTA at months 4–6. However, high-dose IVTA had a less favorable safety profile than low-dose IVTA. The significance of these outcomes was based on patients with ME secondary to RVO, but not DME.","author":[{"dropping-particle":"","family":"Mihalache","given":"Andrew","non-dropping-particle":"","parse-names":false,"suffix":""},{"dropping-particle":"","family":"Hatamnejad","given":"Amin","non-dropping-particle":"","parse-names":false,"suffix":""},{"dropping-particle":"","family":"Patil","given":"Nikhil S.","non-dropping-particle":"","parse-names":false,"suffix":""},{"dropping-particle":"","family":"Popovic","given":"Marko M.","non-dropping-particle":"","parse-names":false,"suffix":""},{"dropping-particle":"","family":"Kertes","given":"Peter J.","non-dropping-particle":"","parse-names":false,"suffix":""},{"dropping-particle":"","family":"Cruz-Pimentel","given":"Miguel","non-dropping-particle":"","parse-names":false,"suffix":""},{"dropping-particle":"","family":"Muni","given":"Rajeev H.","non-dropping-particle":"","parse-names":false,"suffix":""}],"container-title":"Ophthalmologica","id":"ITEM-1","issue":"1","issued":{"date-parts":[["2024"]]},"page":"19-29","title":"Intravitreal Triamcinolone Acetonide for Diabetic Macular Edema and Macular Edema Secondary to Retinal Vein Occlusion: A Meta-Analysis","type":"article-journal","volume":"247"},"uris":["http://www.mendeley.com/documents/?uuid=aa107b59-735b-408e-a637-0b30f7466c89"]}],"mendeley":{"formattedCitation":"(11)","plainTextFormattedCitation":"(11)","previouslyFormattedCitation":"(Mihalache &lt;i&gt;et al.&lt;/i&gt;, 2024)"},"properties":{"noteIndex":0},"schema":"https://github.com/citation-style-language/schema/raw/master/csl-citation.json"}</w:instrText>
      </w:r>
      <w:r w:rsidRPr="001016D6">
        <w:rPr>
          <w:rStyle w:val="Strong"/>
          <w:rFonts w:ascii="Times New Roman" w:hAnsi="Times New Roman" w:cs="Times New Roman"/>
          <w:b w:val="0"/>
          <w:color w:val="000000" w:themeColor="text1"/>
          <w:sz w:val="24"/>
          <w:szCs w:val="24"/>
        </w:rPr>
        <w:fldChar w:fldCharType="separate"/>
      </w:r>
      <w:r w:rsidR="001A3D64" w:rsidRPr="001016D6">
        <w:rPr>
          <w:rStyle w:val="Strong"/>
          <w:rFonts w:ascii="Times New Roman" w:hAnsi="Times New Roman" w:cs="Times New Roman"/>
          <w:b w:val="0"/>
          <w:noProof/>
          <w:color w:val="000000" w:themeColor="text1"/>
          <w:sz w:val="24"/>
          <w:szCs w:val="24"/>
        </w:rPr>
        <w:t>(11)</w:t>
      </w:r>
      <w:r w:rsidRPr="001016D6">
        <w:rPr>
          <w:rStyle w:val="Strong"/>
          <w:rFonts w:ascii="Times New Roman" w:hAnsi="Times New Roman" w:cs="Times New Roman"/>
          <w:b w:val="0"/>
          <w:color w:val="000000" w:themeColor="text1"/>
          <w:sz w:val="24"/>
          <w:szCs w:val="24"/>
        </w:rPr>
        <w:fldChar w:fldCharType="end"/>
      </w:r>
      <w:r w:rsidRPr="001016D6">
        <w:rPr>
          <w:rStyle w:val="Strong"/>
          <w:rFonts w:ascii="Times New Roman" w:hAnsi="Times New Roman" w:cs="Times New Roman"/>
          <w:b w:val="0"/>
          <w:color w:val="000000" w:themeColor="text1"/>
          <w:sz w:val="24"/>
          <w:szCs w:val="24"/>
        </w:rPr>
        <w:t xml:space="preserve">, who evaluated the safety and efficacy of varying IVTA doses in patients with diabetic macular </w:t>
      </w:r>
      <w:proofErr w:type="spellStart"/>
      <w:r w:rsidRPr="001016D6">
        <w:rPr>
          <w:rStyle w:val="Strong"/>
          <w:rFonts w:ascii="Times New Roman" w:hAnsi="Times New Roman" w:cs="Times New Roman"/>
          <w:b w:val="0"/>
          <w:color w:val="000000" w:themeColor="text1"/>
          <w:sz w:val="24"/>
          <w:szCs w:val="24"/>
        </w:rPr>
        <w:t>edema</w:t>
      </w:r>
      <w:proofErr w:type="spellEnd"/>
      <w:r w:rsidRPr="001016D6">
        <w:rPr>
          <w:rStyle w:val="Strong"/>
          <w:rFonts w:ascii="Times New Roman" w:hAnsi="Times New Roman" w:cs="Times New Roman"/>
          <w:b w:val="0"/>
          <w:color w:val="000000" w:themeColor="text1"/>
          <w:sz w:val="24"/>
          <w:szCs w:val="24"/>
        </w:rPr>
        <w:t xml:space="preserve"> (DME) and macular </w:t>
      </w:r>
      <w:proofErr w:type="spellStart"/>
      <w:r w:rsidRPr="001016D6">
        <w:rPr>
          <w:rStyle w:val="Strong"/>
          <w:rFonts w:ascii="Times New Roman" w:hAnsi="Times New Roman" w:cs="Times New Roman"/>
          <w:b w:val="0"/>
          <w:color w:val="000000" w:themeColor="text1"/>
          <w:sz w:val="24"/>
          <w:szCs w:val="24"/>
        </w:rPr>
        <w:t>edema</w:t>
      </w:r>
      <w:proofErr w:type="spellEnd"/>
      <w:r w:rsidRPr="001016D6">
        <w:rPr>
          <w:rStyle w:val="Strong"/>
          <w:rFonts w:ascii="Times New Roman" w:hAnsi="Times New Roman" w:cs="Times New Roman"/>
          <w:b w:val="0"/>
          <w:color w:val="000000" w:themeColor="text1"/>
          <w:sz w:val="24"/>
          <w:szCs w:val="24"/>
        </w:rPr>
        <w:t xml:space="preserve"> secondary to RVO. Their study, conducted in Canada, emphasized that individualized dosing, particularly lower doses of IVTA, can achieve therapeutic benefits while minimizing adverse events such as OHT. In contrast, our study used a uniform 4 mg dose, which may have contributed to the higher incidence of IOP elevation observed in RVO cases. </w:t>
      </w:r>
      <w:r w:rsidRPr="001016D6">
        <w:rPr>
          <w:rFonts w:ascii="Times New Roman" w:hAnsi="Times New Roman" w:cs="Times New Roman"/>
          <w:color w:val="000000" w:themeColor="text1"/>
          <w:sz w:val="24"/>
          <w:szCs w:val="24"/>
        </w:rPr>
        <w:t>This comparison underscores the importance of dose optimization, especially in resource-limited settings like Tanzania, where routine monitoring may be constrained and where a standardized approach could elevate the risk of steroid-induced complications.</w:t>
      </w:r>
    </w:p>
    <w:p w14:paraId="6909636F" w14:textId="77777777" w:rsidR="00EF6979" w:rsidRPr="001016D6" w:rsidRDefault="00EF6979" w:rsidP="001A3D64">
      <w:pPr>
        <w:spacing w:before="100" w:beforeAutospacing="1" w:after="100" w:afterAutospacing="1" w:line="360" w:lineRule="auto"/>
        <w:jc w:val="both"/>
        <w:rPr>
          <w:rStyle w:val="Strong"/>
          <w:rFonts w:ascii="Times New Roman" w:hAnsi="Times New Roman" w:cs="Times New Roman"/>
          <w:b w:val="0"/>
          <w:color w:val="000000" w:themeColor="text1"/>
          <w:sz w:val="24"/>
          <w:szCs w:val="24"/>
        </w:rPr>
      </w:pPr>
      <w:r w:rsidRPr="001016D6">
        <w:rPr>
          <w:rStyle w:val="Strong"/>
          <w:rFonts w:ascii="Times New Roman" w:hAnsi="Times New Roman" w:cs="Times New Roman"/>
          <w:b w:val="0"/>
          <w:color w:val="000000" w:themeColor="text1"/>
          <w:sz w:val="24"/>
          <w:szCs w:val="24"/>
        </w:rPr>
        <w:t>AMD</w:t>
      </w:r>
      <w:r w:rsidRPr="001016D6">
        <w:rPr>
          <w:rFonts w:ascii="Times New Roman" w:hAnsi="Times New Roman" w:cs="Times New Roman"/>
          <w:color w:val="000000" w:themeColor="text1"/>
          <w:sz w:val="24"/>
          <w:szCs w:val="24"/>
        </w:rPr>
        <w:t xml:space="preserve">, though less commonly treated with IVTA due to the dominance of anti-VEGF therapy, was also an indication in our setting. This reflects economic and accessibility challenges. In high-income countries, AMD is almost exclusively managed with monthly anti-VEGF injections; however, in low-income regions like Tanzania, IVTA remains in use due to its cost and availability. This contrasts with the findings of  </w:t>
      </w:r>
      <w:r w:rsidRPr="001016D6">
        <w:rPr>
          <w:rFonts w:ascii="Times New Roman" w:hAnsi="Times New Roman" w:cs="Times New Roman"/>
          <w:color w:val="000000" w:themeColor="text1"/>
          <w:sz w:val="24"/>
          <w:szCs w:val="24"/>
        </w:rPr>
        <w:fldChar w:fldCharType="begin" w:fldLock="1"/>
      </w:r>
      <w:r w:rsidR="001A3D64" w:rsidRPr="001016D6">
        <w:rPr>
          <w:rFonts w:ascii="Times New Roman" w:hAnsi="Times New Roman" w:cs="Times New Roman"/>
          <w:color w:val="000000" w:themeColor="text1"/>
          <w:sz w:val="24"/>
          <w:szCs w:val="24"/>
        </w:rPr>
        <w:instrText>ADDIN CSL_CITATION {"citationItems":[{"id":"ITEM-1","itemData":{"DOI":"10.1007/s10792-024-03346-9","ISBN":"0123456789","ISSN":"15732630","PMID":"39527325","abstract":"BACKGROUND: Several studies have investigated the efficacy and safety of Conbercept versus Triamcinolone acetonide for the treatment of wet age-related macular degeneration (wAMD), but the results are controversial. Therefore, this meta-analysis aims to evaluate the efficacy and safety of Conbercept versus Triamcinolone acetonide for the treatment of wAMD. METHODS: A total of seven databases were searched for literature on the treatment of wAMD with Conbercept, with the search period from database inception to May 2024. Patients in the experimental group received Conbercept treatment, while patients in the control group received Triamcinolone acetonide treatment. The observed indicators included central macular thickness, incidence of adverse reactions, clinical efficacy, and best-corrected visual acuity. Relative risk (RR) and mean difference (MD) were used as effect measures. RESULTS: A total of 12 studies with 864 patients were included in the meta-analysis. The results showed that the experimental group had a significantly better central macular thickness (MD =  - 42.68, 95% CI =  - 55.04 ~  - 30.32, P &lt; 0.001), clinical response rate (RR = 1.25, 95% CI = 1.12 ~ 1.39, P &lt; 0.001), and best-corrected visual acuity (MD = 0.16, 95% CI = 0.12 ~ 0.20, P &lt; 0.001) compared to the control group. In terms of adverse events, the overall incidence of adverse events was lower in the experimental group (RR = 0.26, 95% CI = 0.14 ~ 0.51, P &lt; 0.001) compared to the control group. Specifically, the incidence of intraocular pressure elevation (RR = 0.33, 95% CI = 0.12 ~ 0.94, P = 0.04) and intraocular inflammation (RR = 0.17, 95% CI = 0.03 ~ 0.97, P = 0.05) was lower in the experimental group compared to the control group, but there was no significant difference in the incidence of subconjunctival hemorrhage (RR = 0.7, 95% CI = 0.14 ~ 3.5, P = 0.66) and corneal edema (RR = 0.2, 95% CI = 0.04 ~ 1.12, P = 0.07). CONCLUSION: Conbercept demonstrated superior efficacy in treating wAMD compared to triamcinolone acetonide, with a lower incidence of adverse reactions. However, the current meta-analysis included a limited number of studies, with only two studies evaluating best-corrected visual acuity (BCVA). Further high-quality randomized controlled trials (RCTs) are warranted to validate these findings.","author":[{"dropping-particle":"","family":"Yang","given":"Fang","non-dropping-particle":"","parse-names":false,"suffix":""},{"dropping-particle":"","family":"Hu","given":"Ran","non-dropping-particle":"","parse-names":false,"suffix":""}],"container-title":"International ophthalmology","id":"ITEM-1","issue":"1","issued":{"date-parts":[["2024"]]},"page":"424","publisher":"Springer Netherlands","title":"Efficacy and safety of intravitreal conbercept and triamcinolone acetonide for wet age-related macular degeneration in China: a meta-analysis","type":"article-journal","volume":"44"},"uris":["http://www.mendeley.com/documents/?uuid=c8138d5a-31a0-4adc-8b25-5775c6e17d7d"]}],"mendeley":{"formattedCitation":"(12)","plainTextFormattedCitation":"(12)","previouslyFormattedCitation":"(Yang and Hu, 2024)"},"properties":{"noteIndex":0},"schema":"https://github.com/citation-style-language/schema/raw/master/csl-citation.json"}</w:instrText>
      </w:r>
      <w:r w:rsidRPr="001016D6">
        <w:rPr>
          <w:rFonts w:ascii="Times New Roman" w:hAnsi="Times New Roman" w:cs="Times New Roman"/>
          <w:color w:val="000000" w:themeColor="text1"/>
          <w:sz w:val="24"/>
          <w:szCs w:val="24"/>
        </w:rPr>
        <w:fldChar w:fldCharType="separate"/>
      </w:r>
      <w:r w:rsidR="001A3D64" w:rsidRPr="001016D6">
        <w:rPr>
          <w:rFonts w:ascii="Times New Roman" w:hAnsi="Times New Roman" w:cs="Times New Roman"/>
          <w:noProof/>
          <w:color w:val="000000" w:themeColor="text1"/>
          <w:sz w:val="24"/>
          <w:szCs w:val="24"/>
        </w:rPr>
        <w:t>(12)</w:t>
      </w:r>
      <w:r w:rsidRPr="001016D6">
        <w:rPr>
          <w:rFonts w:ascii="Times New Roman" w:hAnsi="Times New Roman" w:cs="Times New Roman"/>
          <w:color w:val="000000" w:themeColor="text1"/>
          <w:sz w:val="24"/>
          <w:szCs w:val="24"/>
        </w:rPr>
        <w:fldChar w:fldCharType="end"/>
      </w:r>
      <w:r w:rsidRPr="001016D6">
        <w:rPr>
          <w:rFonts w:ascii="Times New Roman" w:hAnsi="Times New Roman" w:cs="Times New Roman"/>
          <w:color w:val="000000" w:themeColor="text1"/>
          <w:sz w:val="24"/>
          <w:szCs w:val="24"/>
        </w:rPr>
        <w:t xml:space="preserve"> in China, where IVTA was investigated as an adjunctive or alternative therapy in AMD patients who were either unresponsive to or unable to afford sustained anti-VEGF treatments. Their study demonstrated moderate visual improvement and </w:t>
      </w:r>
      <w:proofErr w:type="spellStart"/>
      <w:r w:rsidRPr="001016D6">
        <w:rPr>
          <w:rFonts w:ascii="Times New Roman" w:hAnsi="Times New Roman" w:cs="Times New Roman"/>
          <w:color w:val="000000" w:themeColor="text1"/>
          <w:sz w:val="24"/>
          <w:szCs w:val="24"/>
        </w:rPr>
        <w:t>edema</w:t>
      </w:r>
      <w:proofErr w:type="spellEnd"/>
      <w:r w:rsidRPr="001016D6">
        <w:rPr>
          <w:rFonts w:ascii="Times New Roman" w:hAnsi="Times New Roman" w:cs="Times New Roman"/>
          <w:color w:val="000000" w:themeColor="text1"/>
          <w:sz w:val="24"/>
          <w:szCs w:val="24"/>
        </w:rPr>
        <w:t xml:space="preserve"> control with IVTA, particularly in cases of wet AMD where anti-VEGF compliance was inconsistent. While both studies recognize IVTA as a secondary option,</w:t>
      </w:r>
      <w:r w:rsidRPr="001016D6">
        <w:rPr>
          <w:rFonts w:ascii="Times New Roman" w:hAnsi="Times New Roman" w:cs="Times New Roman"/>
          <w:color w:val="000000" w:themeColor="text1"/>
          <w:sz w:val="24"/>
          <w:szCs w:val="24"/>
        </w:rPr>
        <w:fldChar w:fldCharType="begin" w:fldLock="1"/>
      </w:r>
      <w:r w:rsidR="001A3D64" w:rsidRPr="001016D6">
        <w:rPr>
          <w:rFonts w:ascii="Times New Roman" w:hAnsi="Times New Roman" w:cs="Times New Roman"/>
          <w:color w:val="000000" w:themeColor="text1"/>
          <w:sz w:val="24"/>
          <w:szCs w:val="24"/>
        </w:rPr>
        <w:instrText>ADDIN CSL_CITATION {"citationItems":[{"id":"ITEM-1","itemData":{"DOI":"10.1007/s10792-024-03346-9","ISBN":"0123456789","ISSN":"15732630","PMID":"39527325","abstract":"BACKGROUND: Several studies have investigated the efficacy and safety of Conbercept versus Triamcinolone acetonide for the treatment of wet age-related macular degeneration (wAMD), but the results are controversial. Therefore, this meta-analysis aims to evaluate the efficacy and safety of Conbercept versus Triamcinolone acetonide for the treatment of wAMD. METHODS: A total of seven databases were searched for literature on the treatment of wAMD with Conbercept, with the search period from database inception to May 2024. Patients in the experimental group received Conbercept treatment, while patients in the control group received Triamcinolone acetonide treatment. The observed indicators included central macular thickness, incidence of adverse reactions, clinical efficacy, and best-corrected visual acuity. Relative risk (RR) and mean difference (MD) were used as effect measures. RESULTS: A total of 12 studies with 864 patients were included in the meta-analysis. The results showed that the experimental group had a significantly better central macular thickness (MD =  - 42.68, 95% CI =  - 55.04 ~  - 30.32, P &lt; 0.001), clinical response rate (RR = 1.25, 95% CI = 1.12 ~ 1.39, P &lt; 0.001), and best-corrected visual acuity (MD = 0.16, 95% CI = 0.12 ~ 0.20, P &lt; 0.001) compared to the control group. In terms of adverse events, the overall incidence of adverse events was lower in the experimental group (RR = 0.26, 95% CI = 0.14 ~ 0.51, P &lt; 0.001) compared to the control group. Specifically, the incidence of intraocular pressure elevation (RR = 0.33, 95% CI = 0.12 ~ 0.94, P = 0.04) and intraocular inflammation (RR = 0.17, 95% CI = 0.03 ~ 0.97, P = 0.05) was lower in the experimental group compared to the control group, but there was no significant difference in the incidence of subconjunctival hemorrhage (RR = 0.7, 95% CI = 0.14 ~ 3.5, P = 0.66) and corneal edema (RR = 0.2, 95% CI = 0.04 ~ 1.12, P = 0.07). CONCLUSION: Conbercept demonstrated superior efficacy in treating wAMD compared to triamcinolone acetonide, with a lower incidence of adverse reactions. However, the current meta-analysis included a limited number of studies, with only two studies evaluating best-corrected visual acuity (BCVA). Further high-quality randomized controlled trials (RCTs) are warranted to validate these findings.","author":[{"dropping-particle":"","family":"Yang","given":"Fang","non-dropping-particle":"","parse-names":false,"suffix":""},{"dropping-particle":"","family":"Hu","given":"Ran","non-dropping-particle":"","parse-names":false,"suffix":""}],"container-title":"International ophthalmology","id":"ITEM-1","issue":"1","issued":{"date-parts":[["2024"]]},"page":"424","publisher":"Springer Netherlands","title":"Efficacy and safety of intravitreal conbercept and triamcinolone acetonide for wet age-related macular degeneration in China: a meta-analysis","type":"article-journal","volume":"44"},"uris":["http://www.mendeley.com/documents/?uuid=c8138d5a-31a0-4adc-8b25-5775c6e17d7d"]}],"mendeley":{"formattedCitation":"(12)","plainTextFormattedCitation":"(12)","previouslyFormattedCitation":"(Yang and Hu, 2024)"},"properties":{"noteIndex":0},"schema":"https://github.com/citation-style-language/schema/raw/master/csl-citation.json"}</w:instrText>
      </w:r>
      <w:r w:rsidRPr="001016D6">
        <w:rPr>
          <w:rFonts w:ascii="Times New Roman" w:hAnsi="Times New Roman" w:cs="Times New Roman"/>
          <w:color w:val="000000" w:themeColor="text1"/>
          <w:sz w:val="24"/>
          <w:szCs w:val="24"/>
        </w:rPr>
        <w:fldChar w:fldCharType="separate"/>
      </w:r>
      <w:r w:rsidR="001A3D64" w:rsidRPr="001016D6">
        <w:rPr>
          <w:rFonts w:ascii="Times New Roman" w:hAnsi="Times New Roman" w:cs="Times New Roman"/>
          <w:noProof/>
          <w:color w:val="000000" w:themeColor="text1"/>
          <w:sz w:val="24"/>
          <w:szCs w:val="24"/>
        </w:rPr>
        <w:t>(12)</w:t>
      </w:r>
      <w:r w:rsidRPr="001016D6">
        <w:rPr>
          <w:rFonts w:ascii="Times New Roman" w:hAnsi="Times New Roman" w:cs="Times New Roman"/>
          <w:color w:val="000000" w:themeColor="text1"/>
          <w:sz w:val="24"/>
          <w:szCs w:val="24"/>
        </w:rPr>
        <w:fldChar w:fldCharType="end"/>
      </w:r>
      <w:r w:rsidRPr="001016D6">
        <w:rPr>
          <w:rFonts w:ascii="Times New Roman" w:hAnsi="Times New Roman" w:cs="Times New Roman"/>
          <w:color w:val="000000" w:themeColor="text1"/>
          <w:sz w:val="24"/>
          <w:szCs w:val="24"/>
        </w:rPr>
        <w:t xml:space="preserve"> emphasized its role in bridging care gaps for underinsured or rural patients, mirroring the socioeconomic constraints observed in our Tanzanian cohort. Together, these studies highlight the continued relevance of IVTA in managing AMD where anti-VEGF access is limited and suggest a need for context-specific treatment strategies in resource-constrained populations.</w:t>
      </w:r>
    </w:p>
    <w:p w14:paraId="28387962" w14:textId="77777777" w:rsidR="00EF6979" w:rsidRPr="001016D6" w:rsidRDefault="00EF6979" w:rsidP="001A3D64">
      <w:pPr>
        <w:spacing w:before="100" w:beforeAutospacing="1" w:after="100" w:afterAutospacing="1" w:line="360" w:lineRule="auto"/>
        <w:jc w:val="both"/>
        <w:rPr>
          <w:rFonts w:ascii="Times New Roman" w:hAnsi="Times New Roman" w:cs="Times New Roman"/>
          <w:color w:val="000000" w:themeColor="text1"/>
          <w:sz w:val="24"/>
          <w:szCs w:val="24"/>
        </w:rPr>
      </w:pPr>
      <w:r w:rsidRPr="001016D6">
        <w:rPr>
          <w:rFonts w:ascii="Times New Roman" w:hAnsi="Times New Roman" w:cs="Times New Roman"/>
          <w:color w:val="000000" w:themeColor="text1"/>
          <w:sz w:val="24"/>
          <w:szCs w:val="24"/>
        </w:rPr>
        <w:t xml:space="preserve">Lastly, posterior uveitis was one of the least represented indications for intravitreal triamcinolone acetonide (IVTA), which may reflect its lower prevalence in the study population or possible underdiagnoses in routine clinical settings. Despite its limited representation, IVTA remains a cornerstone therapy for managing non-infectious posterior uveitis, particularly where systemic immunosuppression is not feasible. This observation aligns with the findings of </w:t>
      </w:r>
      <w:r w:rsidRPr="001016D6">
        <w:rPr>
          <w:rFonts w:ascii="Times New Roman" w:hAnsi="Times New Roman" w:cs="Times New Roman"/>
          <w:color w:val="000000" w:themeColor="text1"/>
          <w:sz w:val="24"/>
          <w:szCs w:val="24"/>
        </w:rPr>
        <w:fldChar w:fldCharType="begin" w:fldLock="1"/>
      </w:r>
      <w:r w:rsidR="001A3D64" w:rsidRPr="001016D6">
        <w:rPr>
          <w:rFonts w:ascii="Times New Roman" w:hAnsi="Times New Roman" w:cs="Times New Roman"/>
          <w:color w:val="000000" w:themeColor="text1"/>
          <w:sz w:val="24"/>
          <w:szCs w:val="24"/>
        </w:rPr>
        <w:instrText>ADDIN CSL_CITATION {"citationItems":[{"id":"ITEM-1","itemData":{"DOI":"10.1007/s10792-024-03346-9","ISBN":"0123456789","ISSN":"15732630","PMID":"39527325","abstract":"BACKGROUND: Several studies have investigated the efficacy and safety of Conbercept versus Triamcinolone acetonide for the treatment of wet age-related macular degeneration (wAMD), but the results are controversial. Therefore, this meta-analysis aims to evaluate the efficacy and safety of Conbercept versus Triamcinolone acetonide for the treatment of wAMD. METHODS: A total of seven databases were searched for literature on the treatment of wAMD with Conbercept, with the search period from database inception to May 2024. Patients in the experimental group received Conbercept treatment, while patients in the control group received Triamcinolone acetonide treatment. The observed indicators included central macular thickness, incidence of adverse reactions, clinical efficacy, and best-corrected visual acuity. Relative risk (RR) and mean difference (MD) were used as effect measures. RESULTS: A total of 12 studies with 864 patients were included in the meta-analysis. The results showed that the experimental group had a significantly better central macular thickness (MD =  - 42.68, 95% CI =  - 55.04 ~  - 30.32, P &lt; 0.001), clinical response rate (RR = 1.25, 95% CI = 1.12 ~ 1.39, P &lt; 0.001), and best-corrected visual acuity (MD = 0.16, 95% CI = 0.12 ~ 0.20, P &lt; 0.001) compared to the control group. In terms of adverse events, the overall incidence of adverse events was lower in the experimental group (RR = 0.26, 95% CI = 0.14 ~ 0.51, P &lt; 0.001) compared to the control group. Specifically, the incidence of intraocular pressure elevation (RR = 0.33, 95% CI = 0.12 ~ 0.94, P = 0.04) and intraocular inflammation (RR = 0.17, 95% CI = 0.03 ~ 0.97, P = 0.05) was lower in the experimental group compared to the control group, but there was no significant difference in the incidence of subconjunctival hemorrhage (RR = 0.7, 95% CI = 0.14 ~ 3.5, P = 0.66) and corneal edema (RR = 0.2, 95% CI = 0.04 ~ 1.12, P = 0.07). CONCLUSION: Conbercept demonstrated superior efficacy in treating wAMD compared to triamcinolone acetonide, with a lower incidence of adverse reactions. However, the current meta-analysis included a limited number of studies, with only two studies evaluating best-corrected visual acuity (BCVA). Further high-quality randomized controlled trials (RCTs) are warranted to validate these findings.","author":[{"dropping-particle":"","family":"Yang","given":"Fang","non-dropping-particle":"","parse-names":false,"suffix":""},{"dropping-particle":"","family":"Hu","given":"Ran","non-dropping-particle":"","parse-names":false,"suffix":""}],"container-title":"International ophthalmology","id":"ITEM-1","issue":"1","issued":{"date-parts":[["2024"]]},"page":"424","publisher":"Springer Netherlands","title":"Efficacy and safety of intravitreal conbercept and triamcinolone acetonide for wet age-related macular degeneration in China: a meta-analysis","type":"article-journal","volume":"44"},"uris":["http://www.mendeley.com/documents/?uuid=c8138d5a-31a0-4adc-8b25-5775c6e17d7d"]}],"mendeley":{"formattedCitation":"(12)","plainTextFormattedCitation":"(12)","previouslyFormattedCitation":"(Yang and Hu, 2024)"},"properties":{"noteIndex":0},"schema":"https://github.com/citation-style-language/schema/raw/master/csl-citation.json"}</w:instrText>
      </w:r>
      <w:r w:rsidRPr="001016D6">
        <w:rPr>
          <w:rFonts w:ascii="Times New Roman" w:hAnsi="Times New Roman" w:cs="Times New Roman"/>
          <w:color w:val="000000" w:themeColor="text1"/>
          <w:sz w:val="24"/>
          <w:szCs w:val="24"/>
        </w:rPr>
        <w:fldChar w:fldCharType="separate"/>
      </w:r>
      <w:r w:rsidR="001A3D64" w:rsidRPr="001016D6">
        <w:rPr>
          <w:rFonts w:ascii="Times New Roman" w:hAnsi="Times New Roman" w:cs="Times New Roman"/>
          <w:noProof/>
          <w:color w:val="000000" w:themeColor="text1"/>
          <w:sz w:val="24"/>
          <w:szCs w:val="24"/>
        </w:rPr>
        <w:t>(12)</w:t>
      </w:r>
      <w:r w:rsidRPr="001016D6">
        <w:rPr>
          <w:rFonts w:ascii="Times New Roman" w:hAnsi="Times New Roman" w:cs="Times New Roman"/>
          <w:color w:val="000000" w:themeColor="text1"/>
          <w:sz w:val="24"/>
          <w:szCs w:val="24"/>
        </w:rPr>
        <w:fldChar w:fldCharType="end"/>
      </w:r>
      <w:r w:rsidRPr="001016D6">
        <w:rPr>
          <w:rFonts w:ascii="Times New Roman" w:hAnsi="Times New Roman" w:cs="Times New Roman"/>
          <w:color w:val="000000" w:themeColor="text1"/>
          <w:sz w:val="24"/>
          <w:szCs w:val="24"/>
        </w:rPr>
        <w:t xml:space="preserve">  in China, who conducted a prospective evaluation of IVTA in patients with non-infectious intermediate and posterior uveitis. Their study demonstrated significant </w:t>
      </w:r>
      <w:r w:rsidRPr="001016D6">
        <w:rPr>
          <w:rFonts w:ascii="Times New Roman" w:hAnsi="Times New Roman" w:cs="Times New Roman"/>
          <w:color w:val="000000" w:themeColor="text1"/>
          <w:sz w:val="24"/>
          <w:szCs w:val="24"/>
        </w:rPr>
        <w:lastRenderedPageBreak/>
        <w:t xml:space="preserve">improvements in visual acuity and control of intraocular inflammation, with acceptable rates of intraocular pressure elevation. Unlike our cohort, where IVTA was used sparingly for uveitis </w:t>
      </w:r>
      <w:r w:rsidRPr="001016D6">
        <w:rPr>
          <w:rFonts w:ascii="Times New Roman" w:hAnsi="Times New Roman" w:cs="Times New Roman"/>
          <w:color w:val="000000" w:themeColor="text1"/>
          <w:sz w:val="24"/>
          <w:szCs w:val="24"/>
        </w:rPr>
        <w:fldChar w:fldCharType="begin" w:fldLock="1"/>
      </w:r>
      <w:r w:rsidR="001A3D64" w:rsidRPr="001016D6">
        <w:rPr>
          <w:rFonts w:ascii="Times New Roman" w:hAnsi="Times New Roman" w:cs="Times New Roman"/>
          <w:color w:val="000000" w:themeColor="text1"/>
          <w:sz w:val="24"/>
          <w:szCs w:val="24"/>
        </w:rPr>
        <w:instrText>ADDIN CSL_CITATION {"citationItems":[{"id":"ITEM-1","itemData":{"DOI":"10.1007/s10792-024-03346-9","ISBN":"0123456789","ISSN":"15732630","PMID":"39527325","abstract":"BACKGROUND: Several studies have investigated the efficacy and safety of Conbercept versus Triamcinolone acetonide for the treatment of wet age-related macular degeneration (wAMD), but the results are controversial. Therefore, this meta-analysis aims to evaluate the efficacy and safety of Conbercept versus Triamcinolone acetonide for the treatment of wAMD. METHODS: A total of seven databases were searched for literature on the treatment of wAMD with Conbercept, with the search period from database inception to May 2024. Patients in the experimental group received Conbercept treatment, while patients in the control group received Triamcinolone acetonide treatment. The observed indicators included central macular thickness, incidence of adverse reactions, clinical efficacy, and best-corrected visual acuity. Relative risk (RR) and mean difference (MD) were used as effect measures. RESULTS: A total of 12 studies with 864 patients were included in the meta-analysis. The results showed that the experimental group had a significantly better central macular thickness (MD =  - 42.68, 95% CI =  - 55.04 ~  - 30.32, P &lt; 0.001), clinical response rate (RR = 1.25, 95% CI = 1.12 ~ 1.39, P &lt; 0.001), and best-corrected visual acuity (MD = 0.16, 95% CI = 0.12 ~ 0.20, P &lt; 0.001) compared to the control group. In terms of adverse events, the overall incidence of adverse events was lower in the experimental group (RR = 0.26, 95% CI = 0.14 ~ 0.51, P &lt; 0.001) compared to the control group. Specifically, the incidence of intraocular pressure elevation (RR = 0.33, 95% CI = 0.12 ~ 0.94, P = 0.04) and intraocular inflammation (RR = 0.17, 95% CI = 0.03 ~ 0.97, P = 0.05) was lower in the experimental group compared to the control group, but there was no significant difference in the incidence of subconjunctival hemorrhage (RR = 0.7, 95% CI = 0.14 ~ 3.5, P = 0.66) and corneal edema (RR = 0.2, 95% CI = 0.04 ~ 1.12, P = 0.07). CONCLUSION: Conbercept demonstrated superior efficacy in treating wAMD compared to triamcinolone acetonide, with a lower incidence of adverse reactions. However, the current meta-analysis included a limited number of studies, with only two studies evaluating best-corrected visual acuity (BCVA). Further high-quality randomized controlled trials (RCTs) are warranted to validate these findings.","author":[{"dropping-particle":"","family":"Yang","given":"Fang","non-dropping-particle":"","parse-names":false,"suffix":""},{"dropping-particle":"","family":"Hu","given":"Ran","non-dropping-particle":"","parse-names":false,"suffix":""}],"container-title":"International ophthalmology","id":"ITEM-1","issue":"1","issued":{"date-parts":[["2024"]]},"page":"424","publisher":"Springer Netherlands","title":"Efficacy and safety of intravitreal conbercept and triamcinolone acetonide for wet age-related macular degeneration in China: a meta-analysis","type":"article-journal","volume":"44"},"uris":["http://www.mendeley.com/documents/?uuid=c8138d5a-31a0-4adc-8b25-5775c6e17d7d"]}],"mendeley":{"formattedCitation":"(12)","plainTextFormattedCitation":"(12)","previouslyFormattedCitation":"(Yang and Hu, 2024)"},"properties":{"noteIndex":0},"schema":"https://github.com/citation-style-language/schema/raw/master/csl-citation.json"}</w:instrText>
      </w:r>
      <w:r w:rsidRPr="001016D6">
        <w:rPr>
          <w:rFonts w:ascii="Times New Roman" w:hAnsi="Times New Roman" w:cs="Times New Roman"/>
          <w:color w:val="000000" w:themeColor="text1"/>
          <w:sz w:val="24"/>
          <w:szCs w:val="24"/>
        </w:rPr>
        <w:fldChar w:fldCharType="separate"/>
      </w:r>
      <w:r w:rsidR="001A3D64" w:rsidRPr="001016D6">
        <w:rPr>
          <w:rFonts w:ascii="Times New Roman" w:hAnsi="Times New Roman" w:cs="Times New Roman"/>
          <w:noProof/>
          <w:color w:val="000000" w:themeColor="text1"/>
          <w:sz w:val="24"/>
          <w:szCs w:val="24"/>
        </w:rPr>
        <w:t>(12)</w:t>
      </w:r>
      <w:r w:rsidRPr="001016D6">
        <w:rPr>
          <w:rFonts w:ascii="Times New Roman" w:hAnsi="Times New Roman" w:cs="Times New Roman"/>
          <w:color w:val="000000" w:themeColor="text1"/>
          <w:sz w:val="24"/>
          <w:szCs w:val="24"/>
        </w:rPr>
        <w:fldChar w:fldCharType="end"/>
      </w:r>
      <w:r w:rsidRPr="001016D6">
        <w:rPr>
          <w:rFonts w:ascii="Times New Roman" w:hAnsi="Times New Roman" w:cs="Times New Roman"/>
          <w:color w:val="000000" w:themeColor="text1"/>
          <w:sz w:val="24"/>
          <w:szCs w:val="24"/>
        </w:rPr>
        <w:t xml:space="preserve">  employed it as a first-line local treatment, particularly for patients at risk of systemic steroid side effects. The comparison highlights differing clinical practices influenced by patient profiles and healthcare resources. While both studies affirm IVTA’s efficacy, our findings emphasize its more selective use in Tanzania, whereas work supports its broader application in structured treatment protocols for inflammatory eye disease.</w:t>
      </w:r>
    </w:p>
    <w:p w14:paraId="19957933" w14:textId="77777777" w:rsidR="00EF6979" w:rsidRPr="001016D6" w:rsidRDefault="00EF6979" w:rsidP="001A3D64">
      <w:pPr>
        <w:spacing w:before="100" w:beforeAutospacing="1" w:after="100" w:afterAutospacing="1" w:line="360" w:lineRule="auto"/>
        <w:jc w:val="both"/>
        <w:rPr>
          <w:rFonts w:ascii="Times New Roman" w:hAnsi="Times New Roman" w:cs="Times New Roman"/>
          <w:color w:val="000000" w:themeColor="text1"/>
          <w:sz w:val="24"/>
          <w:szCs w:val="24"/>
        </w:rPr>
      </w:pPr>
      <w:r w:rsidRPr="001016D6">
        <w:rPr>
          <w:rFonts w:ascii="Times New Roman" w:hAnsi="Times New Roman" w:cs="Times New Roman"/>
          <w:color w:val="000000" w:themeColor="text1"/>
          <w:sz w:val="24"/>
          <w:szCs w:val="24"/>
        </w:rPr>
        <w:t xml:space="preserve">Taken together, the distribution of indications in our study mirrors that of both high-income and low-income settings, with </w:t>
      </w:r>
      <w:r w:rsidRPr="001016D6">
        <w:rPr>
          <w:rStyle w:val="Strong"/>
          <w:rFonts w:ascii="Times New Roman" w:eastAsiaTheme="majorEastAsia" w:hAnsi="Times New Roman" w:cs="Times New Roman"/>
          <w:b w:val="0"/>
          <w:color w:val="000000" w:themeColor="text1"/>
          <w:sz w:val="24"/>
          <w:szCs w:val="24"/>
        </w:rPr>
        <w:t>CME, DME, and RVO consistently ranking as leading causes</w:t>
      </w:r>
      <w:r w:rsidRPr="001016D6">
        <w:rPr>
          <w:rFonts w:ascii="Times New Roman" w:hAnsi="Times New Roman" w:cs="Times New Roman"/>
          <w:color w:val="000000" w:themeColor="text1"/>
          <w:sz w:val="24"/>
          <w:szCs w:val="24"/>
        </w:rPr>
        <w:t xml:space="preserve"> for IVTA use. However, the dominance of IVTA in conditions that would otherwise be managed with anti-VEGF agents elsewhere (e.g., AMD) highlights the impact of healthcare infrastructure and drug availability on treatment decisions in Tanzania.</w:t>
      </w:r>
    </w:p>
    <w:p w14:paraId="16574FC7" w14:textId="7777777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 xml:space="preserve">In our study, the incidence of ocular hypertension (OHT) was found to be 35%, using the criteria of IOP &gt;21 mmHg or an increase of&gt;5 mmHg from baseline at 6 weeks. This aligns closely with the findings of </w:t>
      </w:r>
      <w:r w:rsidRPr="001016D6">
        <w:rPr>
          <w:rFonts w:ascii="Times New Roman" w:eastAsia="Times New Roman" w:hAnsi="Times New Roman" w:cs="Times New Roman"/>
          <w:color w:val="000000" w:themeColor="text1"/>
          <w:sz w:val="24"/>
          <w:szCs w:val="24"/>
          <w:lang w:eastAsia="en-GB"/>
        </w:rPr>
        <w:fldChar w:fldCharType="begin" w:fldLock="1"/>
      </w:r>
      <w:r w:rsidR="001A3D64" w:rsidRPr="001016D6">
        <w:rPr>
          <w:rFonts w:ascii="Times New Roman" w:eastAsia="Times New Roman" w:hAnsi="Times New Roman" w:cs="Times New Roman"/>
          <w:color w:val="000000" w:themeColor="text1"/>
          <w:sz w:val="24"/>
          <w:szCs w:val="24"/>
          <w:lang w:eastAsia="en-GB"/>
        </w:rPr>
        <w:instrText>ADDIN CSL_CITATION {"citationItems":[{"id":"ITEM-1","itemData":{"DOI":"10.1016/j.survophthal.2012.08.003","ISSN":"00396257","PMID":"23768920","abstract":"The use of intravitreal (IVT) corticosteroids for treatment of posterior segment diseases has increased significantly over the last decade. A commonly recognized complication of IVT steroids is secondary ocular hypertension (OHT) that can occur immediately secondary to direct intraocular volume increase or weeks to months later as a result of increased outflow resistance. We performed a meta-analysis and found 32% (95% confidence interval, 28.2-36.3) of individuals developed OHT following 4 mg IVT triamcinolone, 66% (50.2-78.8) and 79% (72.2-84.5) following 0.59 and 2.1 mg fluocinolone implant, respectively, and 11% (6.4-17.9) and 15% (9.2-24.3) following 0.35 and 0.7 mg dexamethasone implant, respectively. Risk factors included pre-existing glaucoma, higher baseline intraocular pressure (IOP), younger age, OHT following previous injection, uveitis, higher steroid dosage, and fluocinolone implant. Most cases of OHT can be controlled medically; up to 45% following fluocinolone implant require surgery, however. We suggest a protocol to monitor IOP after IVT steroid injection/implantation that includes checking IOP within 30 minutes after injection, followed by 1 week after IVT triamcinolone and 2 weeks after implant insertion, then every 2 weeks for the first month and monthly for up to 6 months after IVT triamcinolone and dexamethasone implantation and 9 months after fluocinolone implantation. © 2013 Elsevier Inc..","author":[{"dropping-particle":"","family":"Kiddee","given":"Weerawat","non-dropping-particle":"","parse-names":false,"suffix":""},{"dropping-particle":"","family":"Trope","given":"Graham E.","non-dropping-particle":"","parse-names":false,"suffix":""},{"dropping-particle":"","family":"Sheng","given":"Lisa","non-dropping-particle":"","parse-names":false,"suffix":""},{"dropping-particle":"","family":"Beltran-Agullo","given":"Laura","non-dropping-particle":"","parse-names":false,"suffix":""},{"dropping-particle":"","family":"Smith","given":"Michael","non-dropping-particle":"","parse-names":false,"suffix":""},{"dropping-particle":"","family":"Strungaru","given":"M. Hermina","non-dropping-particle":"","parse-names":false,"suffix":""},{"dropping-particle":"","family":"Baath","given":"Jasrajbir","non-dropping-particle":"","parse-names":false,"suffix":""},{"dropping-particle":"","family":"Buys","given":"Yvonne M.","non-dropping-particle":"","parse-names":false,"suffix":""}],"container-title":"Survey of Ophthalmology","id":"ITEM-1","issue":"4","issued":{"date-parts":[["2013"]]},"page":"291-310","title":"Intraocular Pressure Monitoring Post Intravitreal Steroids: A Systematic Review","type":"article-journal","volume":"58"},"uris":["http://www.mendeley.com/documents/?uuid=d7bc73e6-4f50-408e-a096-3f4f8230b605"]}],"mendeley":{"formattedCitation":"(5)","plainTextFormattedCitation":"(5)","previouslyFormattedCitation":"(Kiddee &lt;i&gt;et al.&lt;/i&gt;, 2013)"},"properties":{"noteIndex":0},"schema":"https://github.com/citation-style-language/schema/raw/master/csl-citation.json"}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lang w:eastAsia="en-GB"/>
        </w:rPr>
        <w:fldChar w:fldCharType="separate"/>
      </w:r>
      <w:r w:rsidR="001A3D64" w:rsidRPr="001016D6">
        <w:rPr>
          <w:rFonts w:ascii="Times New Roman" w:eastAsia="Times New Roman" w:hAnsi="Times New Roman" w:cs="Times New Roman"/>
          <w:noProof/>
          <w:color w:val="000000" w:themeColor="text1"/>
          <w:sz w:val="24"/>
          <w:szCs w:val="24"/>
          <w:lang w:eastAsia="en-GB"/>
        </w:rPr>
        <w:t>(5)</w:t>
      </w:r>
      <w:r w:rsidRPr="001016D6">
        <w:rPr>
          <w:rFonts w:ascii="Times New Roman" w:eastAsia="Times New Roman" w:hAnsi="Times New Roman" w:cs="Times New Roman"/>
          <w:color w:val="000000" w:themeColor="text1"/>
          <w:sz w:val="24"/>
          <w:szCs w:val="24"/>
          <w:lang w:eastAsia="en-GB"/>
        </w:rPr>
        <w:fldChar w:fldCharType="end"/>
      </w:r>
      <w:r w:rsidRPr="001016D6">
        <w:rPr>
          <w:rFonts w:ascii="Times New Roman" w:eastAsia="Times New Roman" w:hAnsi="Times New Roman" w:cs="Times New Roman"/>
          <w:color w:val="000000" w:themeColor="text1"/>
          <w:sz w:val="24"/>
          <w:szCs w:val="24"/>
          <w:lang w:eastAsia="en-GB"/>
        </w:rPr>
        <w:t xml:space="preserve">, who reported a pooled incidence of 32.1% in a meta-analysis, indicating that approximately one-third of patients treated with IVTA develop a significant IOP rise. </w:t>
      </w:r>
      <w:r w:rsidRPr="001016D6">
        <w:rPr>
          <w:rFonts w:ascii="Times New Roman" w:eastAsia="Times New Roman" w:hAnsi="Times New Roman" w:cs="Times New Roman"/>
          <w:color w:val="000000" w:themeColor="text1"/>
          <w:sz w:val="24"/>
          <w:szCs w:val="24"/>
          <w:lang w:eastAsia="en-GB"/>
        </w:rPr>
        <w:fldChar w:fldCharType="begin" w:fldLock="1"/>
      </w:r>
      <w:r w:rsidR="001A3D64" w:rsidRPr="001016D6">
        <w:rPr>
          <w:rFonts w:ascii="Times New Roman" w:eastAsia="Times New Roman" w:hAnsi="Times New Roman" w:cs="Times New Roman"/>
          <w:color w:val="000000" w:themeColor="text1"/>
          <w:sz w:val="24"/>
          <w:szCs w:val="24"/>
          <w:lang w:eastAsia="en-GB"/>
        </w:rPr>
        <w:instrText>ADDIN CSL_CITATION {"citationItems":[{"id":"ITEM-1","itemData":{"ISSN":"1539-2864","abstract":"Purpose: \n\nTo report the incidence and course of ocular hypertension after intravitreal injection of 2-mg triamcinolone acetonide (IVT).\n\nMethods:\n\nIn a retrospective, consecutive series, all patients receiving 2-mg IVT at a single institution between March 1, 2012, and March 1, 2017, with a minimum of 3-month follow-up were reviewed. Ocular hypertension was defined as an intraocular pressure (IOP) measurement over 24 mmHg at any follow-up visit after IVT. Patients receiving topical, periocular, or intravitreal corticosteroid other than 2-mg IVT were excluded.\n\nResults:\n\nA total of 106 eyes in 100 patients receiving at least one injection of 2-mg IVT were included. Eyes received an average of 2.9 injections (range 1–17), and average patient follow-up was 15.1 months (range 3.0–52.5 months). A total of 14 eyes (13.2%) in 14 patients developed ocular hypertension after a median of 1.5 injections (range 1–9) with an average peak IOP of 29 mmHg (range 25–38 mmHg). Overall, a total of 11 eyes (10.4%) had an IOP elevation ≥10 mmHg above baseline at any point after first IVT. In all cases of ocular hypertension, IOP was successfully managed with observation or topical IOP-lowering medication alone; no patients required surgical intervention.\n\nConclusion:\n\nOcular hypertension developed in 13.2% of eyes receiving intravitreal injection of 2-mg triamcinolone acetonide. Incidence of ocular hypertension after 2-mg IVT compares favorably with other intravitreally administered corticosteroids.","author":[{"dropping-particle":"","family":"Storey","given":"Philip P","non-dropping-particle":"","parse-names":false,"suffix":""},{"dropping-particle":"","family":"Obeid","given":"Anthony","non-dropping-particle":"","parse-names":false,"suffix":""},{"dropping-particle":"","family":"Pancholy","given":"Maitri","non-dropping-particle":"","parse-names":false,"suffix":""},{"dropping-particle":"","family":"Goodman","given":"Jake","non-dropping-particle":"","parse-names":false,"suffix":""},{"dropping-particle":"","family":"Borkar","given":"Durga","non-dropping-particle":"","parse-names":false,"suffix":""},{"dropping-particle":"","family":"Su","given":"Daniel","non-dropping-particle":"","parse-names":false,"suffix":""},{"dropping-particle":"","family":"Regillo","given":"Carl","non-dropping-particle":"","parse-names":false,"suffix":""}],"container-title":"RETINA","id":"ITEM-1","issue":"1","issued":{"date-parts":[["2020"]]},"title":"OCULAR HYPERTENSION AFTER INTRAVITREAL INJECTION OF 2-MG TRIAMCINOLONE","type":"article-journal","volume":"40"},"uris":["http://www.mendeley.com/documents/?uuid=64968ab2-2e33-436e-a8ef-b0f16fb0cba3"]}],"mendeley":{"formattedCitation":"(13)","plainTextFormattedCitation":"(13)","previouslyFormattedCitation":"(Storey &lt;i&gt;et al.&lt;/i&gt;, 2020)"},"properties":{"noteIndex":0},"schema":"https://github.com/citation-style-language/schema/raw/master/csl-citation.json"}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lang w:eastAsia="en-GB"/>
        </w:rPr>
        <w:fldChar w:fldCharType="separate"/>
      </w:r>
      <w:r w:rsidR="001A3D64" w:rsidRPr="001016D6">
        <w:rPr>
          <w:rFonts w:ascii="Times New Roman" w:eastAsia="Times New Roman" w:hAnsi="Times New Roman" w:cs="Times New Roman"/>
          <w:noProof/>
          <w:color w:val="000000" w:themeColor="text1"/>
          <w:sz w:val="24"/>
          <w:szCs w:val="24"/>
          <w:lang w:eastAsia="en-GB"/>
        </w:rPr>
        <w:t>(13)</w:t>
      </w:r>
      <w:r w:rsidRPr="001016D6">
        <w:rPr>
          <w:rFonts w:ascii="Times New Roman" w:eastAsia="Times New Roman" w:hAnsi="Times New Roman" w:cs="Times New Roman"/>
          <w:color w:val="000000" w:themeColor="text1"/>
          <w:sz w:val="24"/>
          <w:szCs w:val="24"/>
          <w:lang w:eastAsia="en-GB"/>
        </w:rPr>
        <w:fldChar w:fldCharType="end"/>
      </w:r>
      <w:r w:rsidRPr="001016D6">
        <w:rPr>
          <w:rFonts w:ascii="Times New Roman" w:eastAsia="Times New Roman" w:hAnsi="Times New Roman" w:cs="Times New Roman"/>
          <w:bCs/>
          <w:color w:val="000000" w:themeColor="text1"/>
          <w:sz w:val="24"/>
          <w:szCs w:val="24"/>
          <w:lang w:eastAsia="en-GB"/>
        </w:rPr>
        <w:t xml:space="preserve"> </w:t>
      </w:r>
      <w:r w:rsidRPr="001016D6">
        <w:rPr>
          <w:rFonts w:ascii="Times New Roman" w:eastAsia="Times New Roman" w:hAnsi="Times New Roman" w:cs="Times New Roman"/>
          <w:color w:val="000000" w:themeColor="text1"/>
          <w:sz w:val="24"/>
          <w:szCs w:val="24"/>
          <w:lang w:eastAsia="en-GB"/>
        </w:rPr>
        <w:t>Similarly, reported a 13.2% incidence with 2 mg doses and noted that most IOP elevations occurred early, although their lower dose may explain the lower incidence.</w:t>
      </w:r>
    </w:p>
    <w:p w14:paraId="2E9C4C40" w14:textId="7777777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 xml:space="preserve">In contrast, </w:t>
      </w:r>
      <w:r w:rsidRPr="001016D6">
        <w:rPr>
          <w:rFonts w:ascii="Times New Roman" w:eastAsia="Times New Roman" w:hAnsi="Times New Roman" w:cs="Times New Roman"/>
          <w:color w:val="000000" w:themeColor="text1"/>
          <w:sz w:val="24"/>
          <w:szCs w:val="24"/>
          <w:lang w:eastAsia="en-GB"/>
        </w:rPr>
        <w:fldChar w:fldCharType="begin" w:fldLock="1"/>
      </w:r>
      <w:r w:rsidR="001A3D64" w:rsidRPr="001016D6">
        <w:rPr>
          <w:rFonts w:ascii="Times New Roman" w:eastAsia="Times New Roman" w:hAnsi="Times New Roman" w:cs="Times New Roman"/>
          <w:color w:val="000000" w:themeColor="text1"/>
          <w:sz w:val="24"/>
          <w:szCs w:val="24"/>
          <w:lang w:eastAsia="en-GB"/>
        </w:rPr>
        <w:instrText>ADDIN CSL_CITATION {"citationItems":[{"id":"ITEM-1","itemData":{"DOI":"10.1001/jamaophthalmol.2015.1823","ISSN":"21686173","PMID":"26086920","abstract":"Importance The Standard of Care vs Corticosteroid for Retinal Vein Occlusion (SCORE) Study showed that intravitreal triamcinolone acetonide (IVTA) is effective at reducing macular edema and improving visual acuity in participants with retinal vein occlusion. Secondary analysis of the incidence, risk factors, and timing of intraocular pressure (IOP) elevation occurring after IVTA provides guidance for clinical decision making and management of patients treated with IVTA. Objective To investigate the incidence, risk factors, and time course of IOP elevation in participants in the SCORE Study. Design, Setting, and ParticipantsSecondary analysis conducted from August through December 2014 of a prospective, randomized clinical trial featuring an evaluable population conducted at 75 clinical sites. Six hundred eighty-two patients with macular edema secondary to retinal vein occlusion were enrolled in the study. The SCORE Study enrollment period ran from November 4, 2004, to February 29, 2008, with participant follow-up ending February 28, 2009. INTERVENTIONS Study participants were randomized to standard of care, 1mg of IVTA, or 4 mg of IVTA therapy and followed up for a mean (SD) of 24.7 (10.3) months. MAIN OUTCOMES AND MEASURES Intraocular pressure elevation greater than 10mmHg from baseline. Results Kaplan-Meier incidences of IOP elevation greater than 10mmHg from baseline at 36 months were 0.02 (95%CI, 0.01-0.06), 0.09 (95%CI, 0.05-0.14), and 0.45 (95%CI, 0.38-0.53) in the standard of care, 1-mg IVTA, and 4-mg IVTA groups, respectively. The rates of IOP-related events were higher for the 4-mg IVTA group compared with the other groups (P ≤ .001 for main outcome measure). Younger age, 4-mg IVTA vs 1-mg IVTA treatment, and higher baseline IOP were found to confer greater risk for IOP-related events (P &lt; .05 for all). The median number of days from time of first injection to IOP elevation greater than 10mm Hg from baseline was 34.0 and 52.5 days in participants treated with 1-mg and 4-mg IVTA, respectively. CONCLUSIONS AND RELEVANCE Intravitreal triamcinolone acetonide injection therapy, in particular the 4-mg dose, is associated with an increased risk for IOP elevation. The risk factors for an IOP-related event include higher treatment dose, younger age, and higher baseline IOP. Intraocular pressure-related events may take several months from the time of first IVTA injection to occur. Clinicians should be mindful of these risk factors when assessing the risk…","author":[{"dropping-particle":"","family":"Aref","given":"Ahmad A.","non-dropping-particle":"","parse-names":false,"suffix":""},{"dropping-particle":"","family":"Scott","given":"Ingrid U.","non-dropping-particle":"","parse-names":false,"suffix":""},{"dropping-particle":"","family":"Oden","given":"Neal L.","non-dropping-particle":"","parse-names":false,"suffix":""},{"dropping-particle":"","family":"Ip","given":"Michael S.","non-dropping-particle":"","parse-names":false,"suffix":""},{"dropping-particle":"","family":"Blodi","given":"Barbara A.","non-dropping-particle":"","parse-names":false,"suffix":""},{"dropping-particle":"","family":"Veldhuisen","given":"Paul C.","non-dropping-particle":"Van","parse-names":false,"suffix":""}],"container-title":"JAMA Ophthalmology","id":"ITEM-1","issue":"9","issued":{"date-parts":[["2015"]]},"page":"1022-1029","title":"Incidence, risk factors, and timing of elevated intraocular pressure after intravitreal triamcinolone acetonide injection for macular edema secondary to retinal vein occlusion SCORE study report 15","type":"article-journal","volume":"133"},"uris":["http://www.mendeley.com/documents/?uuid=2434a0ca-ae07-4146-a8ae-670b4be867e6"]}],"mendeley":{"formattedCitation":"(14)","plainTextFormattedCitation":"(14)","previouslyFormattedCitation":"(Aref &lt;i&gt;et al.&lt;/i&gt;, 2015)"},"properties":{"noteIndex":0},"schema":"https://github.com/citation-style-language/schema/raw/master/csl-citation.json"}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lang w:eastAsia="en-GB"/>
        </w:rPr>
        <w:fldChar w:fldCharType="separate"/>
      </w:r>
      <w:r w:rsidR="001A3D64" w:rsidRPr="001016D6">
        <w:rPr>
          <w:rFonts w:ascii="Times New Roman" w:eastAsia="Times New Roman" w:hAnsi="Times New Roman" w:cs="Times New Roman"/>
          <w:noProof/>
          <w:color w:val="000000" w:themeColor="text1"/>
          <w:sz w:val="24"/>
          <w:szCs w:val="24"/>
          <w:lang w:eastAsia="en-GB"/>
        </w:rPr>
        <w:t>(14)</w:t>
      </w:r>
      <w:r w:rsidRPr="001016D6">
        <w:rPr>
          <w:rFonts w:ascii="Times New Roman" w:eastAsia="Times New Roman" w:hAnsi="Times New Roman" w:cs="Times New Roman"/>
          <w:color w:val="000000" w:themeColor="text1"/>
          <w:sz w:val="24"/>
          <w:szCs w:val="24"/>
          <w:lang w:eastAsia="en-GB"/>
        </w:rPr>
        <w:fldChar w:fldCharType="end"/>
      </w:r>
      <w:r w:rsidRPr="001016D6">
        <w:rPr>
          <w:rFonts w:ascii="Times New Roman" w:eastAsia="Times New Roman" w:hAnsi="Times New Roman" w:cs="Times New Roman"/>
          <w:color w:val="000000" w:themeColor="text1"/>
          <w:sz w:val="24"/>
          <w:szCs w:val="24"/>
          <w:lang w:eastAsia="en-GB"/>
        </w:rPr>
        <w:t xml:space="preserve"> found a significantly higher incidence of OHT 45% in patients receiving 4 mg IVTA, aligning more with this study's findings, considering the same dosage. Likewise, </w:t>
      </w:r>
      <w:r w:rsidRPr="001016D6">
        <w:rPr>
          <w:rFonts w:ascii="Times New Roman" w:eastAsia="Times New Roman" w:hAnsi="Times New Roman" w:cs="Times New Roman"/>
          <w:color w:val="000000" w:themeColor="text1"/>
          <w:sz w:val="24"/>
          <w:szCs w:val="24"/>
          <w:lang w:eastAsia="en-GB"/>
        </w:rPr>
        <w:fldChar w:fldCharType="begin" w:fldLock="1"/>
      </w:r>
      <w:r w:rsidR="001A3D64" w:rsidRPr="001016D6">
        <w:rPr>
          <w:rFonts w:ascii="Times New Roman" w:eastAsia="Times New Roman" w:hAnsi="Times New Roman" w:cs="Times New Roman"/>
          <w:color w:val="000000" w:themeColor="text1"/>
          <w:sz w:val="24"/>
          <w:szCs w:val="24"/>
          <w:lang w:eastAsia="en-GB"/>
        </w:rPr>
        <w:instrText>ADDIN CSL_CITATION {"citationItems":[{"id":"ITEM-1","itemData":{"DOI":"10.19127/mbsjohs.413426","abstract":"Objective: The use of intravitreal triamcinolone acetonide (IVTA) for intraocular neovascular, proliferative and edematous diseases has led to an increased incidence of corticosteroid-induced ocular hypertension. Even though largely replaced with anti-vascular endothelial growth factor (anti-VEGF) agents and slow-release dexamethasone implants, boosters are still required in nonresponsive or minimally responsive patients, in cases of tachyplaxis to these agents, or in combination therapies with anti-VEGFs.Metods: The records of 136 eyes of 124 patients who underwent 4 mg/ml IVTA treatment for macular edema of variable etiologies of diabetic macular edema, retinal vein occlusions, subretinal choroidal neovascularization, Irvine-Gass Syndrome, retinitis pigmentosa and idiopathic juxtafoveal telengiectasia in the period 2001–2006 were reviewed. Seventy-six eyes of 71 patients of which were followed for at least 3 months were included in the study.  The patients were examined at the first day, second week, first month and every month after the injection. Mean intraocular pressure (IOP), IOP exceeding 21 mmHg and percentage of patients exhibiting IOP increase of 5 mmHg after IVTA injection, during the follow-up period were evaluated and compared statistically. Results: Mean age was 56.64±12.65 years and male to female ratio was 35/36. Mean follow-up time was 12.13±10.30 months. The mean IOP increased statistically (p= &amp;lt;0.001) during follow-up from 14.95±3.15 mmHg pre-injection level reaching to a maximum of 21.66±6.48 mmHg and decreased statistically (p= &amp;lt;0.001) to 15.58±4.16 mmHg at the end of the follow-up. There was no statistical difference between pre-injection and post-injection IOP levels (p=0.406). The IOP levels exceeded 21 mmHg in 46.05% of the eyes. There was an increase of 5 mmHg and more above the pre-injection level in the 53.94% of the eyes. Maximum IOP levels were reached at the 2.77±3.72 month. In 24 (31.58%)  eyes, topical antiglaucomatous therapy was needed and later 1 eye (4.6%) required surgical intervention and 1 eye (4.6%) required argon laser trabeculoplasty to lower the IOP. Conclusion: The most common complication following İVTA injections is rise in IOP. Most of these ocular hypertension cases are controllable by medical therapy. However, the risk of glaucoma requiring surgery or long term antiglaucomatous use validate the necessity of a meticulous patient selection and close monitorization of IOP.","author":[{"dropping-particle":"","family":"KARAKAHYA","given":"Refika Hande","non-dropping-particle":"","parse-names":false,"suffix":""},{"dropping-particle":"","family":"KALAYCI","given":"Defne","non-dropping-particle":"","parse-names":false,"suffix":""},{"dropping-particle":"","family":"KARAKURT","given":"Ahmet","non-dropping-particle":"","parse-names":false,"suffix":""}],"container-title":"Middle Black Sea Journal of Health Science","id":"ITEM-1","issue":"1","issued":{"date-parts":[["2018"]]},"page":"24-30","title":"Ocular Hypertension and Glaucoma after Intravitreal Injection of Triamcinolone Acetonide","type":"article-journal","volume":"4"},"uris":["http://www.mendeley.com/documents/?uuid=8fb7be62-1746-4cb2-b309-c9a25ab33be8"]}],"mendeley":{"formattedCitation":"(2)","plainTextFormattedCitation":"(2)","previouslyFormattedCitation":"(KARAKAHYA, KALAYCI and KARAKURT, 2018)"},"properties":{"noteIndex":0},"schema":"https://github.com/citation-style-language/schema/raw/master/csl-citation.json"}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lang w:eastAsia="en-GB"/>
        </w:rPr>
        <w:fldChar w:fldCharType="separate"/>
      </w:r>
      <w:r w:rsidR="001A3D64" w:rsidRPr="001016D6">
        <w:rPr>
          <w:rFonts w:ascii="Times New Roman" w:eastAsia="Times New Roman" w:hAnsi="Times New Roman" w:cs="Times New Roman"/>
          <w:noProof/>
          <w:color w:val="000000" w:themeColor="text1"/>
          <w:sz w:val="24"/>
          <w:szCs w:val="24"/>
          <w:lang w:eastAsia="en-GB"/>
        </w:rPr>
        <w:t>(2)</w:t>
      </w:r>
      <w:r w:rsidRPr="001016D6">
        <w:rPr>
          <w:rFonts w:ascii="Times New Roman" w:eastAsia="Times New Roman" w:hAnsi="Times New Roman" w:cs="Times New Roman"/>
          <w:color w:val="000000" w:themeColor="text1"/>
          <w:sz w:val="24"/>
          <w:szCs w:val="24"/>
          <w:lang w:eastAsia="en-GB"/>
        </w:rPr>
        <w:fldChar w:fldCharType="end"/>
      </w:r>
      <w:r w:rsidRPr="001016D6">
        <w:rPr>
          <w:rFonts w:ascii="Times New Roman" w:eastAsia="Times New Roman" w:hAnsi="Times New Roman" w:cs="Times New Roman"/>
          <w:bCs/>
          <w:color w:val="000000" w:themeColor="text1"/>
          <w:sz w:val="24"/>
          <w:szCs w:val="24"/>
          <w:lang w:eastAsia="en-GB"/>
        </w:rPr>
        <w:t xml:space="preserve"> </w:t>
      </w:r>
      <w:r w:rsidRPr="001016D6">
        <w:rPr>
          <w:rFonts w:ascii="Times New Roman" w:eastAsia="Times New Roman" w:hAnsi="Times New Roman" w:cs="Times New Roman"/>
          <w:color w:val="000000" w:themeColor="text1"/>
          <w:sz w:val="24"/>
          <w:szCs w:val="24"/>
          <w:lang w:eastAsia="en-GB"/>
        </w:rPr>
        <w:t>reported that 46% of patients developed IOP ≥21 mmHg post-injection. The differences between studies may be due to patient demographics, baseline ocular conditions, duration of follow-up, and definitions of OHT.</w:t>
      </w:r>
    </w:p>
    <w:p w14:paraId="3D260D9D" w14:textId="7777777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 xml:space="preserve">A similar figure was reported by </w:t>
      </w:r>
      <w:r w:rsidRPr="001016D6">
        <w:rPr>
          <w:rFonts w:ascii="Times New Roman" w:eastAsia="Times New Roman" w:hAnsi="Times New Roman" w:cs="Times New Roman"/>
          <w:color w:val="000000" w:themeColor="text1"/>
          <w:sz w:val="24"/>
          <w:szCs w:val="24"/>
          <w:lang w:eastAsia="en-GB"/>
        </w:rPr>
        <w:fldChar w:fldCharType="begin" w:fldLock="1"/>
      </w:r>
      <w:r w:rsidR="001A3D64" w:rsidRPr="001016D6">
        <w:rPr>
          <w:rFonts w:ascii="Times New Roman" w:eastAsia="Times New Roman" w:hAnsi="Times New Roman" w:cs="Times New Roman"/>
          <w:color w:val="000000" w:themeColor="text1"/>
          <w:sz w:val="24"/>
          <w:szCs w:val="24"/>
          <w:lang w:eastAsia="en-GB"/>
        </w:rPr>
        <w:instrText>ADDIN CSL_CITATION {"citationItems":[{"id":"ITEM-1","itemData":{"DOI":"10.1371/journal.pone.0317782","author":[{"dropping-particle":"","family":"Liu","given":"Kexin","non-dropping-particle":"","parse-names":false,"suffix":""},{"dropping-particle":"","family":"Yi","given":"Jinyang","non-dropping-particle":"","parse-names":false,"suffix":""},{"dropping-particle":"","family":"Xu","given":"Juan","non-dropping-particle":"","parse-names":false,"suffix":""},{"dropping-particle":"","family":"Zhong","given":"Li","non-dropping-particle":"","parse-names":false,"suffix":""},{"dropping-particle":"","family":"Su","given":"Na","non-dropping-particle":"","parse-names":false,"suffix":""}],"id":"ITEM-1","issued":{"date-parts":[["2025"]]},"page":"1-20","title":"Efficacy of different routes of triamcinolone acetonide administration on macular edema : A systematic review and network meta- analysis","type":"article-journal"},"uris":["http://www.mendeley.com/documents/?uuid=d55e94e7-9dc8-4277-8c3e-4940842a072c"]}],"mendeley":{"formattedCitation":"(15)","manualFormatting":"(Martinez Fernandeez et al., 2024)","plainTextFormattedCitation":"(15)","previouslyFormattedCitation":"(Liu &lt;i&gt;et al.&lt;/i&gt;, 2025a)"},"properties":{"noteIndex":0},"schema":"https://github.com/citation-style-language/schema/raw/master/csl-citation.json"}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lang w:eastAsia="en-GB"/>
        </w:rPr>
        <w:fldChar w:fldCharType="separate"/>
      </w:r>
      <w:r w:rsidRPr="001016D6">
        <w:rPr>
          <w:rFonts w:ascii="Times New Roman" w:eastAsia="Times New Roman" w:hAnsi="Times New Roman" w:cs="Times New Roman"/>
          <w:noProof/>
          <w:color w:val="000000" w:themeColor="text1"/>
          <w:sz w:val="24"/>
          <w:szCs w:val="24"/>
          <w:lang w:eastAsia="en-GB"/>
        </w:rPr>
        <w:t xml:space="preserve">(Martinez Fernandeez </w:t>
      </w:r>
      <w:r w:rsidRPr="001016D6">
        <w:rPr>
          <w:rFonts w:ascii="Times New Roman" w:eastAsia="Times New Roman" w:hAnsi="Times New Roman" w:cs="Times New Roman"/>
          <w:i/>
          <w:noProof/>
          <w:color w:val="000000" w:themeColor="text1"/>
          <w:sz w:val="24"/>
          <w:szCs w:val="24"/>
          <w:lang w:eastAsia="en-GB"/>
        </w:rPr>
        <w:t>et al.</w:t>
      </w:r>
      <w:r w:rsidRPr="001016D6">
        <w:rPr>
          <w:rFonts w:ascii="Times New Roman" w:eastAsia="Times New Roman" w:hAnsi="Times New Roman" w:cs="Times New Roman"/>
          <w:noProof/>
          <w:color w:val="000000" w:themeColor="text1"/>
          <w:sz w:val="24"/>
          <w:szCs w:val="24"/>
          <w:lang w:eastAsia="en-GB"/>
        </w:rPr>
        <w:t>, 2024)</w:t>
      </w:r>
      <w:r w:rsidRPr="001016D6">
        <w:rPr>
          <w:rFonts w:ascii="Times New Roman" w:eastAsia="Times New Roman" w:hAnsi="Times New Roman" w:cs="Times New Roman"/>
          <w:color w:val="000000" w:themeColor="text1"/>
          <w:sz w:val="24"/>
          <w:szCs w:val="24"/>
          <w:lang w:eastAsia="en-GB"/>
        </w:rPr>
        <w:fldChar w:fldCharType="end"/>
      </w:r>
      <w:r w:rsidRPr="001016D6">
        <w:rPr>
          <w:rFonts w:ascii="Times New Roman" w:eastAsia="Times New Roman" w:hAnsi="Times New Roman" w:cs="Times New Roman"/>
          <w:color w:val="000000" w:themeColor="text1"/>
          <w:sz w:val="24"/>
          <w:szCs w:val="24"/>
          <w:lang w:eastAsia="en-GB"/>
        </w:rPr>
        <w:t xml:space="preserve"> in a Spanish </w:t>
      </w:r>
      <w:proofErr w:type="spellStart"/>
      <w:r w:rsidRPr="001016D6">
        <w:rPr>
          <w:rFonts w:ascii="Times New Roman" w:eastAsia="Times New Roman" w:hAnsi="Times New Roman" w:cs="Times New Roman"/>
          <w:color w:val="000000" w:themeColor="text1"/>
          <w:sz w:val="24"/>
          <w:szCs w:val="24"/>
          <w:lang w:eastAsia="en-GB"/>
        </w:rPr>
        <w:t>multicenter</w:t>
      </w:r>
      <w:proofErr w:type="spellEnd"/>
      <w:r w:rsidRPr="001016D6">
        <w:rPr>
          <w:rFonts w:ascii="Times New Roman" w:eastAsia="Times New Roman" w:hAnsi="Times New Roman" w:cs="Times New Roman"/>
          <w:color w:val="000000" w:themeColor="text1"/>
          <w:sz w:val="24"/>
          <w:szCs w:val="24"/>
          <w:lang w:eastAsia="en-GB"/>
        </w:rPr>
        <w:t xml:space="preserve"> cohort, where 36.9% of patients receiving IVTA for branch retinal vein occlusion experienced transient IOP spikes within the first 8 weeks. Importantly, their study revealed that 11.2% of cases required long-term IOP-lowering therapy, underscoring that a significant portion of early spikes can develop into chronic pressure issues if not properly managed.</w:t>
      </w:r>
    </w:p>
    <w:p w14:paraId="77E51C1E" w14:textId="7777777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 xml:space="preserve">This study uniquely tracked IOP changes not only at baseline and follow-up but also </w:t>
      </w:r>
      <w:r w:rsidRPr="001016D6">
        <w:rPr>
          <w:rFonts w:ascii="Times New Roman" w:eastAsia="Times New Roman" w:hAnsi="Times New Roman" w:cs="Times New Roman"/>
          <w:bCs/>
          <w:color w:val="000000" w:themeColor="text1"/>
          <w:sz w:val="24"/>
          <w:szCs w:val="24"/>
          <w:lang w:eastAsia="en-GB"/>
        </w:rPr>
        <w:t>immediately post-injection</w:t>
      </w:r>
      <w:r w:rsidRPr="001016D6">
        <w:rPr>
          <w:rFonts w:ascii="Times New Roman" w:eastAsia="Times New Roman" w:hAnsi="Times New Roman" w:cs="Times New Roman"/>
          <w:color w:val="000000" w:themeColor="text1"/>
          <w:sz w:val="24"/>
          <w:szCs w:val="24"/>
          <w:lang w:eastAsia="en-GB"/>
        </w:rPr>
        <w:t xml:space="preserve">, offering insight into acute physiological responses to IVTA. This </w:t>
      </w:r>
      <w:r w:rsidRPr="001016D6">
        <w:rPr>
          <w:rFonts w:ascii="Times New Roman" w:eastAsia="Times New Roman" w:hAnsi="Times New Roman" w:cs="Times New Roman"/>
          <w:color w:val="000000" w:themeColor="text1"/>
          <w:sz w:val="24"/>
          <w:szCs w:val="24"/>
          <w:lang w:eastAsia="en-GB"/>
        </w:rPr>
        <w:lastRenderedPageBreak/>
        <w:t xml:space="preserve">immediate spike in IOP (mean: 28.42 mmHg) was higher than reported by </w:t>
      </w:r>
      <w:r w:rsidRPr="001016D6">
        <w:rPr>
          <w:rFonts w:ascii="Times New Roman" w:eastAsia="Times New Roman" w:hAnsi="Times New Roman" w:cs="Times New Roman"/>
          <w:color w:val="000000" w:themeColor="text1"/>
          <w:sz w:val="24"/>
          <w:szCs w:val="24"/>
          <w:lang w:eastAsia="en-GB"/>
        </w:rPr>
        <w:fldChar w:fldCharType="begin" w:fldLock="1"/>
      </w:r>
      <w:r w:rsidR="001A3D64" w:rsidRPr="001016D6">
        <w:rPr>
          <w:rFonts w:ascii="Times New Roman" w:eastAsia="Times New Roman" w:hAnsi="Times New Roman" w:cs="Times New Roman"/>
          <w:color w:val="000000" w:themeColor="text1"/>
          <w:sz w:val="24"/>
          <w:szCs w:val="24"/>
          <w:lang w:eastAsia="en-GB"/>
        </w:rPr>
        <w:instrText>ADDIN CSL_CITATION {"citationItems":[{"id":"ITEM-1","itemData":{"DOI":"10.36351/pjo.v39i3.1626","author":[{"dropping-particle":"","family":"Article","given":"Original","non-dropping-particle":"","parse-names":false,"suffix":""},{"dropping-particle":"","family":"Rathi","given":"Rishabh","non-dropping-particle":"","parse-names":false,"suffix":""},{"dropping-particle":"","family":"Patel","given":"Smita","non-dropping-particle":"","parse-names":false,"suffix":""},{"dropping-particle":"","family":"Jain","given":"Amisha","non-dropping-particle":"","parse-names":false,"suffix":""},{"dropping-particle":"","family":"Jaiswal","given":"Komal","non-dropping-particle":"","parse-names":false,"suffix":""},{"dropping-particle":"","family":"Nema","given":"Nitin","non-dropping-particle":"","parse-names":false,"suffix":""}],"id":"ITEM-1","issue":"3","issued":{"date-parts":[["2023"]]},"page":"190-195","title":"Intraocular Pressure Elevation Following Intra- Vitreal Injection of Bevacizumab , Ranibizumab and Triamcinolone Acetonide","type":"article-journal","volume":"39"},"uris":["http://www.mendeley.com/documents/?uuid=983b9c85-a997-4352-844c-a271db0bf582"]}],"mendeley":{"formattedCitation":"(6)","manualFormatting":"(Rathi et al., 2023)","plainTextFormattedCitation":"(6)","previouslyFormattedCitation":"(Article &lt;i&gt;et al.&lt;/i&gt;, 2023)"},"properties":{"noteIndex":0},"schema":"https://github.com/citation-style-language/schema/raw/master/csl-citation.json"}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lang w:eastAsia="en-GB"/>
        </w:rPr>
        <w:fldChar w:fldCharType="separate"/>
      </w:r>
      <w:r w:rsidRPr="001016D6">
        <w:rPr>
          <w:rFonts w:ascii="Times New Roman" w:eastAsia="Times New Roman" w:hAnsi="Times New Roman" w:cs="Times New Roman"/>
          <w:noProof/>
          <w:color w:val="000000" w:themeColor="text1"/>
          <w:sz w:val="24"/>
          <w:szCs w:val="24"/>
          <w:lang w:eastAsia="en-GB"/>
        </w:rPr>
        <w:t xml:space="preserve">(Rathi </w:t>
      </w:r>
      <w:r w:rsidRPr="001016D6">
        <w:rPr>
          <w:rFonts w:ascii="Times New Roman" w:eastAsia="Times New Roman" w:hAnsi="Times New Roman" w:cs="Times New Roman"/>
          <w:i/>
          <w:noProof/>
          <w:color w:val="000000" w:themeColor="text1"/>
          <w:sz w:val="24"/>
          <w:szCs w:val="24"/>
          <w:lang w:eastAsia="en-GB"/>
        </w:rPr>
        <w:t>et al.</w:t>
      </w:r>
      <w:r w:rsidRPr="001016D6">
        <w:rPr>
          <w:rFonts w:ascii="Times New Roman" w:eastAsia="Times New Roman" w:hAnsi="Times New Roman" w:cs="Times New Roman"/>
          <w:noProof/>
          <w:color w:val="000000" w:themeColor="text1"/>
          <w:sz w:val="24"/>
          <w:szCs w:val="24"/>
          <w:lang w:eastAsia="en-GB"/>
        </w:rPr>
        <w:t>, 2023)</w:t>
      </w:r>
      <w:r w:rsidRPr="001016D6">
        <w:rPr>
          <w:rFonts w:ascii="Times New Roman" w:eastAsia="Times New Roman" w:hAnsi="Times New Roman" w:cs="Times New Roman"/>
          <w:color w:val="000000" w:themeColor="text1"/>
          <w:sz w:val="24"/>
          <w:szCs w:val="24"/>
          <w:lang w:eastAsia="en-GB"/>
        </w:rPr>
        <w:fldChar w:fldCharType="end"/>
      </w:r>
      <w:r w:rsidRPr="001016D6">
        <w:rPr>
          <w:rFonts w:ascii="Times New Roman" w:eastAsia="Times New Roman" w:hAnsi="Times New Roman" w:cs="Times New Roman"/>
          <w:color w:val="000000" w:themeColor="text1"/>
          <w:sz w:val="24"/>
          <w:szCs w:val="24"/>
          <w:lang w:eastAsia="en-GB"/>
        </w:rPr>
        <w:t>, who found that 90% of patients had IOP &lt; 21 mmHg at 30 minutes post-injection. Such discrepancies could be due to variations in administration technique or pain-induced Valsalva effects, as acknowledged in our study limitations.</w:t>
      </w:r>
    </w:p>
    <w:p w14:paraId="2B74B42B" w14:textId="7777777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 xml:space="preserve">The </w:t>
      </w:r>
      <w:r w:rsidRPr="001016D6">
        <w:rPr>
          <w:rFonts w:ascii="Times New Roman" w:eastAsia="Times New Roman" w:hAnsi="Times New Roman" w:cs="Times New Roman"/>
          <w:color w:val="000000" w:themeColor="text1"/>
          <w:sz w:val="24"/>
          <w:szCs w:val="24"/>
          <w:lang w:eastAsia="en-GB"/>
        </w:rPr>
        <w:fldChar w:fldCharType="begin" w:fldLock="1"/>
      </w:r>
      <w:r w:rsidR="001A3D64" w:rsidRPr="001016D6">
        <w:rPr>
          <w:rFonts w:ascii="Times New Roman" w:eastAsia="Times New Roman" w:hAnsi="Times New Roman" w:cs="Times New Roman"/>
          <w:color w:val="000000" w:themeColor="text1"/>
          <w:sz w:val="24"/>
          <w:szCs w:val="24"/>
          <w:lang w:eastAsia="en-GB"/>
        </w:rPr>
        <w:instrText>ADDIN CSL_CITATION {"citationItems":[{"id":"ITEM-1","itemData":{"DOI":"10.17925/ee.2012.08.01.42","ISSN":"17583780","abstract":"Diabetic macular oedema is a major cause of severe visual loss whose pathogenesis appears to be complex and multifactorial. For many years laser photocoagulation has been the standard of care for the treatment of this condition. Emerging pharmacologic approaches are being evaluated through randomised controlled trials. Triamcinolone acetonide has been proposed as a promising option, due to its well-known anti-inflammatory, anti-permeability and anti-angiogenic properties. Intravitreal delivery allows bypassing of the blood-retinal barrier to achieve a more concentrated dose of steroid in the vitreal cavity for a prolonged time. Intravitreal triamcinolone acetonide is effective in reducing central macular thickness and improving visual acuity, even if the duration of action is often provisional and requires repeated injections. Drug-related and injection-related side effects have been reported; the most common are induced cataract and increased intraocular pressure. To extend the duration of steroid effects and to minimise the risk of complications, alternative routes of administration and extend-release implants are being investigated. © TOUCH BRIEFINGS 2012.","author":[{"dropping-particle":"","family":"Sarao","given":"Valentina","non-dropping-particle":"","parse-names":false,"suffix":""},{"dropping-particle":"","family":"Veritti","given":"Daniele","non-dropping-particle":"","parse-names":false,"suffix":""},{"dropping-particle":"","family":"Lanzetta","given":"Paolo","non-dropping-particle":"","parse-names":false,"suffix":""}],"container-title":"European Endocrinology","id":"ITEM-1","issue":"1","issued":{"date-parts":[["2012"]]},"page":"42-47","title":"Triamcinolone acetonide for the treatment of diabetic macular oedema","type":"article-journal","volume":"8"},"uris":["http://www.mendeley.com/documents/?uuid=7a057fab-dd27-4614-85ca-9c46c3d9d50a"]}],"mendeley":{"formattedCitation":"(16)","plainTextFormattedCitation":"(16)","previouslyFormattedCitation":"(Sarao, Veritti and Lanzetta, 2012)"},"properties":{"noteIndex":0},"schema":"https://github.com/citation-style-language/schema/raw/master/csl-citation.json"}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lang w:eastAsia="en-GB"/>
        </w:rPr>
        <w:fldChar w:fldCharType="separate"/>
      </w:r>
      <w:r w:rsidR="001A3D64" w:rsidRPr="001016D6">
        <w:rPr>
          <w:rFonts w:ascii="Times New Roman" w:eastAsia="Times New Roman" w:hAnsi="Times New Roman" w:cs="Times New Roman"/>
          <w:noProof/>
          <w:color w:val="000000" w:themeColor="text1"/>
          <w:sz w:val="24"/>
          <w:szCs w:val="24"/>
          <w:lang w:eastAsia="en-GB"/>
        </w:rPr>
        <w:t>(16)</w:t>
      </w:r>
      <w:r w:rsidRPr="001016D6">
        <w:rPr>
          <w:rFonts w:ascii="Times New Roman" w:eastAsia="Times New Roman" w:hAnsi="Times New Roman" w:cs="Times New Roman"/>
          <w:color w:val="000000" w:themeColor="text1"/>
          <w:sz w:val="24"/>
          <w:szCs w:val="24"/>
          <w:lang w:eastAsia="en-GB"/>
        </w:rPr>
        <w:fldChar w:fldCharType="end"/>
      </w:r>
      <w:r w:rsidRPr="001016D6">
        <w:rPr>
          <w:rFonts w:ascii="Times New Roman" w:hAnsi="Times New Roman" w:cs="Times New Roman"/>
          <w:color w:val="000000" w:themeColor="text1"/>
          <w:sz w:val="24"/>
          <w:szCs w:val="24"/>
        </w:rPr>
        <w:t xml:space="preserve"> reports have described IOP elevation as the most common adverse event of intravitreal TA. Mild to moderate IOP elevation was seen in 28-42% of patients, typically within the first three months following injection. This condition is usually controlled with topical agents alone. About 1% of patients require surgical treatment. Selective laser trabeculoplasty (SLT) is a treatment alternative or adjunct to medical therapy. </w:t>
      </w:r>
      <w:r w:rsidRPr="001016D6">
        <w:rPr>
          <w:rFonts w:ascii="Times New Roman" w:eastAsia="Times New Roman" w:hAnsi="Times New Roman" w:cs="Times New Roman"/>
          <w:color w:val="000000" w:themeColor="text1"/>
          <w:sz w:val="24"/>
          <w:szCs w:val="24"/>
          <w:lang w:eastAsia="en-GB"/>
        </w:rPr>
        <w:t>These figures validate our local findings and support the idea that socioeconomic status or ethnicity may not significantly alter OHT risk when the same drug and dosage are used.</w:t>
      </w:r>
    </w:p>
    <w:p w14:paraId="3730A678" w14:textId="7777777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These findings support the consistency of IVTA-induced OHT incidence across diverse settings, including low-resource environments such as KCMC. The 35% incidence observed in Tanzania underscores the importance of regular IOP monitoring following IVTA.</w:t>
      </w:r>
    </w:p>
    <w:p w14:paraId="606F230E" w14:textId="7777777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 xml:space="preserve">Our study observed an </w:t>
      </w:r>
      <w:r w:rsidRPr="001016D6">
        <w:rPr>
          <w:rFonts w:ascii="Times New Roman" w:eastAsia="Times New Roman" w:hAnsi="Times New Roman" w:cs="Times New Roman"/>
          <w:bCs/>
          <w:color w:val="000000" w:themeColor="text1"/>
          <w:sz w:val="24"/>
          <w:szCs w:val="24"/>
          <w:lang w:eastAsia="en-GB"/>
        </w:rPr>
        <w:t>immediate spike in IOP (mean 28.42 mmHg)</w:t>
      </w:r>
      <w:r w:rsidRPr="001016D6">
        <w:rPr>
          <w:rFonts w:ascii="Times New Roman" w:eastAsia="Times New Roman" w:hAnsi="Times New Roman" w:cs="Times New Roman"/>
          <w:color w:val="000000" w:themeColor="text1"/>
          <w:sz w:val="24"/>
          <w:szCs w:val="24"/>
          <w:lang w:eastAsia="en-GB"/>
        </w:rPr>
        <w:t xml:space="preserve"> post-injection, which reduced gradually over 6 weeks. This biphasic IOP trajectory was also described by </w:t>
      </w:r>
      <w:r w:rsidRPr="001016D6">
        <w:rPr>
          <w:rFonts w:ascii="Times New Roman" w:eastAsia="Times New Roman" w:hAnsi="Times New Roman" w:cs="Times New Roman"/>
          <w:color w:val="000000" w:themeColor="text1"/>
          <w:sz w:val="24"/>
          <w:szCs w:val="24"/>
          <w:lang w:eastAsia="en-GB"/>
        </w:rPr>
        <w:fldChar w:fldCharType="begin" w:fldLock="1"/>
      </w:r>
      <w:r w:rsidR="001A3D64" w:rsidRPr="001016D6">
        <w:rPr>
          <w:rFonts w:ascii="Times New Roman" w:eastAsia="Times New Roman" w:hAnsi="Times New Roman" w:cs="Times New Roman"/>
          <w:color w:val="000000" w:themeColor="text1"/>
          <w:sz w:val="24"/>
          <w:szCs w:val="24"/>
          <w:lang w:eastAsia="en-GB"/>
        </w:rPr>
        <w:instrText>ADDIN CSL_CITATION {"citationItems":[{"id":"ITEM-1","itemData":{"DOI":"10.1111/ced.14381","ISSN":"0307-6938","abstract":"Alopecia areata (AA) is a chronic, autoimmune disorder that results in nonscarring hair loss. Analysis of the affected follicular units in acute AA and regrowing white hair showed that the disease preferentially affected the hair bulb melanocytes and differentiating cortical keratinocytes, respectively. Reports on sparing of senile white hair suggests that melanocytes in the hair follicle are favoured as the main target in the pathogenesis of AA.1, 2 The lifetime incidence of idiopathic AA (IAA) is approximately 2.1%, but there are limited data on drug‐induced AA (DIAA). 3 We report a case of DIAA associated with lansoprazole.","author":[{"dropping-particle":"","family":"Murad","given":"A","non-dropping-particle":"","parse-names":false,"suffix":""},{"dropping-particle":"","family":"Maguire","given":"J","non-dropping-particle":"","parse-names":false,"suffix":""},{"dropping-particle":"","family":"Bergfeld","given":"W","non-dropping-particle":"","parse-names":false,"suffix":""}],"container-title":"Clinical and Experimental Dermatology","id":"ITEM-1","issue":"2","issued":{"date-parts":[["2021","3","1"]]},"page":"363-366","title":"Drug‐induced alopecia areata?","type":"article-journal","volume":"46"},"uris":["http://www.mendeley.com/documents/?uuid=506b41a2-2ee6-43c9-aa1c-8ba48dfb60c0"]}],"mendeley":{"formattedCitation":"(8)","plainTextFormattedCitation":"(8)","previouslyFormattedCitation":"(Murad, Maguire and Bergfeld, 2021)"},"properties":{"noteIndex":0},"schema":"https://github.com/citation-style-language/schema/raw/master/csl-citation.json"}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lang w:eastAsia="en-GB"/>
        </w:rPr>
        <w:fldChar w:fldCharType="separate"/>
      </w:r>
      <w:r w:rsidR="001A3D64" w:rsidRPr="001016D6">
        <w:rPr>
          <w:rFonts w:ascii="Times New Roman" w:eastAsia="Times New Roman" w:hAnsi="Times New Roman" w:cs="Times New Roman"/>
          <w:noProof/>
          <w:color w:val="000000" w:themeColor="text1"/>
          <w:sz w:val="24"/>
          <w:szCs w:val="24"/>
          <w:lang w:eastAsia="en-GB"/>
        </w:rPr>
        <w:t>(8)</w:t>
      </w:r>
      <w:r w:rsidRPr="001016D6">
        <w:rPr>
          <w:rFonts w:ascii="Times New Roman" w:eastAsia="Times New Roman" w:hAnsi="Times New Roman" w:cs="Times New Roman"/>
          <w:color w:val="000000" w:themeColor="text1"/>
          <w:sz w:val="24"/>
          <w:szCs w:val="24"/>
          <w:lang w:eastAsia="en-GB"/>
        </w:rPr>
        <w:fldChar w:fldCharType="end"/>
      </w:r>
      <w:r w:rsidRPr="001016D6">
        <w:rPr>
          <w:rFonts w:ascii="Times New Roman" w:eastAsia="Times New Roman" w:hAnsi="Times New Roman" w:cs="Times New Roman"/>
          <w:bCs/>
          <w:color w:val="000000" w:themeColor="text1"/>
          <w:sz w:val="24"/>
          <w:szCs w:val="24"/>
          <w:lang w:eastAsia="en-GB"/>
        </w:rPr>
        <w:t xml:space="preserve"> </w:t>
      </w:r>
      <w:r w:rsidRPr="001016D6">
        <w:rPr>
          <w:rFonts w:ascii="Times New Roman" w:eastAsia="Times New Roman" w:hAnsi="Times New Roman" w:cs="Times New Roman"/>
          <w:color w:val="000000" w:themeColor="text1"/>
          <w:sz w:val="24"/>
          <w:szCs w:val="24"/>
          <w:lang w:eastAsia="en-GB"/>
        </w:rPr>
        <w:t>in Qatar, who documented a median IOP rise of 13.2 mmHg immediately after IVTA and a partial regression to baseline by week 8. They attributed this trend to acute vitreous volume changes followed by delayed trabecular resistance.</w:t>
      </w:r>
    </w:p>
    <w:p w14:paraId="22A0CBA5" w14:textId="7777777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 xml:space="preserve">This study showed that mean IOP rose significantly immediately after injection (from 14.6 mmHg to 28.4 mmHg), decreased to 17.75 mmHg at 2 weeks, and stabilized at 17.05 mmHg by 6 weeks. This biphasic pattern of an initial sharp rise followed by partial normalization is consistent with findings from </w:t>
      </w:r>
      <w:r w:rsidRPr="001016D6">
        <w:rPr>
          <w:rFonts w:ascii="Times New Roman" w:eastAsia="Times New Roman" w:hAnsi="Times New Roman" w:cs="Times New Roman"/>
          <w:color w:val="000000" w:themeColor="text1"/>
          <w:sz w:val="24"/>
          <w:szCs w:val="24"/>
          <w:lang w:eastAsia="en-GB"/>
        </w:rPr>
        <w:fldChar w:fldCharType="begin" w:fldLock="1"/>
      </w:r>
      <w:r w:rsidR="001A3D64" w:rsidRPr="001016D6">
        <w:rPr>
          <w:rFonts w:ascii="Times New Roman" w:eastAsia="Times New Roman" w:hAnsi="Times New Roman" w:cs="Times New Roman"/>
          <w:color w:val="000000" w:themeColor="text1"/>
          <w:sz w:val="24"/>
          <w:szCs w:val="24"/>
          <w:lang w:eastAsia="en-GB"/>
        </w:rPr>
        <w:instrText>ADDIN CSL_CITATION {"citationItems":[{"id":"ITEM-1","itemData":{"DOI":"10.3897/folmed.64.e61424","author":[{"dropping-particle":"","family":"Johari","given":"Mohammad Karim","non-dropping-particle":"","parse-names":false,"suffix":""},{"dropping-particle":"","family":"Askari","given":"Malihe","non-dropping-particle":"","parse-names":false,"suffix":""},{"dropping-particle":"","family":"Amini","given":"Abdulrahim","non-dropping-particle":"","parse-names":false,"suffix":""},{"dropping-particle":"","family":"Yasemi","given":"Masoud","non-dropping-particle":"","parse-names":false,"suffix":""}],"id":"ITEM-1","issue":"2","issued":{"date-parts":[["2022"]]},"page":"240-247","title":"Acute Systemic Complications of Intravitreal Bevacizumab and Triamcinolone Injections – a Comparative Study","type":"article-journal","volume":"64"},"uris":["http://www.mendeley.com/documents/?uuid=1b614a34-a079-4fb4-ad60-dfd5c38496f2"]}],"mendeley":{"formattedCitation":"(17)","plainTextFormattedCitation":"(17)","previouslyFormattedCitation":"(Johari &lt;i&gt;et al.&lt;/i&gt;, 2022)"},"properties":{"noteIndex":0},"schema":"https://github.com/citation-style-language/schema/raw/master/csl-citation.json"}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lang w:eastAsia="en-GB"/>
        </w:rPr>
        <w:fldChar w:fldCharType="separate"/>
      </w:r>
      <w:r w:rsidR="001A3D64" w:rsidRPr="001016D6">
        <w:rPr>
          <w:rFonts w:ascii="Times New Roman" w:eastAsia="Times New Roman" w:hAnsi="Times New Roman" w:cs="Times New Roman"/>
          <w:noProof/>
          <w:color w:val="000000" w:themeColor="text1"/>
          <w:sz w:val="24"/>
          <w:szCs w:val="24"/>
          <w:lang w:eastAsia="en-GB"/>
        </w:rPr>
        <w:t>(17)</w:t>
      </w:r>
      <w:r w:rsidRPr="001016D6">
        <w:rPr>
          <w:rFonts w:ascii="Times New Roman" w:eastAsia="Times New Roman" w:hAnsi="Times New Roman" w:cs="Times New Roman"/>
          <w:color w:val="000000" w:themeColor="text1"/>
          <w:sz w:val="24"/>
          <w:szCs w:val="24"/>
          <w:lang w:eastAsia="en-GB"/>
        </w:rPr>
        <w:fldChar w:fldCharType="end"/>
      </w:r>
      <w:r w:rsidRPr="001016D6">
        <w:rPr>
          <w:rFonts w:ascii="Times New Roman" w:eastAsia="Times New Roman" w:hAnsi="Times New Roman" w:cs="Times New Roman"/>
          <w:bCs/>
          <w:color w:val="000000" w:themeColor="text1"/>
          <w:sz w:val="24"/>
          <w:szCs w:val="24"/>
          <w:lang w:eastAsia="en-GB"/>
        </w:rPr>
        <w:t xml:space="preserve"> </w:t>
      </w:r>
      <w:r w:rsidRPr="001016D6">
        <w:rPr>
          <w:rFonts w:ascii="Times New Roman" w:eastAsia="Times New Roman" w:hAnsi="Times New Roman" w:cs="Times New Roman"/>
          <w:color w:val="000000" w:themeColor="text1"/>
          <w:sz w:val="24"/>
          <w:szCs w:val="24"/>
          <w:lang w:eastAsia="en-GB"/>
        </w:rPr>
        <w:t xml:space="preserve">and </w:t>
      </w:r>
      <w:r w:rsidRPr="001016D6">
        <w:rPr>
          <w:rFonts w:ascii="Times New Roman" w:eastAsia="Times New Roman" w:hAnsi="Times New Roman" w:cs="Times New Roman"/>
          <w:color w:val="000000" w:themeColor="text1"/>
          <w:sz w:val="24"/>
          <w:szCs w:val="24"/>
          <w:lang w:eastAsia="en-GB"/>
        </w:rPr>
        <w:fldChar w:fldCharType="begin" w:fldLock="1"/>
      </w:r>
      <w:r w:rsidR="001A3D64" w:rsidRPr="001016D6">
        <w:rPr>
          <w:rFonts w:ascii="Times New Roman" w:eastAsia="Times New Roman" w:hAnsi="Times New Roman" w:cs="Times New Roman"/>
          <w:color w:val="000000" w:themeColor="text1"/>
          <w:sz w:val="24"/>
          <w:szCs w:val="24"/>
          <w:lang w:eastAsia="en-GB"/>
        </w:rPr>
        <w:instrText>ADDIN CSL_CITATION {"citationItems":[{"id":"ITEM-1","itemData":{"DOI":"10.2147/OPTH.S64721","author":[{"dropping-particle":"","family":"Lemos-reis","given":"Ricardo","non-dropping-particle":"","parse-names":false,"suffix":""},{"dropping-particle":"","family":"Moreira-gonçalves","given":"Nuno","non-dropping-particle":"","parse-names":false,"suffix":""},{"dropping-particle":"","family":"Melo","given":"António B","non-dropping-particle":"","parse-names":false,"suffix":""},{"dropping-particle":"","family":"Ângela","given":"M","non-dropping-particle":"","parse-names":false,"suffix":""},{"dropping-particle":"","family":"Falcão-reis","given":"Fernando M","non-dropping-particle":"","parse-names":false,"suffix":""}],"id":"ITEM-1","issued":{"date-parts":[["2022"]]},"title":"Immediate effect of intravitreal injection of bevacizumab on intraocular pressure Immediate effect of intravitreal injection of bevacizumab on intraocular pressure","type":"article-journal"},"uris":["http://www.mendeley.com/documents/?uuid=6c6d0055-a97b-4c63-9aac-c2993be500b3"]}],"mendeley":{"formattedCitation":"(18)","plainTextFormattedCitation":"(18)","previouslyFormattedCitation":"(Lemos-reis &lt;i&gt;et al.&lt;/i&gt;, 2022)"},"properties":{"noteIndex":0},"schema":"https://github.com/citation-style-language/schema/raw/master/csl-citation.json"}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lang w:eastAsia="en-GB"/>
        </w:rPr>
        <w:fldChar w:fldCharType="separate"/>
      </w:r>
      <w:r w:rsidR="001A3D64" w:rsidRPr="001016D6">
        <w:rPr>
          <w:rFonts w:ascii="Times New Roman" w:eastAsia="Times New Roman" w:hAnsi="Times New Roman" w:cs="Times New Roman"/>
          <w:noProof/>
          <w:color w:val="000000" w:themeColor="text1"/>
          <w:sz w:val="24"/>
          <w:szCs w:val="24"/>
          <w:lang w:eastAsia="en-GB"/>
        </w:rPr>
        <w:t>(18)</w:t>
      </w:r>
      <w:r w:rsidRPr="001016D6">
        <w:rPr>
          <w:rFonts w:ascii="Times New Roman" w:eastAsia="Times New Roman" w:hAnsi="Times New Roman" w:cs="Times New Roman"/>
          <w:color w:val="000000" w:themeColor="text1"/>
          <w:sz w:val="24"/>
          <w:szCs w:val="24"/>
          <w:lang w:eastAsia="en-GB"/>
        </w:rPr>
        <w:fldChar w:fldCharType="end"/>
      </w:r>
      <w:r w:rsidRPr="001016D6">
        <w:rPr>
          <w:rFonts w:ascii="Times New Roman" w:eastAsia="Times New Roman" w:hAnsi="Times New Roman" w:cs="Times New Roman"/>
          <w:color w:val="000000" w:themeColor="text1"/>
          <w:sz w:val="24"/>
          <w:szCs w:val="24"/>
          <w:lang w:eastAsia="en-GB"/>
        </w:rPr>
        <w:t>, where IOP spiked immediately post-injection due to volume effect but tapered over weeks.</w:t>
      </w:r>
    </w:p>
    <w:p w14:paraId="0DB14094" w14:textId="7777777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 xml:space="preserve">Furthermore, </w:t>
      </w:r>
      <w:r w:rsidRPr="001016D6">
        <w:rPr>
          <w:rFonts w:ascii="Times New Roman" w:hAnsi="Times New Roman" w:cs="Times New Roman"/>
          <w:color w:val="000000" w:themeColor="text1"/>
          <w:sz w:val="24"/>
          <w:szCs w:val="24"/>
        </w:rPr>
        <w:t xml:space="preserve">our study observed a biphasic IOP rise pattern, a sharp immediate post-injection spike (mean 28.4 mmHg), followed by a gradual decline to 17.05 mmHg at six weeks. This aligns with meta-analyses Study done by </w:t>
      </w:r>
      <w:r w:rsidRPr="001016D6">
        <w:rPr>
          <w:rFonts w:ascii="Times New Roman" w:hAnsi="Times New Roman" w:cs="Times New Roman"/>
          <w:color w:val="000000" w:themeColor="text1"/>
          <w:sz w:val="24"/>
          <w:szCs w:val="24"/>
        </w:rPr>
        <w:fldChar w:fldCharType="begin" w:fldLock="1"/>
      </w:r>
      <w:r w:rsidR="001A3D64" w:rsidRPr="001016D6">
        <w:rPr>
          <w:rFonts w:ascii="Times New Roman" w:hAnsi="Times New Roman" w:cs="Times New Roman"/>
          <w:color w:val="000000" w:themeColor="text1"/>
          <w:sz w:val="24"/>
          <w:szCs w:val="24"/>
        </w:rPr>
        <w:instrText>ADDIN CSL_CITATION {"citationItems":[{"id":"ITEM-1","itemData":{"DOI":"10.1371/journal.pone.0317782","ISBN":"1288602503979","ISSN":"19326203","abstract":"There is different administration routes of triamcinolone acetonide (TA) administration for macular edema, but the efficacy ranking remains unclear. The purpose of this study is to assess the efficacy of different administration routes of TA employed in macular edema. PubMed, Medline, Embase, and Cochrane Central Register of Controlled Trials were systematically searched for published articles comparing macular edema in patients with triamcinolone acetonide in different administration. The sparse network was evaluated using a random-effects model and consistency model within the Bayesian framework, utilizing the multinma package in R. The evidence was assessed based on the Grading of Recommendations. Assessment, Development, and Evaluation (GRADE) criteria. A total of 1138 citations were identified by our search, of which 20 RCTs enrolled 892 eyes. The network showed that intravitreal triamcinolone acetonide (IVTA) was associated with a statistically significant better best corrected visual acuity (BCVA) at the 12th week compared to placebo (MD: − 0.15, 95% CI: − 0.30 to − 0.01, P &lt; 0.05), which was moderate-quality evidence. IVTA and suprachoroidal triamcinolone acetonide (SCTA) were both associated with a statistically significant reduction in central macular thickness (CMT) at the 12th week, which was moderate evidence. The probabilities of rankings and SUCRA demonstrated that sub-Tenon’s infusion of triamcinolone acetonide (STiTA) might be the worst. SCTA and IVTA were proven to be the best administration routes for improving BCVA and reducing CMT. In addition, STiTA was less advisable than other administration routes of triamcinolone acetonide according to the rankings and SUCRA.","author":[{"dropping-particle":"","family":"Liu","given":"Kexin","non-dropping-particle":"","parse-names":false,"suffix":""},{"dropping-particle":"","family":"Yi","given":"Jinyang","non-dropping-particle":"","parse-names":false,"suffix":""},{"dropping-particle":"","family":"Xu","given":"Juan","non-dropping-particle":"","parse-names":false,"suffix":""},{"dropping-particle":"","family":"Zhong","given":"Li","non-dropping-particle":"","parse-names":false,"suffix":""},{"dropping-particle":"","family":"Su","given":"Na","non-dropping-particle":"","parse-names":false,"suffix":""}],"container-title":"PLoS ONE","id":"ITEM-1","issue":"1 January","issued":{"date-parts":[["2025"]]},"title":"Efficacy of different routes of triamcinolone acetonide administration on macular edema: A systematic review and network meta-analysis","type":"article-journal","volume":"20"},"uris":["http://www.mendeley.com/documents/?uuid=33651597-22b9-4af5-abb7-ac9708adca86"]}],"mendeley":{"formattedCitation":"(19)","plainTextFormattedCitation":"(19)","previouslyFormattedCitation":"(Liu &lt;i&gt;et al.&lt;/i&gt;, 2025b)"},"properties":{"noteIndex":0},"schema":"https://github.com/citation-style-language/schema/raw/master/csl-citation.json"}</w:instrText>
      </w:r>
      <w:r w:rsidRPr="001016D6">
        <w:rPr>
          <w:rFonts w:ascii="Times New Roman" w:hAnsi="Times New Roman" w:cs="Times New Roman"/>
          <w:color w:val="000000" w:themeColor="text1"/>
          <w:sz w:val="24"/>
          <w:szCs w:val="24"/>
        </w:rPr>
        <w:fldChar w:fldCharType="separate"/>
      </w:r>
      <w:r w:rsidR="001A3D64" w:rsidRPr="001016D6">
        <w:rPr>
          <w:rFonts w:ascii="Times New Roman" w:hAnsi="Times New Roman" w:cs="Times New Roman"/>
          <w:noProof/>
          <w:color w:val="000000" w:themeColor="text1"/>
          <w:sz w:val="24"/>
          <w:szCs w:val="24"/>
        </w:rPr>
        <w:t>(19)</w:t>
      </w:r>
      <w:r w:rsidRPr="001016D6">
        <w:rPr>
          <w:rFonts w:ascii="Times New Roman" w:hAnsi="Times New Roman" w:cs="Times New Roman"/>
          <w:color w:val="000000" w:themeColor="text1"/>
          <w:sz w:val="24"/>
          <w:szCs w:val="24"/>
        </w:rPr>
        <w:fldChar w:fldCharType="end"/>
      </w:r>
      <w:r w:rsidRPr="001016D6">
        <w:rPr>
          <w:rFonts w:ascii="Times New Roman" w:hAnsi="Times New Roman" w:cs="Times New Roman"/>
          <w:color w:val="000000" w:themeColor="text1"/>
          <w:sz w:val="24"/>
          <w:szCs w:val="24"/>
        </w:rPr>
        <w:t xml:space="preserve"> showing significant IOP increases at 12 and 24 weeks post-IVTA. Persistent or delayed IOP elevations emphasize the need for extended follow-up, especially in high-risk patients.</w:t>
      </w:r>
    </w:p>
    <w:p w14:paraId="640713C1" w14:textId="7777777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bCs/>
          <w:color w:val="000000" w:themeColor="text1"/>
          <w:sz w:val="24"/>
          <w:szCs w:val="24"/>
          <w:lang w:eastAsia="en-GB"/>
        </w:rPr>
        <w:lastRenderedPageBreak/>
        <w:fldChar w:fldCharType="begin" w:fldLock="1"/>
      </w:r>
      <w:r w:rsidR="001A3D64" w:rsidRPr="001016D6">
        <w:rPr>
          <w:rFonts w:ascii="Times New Roman" w:eastAsia="Times New Roman" w:hAnsi="Times New Roman" w:cs="Times New Roman"/>
          <w:bCs/>
          <w:color w:val="000000" w:themeColor="text1"/>
          <w:sz w:val="24"/>
          <w:szCs w:val="24"/>
          <w:lang w:eastAsia="en-GB"/>
        </w:rPr>
        <w:instrText>ADDIN CSL_CITATION {"citationItems":[{"id":"ITEM-1","itemData":{"DOI":"10.18240/ijo.2016.01.23","ISSN":"22274898","abstract":"AIM: To report on intraocular pressure (IOP) after intravitreal injections of triamcinolone acetonide. METHODS: Systematic literature review of studies that investigated the effects of an injection of triamcinolone intravitreal triamcinolone acetonide on IOP was conducted according to the Cochrane Collaboration methodology and the reported effects have been analyzed with Meta-analysis. RESULTS: We found that the IOP follows an inverted-U shape pattern over time starting with an average value of 14.81±1.22 mm Hg before the injection, rising to a maximum of 19.48±2.15 mm Hg after one month of injection and falling down to 16.16±1.92 mm Hg after 6mo. Moreover, country of study, age, previous history of glaucoma and gender compositions matter for cross-study were different in reported IOP changes. CONCLUSION: Our findings may be helpful in determining pressure elevation risk of intravitreal triamcinolone acetonide therapy as well as comparing it with those of more recent therapies such as the anti-vascular endothelial growth factor agents.","author":[{"dropping-particle":"","family":"Yuksel-Elgin","given":"Cansu","non-dropping-particle":"","parse-names":false,"suffix":""},{"dropping-particle":"","family":"Elgin","given":"Ceyhun","non-dropping-particle":"","parse-names":false,"suffix":""}],"container-title":"International Journal of Ophthalmology","id":"ITEM-1","issue":"1","issued":{"date-parts":[["2016"]]},"page":"139-144","title":"Intraocular pressure elevation after intravitreal triamcinolone acetonide injection: A Meta-analysis","type":"article-journal","volume":"9"},"uris":["http://www.mendeley.com/documents/?uuid=58a31bbc-ca9e-4394-a501-06dccdf86613"]}],"mendeley":{"formattedCitation":"(1)","plainTextFormattedCitation":"(1)","previouslyFormattedCitation":"(Yuksel-Elgin and Elgin, 2016)"},"properties":{"noteIndex":0},"schema":"https://github.com/citation-style-language/schema/raw/master/csl-citation.json"}</w:instrText>
      </w:r>
      <w:r w:rsidRPr="001016D6">
        <w:rPr>
          <w:rFonts w:ascii="Times New Roman" w:eastAsia="Times New Roman" w:hAnsi="Times New Roman" w:cs="Times New Roman"/>
          <w:bCs/>
          <w:color w:val="000000" w:themeColor="text1"/>
          <w:sz w:val="24"/>
          <w:szCs w:val="24"/>
          <w:lang w:eastAsia="en-GB"/>
        </w:rPr>
        <w:fldChar w:fldCharType="separate"/>
      </w:r>
      <w:r w:rsidR="001A3D64" w:rsidRPr="001016D6">
        <w:rPr>
          <w:rFonts w:ascii="Times New Roman" w:eastAsia="Times New Roman" w:hAnsi="Times New Roman" w:cs="Times New Roman"/>
          <w:bCs/>
          <w:noProof/>
          <w:color w:val="000000" w:themeColor="text1"/>
          <w:sz w:val="24"/>
          <w:szCs w:val="24"/>
          <w:lang w:eastAsia="en-GB"/>
        </w:rPr>
        <w:t>(1)</w:t>
      </w:r>
      <w:r w:rsidRPr="001016D6">
        <w:rPr>
          <w:rFonts w:ascii="Times New Roman" w:eastAsia="Times New Roman" w:hAnsi="Times New Roman" w:cs="Times New Roman"/>
          <w:bCs/>
          <w:color w:val="000000" w:themeColor="text1"/>
          <w:sz w:val="24"/>
          <w:szCs w:val="24"/>
          <w:lang w:eastAsia="en-GB"/>
        </w:rPr>
        <w:fldChar w:fldCharType="end"/>
      </w:r>
      <w:r w:rsidRPr="001016D6">
        <w:rPr>
          <w:rFonts w:ascii="Times New Roman" w:eastAsia="Times New Roman" w:hAnsi="Times New Roman" w:cs="Times New Roman"/>
          <w:bCs/>
          <w:color w:val="000000" w:themeColor="text1"/>
          <w:sz w:val="24"/>
          <w:szCs w:val="24"/>
          <w:lang w:eastAsia="en-GB"/>
        </w:rPr>
        <w:t xml:space="preserve"> </w:t>
      </w:r>
      <w:r w:rsidRPr="001016D6">
        <w:rPr>
          <w:rFonts w:ascii="Times New Roman" w:eastAsia="Times New Roman" w:hAnsi="Times New Roman" w:cs="Times New Roman"/>
          <w:color w:val="000000" w:themeColor="text1"/>
          <w:sz w:val="24"/>
          <w:szCs w:val="24"/>
          <w:lang w:eastAsia="en-GB"/>
        </w:rPr>
        <w:t xml:space="preserve">performed a meta-analysis and reported temporal variations in IOP spikes IOP rose to 33% at one month and declined to 8% at six months post-injection. Similarly, </w:t>
      </w:r>
      <w:r w:rsidRPr="001016D6">
        <w:rPr>
          <w:rFonts w:ascii="Times New Roman" w:eastAsia="Times New Roman" w:hAnsi="Times New Roman" w:cs="Times New Roman"/>
          <w:color w:val="000000" w:themeColor="text1"/>
          <w:sz w:val="24"/>
          <w:szCs w:val="24"/>
          <w:lang w:eastAsia="en-GB"/>
        </w:rPr>
        <w:fldChar w:fldCharType="begin" w:fldLock="1"/>
      </w:r>
      <w:r w:rsidR="001A3D64" w:rsidRPr="001016D6">
        <w:rPr>
          <w:rFonts w:ascii="Times New Roman" w:eastAsia="Times New Roman" w:hAnsi="Times New Roman" w:cs="Times New Roman"/>
          <w:color w:val="000000" w:themeColor="text1"/>
          <w:sz w:val="24"/>
          <w:szCs w:val="24"/>
          <w:lang w:eastAsia="en-GB"/>
        </w:rPr>
        <w:instrText>ADDIN CSL_CITATION {"citationItems":[{"id":"ITEM-1","itemData":{"DOI":"10.19127/mbsjohs.413426","abstract":"Objective: The use of intravitreal triamcinolone acetonide (IVTA) for intraocular neovascular, proliferative and edematous diseases has led to an increased incidence of corticosteroid-induced ocular hypertension. Even though largely replaced with anti-vascular endothelial growth factor (anti-VEGF) agents and slow-release dexamethasone implants, boosters are still required in nonresponsive or minimally responsive patients, in cases of tachyplaxis to these agents, or in combination therapies with anti-VEGFs.Metods: The records of 136 eyes of 124 patients who underwent 4 mg/ml IVTA treatment for macular edema of variable etiologies of diabetic macular edema, retinal vein occlusions, subretinal choroidal neovascularization, Irvine-Gass Syndrome, retinitis pigmentosa and idiopathic juxtafoveal telengiectasia in the period 2001–2006 were reviewed. Seventy-six eyes of 71 patients of which were followed for at least 3 months were included in the study.  The patients were examined at the first day, second week, first month and every month after the injection. Mean intraocular pressure (IOP), IOP exceeding 21 mmHg and percentage of patients exhibiting IOP increase of 5 mmHg after IVTA injection, during the follow-up period were evaluated and compared statistically. Results: Mean age was 56.64±12.65 years and male to female ratio was 35/36. Mean follow-up time was 12.13±10.30 months. The mean IOP increased statistically (p= &amp;lt;0.001) during follow-up from 14.95±3.15 mmHg pre-injection level reaching to a maximum of 21.66±6.48 mmHg and decreased statistically (p= &amp;lt;0.001) to 15.58±4.16 mmHg at the end of the follow-up. There was no statistical difference between pre-injection and post-injection IOP levels (p=0.406). The IOP levels exceeded 21 mmHg in 46.05% of the eyes. There was an increase of 5 mmHg and more above the pre-injection level in the 53.94% of the eyes. Maximum IOP levels were reached at the 2.77±3.72 month. In 24 (31.58%)  eyes, topical antiglaucomatous therapy was needed and later 1 eye (4.6%) required surgical intervention and 1 eye (4.6%) required argon laser trabeculoplasty to lower the IOP. Conclusion: The most common complication following İVTA injections is rise in IOP. Most of these ocular hypertension cases are controllable by medical therapy. However, the risk of glaucoma requiring surgery or long term antiglaucomatous use validate the necessity of a meticulous patient selection and close monitorization of IOP.","author":[{"dropping-particle":"","family":"KARAKAHYA","given":"Refika Hande","non-dropping-particle":"","parse-names":false,"suffix":""},{"dropping-particle":"","family":"KALAYCI","given":"Defne","non-dropping-particle":"","parse-names":false,"suffix":""},{"dropping-particle":"","family":"KARAKURT","given":"Ahmet","non-dropping-particle":"","parse-names":false,"suffix":""}],"container-title":"Middle Black Sea Journal of Health Science","id":"ITEM-1","issue":"1","issued":{"date-parts":[["2018"]]},"page":"24-30","title":"Ocular Hypertension and Glaucoma after Intravitreal Injection of Triamcinolone Acetonide","type":"article-journal","volume":"4"},"uris":["http://www.mendeley.com/documents/?uuid=8fb7be62-1746-4cb2-b309-c9a25ab33be8"]}],"mendeley":{"formattedCitation":"(2)","plainTextFormattedCitation":"(2)","previouslyFormattedCitation":"(KARAKAHYA, KALAYCI and KARAKURT, 2018)"},"properties":{"noteIndex":0},"schema":"https://github.com/citation-style-language/schema/raw/master/csl-citation.json"}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lang w:eastAsia="en-GB"/>
        </w:rPr>
        <w:fldChar w:fldCharType="separate"/>
      </w:r>
      <w:r w:rsidR="001A3D64" w:rsidRPr="001016D6">
        <w:rPr>
          <w:rFonts w:ascii="Times New Roman" w:eastAsia="Times New Roman" w:hAnsi="Times New Roman" w:cs="Times New Roman"/>
          <w:noProof/>
          <w:color w:val="000000" w:themeColor="text1"/>
          <w:sz w:val="24"/>
          <w:szCs w:val="24"/>
          <w:lang w:eastAsia="en-GB"/>
        </w:rPr>
        <w:t>(2)</w:t>
      </w:r>
      <w:r w:rsidRPr="001016D6">
        <w:rPr>
          <w:rFonts w:ascii="Times New Roman" w:eastAsia="Times New Roman" w:hAnsi="Times New Roman" w:cs="Times New Roman"/>
          <w:color w:val="000000" w:themeColor="text1"/>
          <w:sz w:val="24"/>
          <w:szCs w:val="24"/>
          <w:lang w:eastAsia="en-GB"/>
        </w:rPr>
        <w:fldChar w:fldCharType="end"/>
      </w:r>
      <w:r w:rsidRPr="001016D6">
        <w:rPr>
          <w:rFonts w:ascii="Times New Roman" w:eastAsia="Times New Roman" w:hAnsi="Times New Roman" w:cs="Times New Roman"/>
          <w:bCs/>
          <w:color w:val="000000" w:themeColor="text1"/>
          <w:sz w:val="24"/>
          <w:szCs w:val="24"/>
          <w:lang w:eastAsia="en-GB"/>
        </w:rPr>
        <w:t xml:space="preserve"> </w:t>
      </w:r>
      <w:r w:rsidRPr="001016D6">
        <w:rPr>
          <w:rFonts w:ascii="Times New Roman" w:eastAsia="Times New Roman" w:hAnsi="Times New Roman" w:cs="Times New Roman"/>
          <w:color w:val="000000" w:themeColor="text1"/>
          <w:sz w:val="24"/>
          <w:szCs w:val="24"/>
          <w:lang w:eastAsia="en-GB"/>
        </w:rPr>
        <w:t>observed maximum IOP levels around 2.77 months post-injection, confirming a transient but significant rise.</w:t>
      </w:r>
    </w:p>
    <w:p w14:paraId="7E8DB078" w14:textId="7777777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bCs/>
          <w:color w:val="000000" w:themeColor="text1"/>
          <w:sz w:val="24"/>
          <w:szCs w:val="24"/>
          <w:lang w:eastAsia="en-GB"/>
        </w:rPr>
        <w:fldChar w:fldCharType="begin" w:fldLock="1"/>
      </w:r>
      <w:r w:rsidR="001A3D64" w:rsidRPr="001016D6">
        <w:rPr>
          <w:rFonts w:ascii="Times New Roman" w:eastAsia="Times New Roman" w:hAnsi="Times New Roman" w:cs="Times New Roman"/>
          <w:bCs/>
          <w:color w:val="000000" w:themeColor="text1"/>
          <w:sz w:val="24"/>
          <w:szCs w:val="24"/>
          <w:lang w:eastAsia="en-GB"/>
        </w:rPr>
        <w:instrText>ADDIN CSL_CITATION {"citationItems":[{"id":"ITEM-1","itemData":{"DOI":"10.1177/24741264241275271","ISSN":"2474-1272 (Electronic)","PMID":"39539834","abstract":"Purpose: To review the available literature on the efficacy and safety of  suprachoroidal triamcinolone acetonide for the treatment of chorioretinal diseases. Methods: The results of the literature review were analyzed. Results: This review included 17 clinical studies of triamcinolone acetonide administration (6, diabetic macular edema; 1, central retinal vein occlusion [RVO]; 2, branch RVO; 7, noninfectious uveitis; 1, cystoid macular edema after cataract surgery). Overall, suprachoroidal triamcinolone acetonide was shown to be effective in decreasing macular thickness and increasing visual (VA) in cases of chorioretinal diseases. The most frequently reported adverse events were eye pain, cataract, and increased intraocular pressure. Conclusions: Except for 3 sufficiently powered trials of suprachoroidal triamcinolone acetonide for macular edema associated with noninfectious uveitis, most other studies were clinical trials with small samples. These studies found that suprachoroidal triamcinolone acetonide has a satisfactory safety and efficacy profile. Further research with sufficiently large samples is required to confirm the potential role of suprachoroidal triamcinolone acetonide in retinal diseases.","author":[{"dropping-particle":"","family":"Rahman","given":"Samra","non-dropping-particle":"","parse-names":false,"suffix":""},{"dropping-particle":"","family":"Tayyab","given":"Haroon","non-dropping-particle":"","parse-names":false,"suffix":""},{"dropping-particle":"","family":"Siddiqui","given":"M A Rehman","non-dropping-particle":"","parse-names":false,"suffix":""}],"container-title":"Journal of vitreoretinal diseases","id":"ITEM-1","issued":{"date-parts":[["2024","10"]]},"language":"eng","page":"24741264241275271","publisher-place":"United States","title":"Suprachoroidal Triamcinolone Acetonide Injection to Treat Macular Edema: A  Review.","type":"article-journal"},"uris":["http://www.mendeley.com/documents/?uuid=4452e9e8-15e8-4347-a561-0bc79efecff9"]}],"mendeley":{"formattedCitation":"(20)","plainTextFormattedCitation":"(20)","previouslyFormattedCitation":"(Rahman, Tayyab and Siddiqui, 2024)"},"properties":{"noteIndex":0},"schema":"https://github.com/citation-style-language/schema/raw/master/csl-citation.json"}</w:instrText>
      </w:r>
      <w:r w:rsidRPr="001016D6">
        <w:rPr>
          <w:rFonts w:ascii="Times New Roman" w:eastAsia="Times New Roman" w:hAnsi="Times New Roman" w:cs="Times New Roman"/>
          <w:bCs/>
          <w:color w:val="000000" w:themeColor="text1"/>
          <w:sz w:val="24"/>
          <w:szCs w:val="24"/>
          <w:lang w:eastAsia="en-GB"/>
        </w:rPr>
        <w:fldChar w:fldCharType="separate"/>
      </w:r>
      <w:r w:rsidR="001A3D64" w:rsidRPr="001016D6">
        <w:rPr>
          <w:rFonts w:ascii="Times New Roman" w:eastAsia="Times New Roman" w:hAnsi="Times New Roman" w:cs="Times New Roman"/>
          <w:bCs/>
          <w:noProof/>
          <w:color w:val="000000" w:themeColor="text1"/>
          <w:sz w:val="24"/>
          <w:szCs w:val="24"/>
          <w:lang w:eastAsia="en-GB"/>
        </w:rPr>
        <w:t>(20)</w:t>
      </w:r>
      <w:r w:rsidRPr="001016D6">
        <w:rPr>
          <w:rFonts w:ascii="Times New Roman" w:eastAsia="Times New Roman" w:hAnsi="Times New Roman" w:cs="Times New Roman"/>
          <w:bCs/>
          <w:color w:val="000000" w:themeColor="text1"/>
          <w:sz w:val="24"/>
          <w:szCs w:val="24"/>
          <w:lang w:eastAsia="en-GB"/>
        </w:rPr>
        <w:fldChar w:fldCharType="end"/>
      </w:r>
      <w:r w:rsidRPr="001016D6">
        <w:rPr>
          <w:rFonts w:ascii="Times New Roman" w:eastAsia="Times New Roman" w:hAnsi="Times New Roman" w:cs="Times New Roman"/>
          <w:color w:val="000000" w:themeColor="text1"/>
          <w:sz w:val="24"/>
          <w:szCs w:val="24"/>
          <w:lang w:eastAsia="en-GB"/>
        </w:rPr>
        <w:t xml:space="preserve">, in a head-to-head trial of 240 eyes, bevacizumab and IVTA in diabetic macular </w:t>
      </w:r>
      <w:proofErr w:type="spellStart"/>
      <w:r w:rsidRPr="001016D6">
        <w:rPr>
          <w:rFonts w:ascii="Times New Roman" w:eastAsia="Times New Roman" w:hAnsi="Times New Roman" w:cs="Times New Roman"/>
          <w:color w:val="000000" w:themeColor="text1"/>
          <w:sz w:val="24"/>
          <w:szCs w:val="24"/>
          <w:lang w:eastAsia="en-GB"/>
        </w:rPr>
        <w:t>edema</w:t>
      </w:r>
      <w:proofErr w:type="spellEnd"/>
      <w:r w:rsidRPr="001016D6">
        <w:rPr>
          <w:rFonts w:ascii="Times New Roman" w:eastAsia="Times New Roman" w:hAnsi="Times New Roman" w:cs="Times New Roman"/>
          <w:color w:val="000000" w:themeColor="text1"/>
          <w:sz w:val="24"/>
          <w:szCs w:val="24"/>
          <w:lang w:eastAsia="en-GB"/>
        </w:rPr>
        <w:t xml:space="preserve">. They reported similar visual gains at 12 weeks but significantly more OHT cases in the IVTA group (27% vs. 4%). Their conclusion emphasized </w:t>
      </w:r>
      <w:r w:rsidRPr="001016D6">
        <w:rPr>
          <w:rFonts w:ascii="Times New Roman" w:eastAsia="Times New Roman" w:hAnsi="Times New Roman" w:cs="Times New Roman"/>
          <w:bCs/>
          <w:color w:val="000000" w:themeColor="text1"/>
          <w:sz w:val="24"/>
          <w:szCs w:val="24"/>
          <w:lang w:eastAsia="en-GB"/>
        </w:rPr>
        <w:t>tailored treatment plans</w:t>
      </w:r>
      <w:r w:rsidRPr="001016D6">
        <w:rPr>
          <w:rFonts w:ascii="Times New Roman" w:eastAsia="Times New Roman" w:hAnsi="Times New Roman" w:cs="Times New Roman"/>
          <w:color w:val="000000" w:themeColor="text1"/>
          <w:sz w:val="24"/>
          <w:szCs w:val="24"/>
          <w:lang w:eastAsia="en-GB"/>
        </w:rPr>
        <w:t xml:space="preserve"> based on economic capacity and risk profile.</w:t>
      </w:r>
    </w:p>
    <w:p w14:paraId="1CB7F83D" w14:textId="7777777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 xml:space="preserve">Unlike many previous retrospective studies (e.g., </w:t>
      </w:r>
      <w:r w:rsidRPr="001016D6">
        <w:rPr>
          <w:rFonts w:ascii="Times New Roman" w:eastAsia="Times New Roman" w:hAnsi="Times New Roman" w:cs="Times New Roman"/>
          <w:color w:val="000000" w:themeColor="text1"/>
          <w:sz w:val="24"/>
          <w:szCs w:val="24"/>
          <w:lang w:eastAsia="en-GB"/>
        </w:rPr>
        <w:fldChar w:fldCharType="begin" w:fldLock="1"/>
      </w:r>
      <w:r w:rsidR="001A3D64" w:rsidRPr="001016D6">
        <w:rPr>
          <w:rFonts w:ascii="Times New Roman" w:eastAsia="Times New Roman" w:hAnsi="Times New Roman" w:cs="Times New Roman"/>
          <w:color w:val="000000" w:themeColor="text1"/>
          <w:sz w:val="24"/>
          <w:szCs w:val="24"/>
          <w:lang w:eastAsia="en-GB"/>
        </w:rPr>
        <w:instrText>ADDIN CSL_CITATION {"citationItems":[{"id":"ITEM-1","itemData":{"DOI":"10.1089/jop.2010.0039","ISSN":"10807683","PMID":"20653482","abstract":"Purpose: To evaluate secondary ocular hypertension after intravitreal injection of triamcinolone acetonide (IVTA) with 2 mg/0.05 mL or 4 mg/0.1 mL for macular edema associated with retinal vein occlusion (RVO). Methods: A retrospective chart review was performed. Patients with RVO, including central RVO and branch RVO, were divided into 2 groups. Group 1 was patients who received 2 mg IVTA and group 2 received 4 mg IVTA. The dose of IVTA was dependent on individual surgeon's decision. Secondary ocular hypertension was defined as intraocular pressure (IOP) &gt;21 mmHg. Long-term antiglaucoma medication referred to eyes that required antiglaucoma agents for &gt;6 months. Results: Thirty-six eyes in group 1 and 32 eyes in group 2 were included in the analyses. The mean age of all the patients was 58.6 years, and 52.9% of patients were men. The mean follow-up period was 12.4 months. A wide range (from day 7 to month 8) of time until the onset of the IOP spike was recorded after the injection. The incidence of secondary ocular hypertension was not significantly different between group 2 and group 1 (38.9% vs. 50%, P = 0.36). However, group 2 had a higher proportion of long-term antiglaucoma medication usage than group 1 (5.6% vs. 40.6%; Pearson chi-square, P &lt; 0.001). Ultimately, 2.9% of patients underwent filtration surgery. Macular edema diminished and best-corrected visual acuity improved at 3 months later in both groups. Conclusions: With a similar effect on vision recovery and alleviating macular edema associated with RVO, 2 mg IVTA required a shorter duration of medical control for secondary ocular hypertension than 4 mg IVTA. © 2010, Mary Ann Liebert, Inc. 2010.","author":[{"dropping-particle":"","family":"Chuang","given":"Lan Hsin","non-dropping-particle":"","parse-names":false,"suffix":""},{"dropping-particle":"","family":"Yeung","given":"Ling","non-dropping-particle":"","parse-names":false,"suffix":""},{"dropping-particle":"","family":"Wang","given":"Nan Kai","non-dropping-particle":"","parse-names":false,"suffix":""},{"dropping-particle":"","family":"Chen","given":"Henry Shen Lih","non-dropping-particle":"","parse-names":false,"suffix":""},{"dropping-particle":"","family":"Ku","given":"Wan Chen","non-dropping-particle":"","parse-names":false,"suffix":""},{"dropping-particle":"","family":"Lai","given":"Chi Chun","non-dropping-particle":"","parse-names":false,"suffix":""}],"container-title":"Journal of Ocular Pharmacology and Therapeutics","id":"ITEM-1","issue":"4","issued":{"date-parts":[["2010"]]},"page":"325-328","title":"Secondary ocular hypertension after intravitreal injection with 2 mg or 4 mg of triamcinolone in retinal vein occlusion","type":"article-journal","volume":"26"},"uris":["http://www.mendeley.com/documents/?uuid=662316a3-dc6b-4e4e-8c7c-311ad9b16421"]}],"mendeley":{"formattedCitation":"(21)","plainTextFormattedCitation":"(21)","previouslyFormattedCitation":"(L. H. Chuang &lt;i&gt;et al.&lt;/i&gt;, 2010)"},"properties":{"noteIndex":0},"schema":"https://github.com/citation-style-language/schema/raw/master/csl-citation.json"}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lang w:eastAsia="en-GB"/>
        </w:rPr>
        <w:fldChar w:fldCharType="separate"/>
      </w:r>
      <w:r w:rsidR="001A3D64" w:rsidRPr="001016D6">
        <w:rPr>
          <w:rFonts w:ascii="Times New Roman" w:eastAsia="Times New Roman" w:hAnsi="Times New Roman" w:cs="Times New Roman"/>
          <w:noProof/>
          <w:color w:val="000000" w:themeColor="text1"/>
          <w:sz w:val="24"/>
          <w:szCs w:val="24"/>
          <w:lang w:eastAsia="en-GB"/>
        </w:rPr>
        <w:t>(21)</w:t>
      </w:r>
      <w:r w:rsidRPr="001016D6">
        <w:rPr>
          <w:rFonts w:ascii="Times New Roman" w:eastAsia="Times New Roman" w:hAnsi="Times New Roman" w:cs="Times New Roman"/>
          <w:color w:val="000000" w:themeColor="text1"/>
          <w:sz w:val="24"/>
          <w:szCs w:val="24"/>
          <w:lang w:eastAsia="en-GB"/>
        </w:rPr>
        <w:fldChar w:fldCharType="end"/>
      </w:r>
      <w:r w:rsidRPr="001016D6">
        <w:rPr>
          <w:rFonts w:ascii="Times New Roman" w:eastAsia="Times New Roman" w:hAnsi="Times New Roman" w:cs="Times New Roman"/>
          <w:color w:val="000000" w:themeColor="text1"/>
          <w:sz w:val="24"/>
          <w:szCs w:val="24"/>
          <w:lang w:eastAsia="en-GB"/>
        </w:rPr>
        <w:t xml:space="preserve">, this study was a </w:t>
      </w:r>
      <w:r w:rsidRPr="001016D6">
        <w:rPr>
          <w:rFonts w:ascii="Times New Roman" w:eastAsia="Times New Roman" w:hAnsi="Times New Roman" w:cs="Times New Roman"/>
          <w:bCs/>
          <w:color w:val="000000" w:themeColor="text1"/>
          <w:sz w:val="24"/>
          <w:szCs w:val="24"/>
          <w:lang w:eastAsia="en-GB"/>
        </w:rPr>
        <w:t>prospective cohort study</w:t>
      </w:r>
      <w:r w:rsidRPr="001016D6">
        <w:rPr>
          <w:rFonts w:ascii="Times New Roman" w:eastAsia="Times New Roman" w:hAnsi="Times New Roman" w:cs="Times New Roman"/>
          <w:color w:val="000000" w:themeColor="text1"/>
          <w:sz w:val="24"/>
          <w:szCs w:val="24"/>
          <w:lang w:eastAsia="en-GB"/>
        </w:rPr>
        <w:t>, offering stronger temporal evidence for causality. Additionally, it was conducted in a real-world, resource-limited African setting, making the findings more applicable to similar contexts, where treatment monitoring may be suboptimal due to cost and access barriers.</w:t>
      </w:r>
    </w:p>
    <w:p w14:paraId="58BAED63" w14:textId="77777777" w:rsidR="00EF6979" w:rsidRPr="001016D6" w:rsidRDefault="00EF6979" w:rsidP="001A3D64">
      <w:pPr>
        <w:spacing w:before="100" w:beforeAutospacing="1" w:after="100" w:afterAutospacing="1" w:line="360" w:lineRule="auto"/>
        <w:rPr>
          <w:rFonts w:ascii="Times New Roman" w:hAnsi="Times New Roman" w:cs="Times New Roman"/>
          <w:color w:val="000000" w:themeColor="text1"/>
          <w:sz w:val="24"/>
          <w:szCs w:val="24"/>
        </w:rPr>
      </w:pPr>
      <w:r w:rsidRPr="001016D6">
        <w:rPr>
          <w:rFonts w:ascii="Times New Roman" w:eastAsia="Times New Roman" w:hAnsi="Times New Roman" w:cs="Times New Roman"/>
          <w:color w:val="000000" w:themeColor="text1"/>
          <w:sz w:val="24"/>
          <w:szCs w:val="24"/>
          <w:lang w:eastAsia="en-GB"/>
        </w:rPr>
        <w:t xml:space="preserve">However, </w:t>
      </w:r>
      <w:r w:rsidRPr="001016D6">
        <w:rPr>
          <w:rFonts w:ascii="Times New Roman" w:hAnsi="Times New Roman" w:cs="Times New Roman"/>
          <w:color w:val="000000" w:themeColor="text1"/>
          <w:sz w:val="24"/>
          <w:szCs w:val="24"/>
        </w:rPr>
        <w:t xml:space="preserve">The study done by </w:t>
      </w:r>
      <w:r w:rsidRPr="001016D6">
        <w:rPr>
          <w:rFonts w:ascii="Times New Roman" w:hAnsi="Times New Roman" w:cs="Times New Roman"/>
          <w:color w:val="000000" w:themeColor="text1"/>
          <w:sz w:val="24"/>
          <w:szCs w:val="24"/>
        </w:rPr>
        <w:fldChar w:fldCharType="begin" w:fldLock="1"/>
      </w:r>
      <w:r w:rsidR="001A3D64" w:rsidRPr="001016D6">
        <w:rPr>
          <w:rFonts w:ascii="Times New Roman" w:hAnsi="Times New Roman" w:cs="Times New Roman"/>
          <w:color w:val="000000" w:themeColor="text1"/>
          <w:sz w:val="24"/>
          <w:szCs w:val="24"/>
        </w:rPr>
        <w:instrText>ADDIN CSL_CITATION {"citationItems":[{"id":"ITEM-1","itemData":{"DOI":"10.7759/cureus.77282","ISSN":"2168-8184 (Print)","PMID":"39931603","abstract":"Introduction Macular edema causes decreased vision in diseases like diabetic  retinopathy, uveitis, retinal vein occlusions and post-cataract surgery cystoid macular edema. Steroids in the depot form of triamcinolone acetonide (TA) increase the duration of action, but due to a number of complications, especially raising intraocular pressure (IOP), anti-vascular endothelial growth factor (anti-VEGF) injections are now considered the mainstay of treatment. The suprachoroidal space provides an alternate route for steroid delivery, limiting the drug to the posterior segment, hence preventing the adverse effects on the anterior segment. This study aimed to determine the safety of suprachoroidal steroids with respect to their effect on IOP. Methods This retrospective study involved patients who received suprachoroidal TA injections for macular edema: diabetic retinopathy, retinal vein occlusions, uveitis and cystoid macular edema post-cataract surgery at Layton Rahmatulla Benevolent Trust (LRBT) Free Eye Hospital, Lahore, Pakistan. Manual medical records from two years were accessed and all patients were included in the study. Patients with a history of ocular hypertension, glaucoma and steroid responsiveness had not received the injection. Crystalline steroid particles of 4 mg/0.1 mL, using an intravenous TA (K-Kort; GlaxoSmithKline, Brentford, UK), were injected into the suprachoroidal space through a 30-gauge syringe with a custom plastic sleeve from a 24-gauge branula exposing 0.1 mm of the bevel. IOP was recorded at baseline before the injection and at weeks 2, 4 and 8. Repeated measures multivariate analysis of variance (ANOVA) was used to compare IOP measurements at the different time intervals. Results A total of 61 patients were included, with 70 eyes being assessed, at a mean age of 54.2 ± 10.4 years. Baseline mean IOP was 16.41 ± 2.62 mmHg, 17.04 ± 3.09 mmHg at week 2, 16.30 ± 2.95 mmHg at week 4 and 15.73 ± 1.83 mmHg at week 8. Between baseline IOP and week 2, the mean difference was 1.11 ± 0.66 mmHg (p = 0.59), 0.26 ± 0.43 mmHg from week 2 to week 4 (p = 1.00), and 1.36 ± 0.51 mmHg from week 4 to week 8 (p = 0.51). The mean IOP decreased by 0.50 ± 0.53 mmHg (p = 1.00) from baseline by eight weeks. The differences between IOP, different causes of macular edema and age or gender were not statistically significant. Two patients (1.4%) had a temporary rise in IOP above 24 mmHg requiring ocular medication, with one having a rise above 30 mmHg. Conclus…","author":[{"dropping-particle":"","family":"Nauman","given":"Ali","non-dropping-particle":"","parse-names":false,"suffix":""},{"dropping-particle":"","family":"Iqbal","given":"Kashif","non-dropping-particle":"","parse-names":false,"suffix":""},{"dropping-particle":"","family":"Seyal","given":"Mishal","non-dropping-particle":"","parse-names":false,"suffix":""}],"container-title":"Cureus","id":"ITEM-1","issue":"1","issued":{"date-parts":[["2025","1"]]},"language":"eng","page":"e77282","publisher-place":"United States","title":"Effect of Suprachoroidal Triamcinolone Acetonide on Intraocular Pressure in  Macular Edema: A Retrospective Study.","type":"article-journal","volume":"17"},"uris":["http://www.mendeley.com/documents/?uuid=7c831d1c-6a12-4aea-88f6-775c5c46c533"]}],"mendeley":{"formattedCitation":"(22)","plainTextFormattedCitation":"(22)","previouslyFormattedCitation":"(Nauman, Iqbal and Seyal, 2025)"},"properties":{"noteIndex":0},"schema":"https://github.com/citation-style-language/schema/raw/master/csl-citation.json"}</w:instrText>
      </w:r>
      <w:r w:rsidRPr="001016D6">
        <w:rPr>
          <w:rFonts w:ascii="Times New Roman" w:hAnsi="Times New Roman" w:cs="Times New Roman"/>
          <w:color w:val="000000" w:themeColor="text1"/>
          <w:sz w:val="24"/>
          <w:szCs w:val="24"/>
        </w:rPr>
        <w:fldChar w:fldCharType="separate"/>
      </w:r>
      <w:r w:rsidR="001A3D64" w:rsidRPr="001016D6">
        <w:rPr>
          <w:rFonts w:ascii="Times New Roman" w:hAnsi="Times New Roman" w:cs="Times New Roman"/>
          <w:noProof/>
          <w:color w:val="000000" w:themeColor="text1"/>
          <w:sz w:val="24"/>
          <w:szCs w:val="24"/>
        </w:rPr>
        <w:t>(22)</w:t>
      </w:r>
      <w:r w:rsidRPr="001016D6">
        <w:rPr>
          <w:rFonts w:ascii="Times New Roman" w:hAnsi="Times New Roman" w:cs="Times New Roman"/>
          <w:color w:val="000000" w:themeColor="text1"/>
          <w:sz w:val="24"/>
          <w:szCs w:val="24"/>
        </w:rPr>
        <w:fldChar w:fldCharType="end"/>
      </w:r>
      <w:r w:rsidRPr="001016D6">
        <w:rPr>
          <w:rFonts w:ascii="Times New Roman" w:hAnsi="Times New Roman" w:cs="Times New Roman"/>
          <w:color w:val="000000" w:themeColor="text1"/>
          <w:sz w:val="24"/>
          <w:szCs w:val="24"/>
        </w:rPr>
        <w:t xml:space="preserve"> showed minimal IOP changes, with a peak of 17.04 mmHg at week 2 and a decline to 15.73 mmHg by week 8, and only 1.4% had transient IOP elevation. In our study revealed a sharp IOP spike to 28.42 mmHg immediately post-injection, declining to 17.05 mmHg at six weeks, with 24.5% showing elevated IOP, highlighting a more significant and clinically relevant pressure rise pattern.</w:t>
      </w:r>
    </w:p>
    <w:p w14:paraId="1631D5C5" w14:textId="7777777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 xml:space="preserve">One of the major challenges in sub-Saharan Africa is lack of regular follow-up after IVTA. Our study revealed that pressure peaks mostly occur within 2 to 6 weeks an observation supported by </w:t>
      </w:r>
      <w:r w:rsidRPr="001016D6">
        <w:rPr>
          <w:rFonts w:ascii="Times New Roman" w:eastAsia="Times New Roman" w:hAnsi="Times New Roman" w:cs="Times New Roman"/>
          <w:color w:val="000000" w:themeColor="text1"/>
          <w:sz w:val="24"/>
          <w:szCs w:val="24"/>
          <w:lang w:eastAsia="en-GB"/>
        </w:rPr>
        <w:fldChar w:fldCharType="begin" w:fldLock="1"/>
      </w:r>
      <w:r w:rsidR="001A3D64" w:rsidRPr="001016D6">
        <w:rPr>
          <w:rFonts w:ascii="Times New Roman" w:eastAsia="Times New Roman" w:hAnsi="Times New Roman" w:cs="Times New Roman"/>
          <w:color w:val="000000" w:themeColor="text1"/>
          <w:sz w:val="24"/>
          <w:szCs w:val="24"/>
          <w:lang w:eastAsia="en-GB"/>
        </w:rPr>
        <w:instrText>ADDIN CSL_CITATION {"citationItems":[{"id":"ITEM-1","itemData":{"author":[{"dropping-particle":"","family":"Mingaine","given":"Mpekethu","non-dropping-particle":"","parse-names":false,"suffix":""}],"id":"ITEM-1","issue":"May","issued":{"date-parts":[["2013"]]},"title":"Intraocular Pressure Changes in Eyes Receiving Intravitreal Triamcinolone Acetonide in Kikuyu Eye Unit","type":"article-journal"},"uris":["http://www.mendeley.com/documents/?uuid=d2d537bc-b99e-4352-922f-62ca735cdf7a"]}],"mendeley":{"formattedCitation":"(23)","manualFormatting":"(Malik et al., 2023)","plainTextFormattedCitation":"(23)","previouslyFormattedCitation":"(Mingaine, 2013)"},"properties":{"noteIndex":0},"schema":"https://github.com/citation-style-language/schema/raw/master/csl-citation.json"}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lang w:eastAsia="en-GB"/>
        </w:rPr>
        <w:fldChar w:fldCharType="separate"/>
      </w:r>
      <w:r w:rsidRPr="001016D6">
        <w:rPr>
          <w:rFonts w:ascii="Times New Roman" w:eastAsia="Times New Roman" w:hAnsi="Times New Roman" w:cs="Times New Roman"/>
          <w:noProof/>
          <w:color w:val="000000" w:themeColor="text1"/>
          <w:sz w:val="24"/>
          <w:szCs w:val="24"/>
          <w:lang w:eastAsia="en-GB"/>
        </w:rPr>
        <w:t xml:space="preserve">(Malik </w:t>
      </w:r>
      <w:r w:rsidRPr="001016D6">
        <w:rPr>
          <w:rFonts w:ascii="Times New Roman" w:eastAsia="Times New Roman" w:hAnsi="Times New Roman" w:cs="Times New Roman"/>
          <w:i/>
          <w:noProof/>
          <w:color w:val="000000" w:themeColor="text1"/>
          <w:sz w:val="24"/>
          <w:szCs w:val="24"/>
          <w:lang w:eastAsia="en-GB"/>
        </w:rPr>
        <w:t>et al.,</w:t>
      </w:r>
      <w:r w:rsidRPr="001016D6">
        <w:rPr>
          <w:rFonts w:ascii="Times New Roman" w:eastAsia="Times New Roman" w:hAnsi="Times New Roman" w:cs="Times New Roman"/>
          <w:noProof/>
          <w:color w:val="000000" w:themeColor="text1"/>
          <w:sz w:val="24"/>
          <w:szCs w:val="24"/>
          <w:lang w:eastAsia="en-GB"/>
        </w:rPr>
        <w:t xml:space="preserve"> 2023)</w:t>
      </w:r>
      <w:r w:rsidRPr="001016D6">
        <w:rPr>
          <w:rFonts w:ascii="Times New Roman" w:eastAsia="Times New Roman" w:hAnsi="Times New Roman" w:cs="Times New Roman"/>
          <w:color w:val="000000" w:themeColor="text1"/>
          <w:sz w:val="24"/>
          <w:szCs w:val="24"/>
          <w:lang w:eastAsia="en-GB"/>
        </w:rPr>
        <w:fldChar w:fldCharType="end"/>
      </w:r>
      <w:r w:rsidRPr="001016D6">
        <w:rPr>
          <w:rFonts w:ascii="Times New Roman" w:eastAsia="Times New Roman" w:hAnsi="Times New Roman" w:cs="Times New Roman"/>
          <w:color w:val="000000" w:themeColor="text1"/>
          <w:sz w:val="24"/>
          <w:szCs w:val="24"/>
          <w:lang w:eastAsia="en-GB"/>
        </w:rPr>
        <w:t xml:space="preserve"> in Uganda. They found that only 58% of patients returned for their 1-month follow-up, yet 80% of those who developed glaucoma-related changes did so within that window.</w:t>
      </w:r>
    </w:p>
    <w:p w14:paraId="10E2A223" w14:textId="7777777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The temporal pattern of IOP changes in the current study corroborates global findings, highlighting that most cases of OHT develop within the first six weeks and tend to stabilize or regress, emphasizing the need for vigilant short-term monitoring.</w:t>
      </w:r>
    </w:p>
    <w:p w14:paraId="6172DBB3" w14:textId="77777777" w:rsidR="00EF6979" w:rsidRPr="001016D6" w:rsidRDefault="00EF6979" w:rsidP="001A3D64">
      <w:pPr>
        <w:pStyle w:val="NormalWeb"/>
        <w:spacing w:line="360" w:lineRule="auto"/>
        <w:jc w:val="both"/>
        <w:rPr>
          <w:color w:val="000000" w:themeColor="text1"/>
        </w:rPr>
      </w:pPr>
      <w:r w:rsidRPr="001016D6">
        <w:rPr>
          <w:color w:val="000000" w:themeColor="text1"/>
        </w:rPr>
        <w:t xml:space="preserve">This study identified </w:t>
      </w:r>
      <w:r w:rsidRPr="001016D6">
        <w:rPr>
          <w:rStyle w:val="Strong"/>
          <w:rFonts w:eastAsiaTheme="majorEastAsia"/>
          <w:b w:val="0"/>
          <w:color w:val="000000" w:themeColor="text1"/>
        </w:rPr>
        <w:t>retinal vein occlusion (RVO)</w:t>
      </w:r>
      <w:r w:rsidRPr="001016D6">
        <w:rPr>
          <w:color w:val="000000" w:themeColor="text1"/>
        </w:rPr>
        <w:t xml:space="preserve"> as an independent and statistically significant risk factor for ocular hypertension (OHT) following intravitreal triamcinolone acetonide (IVTA) injection (Adjusted Risk Ratio [ARR] = 3.23; 95% CI: 1.10–9.54; p = 0.033). </w:t>
      </w:r>
      <w:r w:rsidRPr="001016D6">
        <w:rPr>
          <w:color w:val="000000" w:themeColor="text1"/>
        </w:rPr>
        <w:lastRenderedPageBreak/>
        <w:t>While lens status and cystoid macular edema (CME) were significant in univariate analysis, their associations lost significance after adjusting for confounders.</w:t>
      </w:r>
    </w:p>
    <w:p w14:paraId="0E634AB5" w14:textId="77777777" w:rsidR="00EF6979" w:rsidRPr="001016D6" w:rsidRDefault="00EF6979" w:rsidP="001A3D64">
      <w:pPr>
        <w:pStyle w:val="NormalWeb"/>
        <w:spacing w:line="360" w:lineRule="auto"/>
        <w:jc w:val="both"/>
        <w:rPr>
          <w:color w:val="000000" w:themeColor="text1"/>
        </w:rPr>
      </w:pPr>
      <w:r w:rsidRPr="001016D6">
        <w:rPr>
          <w:color w:val="000000" w:themeColor="text1"/>
        </w:rPr>
        <w:t xml:space="preserve">These findings closely parallel those reported by </w:t>
      </w:r>
      <w:r w:rsidRPr="001016D6">
        <w:rPr>
          <w:color w:val="000000" w:themeColor="text1"/>
        </w:rPr>
        <w:fldChar w:fldCharType="begin" w:fldLock="1"/>
      </w:r>
      <w:r w:rsidR="001A3D64" w:rsidRPr="001016D6">
        <w:rPr>
          <w:color w:val="000000" w:themeColor="text1"/>
        </w:rPr>
        <w:instrText>ADDIN CSL_CITATION {"citationItems":[{"id":"ITEM-1","itemData":{"DOI":"10.3980/j.issn.2222-3959.2012.06.13","ISSN":"22223959","abstract":"AIM: To investigate the complications of intravitreal triamcinolone acetonide (IVTA) for the treatment of macular edema, and to determine the risk factors for intraocular pressure (IOP) elevation. METHODS: Charts of patients with macular edema secondary to branch retinal vein occlusion (BRVO), diabetic retinopathy and uveitis who had received IVTA injections were reviewed to document its complications. IOP elevation was defined as a pressure of ≥ 24mmHg at some point during follow-up. Multivariate logistic regression analysis was performed to characterize baseline risk factors for this elevation. RESULTS: The study included 111 eyes of 65 female and 46 male patients with a mean follow-up of (11.6 ± 5.1) months. Of the 111 eyes, 52 (46.8%) had macular edema secondary to BRVO, 44 (39.6%) had clinically significant diabetic macular edema (CSDME) and 15 (13.5%) had non-infectious uveitis with macular edema. IOP was recorded ≥24mmHg in 38 eyes (34.2%) during the follow-up. Higher baseline IOP (P = 0.022), younger age (P = 0.003), and male gender (P = 0.014) were significant risk factors for IOP elevation after IVTA injection. Eyes with prior vitrectomy were less likely to have IOP elevation (P = 0.054). Two eyes (5.2%of eyes with increased IOP) underwent trabeculectomy, and 9 eyes (16.3% of the phakic eyes) necessitated cataract surgery. Other complications included branch vein occlusion (1.8%), sterile endophthalmitis (0.9%) and pseudohypopyon (0.9%). CONCLUSION: IVTA has side effects with IOP elevation and cataract formation being the two most common. A subset of patients is more prone to developing increased IOP following IVTA, namely, younger male patients with higher baseline IOP. Copyright International Journal of Ophthalmology Press.","author":[{"dropping-particle":"","family":"Sonmez","given":"Kenan","non-dropping-particle":"","parse-names":false,"suffix":""},{"dropping-particle":"","family":"Ozturk","given":"Faruk","non-dropping-particle":"","parse-names":false,"suffix":""}],"container-title":"International Journal of Ophthalmology","id":"ITEM-1","issue":"6","issued":{"date-parts":[["2012"]]},"page":"719-725","title":"Complications of intravitreal triamcinolone acetonide for macular edema and predictive factors for intraocular pressure elevation","type":"article-journal","volume":"5"},"uris":["http://www.mendeley.com/documents/?uuid=1d98e554-d142-47b2-9d09-02f04650608a"]}],"mendeley":{"formattedCitation":"(24)","plainTextFormattedCitation":"(24)","previouslyFormattedCitation":"(Sonmez and Ozturk, 2012)"},"properties":{"noteIndex":0},"schema":"https://github.com/citation-style-language/schema/raw/master/csl-citation.json"}</w:instrText>
      </w:r>
      <w:r w:rsidRPr="001016D6">
        <w:rPr>
          <w:color w:val="000000" w:themeColor="text1"/>
        </w:rPr>
        <w:fldChar w:fldCharType="separate"/>
      </w:r>
      <w:r w:rsidR="001A3D64" w:rsidRPr="001016D6">
        <w:rPr>
          <w:noProof/>
          <w:color w:val="000000" w:themeColor="text1"/>
        </w:rPr>
        <w:t>(24)</w:t>
      </w:r>
      <w:r w:rsidRPr="001016D6">
        <w:rPr>
          <w:color w:val="000000" w:themeColor="text1"/>
        </w:rPr>
        <w:fldChar w:fldCharType="end"/>
      </w:r>
      <w:r w:rsidRPr="001016D6">
        <w:rPr>
          <w:color w:val="000000" w:themeColor="text1"/>
        </w:rPr>
        <w:t xml:space="preserve"> in Turkey, who also performed </w:t>
      </w:r>
      <w:r w:rsidRPr="001016D6">
        <w:rPr>
          <w:rStyle w:val="Strong"/>
          <w:rFonts w:eastAsiaTheme="majorEastAsia"/>
          <w:b w:val="0"/>
          <w:color w:val="000000" w:themeColor="text1"/>
        </w:rPr>
        <w:t>multivariate logistic regression</w:t>
      </w:r>
      <w:r w:rsidRPr="001016D6">
        <w:rPr>
          <w:color w:val="000000" w:themeColor="text1"/>
        </w:rPr>
        <w:t xml:space="preserve"> and identified </w:t>
      </w:r>
      <w:r w:rsidRPr="001016D6">
        <w:rPr>
          <w:rStyle w:val="Strong"/>
          <w:rFonts w:eastAsiaTheme="majorEastAsia"/>
          <w:b w:val="0"/>
          <w:color w:val="000000" w:themeColor="text1"/>
        </w:rPr>
        <w:t>age (p = 0.003), gender (p = 0.014), and higher baseline IOP (p = 0.022)</w:t>
      </w:r>
      <w:r w:rsidRPr="001016D6">
        <w:rPr>
          <w:color w:val="000000" w:themeColor="text1"/>
        </w:rPr>
        <w:t xml:space="preserve"> as independent predictors of OHT. Notably, in their study, </w:t>
      </w:r>
      <w:r w:rsidRPr="001016D6">
        <w:rPr>
          <w:rStyle w:val="Strong"/>
          <w:rFonts w:eastAsiaTheme="majorEastAsia"/>
          <w:b w:val="0"/>
          <w:color w:val="000000" w:themeColor="text1"/>
        </w:rPr>
        <w:t>eyes that had undergone vitrectomy showed a trend toward lower risk (p = 0.054)</w:t>
      </w:r>
      <w:r w:rsidRPr="001016D6">
        <w:rPr>
          <w:color w:val="000000" w:themeColor="text1"/>
        </w:rPr>
        <w:t xml:space="preserve"> a variable not assessed in the current analysis due to exclusion criteria.</w:t>
      </w:r>
    </w:p>
    <w:p w14:paraId="1235ABB8" w14:textId="77777777" w:rsidR="00EF6979" w:rsidRPr="001016D6" w:rsidRDefault="00EF6979" w:rsidP="001A3D64">
      <w:pPr>
        <w:pStyle w:val="NormalWeb"/>
        <w:spacing w:line="360" w:lineRule="auto"/>
        <w:jc w:val="both"/>
        <w:rPr>
          <w:color w:val="000000" w:themeColor="text1"/>
        </w:rPr>
      </w:pPr>
      <w:r w:rsidRPr="001016D6">
        <w:rPr>
          <w:color w:val="000000" w:themeColor="text1"/>
        </w:rPr>
        <w:t xml:space="preserve">The absence of a significant association between age or sex in our adjusted model contrasts with </w:t>
      </w:r>
      <w:r w:rsidRPr="001016D6">
        <w:rPr>
          <w:color w:val="000000" w:themeColor="text1"/>
        </w:rPr>
        <w:fldChar w:fldCharType="begin" w:fldLock="1"/>
      </w:r>
      <w:r w:rsidR="001A3D64" w:rsidRPr="001016D6">
        <w:rPr>
          <w:color w:val="000000" w:themeColor="text1"/>
        </w:rPr>
        <w:instrText>ADDIN CSL_CITATION {"citationItems":[{"id":"ITEM-1","itemData":{"DOI":"10.3980/j.issn.2222-3959.2012.06.13","ISSN":"22223959","abstract":"AIM: To investigate the complications of intravitreal triamcinolone acetonide (IVTA) for the treatment of macular edema, and to determine the risk factors for intraocular pressure (IOP) elevation. METHODS: Charts of patients with macular edema secondary to branch retinal vein occlusion (BRVO), diabetic retinopathy and uveitis who had received IVTA injections were reviewed to document its complications. IOP elevation was defined as a pressure of ≥ 24mmHg at some point during follow-up. Multivariate logistic regression analysis was performed to characterize baseline risk factors for this elevation. RESULTS: The study included 111 eyes of 65 female and 46 male patients with a mean follow-up of (11.6 ± 5.1) months. Of the 111 eyes, 52 (46.8%) had macular edema secondary to BRVO, 44 (39.6%) had clinically significant diabetic macular edema (CSDME) and 15 (13.5%) had non-infectious uveitis with macular edema. IOP was recorded ≥24mmHg in 38 eyes (34.2%) during the follow-up. Higher baseline IOP (P = 0.022), younger age (P = 0.003), and male gender (P = 0.014) were significant risk factors for IOP elevation after IVTA injection. Eyes with prior vitrectomy were less likely to have IOP elevation (P = 0.054). Two eyes (5.2%of eyes with increased IOP) underwent trabeculectomy, and 9 eyes (16.3% of the phakic eyes) necessitated cataract surgery. Other complications included branch vein occlusion (1.8%), sterile endophthalmitis (0.9%) and pseudohypopyon (0.9%). CONCLUSION: IVTA has side effects with IOP elevation and cataract formation being the two most common. A subset of patients is more prone to developing increased IOP following IVTA, namely, younger male patients with higher baseline IOP. Copyright International Journal of Ophthalmology Press.","author":[{"dropping-particle":"","family":"Sonmez","given":"Kenan","non-dropping-particle":"","parse-names":false,"suffix":""},{"dropping-particle":"","family":"Ozturk","given":"Faruk","non-dropping-particle":"","parse-names":false,"suffix":""}],"container-title":"International Journal of Ophthalmology","id":"ITEM-1","issue":"6","issued":{"date-parts":[["2012"]]},"page":"719-725","title":"Complications of intravitreal triamcinolone acetonide for macular edema and predictive factors for intraocular pressure elevation","type":"article-journal","volume":"5"},"uris":["http://www.mendeley.com/documents/?uuid=1d98e554-d142-47b2-9d09-02f04650608a"]}],"mendeley":{"formattedCitation":"(24)","plainTextFormattedCitation":"(24)","previouslyFormattedCitation":"(Sonmez and Ozturk, 2012)"},"properties":{"noteIndex":0},"schema":"https://github.com/citation-style-language/schema/raw/master/csl-citation.json"}</w:instrText>
      </w:r>
      <w:r w:rsidRPr="001016D6">
        <w:rPr>
          <w:color w:val="000000" w:themeColor="text1"/>
        </w:rPr>
        <w:fldChar w:fldCharType="separate"/>
      </w:r>
      <w:r w:rsidR="001A3D64" w:rsidRPr="001016D6">
        <w:rPr>
          <w:noProof/>
          <w:color w:val="000000" w:themeColor="text1"/>
        </w:rPr>
        <w:t>(24)</w:t>
      </w:r>
      <w:r w:rsidRPr="001016D6">
        <w:rPr>
          <w:color w:val="000000" w:themeColor="text1"/>
        </w:rPr>
        <w:fldChar w:fldCharType="end"/>
      </w:r>
      <w:r w:rsidRPr="001016D6">
        <w:rPr>
          <w:color w:val="000000" w:themeColor="text1"/>
        </w:rPr>
        <w:t xml:space="preserve"> findings. This discrepancy may be attributed to differences in sample size, ethnicity, and underlying disease profiles. While our study did find a borderline association with lens status in the crude model (CRR = 1.98, p = 0.018), this effect disappeared upon adjustment, suggesting a possible confounding effect from the indication (RVO or CME), which was more prevalent in certain lens groups.</w:t>
      </w:r>
    </w:p>
    <w:p w14:paraId="30095A88" w14:textId="77777777" w:rsidR="00EF6979" w:rsidRPr="001016D6" w:rsidRDefault="00EF6979" w:rsidP="001A3D64">
      <w:pPr>
        <w:pStyle w:val="NormalWeb"/>
        <w:spacing w:line="360" w:lineRule="auto"/>
        <w:jc w:val="both"/>
        <w:rPr>
          <w:color w:val="000000" w:themeColor="text1"/>
        </w:rPr>
      </w:pPr>
      <w:r w:rsidRPr="001016D6">
        <w:rPr>
          <w:color w:val="000000" w:themeColor="text1"/>
        </w:rPr>
        <w:t xml:space="preserve">Another divergence lies in the role of </w:t>
      </w:r>
      <w:r w:rsidRPr="001016D6">
        <w:rPr>
          <w:rStyle w:val="Strong"/>
          <w:rFonts w:eastAsiaTheme="majorEastAsia"/>
          <w:b w:val="0"/>
          <w:color w:val="000000" w:themeColor="text1"/>
        </w:rPr>
        <w:t>CME</w:t>
      </w:r>
      <w:r w:rsidRPr="001016D6">
        <w:rPr>
          <w:color w:val="000000" w:themeColor="text1"/>
        </w:rPr>
        <w:t xml:space="preserve">, which showed a protective trend in our unadjusted model (CRR = 0.48; p = 0.013) but became non-significant after multivariate adjustment (ARR = 0.71; p = 0.723). This is in contrast to </w:t>
      </w:r>
      <w:r w:rsidRPr="001016D6">
        <w:rPr>
          <w:color w:val="000000" w:themeColor="text1"/>
        </w:rPr>
        <w:fldChar w:fldCharType="begin" w:fldLock="1"/>
      </w:r>
      <w:r w:rsidR="001A3D64" w:rsidRPr="001016D6">
        <w:rPr>
          <w:color w:val="000000" w:themeColor="text1"/>
        </w:rPr>
        <w:instrText>ADDIN CSL_CITATION {"citationItems":[{"id":"ITEM-1","itemData":{"DOI":"10.1016/j.survophthal.2012.08.003","ISSN":"00396257","PMID":"23768920","abstract":"The use of intravitreal (IVT) corticosteroids for treatment of posterior segment diseases has increased significantly over the last decade. A commonly recognized complication of IVT steroids is secondary ocular hypertension (OHT) that can occur immediately secondary to direct intraocular volume increase or weeks to months later as a result of increased outflow resistance. We performed a meta-analysis and found 32% (95% confidence interval, 28.2-36.3) of individuals developed OHT following 4 mg IVT triamcinolone, 66% (50.2-78.8) and 79% (72.2-84.5) following 0.59 and 2.1 mg fluocinolone implant, respectively, and 11% (6.4-17.9) and 15% (9.2-24.3) following 0.35 and 0.7 mg dexamethasone implant, respectively. Risk factors included pre-existing glaucoma, higher baseline intraocular pressure (IOP), younger age, OHT following previous injection, uveitis, higher steroid dosage, and fluocinolone implant. Most cases of OHT can be controlled medically; up to 45% following fluocinolone implant require surgery, however. We suggest a protocol to monitor IOP after IVT steroid injection/implantation that includes checking IOP within 30 minutes after injection, followed by 1 week after IVT triamcinolone and 2 weeks after implant insertion, then every 2 weeks for the first month and monthly for up to 6 months after IVT triamcinolone and dexamethasone implantation and 9 months after fluocinolone implantation. © 2013 Elsevier Inc..","author":[{"dropping-particle":"","family":"Kiddee","given":"Weerawat","non-dropping-particle":"","parse-names":false,"suffix":""},{"dropping-particle":"","family":"Trope","given":"Graham E.","non-dropping-particle":"","parse-names":false,"suffix":""},{"dropping-particle":"","family":"Sheng","given":"Lisa","non-dropping-particle":"","parse-names":false,"suffix":""},{"dropping-particle":"","family":"Beltran-Agullo","given":"Laura","non-dropping-particle":"","parse-names":false,"suffix":""},{"dropping-particle":"","family":"Smith","given":"Michael","non-dropping-particle":"","parse-names":false,"suffix":""},{"dropping-particle":"","family":"Strungaru","given":"M. Hermina","non-dropping-particle":"","parse-names":false,"suffix":""},{"dropping-particle":"","family":"Baath","given":"Jasrajbir","non-dropping-particle":"","parse-names":false,"suffix":""},{"dropping-particle":"","family":"Buys","given":"Yvonne M.","non-dropping-particle":"","parse-names":false,"suffix":""}],"container-title":"Survey of Ophthalmology","id":"ITEM-1","issue":"4","issued":{"date-parts":[["2013"]]},"page":"291-310","title":"Intraocular Pressure Monitoring Post Intravitreal Steroids: A Systematic Review","type":"article-journal","volume":"58"},"uris":["http://www.mendeley.com/documents/?uuid=d7bc73e6-4f50-408e-a096-3f4f8230b605"]}],"mendeley":{"formattedCitation":"(5)","plainTextFormattedCitation":"(5)","previouslyFormattedCitation":"(Kiddee &lt;i&gt;et al.&lt;/i&gt;, 2013)"},"properties":{"noteIndex":0},"schema":"https://github.com/citation-style-language/schema/raw/master/csl-citation.json"}</w:instrText>
      </w:r>
      <w:r w:rsidRPr="001016D6">
        <w:rPr>
          <w:color w:val="000000" w:themeColor="text1"/>
        </w:rPr>
        <w:fldChar w:fldCharType="separate"/>
      </w:r>
      <w:r w:rsidR="001A3D64" w:rsidRPr="001016D6">
        <w:rPr>
          <w:noProof/>
          <w:color w:val="000000" w:themeColor="text1"/>
        </w:rPr>
        <w:t>(5)</w:t>
      </w:r>
      <w:r w:rsidRPr="001016D6">
        <w:rPr>
          <w:color w:val="000000" w:themeColor="text1"/>
        </w:rPr>
        <w:fldChar w:fldCharType="end"/>
      </w:r>
      <w:r w:rsidRPr="001016D6">
        <w:rPr>
          <w:color w:val="000000" w:themeColor="text1"/>
        </w:rPr>
        <w:t>, who identified CME as one of the more common underlying conditions associated with steroid-induced OHT. The contradiction might be due to different disease chronicity, inflammation levels, or variability in steroid responsiveness.</w:t>
      </w:r>
    </w:p>
    <w:p w14:paraId="71E2DF15" w14:textId="77777777" w:rsidR="00EF6979" w:rsidRPr="001016D6" w:rsidRDefault="00EF6979" w:rsidP="001A3D64">
      <w:pPr>
        <w:pStyle w:val="NormalWeb"/>
        <w:spacing w:line="360" w:lineRule="auto"/>
        <w:jc w:val="both"/>
        <w:rPr>
          <w:color w:val="000000" w:themeColor="text1"/>
        </w:rPr>
      </w:pPr>
      <w:r w:rsidRPr="001016D6">
        <w:rPr>
          <w:color w:val="000000" w:themeColor="text1"/>
        </w:rPr>
        <w:t xml:space="preserve">Importantly, our finding that </w:t>
      </w:r>
      <w:r w:rsidRPr="001016D6">
        <w:rPr>
          <w:rStyle w:val="Strong"/>
          <w:rFonts w:eastAsiaTheme="majorEastAsia"/>
          <w:b w:val="0"/>
          <w:color w:val="000000" w:themeColor="text1"/>
        </w:rPr>
        <w:t>RVO independently predicted OHT</w:t>
      </w:r>
      <w:r w:rsidRPr="001016D6">
        <w:rPr>
          <w:color w:val="000000" w:themeColor="text1"/>
        </w:rPr>
        <w:t xml:space="preserve"> post-IVTA highlights the need for cautious use of steroids in this subgroup. This may be related to compromised trabecular outflow from underlying ischemia and venous stasis, making the eye more susceptible to steroid-induced aqueous outflow resistance.</w:t>
      </w:r>
    </w:p>
    <w:p w14:paraId="27951401" w14:textId="77777777" w:rsidR="00EF6979" w:rsidRPr="001016D6" w:rsidRDefault="00EF6979" w:rsidP="001A3D64">
      <w:pPr>
        <w:pStyle w:val="NormalWeb"/>
        <w:spacing w:line="360" w:lineRule="auto"/>
        <w:jc w:val="both"/>
        <w:rPr>
          <w:color w:val="000000" w:themeColor="text1"/>
        </w:rPr>
      </w:pPr>
      <w:r w:rsidRPr="001016D6">
        <w:rPr>
          <w:color w:val="000000" w:themeColor="text1"/>
        </w:rPr>
        <w:t xml:space="preserve">This study reaffirms the multifactorial nature of steroid-induced OHT and emphasizes the importance of considering the </w:t>
      </w:r>
      <w:r w:rsidRPr="001016D6">
        <w:rPr>
          <w:rStyle w:val="Strong"/>
          <w:rFonts w:eastAsiaTheme="majorEastAsia"/>
          <w:b w:val="0"/>
          <w:color w:val="000000" w:themeColor="text1"/>
        </w:rPr>
        <w:t>underlying retinal pathology</w:t>
      </w:r>
      <w:r w:rsidRPr="001016D6">
        <w:rPr>
          <w:color w:val="000000" w:themeColor="text1"/>
        </w:rPr>
        <w:t xml:space="preserve">, especially </w:t>
      </w:r>
      <w:r w:rsidRPr="001016D6">
        <w:rPr>
          <w:rStyle w:val="Strong"/>
          <w:rFonts w:eastAsiaTheme="majorEastAsia"/>
          <w:b w:val="0"/>
          <w:color w:val="000000" w:themeColor="text1"/>
        </w:rPr>
        <w:t>RVO</w:t>
      </w:r>
      <w:r w:rsidRPr="001016D6">
        <w:rPr>
          <w:b/>
          <w:color w:val="000000" w:themeColor="text1"/>
        </w:rPr>
        <w:t>,</w:t>
      </w:r>
      <w:r w:rsidRPr="001016D6">
        <w:rPr>
          <w:color w:val="000000" w:themeColor="text1"/>
        </w:rPr>
        <w:t xml:space="preserve"> when assessing risk. These findings support and complement previous work by </w:t>
      </w:r>
      <w:r w:rsidRPr="001016D6">
        <w:rPr>
          <w:color w:val="000000" w:themeColor="text1"/>
        </w:rPr>
        <w:fldChar w:fldCharType="begin" w:fldLock="1"/>
      </w:r>
      <w:r w:rsidR="001A3D64" w:rsidRPr="001016D6">
        <w:rPr>
          <w:color w:val="000000" w:themeColor="text1"/>
        </w:rPr>
        <w:instrText>ADDIN CSL_CITATION {"citationItems":[{"id":"ITEM-1","itemData":{"DOI":"10.3980/j.issn.2222-3959.2012.06.13","ISSN":"22223959","abstract":"AIM: To investigate the complications of intravitreal triamcinolone acetonide (IVTA) for the treatment of macular edema, and to determine the risk factors for intraocular pressure (IOP) elevation. METHODS: Charts of patients with macular edema secondary to branch retinal vein occlusion (BRVO), diabetic retinopathy and uveitis who had received IVTA injections were reviewed to document its complications. IOP elevation was defined as a pressure of ≥ 24mmHg at some point during follow-up. Multivariate logistic regression analysis was performed to characterize baseline risk factors for this elevation. RESULTS: The study included 111 eyes of 65 female and 46 male patients with a mean follow-up of (11.6 ± 5.1) months. Of the 111 eyes, 52 (46.8%) had macular edema secondary to BRVO, 44 (39.6%) had clinically significant diabetic macular edema (CSDME) and 15 (13.5%) had non-infectious uveitis with macular edema. IOP was recorded ≥24mmHg in 38 eyes (34.2%) during the follow-up. Higher baseline IOP (P = 0.022), younger age (P = 0.003), and male gender (P = 0.014) were significant risk factors for IOP elevation after IVTA injection. Eyes with prior vitrectomy were less likely to have IOP elevation (P = 0.054). Two eyes (5.2%of eyes with increased IOP) underwent trabeculectomy, and 9 eyes (16.3% of the phakic eyes) necessitated cataract surgery. Other complications included branch vein occlusion (1.8%), sterile endophthalmitis (0.9%) and pseudohypopyon (0.9%). CONCLUSION: IVTA has side effects with IOP elevation and cataract formation being the two most common. A subset of patients is more prone to developing increased IOP following IVTA, namely, younger male patients with higher baseline IOP. Copyright International Journal of Ophthalmology Press.","author":[{"dropping-particle":"","family":"Sonmez","given":"Kenan","non-dropping-particle":"","parse-names":false,"suffix":""},{"dropping-particle":"","family":"Ozturk","given":"Faruk","non-dropping-particle":"","parse-names":false,"suffix":""}],"container-title":"International Journal of Ophthalmology","id":"ITEM-1","issue":"6","issued":{"date-parts":[["2012"]]},"page":"719-725","title":"Complications of intravitreal triamcinolone acetonide for macular edema and predictive factors for intraocular pressure elevation","type":"article-journal","volume":"5"},"uris":["http://www.mendeley.com/documents/?uuid=1d98e554-d142-47b2-9d09-02f04650608a"]}],"mendeley":{"formattedCitation":"(24)","plainTextFormattedCitation":"(24)","previouslyFormattedCitation":"(Sonmez and Ozturk, 2012)"},"properties":{"noteIndex":0},"schema":"https://github.com/citation-style-language/schema/raw/master/csl-citation.json"}</w:instrText>
      </w:r>
      <w:r w:rsidRPr="001016D6">
        <w:rPr>
          <w:color w:val="000000" w:themeColor="text1"/>
        </w:rPr>
        <w:fldChar w:fldCharType="separate"/>
      </w:r>
      <w:r w:rsidR="001A3D64" w:rsidRPr="001016D6">
        <w:rPr>
          <w:noProof/>
          <w:color w:val="000000" w:themeColor="text1"/>
        </w:rPr>
        <w:t>(24)</w:t>
      </w:r>
      <w:r w:rsidRPr="001016D6">
        <w:rPr>
          <w:color w:val="000000" w:themeColor="text1"/>
        </w:rPr>
        <w:fldChar w:fldCharType="end"/>
      </w:r>
      <w:r w:rsidRPr="001016D6">
        <w:rPr>
          <w:color w:val="000000" w:themeColor="text1"/>
        </w:rPr>
        <w:t xml:space="preserve"> and underscore the need for individualized risk stratification before IVTA administration.</w:t>
      </w:r>
    </w:p>
    <w:p w14:paraId="1D2D2915" w14:textId="7777777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As our study used a standard 4 mg IVTA dose, we observed results comparable to global trends. However, recent trials advocate dose adjustments or delivery innovations.</w:t>
      </w:r>
    </w:p>
    <w:p w14:paraId="688DBF60" w14:textId="7777777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bCs/>
          <w:color w:val="000000" w:themeColor="text1"/>
          <w:sz w:val="24"/>
          <w:szCs w:val="24"/>
          <w:lang w:eastAsia="en-GB"/>
        </w:rPr>
        <w:lastRenderedPageBreak/>
        <w:fldChar w:fldCharType="begin" w:fldLock="1"/>
      </w:r>
      <w:r w:rsidR="001A3D64" w:rsidRPr="001016D6">
        <w:rPr>
          <w:rFonts w:ascii="Times New Roman" w:eastAsia="Times New Roman" w:hAnsi="Times New Roman" w:cs="Times New Roman"/>
          <w:bCs/>
          <w:color w:val="000000" w:themeColor="text1"/>
          <w:sz w:val="24"/>
          <w:szCs w:val="24"/>
          <w:lang w:eastAsia="en-GB"/>
        </w:rPr>
        <w:instrText>ADDIN CSL_CITATION {"citationItems":[{"id":"ITEM-1","itemData":{"DOI":"10.36351/pjo.v39i3.1626","author":[{"dropping-particle":"","family":"Article","given":"Original","non-dropping-particle":"","parse-names":false,"suffix":""},{"dropping-particle":"","family":"Rathi","given":"Rishabh","non-dropping-particle":"","parse-names":false,"suffix":""},{"dropping-particle":"","family":"Patel","given":"Smita","non-dropping-particle":"","parse-names":false,"suffix":""},{"dropping-particle":"","family":"Jain","given":"Amisha","non-dropping-particle":"","parse-names":false,"suffix":""},{"dropping-particle":"","family":"Jaiswal","given":"Komal","non-dropping-particle":"","parse-names":false,"suffix":""},{"dropping-particle":"","family":"Nema","given":"Nitin","non-dropping-particle":"","parse-names":false,"suffix":""}],"id":"ITEM-1","issue":"3","issued":{"date-parts":[["2023"]]},"page":"190-195","title":"Intraocular Pressure Elevation Following Intra- Vitreal Injection of Bevacizumab , Ranibizumab and Triamcinolone Acetonide","type":"article-journal","volume":"39"},"uris":["http://www.mendeley.com/documents/?uuid=983b9c85-a997-4352-844c-a271db0bf582"]}],"mendeley":{"formattedCitation":"(6)","manualFormatting":"(Peng et al., 2024)","plainTextFormattedCitation":"(6)","previouslyFormattedCitation":"(Article &lt;i&gt;et al.&lt;/i&gt;, 2023)"},"properties":{"noteIndex":0},"schema":"https://github.com/citation-style-language/schema/raw/master/csl-citation.json"}</w:instrText>
      </w:r>
      <w:r w:rsidRPr="001016D6">
        <w:rPr>
          <w:rFonts w:ascii="Times New Roman" w:eastAsia="Times New Roman" w:hAnsi="Times New Roman" w:cs="Times New Roman"/>
          <w:bCs/>
          <w:color w:val="000000" w:themeColor="text1"/>
          <w:sz w:val="24"/>
          <w:szCs w:val="24"/>
          <w:lang w:eastAsia="en-GB"/>
        </w:rPr>
        <w:fldChar w:fldCharType="separate"/>
      </w:r>
      <w:r w:rsidRPr="001016D6">
        <w:rPr>
          <w:rFonts w:ascii="Times New Roman" w:eastAsia="Times New Roman" w:hAnsi="Times New Roman" w:cs="Times New Roman"/>
          <w:bCs/>
          <w:noProof/>
          <w:color w:val="000000" w:themeColor="text1"/>
          <w:sz w:val="24"/>
          <w:szCs w:val="24"/>
          <w:lang w:eastAsia="en-GB"/>
        </w:rPr>
        <w:t xml:space="preserve">(Peng </w:t>
      </w:r>
      <w:r w:rsidRPr="001016D6">
        <w:rPr>
          <w:rFonts w:ascii="Times New Roman" w:eastAsia="Times New Roman" w:hAnsi="Times New Roman" w:cs="Times New Roman"/>
          <w:bCs/>
          <w:i/>
          <w:noProof/>
          <w:color w:val="000000" w:themeColor="text1"/>
          <w:sz w:val="24"/>
          <w:szCs w:val="24"/>
          <w:lang w:eastAsia="en-GB"/>
        </w:rPr>
        <w:t>et al.</w:t>
      </w:r>
      <w:r w:rsidRPr="001016D6">
        <w:rPr>
          <w:rFonts w:ascii="Times New Roman" w:eastAsia="Times New Roman" w:hAnsi="Times New Roman" w:cs="Times New Roman"/>
          <w:bCs/>
          <w:noProof/>
          <w:color w:val="000000" w:themeColor="text1"/>
          <w:sz w:val="24"/>
          <w:szCs w:val="24"/>
          <w:lang w:eastAsia="en-GB"/>
        </w:rPr>
        <w:t>, 2024)</w:t>
      </w:r>
      <w:r w:rsidRPr="001016D6">
        <w:rPr>
          <w:rFonts w:ascii="Times New Roman" w:eastAsia="Times New Roman" w:hAnsi="Times New Roman" w:cs="Times New Roman"/>
          <w:bCs/>
          <w:color w:val="000000" w:themeColor="text1"/>
          <w:sz w:val="24"/>
          <w:szCs w:val="24"/>
          <w:lang w:eastAsia="en-GB"/>
        </w:rPr>
        <w:fldChar w:fldCharType="end"/>
      </w:r>
      <w:r w:rsidRPr="001016D6">
        <w:rPr>
          <w:rFonts w:ascii="Times New Roman" w:eastAsia="Times New Roman" w:hAnsi="Times New Roman" w:cs="Times New Roman"/>
          <w:color w:val="000000" w:themeColor="text1"/>
          <w:sz w:val="24"/>
          <w:szCs w:val="24"/>
          <w:lang w:eastAsia="en-GB"/>
        </w:rPr>
        <w:t xml:space="preserve"> compared 2 mg vs. 4 mg doses in </w:t>
      </w:r>
      <w:proofErr w:type="spellStart"/>
      <w:r w:rsidRPr="001016D6">
        <w:rPr>
          <w:rFonts w:ascii="Times New Roman" w:eastAsia="Times New Roman" w:hAnsi="Times New Roman" w:cs="Times New Roman"/>
          <w:color w:val="000000" w:themeColor="text1"/>
          <w:sz w:val="24"/>
          <w:szCs w:val="24"/>
          <w:lang w:eastAsia="en-GB"/>
        </w:rPr>
        <w:t>uveitic</w:t>
      </w:r>
      <w:proofErr w:type="spellEnd"/>
      <w:r w:rsidRPr="001016D6">
        <w:rPr>
          <w:rFonts w:ascii="Times New Roman" w:eastAsia="Times New Roman" w:hAnsi="Times New Roman" w:cs="Times New Roman"/>
          <w:color w:val="000000" w:themeColor="text1"/>
          <w:sz w:val="24"/>
          <w:szCs w:val="24"/>
          <w:lang w:eastAsia="en-GB"/>
        </w:rPr>
        <w:t xml:space="preserve"> macular </w:t>
      </w:r>
      <w:proofErr w:type="spellStart"/>
      <w:r w:rsidRPr="001016D6">
        <w:rPr>
          <w:rFonts w:ascii="Times New Roman" w:eastAsia="Times New Roman" w:hAnsi="Times New Roman" w:cs="Times New Roman"/>
          <w:color w:val="000000" w:themeColor="text1"/>
          <w:sz w:val="24"/>
          <w:szCs w:val="24"/>
          <w:lang w:eastAsia="en-GB"/>
        </w:rPr>
        <w:t>edema</w:t>
      </w:r>
      <w:proofErr w:type="spellEnd"/>
      <w:r w:rsidRPr="001016D6">
        <w:rPr>
          <w:rFonts w:ascii="Times New Roman" w:eastAsia="Times New Roman" w:hAnsi="Times New Roman" w:cs="Times New Roman"/>
          <w:color w:val="000000" w:themeColor="text1"/>
          <w:sz w:val="24"/>
          <w:szCs w:val="24"/>
          <w:lang w:eastAsia="en-GB"/>
        </w:rPr>
        <w:t xml:space="preserve"> and found the lower dose significantly reduced IOP elevation without compromising visual outcomes. This suggests </w:t>
      </w:r>
      <w:r w:rsidRPr="001016D6">
        <w:rPr>
          <w:rFonts w:ascii="Times New Roman" w:eastAsia="Times New Roman" w:hAnsi="Times New Roman" w:cs="Times New Roman"/>
          <w:bCs/>
          <w:color w:val="000000" w:themeColor="text1"/>
          <w:sz w:val="24"/>
          <w:szCs w:val="24"/>
          <w:lang w:eastAsia="en-GB"/>
        </w:rPr>
        <w:t>micro-dosing</w:t>
      </w:r>
      <w:r w:rsidRPr="001016D6">
        <w:rPr>
          <w:rFonts w:ascii="Times New Roman" w:eastAsia="Times New Roman" w:hAnsi="Times New Roman" w:cs="Times New Roman"/>
          <w:color w:val="000000" w:themeColor="text1"/>
          <w:sz w:val="24"/>
          <w:szCs w:val="24"/>
          <w:lang w:eastAsia="en-GB"/>
        </w:rPr>
        <w:t xml:space="preserve"> may be optimal for high-risk patients.</w:t>
      </w:r>
    </w:p>
    <w:p w14:paraId="20F3C149" w14:textId="77777777" w:rsidR="00EF6979" w:rsidRPr="001016D6" w:rsidRDefault="00EF6979" w:rsidP="001A3D6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 xml:space="preserve">Emerging drug-delivery systems, such as </w:t>
      </w:r>
      <w:proofErr w:type="spellStart"/>
      <w:r w:rsidRPr="001016D6">
        <w:rPr>
          <w:rFonts w:ascii="Times New Roman" w:eastAsia="Times New Roman" w:hAnsi="Times New Roman" w:cs="Times New Roman"/>
          <w:bCs/>
          <w:color w:val="000000" w:themeColor="text1"/>
          <w:sz w:val="24"/>
          <w:szCs w:val="24"/>
          <w:lang w:eastAsia="en-GB"/>
        </w:rPr>
        <w:t>bioerodible</w:t>
      </w:r>
      <w:proofErr w:type="spellEnd"/>
      <w:r w:rsidRPr="001016D6">
        <w:rPr>
          <w:rFonts w:ascii="Times New Roman" w:eastAsia="Times New Roman" w:hAnsi="Times New Roman" w:cs="Times New Roman"/>
          <w:bCs/>
          <w:color w:val="000000" w:themeColor="text1"/>
          <w:sz w:val="24"/>
          <w:szCs w:val="24"/>
          <w:lang w:eastAsia="en-GB"/>
        </w:rPr>
        <w:t xml:space="preserve"> implants</w:t>
      </w:r>
      <w:r w:rsidRPr="001016D6">
        <w:rPr>
          <w:rFonts w:ascii="Times New Roman" w:eastAsia="Times New Roman" w:hAnsi="Times New Roman" w:cs="Times New Roman"/>
          <w:color w:val="000000" w:themeColor="text1"/>
          <w:sz w:val="24"/>
          <w:szCs w:val="24"/>
          <w:lang w:eastAsia="en-GB"/>
        </w:rPr>
        <w:t xml:space="preserve"> studied by </w:t>
      </w:r>
      <w:r w:rsidRPr="001016D6">
        <w:rPr>
          <w:rFonts w:ascii="Times New Roman" w:eastAsia="Times New Roman" w:hAnsi="Times New Roman" w:cs="Times New Roman"/>
          <w:color w:val="000000" w:themeColor="text1"/>
          <w:sz w:val="24"/>
          <w:szCs w:val="24"/>
          <w:lang w:eastAsia="en-GB"/>
        </w:rPr>
        <w:fldChar w:fldCharType="begin" w:fldLock="1"/>
      </w:r>
      <w:r w:rsidR="001A3D64" w:rsidRPr="001016D6">
        <w:rPr>
          <w:rFonts w:ascii="Times New Roman" w:eastAsia="Times New Roman" w:hAnsi="Times New Roman" w:cs="Times New Roman"/>
          <w:color w:val="000000" w:themeColor="text1"/>
          <w:sz w:val="24"/>
          <w:szCs w:val="24"/>
          <w:lang w:eastAsia="en-GB"/>
        </w:rPr>
        <w:instrText>ADDIN CSL_CITATION {"citationItems":[{"id":"ITEM-1","itemData":{"DOI":"10.4103/ijo.IJO","ISBN":"1177-5467","ISSN":"1471-2415","PMID":"10071898","abstract":"Often the literature makes assertions of medical product effects on the basis of ' p &lt; 0.05'. The underlying premise is that at this threshold, there is only a 5% probability that the observed effect would be seen by chance when in reality there is no effect. In observational studies, much more than in randomized trials, bias and confounding may undermine this premise. To test this premise, we selected three exemplar drug safety studies from literature, representing a case-control, a cohort, and a self-controlled case series design. We attempted to replicate these studies as best we could for the drugs studied in the original articles. Next, we applied the same three designs to sets of negative controls: drugs that are not believed to cause the outcome of interest. We observed how often p &lt; 0.05 when the null hypothesis is true, and we fitted distributions to the effect estimates. Using these distributions, we compute calibrated p-values that reflect the probability of observing the effect estimate under the null hypothesis, taking both random and systematic error into account. An automated analysis of scientific literature was performed to evaluate the potential impact of such a calibration. Our experiment provides evidence that the majority of observational studies would declare statistical significance when no effect is present. Empirical calibration was found to reduce spurious results to the desired 5% level. Applying these adjustments to literature suggests that at least 54% of findings with p &lt; 0.05 are not actually statistically significant and should be reevaluated.","author":[{"dropping-particle":"","family":"Balasopoulou","given":"A.","non-dropping-particle":"","parse-names":false,"suffix":""},{"dropping-particle":"","family":"Κokkinos","given":"P.","non-dropping-particle":"","parse-names":false,"suffix":""},{"dropping-particle":"","family":"Pagoulatos","given":"D.","non-dropping-particle":"","parse-names":false,"suffix":""},{"dropping-particle":"","family":"Plotas","given":"P.","non-dropping-particle":"","parse-names":false,"suffix":""},{"dropping-particle":"","family":"Makri","given":"O. E.","non-dropping-particle":"","parse-names":false,"suffix":""},{"dropping-particle":"","family":"Georgakopoulos","given":"C. D.","non-dropping-particle":"","parse-names":false,"suffix":""},{"dropping-particle":"","family":"Vantarakis","given":"A.","non-dropping-particle":"","parse-names":false,"suffix":""},{"dropping-particle":"","family":"Li","given":"Yan","non-dropping-particle":"","parse-names":false,"suffix":""},{"dropping-particle":"","family":"Liu","given":"Jia Jinghua","non-dropping-particle":"","parse-names":false,"suffix":""},{"dropping-particle":"","family":"Qi","given":"Pengcheng","non-dropping-particle":"","parse-names":false,"suffix":""},{"dropping-particle":"","family":"Rapoport","given":"Yuna","non-dropping-particle":"","parse-names":false,"suffix":""},{"dropping-particle":"","family":"Wayman","given":"Laura L.","non-dropping-particle":"","parse-names":false,"suffix":""},{"dropping-particle":"","family":"Chomsky","given":"Amy S.","non-dropping-particle":"","parse-names":false,"suffix":""},{"dropping-particle":"","family":"Joshi","given":"RajeshSubhash Subhash","non-dropping-particle":"","parse-names":false,"suffix":""},{"dropping-particle":"","family":"Press","given":"Dove","non-dropping-particle":"","parse-names":false,"suffix":""},{"dropping-particle":"","family":"Rung","given":"Lena","non-dropping-particle":"","parse-names":false,"suffix":""},{"dropping-particle":"","family":"Ademola-popoola","given":"Dupe","non-dropping-particle":"","parse-names":false,"suffix":""},{"dropping-particle":"","family":"Africa","given":"South","non-dropping-particle":"","parse-names":false,"suffix":""},{"dropping-particle":"","family":"Article","given":"Original","non-dropping-particle":"","parse-names":false,"suffix":""},{"dropping-particle":"","family":"Raj","given":"Vethakkan Bijivin","non-dropping-particle":"","parse-names":false,"suffix":""},{"dropping-particle":"","family":"Diwakar","given":"Parangimalai","non-dropping-particle":"","parse-names":false,"suffix":""},{"dropping-particle":"","family":"Kumar","given":"Madan","non-dropping-particle":"","parse-names":false,"suffix":""},{"dropping-particle":"","family":"Balaji","given":"Selvaraj","non-dropping-particle":"","parse-names":false,"suffix":""},{"dropping-particle":"","family":"Stawicki","given":"S P","non-dropping-particle":"","parse-names":false,"suffix":""},{"dropping-particle":"","family":"Chawla","given":"Bhavna","non-dropping-particle":"","parse-names":false,"suffix":""},{"dropping-particle":"","family":"Singh","given":"Rishi P. Rashmi","non-dropping-particle":"","parse-names":false,"suffix":""},{"dropping-particle":"","family":"Article","given":"Previously Published","non-dropping-particle":"","parse-names":false,"suffix":""},{"dropping-particle":"","family":"Koh","given":"Shizuka","non-dropping-particle":"","parse-names":false,"suffix":""},{"dropping-particle":"","family":"Maeda","given":"Naoyuki","non-dropping-particle":"","parse-names":false,"suffix":""},{"dropping-particle":"","family":"Ikeda","given":"Chikako","non-dropping-particle":"","parse-names":false,"suffix":""},{"dropping-particle":"","family":"Asonuma","given":"Sanae","non-dropping-particle":"","parse-names":false,"suffix":""},{"dropping-particle":"","family":"Ogawa","given":"Mai","non-dropping-particle":"","parse-names":false,"suffix":""},{"dropping-particle":"","family":"Hiraoka","given":"Takahiro","non-dropping-particle":"","parse-names":false,"suffix":""},{"dropping-particle":"","family":"Oshika","given":"Tetsuro","non-dropping-particle":"","parse-names":false,"suffix":""},{"dropping-particle":"","family":"Nishida","given":"Kohji","non-dropping-particle":"","parse-names":false,"suffix":""},{"dropping-particle":"","family":"Peng","given":"Yuting Yuan","non-dropping-particle":"","parse-names":false,"suffix":""},{"dropping-particle":"","family":"Zhang","given":"Xiongze Xiayin Xinbo","non-dropping-particle":"","parse-names":false,"suffix":""},{"dropping-particle":"","family":"Mi","given":"Lan","non-dropping-particle":"","parse-names":false,"suffix":""},{"dropping-particle":"","family":"Liu","given":"Bing","non-dropping-particle":"","parse-names":false,"suffix":""},{"dropping-particle":"","family":"Zuo","given":"Chengguo","non-dropping-particle":"","parse-names":false,"suffix":""},{"dropping-particle":"","family":"Li","given":"Miaoling Meiyan","non-dropping-particle":"","parse-names":false,"suffix":""},{"dropping-particle":"","family":"Wen","given":"Feng","non-dropping-particle":"","parse-names":false,"suffix":""},{"dropping-particle":"","family":"Arita","given":"Reiko","non-dropping-particle":"","parse-names":false,"suffix":""},{"dropping-particle":"","family":"Kawashima","given":"Motoko","non-dropping-particle":"","parse-names":false,"suffix":""},{"dropping-particle":"","family":"Ito","given":"Masataka","non-dropping-particle":"","parse-names":false,"suffix":""},{"dropping-particle":"","family":"Tsubota","given":"Kazuo","non-dropping-particle":"","parse-names":false,"suffix":""},{"dropping-particle":"","family":"Ishikawa","given":"Yuri","non-dropping-particle":"","parse-names":false,"suffix":""},{"dropping-particle":"","family":"Hashimoto","given":"Yuki","non-dropping-particle":"","parse-names":false,"suffix":""},{"dropping-particle":"","family":"Saito","given":"Wataru","non-dropping-particle":"","parse-names":false,"suffix":""},{"dropping-particle":"","family":"Ando","given":"Ryo","non-dropping-particle":"","parse-names":false,"suffix":""},{"dropping-particle":"","family":"Ishida","given":"Susumu","non-dropping-particle":"","parse-names":false,"suffix":""},{"dropping-particle":"","family":"Chang","given":"David F","non-dropping-particle":"","parse-names":false,"suffix":""},{"dropping-particle":"","family":"Donnenfeld","given":"Eric D","non-dropping-particle":"","parse-names":false,"suffix":""},{"dropping-particle":"","family":"Katz","given":"L Jay","non-dropping-particle":"","parse-names":false,"suffix":""},{"dropping-particle":"","family":"Samuelson","given":"Thomas W","non-dropping-particle":"","parse-names":false,"suffix":""},{"dropping-particle":"","family":"Giamporcaro","given":"Jane Ellen","non-dropping-particle":"","parse-names":false,"suffix":""},{"dropping-particle":"","family":"Hornbeak","given":"Dana M","non-dropping-particle":"","parse-names":false,"suffix":""},{"dropping-particle":"","family":"Solomon","given":"Kerry D","non-dropping-particle":"","parse-names":false,"suffix":""},{"dropping-particle":"","family":"Gundersen","given":"Kjell G.","non-dropping-particle":"","parse-names":false,"suffix":""},{"dropping-particle":"","family":"Potvin","given":"Rick Richard","non-dropping-particle":"","parse-names":false,"suffix":""},{"dropping-particle":"","family":"Press","given":"Dove","non-dropping-particle":"","parse-names":false,"suffix":""},{"dropping-particle":"","family":"States","given":"United","non-dropping-particle":"","parse-names":false,"suffix":""},{"dropping-particle":"","family":"Ford","given":"Lisa","non-dropping-particle":"","parse-names":false,"suffix":""},{"dropping-particle":"","family":"Goldberg","given":"Jeffrey L","non-dropping-particle":"","parse-names":false,"suffix":""},{"dropping-particle":"","family":"Selan","given":"Fred","non-dropping-particle":"","parse-names":false,"suffix":""},{"dropping-particle":"","family":"Greenberg","given":"Howard E","non-dropping-particle":"","parse-names":false,"suffix":""},{"dropping-particle":"","family":"Ru??o","given":"Miguel","non-dropping-particle":"","parse-names":false,"suffix":""},{"dropping-particle":"","family":"Andreu-Fenoll","given":"Mar??a","non-dropping-particle":"","parse-names":false,"suffix":""},{"dropping-particle":"","family":"Dolz-Marco","given":"Rosa","non-dropping-particle":"","parse-names":false,"suffix":""},{"dropping-particle":"","family":"Gallego-Pinazo","given":"Roberto","non-dropping-particle":"","parse-names":false,"suffix":""},{"dropping-particle":"","family":"Press","given":"Dove","non-dropping-particle":"","parse-names":false,"suffix":""},{"dropping-particle":"","family":"Hilgers","given":"Ralf-dieter","non-dropping-particle":"","parse-names":false,"suffix":""},{"dropping-particle":"","family":"Grisanti","given":"Salvatore","non-dropping-particle":"","parse-names":false,"suffix":""},{"dropping-particle":"","family":"Lüke","given":"Julia","non-dropping-particle":"","parse-names":false,"suffix":""},{"dropping-particle":"","family":"Lüke","given":"Matthias","non-dropping-particle":"","parse-names":false,"suffix":""},{"dropping-particle":"","family":"Press","given":"Dove","non-dropping-particle":"","parse-names":false,"suffix":""},{"dropping-particle":"","family":"You","given":"Caiyun","non-dropping-particle":"","parse-names":false,"suffix":""},{"dropping-particle":"","family":"Sahawneh","given":"Haitham F.","non-dropping-particle":"","parse-names":false,"suffix":""},{"dropping-particle":"","family":"Ma","given":"Lina","non-dropping-particle":"","parse-names":false,"suffix":""},{"dropping-particle":"","family":"Kubaisi","given":"Buraa","non-dropping-particle":"","parse-names":false,"suffix":""},{"dropping-particle":"","family":"Schmidt","given":"Alexander","non-dropping-particle":"","parse-names":false,"suffix":""},{"dropping-particle":"","family":"Foster","given":"C. Stephen","non-dropping-particle":"","parse-names":false,"suffix":""},{"dropping-particle":"","family":"Godin","given":"Morgan","non-dropping-particle":"","parse-names":false,"suffix":""},{"dropping-particle":"","family":"Gupta","given":"Preeya","non-dropping-particle":"","parse-names":false,"suffix":""},{"dropping-particle":"","family":"Roesch","given":"Karin","non-dropping-particle":"","parse-names":false,"suffix":""},{"dropping-particle":"","family":"Swedish","given":"Tristan","non-dropping-particle":"","parse-names":false,"suffix":""},{"dropping-particle":"","family":"Raskar","given":"Ramesh","non-dropping-particle":"","parse-names":false,"suffix":""},{"dropping-particle":"","family":"Rynerson","given":"James M.","non-dropping-particle":"","parse-names":false,"suffix":""},{"dropping-particle":"","family":"Perry","given":"Henry D.","non-dropping-particle":"","parse-names":false,"suffix":""},{"dropping-particle":"","family":"Ali","given":"Noora Mauwafak","non-dropping-particle":"","parse-names":false,"suffix":""},{"dropping-particle":"","family":"Hamied","given":"Furkaan M.","non-dropping-particle":"","parse-names":false,"suffix":""},{"dropping-particle":"","family":"Farhood","given":"Qasim K.","non-dropping-particle":"","parse-names":false,"suffix":""},{"dropping-particle":"","family":"Adeleye","given":"AmosO","non-dropping-particle":"","parse-names":false,"suffix":""},{"dropping-particle":"","family":"Fisher","given":"Bret L.","non-dropping-particle":"","parse-names":false,"suffix":""},{"dropping-particle":"","family":"Potvin","given":"Rick Richard","non-dropping-particle":"","parse-names":false,"suffix":""},{"dropping-particle":"","family":"Shen","given":"Chao","non-dropping-particle":"","parse-names":false,"suffix":""},{"dropping-particle":"","family":"Wang","given":"Jinghui Jingbing","non-dropping-particle":"","parse-names":false,"suffix":""},{"dropping-particle":"","family":"Wu","given":"Xiaotang Xiaohang","non-dropping-particle":"","parse-names":false,"suffix":""},{"dropping-particle":"","family":"Wang","given":"Fuchao","non-dropping-particle":"","parse-names":false,"suffix":""},{"dropping-particle":"","family":"Liu","given":"Yang","non-dropping-particle":"","parse-names":false,"suffix":""},{"dropping-particle":"","family":"Guo","given":"Xiaoying","non-dropping-particle":"","parse-names":false,"suffix":""},{"dropping-particle":"","family":"Zhang","given":"Lina","non-dropping-particle":"","parse-names":false,"suffix":""},{"dropping-particle":"","family":"Cao","given":"Yanfei","non-dropping-particle":"","parse-names":false,"suffix":""},{"dropping-particle":"","family":"Cao","given":"Xiuhua","non-dropping-particle":"","parse-names":false,"suffix":""},{"dropping-particle":"","family":"Ma","given":"Hui-Juan Hongxing","non-dropping-particle":"","parse-names":false,"suffix":""},{"dropping-particle":"","family":"Dias","given":"Diego Torres","non-dropping-particle":"","parse-names":false,"suffix":""},{"dropping-particle":"","family":"Ushida","given":"Michele","non-dropping-particle":"","parse-names":false,"suffix":""},{"dropping-particle":"","family":"Battistella","given":"Roberto","non-dropping-particle":"","parse-names":false,"suffix":""},{"dropping-particle":"","family":"Dorairaj","given":"Syril","non-dropping-particle":"","parse-names":false,"suffix":""},{"dropping-particle":"","family":"Prata","given":"Tiago Santos","non-dropping-particle":"","parse-names":false,"suffix":""},{"dropping-particle":"","family":"Skladnev","given":"NicholasV","non-dropping-particle":"","parse-names":false,"suffix":""},{"dropping-particle":"","family":"Johnstone","given":"DanielM","non-dropping-particle":"","parse-names":false,"suffix":""},{"dropping-particle":"","family":"Alarepe","given":"AbdulTaofik","non-dropping-particle":"","parse-names":false,"suffix":""},{"dropping-particle":"","family":"Balogun","given":"Modupe","non-dropping-particle":"","parse-names":false,"suffix":""},{"dropping-particle":"","family":"Okoye","given":"Obiekwe","non-dropping-particle":"","parse-names":false,"suffix":""},{"dropping-particle":"","family":"Ulaikere","given":"Mildred","non-dropping-particle":"","parse-names":false,"suffix":""},{"dropping-particle":"","family":"Oderinlo","given":"Olufemi","non-dropping-particle":"","parse-names":false,"suffix":""},{"dropping-particle":"","family":"Aiyekomogbon","given":"JoshuaO","non-dropping-particle":"","parse-names":false,"suffix":""},{"dropping-particle":"","family":"Rafindadi","given":"AbdulkadirL","non-dropping-particle":"","parse-names":false,"suffix":""},{"dropping-particle":"","family":"Seidu","given":"Mukaila A","non-dropping-particle":"","parse-names":false,"suffix":""},{"dropping-particle":"","family":"Olusanya","given":"Bolutife A","non-dropping-particle":"","parse-names":false,"suffix":""},{"dropping-particle":"","family":"Ogundipe","given":"Ayobade O","non-dropping-particle":"","parse-names":false,"suffix":""},{"dropping-particle":"","family":"Adamu","given":"MohammedD","non-dropping-particle":"","parse-names":false,"suffix":""},{"dropping-particle":"","family":"Muhammad","given":"Nasiru","non-dropping-particle":"","parse-names":false,"suffix":""},{"dropping-particle":"","family":"Nanjunda","given":"DevaajnaChinnappa","non-dropping-particle":"","parse-names":false,"suffix":""},{"dropping-particle":"","family":"Joshi","given":"RajeshSubhash Subhash","non-dropping-particle":"","parse-names":false,"suffix":""},{"dropping-particle":"","family":"Cam","given":"If","non-dropping-particle":"","parse-names":false,"suffix":""},{"dropping-particle":"","family":"Jimam","given":"Nanloh S","non-dropping-particle":"","parse-names":false,"suffix":""},{"dropping-particle":"","family":"Joseph","given":"Benjamin N","non-dropping-particle":"","parse-names":false,"suffix":""},{"dropping-particle":"","family":"Agba","given":"Dooshima C","non-dropping-particle":"","parse-names":false,"suffix":""},{"dropping-particle":"","family":"Singh","given":"Rishi P. Rashmi","non-dropping-particle":"","parse-names":false,"suffix":""},{"dropping-particle":"","family":"Lehmann","given":"Robert","non-dropping-particle":"","parse-names":false,"suffix":""},{"dropping-particle":"","family":"Martel","given":"Joseph","non-dropping-particle":"","parse-names":false,"suffix":""},{"dropping-particle":"","family":"Jong","given":"Kevin","non-dropping-particle":"","parse-names":false,"suffix":""},{"dropping-particle":"","family":"Pollack","given":"Ayala","non-dropping-particle":"","parse-names":false,"suffix":""},{"dropping-particle":"","family":"Tsorbatzoglou","given":"Alexis","non-dropping-particle":"","parse-names":false,"suffix":""},{"dropping-particle":"","family":"Staurenghi","given":"Giovanni","non-dropping-particle":"","parse-names":false,"suffix":""},{"dropping-particle":"","family":"Cervantes-Coste Cervantes","given":"Guadalupe","non-dropping-particle":"","parse-names":false,"suffix":""},{"dropping-particle":"","family":"Alpern","given":"Louis","non-dropping-particle":"","parse-names":false,"suffix":""},{"dropping-particle":"","family":"Modi","given":"Satish","non-dropping-particle":"","parse-names":false,"suffix":""},{"dropping-particle":"","family":"Svoboda","given":"Liza","non-dropping-particle":"","parse-names":false,"suffix":""},{"dropping-particle":"","family":"Adewale","given":"Adeniyi","non-dropping-particle":"","parse-names":false,"suffix":""},{"dropping-particle":"","family":"Jaffe","given":"Glenn J.","non-dropping-particle":"","parse-names":false,"suffix":""},{"dropping-particle":"","family":"Aharony","given":"Israel","non-dropping-particle":"","parse-names":false,"suffix":""},{"dropping-particle":"","family":"Michowiz","given":"Shalom","non-dropping-particle":"","parse-names":false,"suffix":""},{"dropping-particle":"","family":"Goldenberg-Cohen","given":"Nitza","non-dropping-particle":"","parse-names":false,"suffix":""},{"dropping-particle":"","family":"Santhanam","given":"Abirami","non-dropping-particle":"","parse-names":false,"suffix":""},{"dropping-particle":"","family":"Marino","given":"Gustavo K","non-dropping-particle":"","parse-names":false,"suffix":""},{"dropping-particle":"","family":"Torricelli","given":"Andre A M","non-dropping-particle":"","parse-names":false,"suffix":""},{"dropping-particle":"","family":"Wilson","given":"Samuel E Steven E","non-dropping-particle":"","parse-names":false,"suffix":""},{"dropping-particle":"","family":"Kaneko","given":"Hironori","non-dropping-particle":"","parse-names":false,"suffix":""},{"dropping-particle":"","family":"Otsuka","given":"Yuichiro","non-dropping-particle":"","parse-names":false,"suffix":""},{"dropping-particle":"","family":"Kubota","given":"Yoshihisa","non-dropping-particle":"","parse-names":false,"suffix":""},{"dropping-particle":"","family":"Wakabayashi","given":"Go","non-dropping-particle":"","parse-names":false,"suffix":""},{"dropping-particle":"","family":"Zuger","given":"Abigail","non-dropping-particle":"","parse-names":false,"suffix":""},{"dropping-particle":"","family":"Nehra","given":"Poonam","non-dropping-particle":"","parse-names":false,"suffix":""},{"dropping-particle":"","family":"Oza","given":"Vrinda","non-dropping-particle":"","parse-names":false,"suffix":""},{"dropping-particle":"","family":"Parmar","given":"Vandana","non-dropping-particle":"","parse-names":false,"suffix":""},{"dropping-particle":"","family":"Fumakiya","given":"Pooja","non-dropping-particle":"","parse-names":false,"suffix":""},{"dropping-particle":"","family":"Madsen","given":"T","non-dropping-particle":"","parse-names":false,"suffix":""},{"dropping-particle":"","family":"Bojang","given":"Ebrima","non-dropping-particle":"","parse-names":false,"suffix":""},{"dropping-particle":"","family":"Jafali","given":"James","non-dropping-particle":"","parse-names":false,"suffix":""},{"dropping-particle":"","family":"Perreten","given":"Vincent","non-dropping-particle":"","parse-names":false,"suffix":""},{"dropping-particle":"","family":"Hart","given":"John","non-dropping-particle":"","parse-names":false,"suffix":""},{"dropping-particle":"","family":"Harding-Esch","given":"Emma M.","non-dropping-particle":"","parse-names":false,"suffix":""},{"dropping-particle":"","family":"Sillah","given":"Ansumana","non-dropping-particle":"","parse-names":false,"suffix":""},{"dropping-particle":"","family":"Mabey","given":"David C. W.","non-dropping-particle":"","parse-names":false,"suffix":""},{"dropping-particle":"","family":"Holland","given":"Martin J.","non-dropping-particle":"","parse-names":false,"suffix":""},{"dropping-particle":"","family":"Bailey","given":"Robin L.","non-dropping-particle":"","parse-names":false,"suffix":""},{"dropping-particle":"","family":"Roca","given":"Anna","non-dropping-particle":"","parse-names":false,"suffix":""},{"dropping-particle":"","family":"Burr","given":"Sarah E.","non-dropping-particle":"","parse-names":false,"suffix":""},{"dropping-particle":"","family":"Lee","given":"Ji Hwan","non-dropping-particle":"","parse-names":false,"suffix":""},{"dropping-particle":"","family":"Chung","given":"Byunghoon","non-dropping-particle":"","parse-names":false,"suffix":""},{"dropping-particle":"","family":"Lee","given":"Sung Chul Seong Ae","non-dropping-particle":"","parse-names":false,"suffix":""},{"dropping-particle":"","family":"Kim","given":"Sung Soo","non-dropping-particle":"","parse-names":false,"suffix":""},{"dropping-particle":"","family":"Koh","given":"Hyoung Jun","non-dropping-particle":"","parse-names":false,"suffix":""},{"dropping-particle":"","family":"Lee","given":"Cecilia S Christopher Seungkyu","non-dropping-particle":"","parse-names":false,"suffix":""},{"dropping-particle":"","family":"Zhang","given":"Bingyu","non-dropping-particle":"","parse-names":false,"suffix":""},{"dropping-particle":"","family":"Chen","given":"Yang","non-dropping-particle":"","parse-names":false,"suffix":""},{"dropping-particle":"","family":"Qiu","given":"Meiyuan","non-dropping-particle":"","parse-names":false,"suffix":""},{"dropping-particle":"","family":"Ding","given":"Zhixiang","non-dropping-particle":"","parse-names":false,"suffix":""},{"dropping-particle":"","family":"Ali","given":"Alaa A","non-dropping-particle":"","parse-names":false,"suffix":""},{"dropping-particle":"","family":"El-Sersy","given":"TamerH","non-dropping-particle":"","parse-names":false,"suffix":""},{"dropping-particle":"","family":"Ali","given":"Mohamed A","non-dropping-particle":"","parse-names":false,"suffix":""},{"dropping-particle":"","family":"Abdelhalim","given":"Ahmed Shawkat","non-dropping-particle":"","parse-names":false,"suffix":""},{"dropping-particle":"","family":"IsHak","given":"Waguih William","non-dropping-particle":"","parse-names":false,"suffix":""},{"dropping-particle":"","family":"Lederer","given":"Sara","non-dropping-particle":"","parse-names":false,"suffix":""},{"dropping-particle":"","family":"Mandili","given":"Carla","non-dropping-particle":"","parse-names":false,"suffix":""},{"dropping-particle":"","family":"Nikravesh","given":"Rose","non-dropping-particle":"","parse-names":false,"suffix":""},{"dropping-particle":"","family":"Seligman","given":"Laurie","non-dropping-particle":"","parse-names":false,"suffix":""},{"dropping-particle":"","family":"Vasa","given":"Monisha","non-dropping-particle":"","parse-names":false,"suffix":""},{"dropping-particle":"","family":"Ogunyemi","given":"Dotun","non-dropping-particle":"","parse-names":false,"suffix":""},{"dropping-particle":"","family":"Bernstein","given":"Carol A.","non-dropping-particle":"","parse-names":false,"suffix":""},{"dropping-particle":"","family":"Abdellatif","given":"Mona K","non-dropping-particle":"","parse-names":false,"suffix":""},{"dropping-particle":"","family":"Frimmel","given":"Sonja","non-dropping-particle":"","parse-names":false,"suffix":""},{"dropping-particle":"","family":"Zandi","given":"Souska","non-dropping-particle":"","parse-names":false,"suffix":""},{"dropping-particle":"","family":"Sun","given":"Dawei","non-dropping-particle":"","parse-names":false,"suffix":""},{"dropping-particle":"","family":"Zhang","given":"Zhongyu","non-dropping-particle":"","parse-names":false,"suffix":""},{"dropping-particle":"","family":"West","given":"Colin P.","non-dropping-particle":"","parse-names":false,"suffix":""},{"dropping-particle":"","family":"Tan","given":"Angelina D","non-dropping-particle":"","parse-names":false,"suffix":""},{"dropping-particle":"","family":"Habermann","given":"Thomas M","non-dropping-particle":"","parse-names":false,"suffix":""},{"dropping-particle":"","family":"Sloan","given":"Jeff A.","non-dropping-particle":"","parse-names":false,"suffix":""},{"dropping-particle":"","family":"Shanafelt","given":"Tait D.","non-dropping-particle":"","parse-names":false,"suffix":""},{"dropping-particle":"","family":"Chen","given":"XiangWu Xuejing Xuling Xinyi","non-dropping-particle":"","parse-names":false,"suffix":""},{"dropping-particle":"","family":"Chen","given":"Kailin Kexin","non-dropping-particle":"","parse-names":false,"suffix":""},{"dropping-particle":"","family":"He","given":"Jiliang","non-dropping-particle":"","parse-names":false,"suffix":""},{"dropping-particle":"","family":"Yao","given":"Ke","non-dropping-particle":"","parse-names":false,"suffix":""},{"dropping-particle":"","family":"Silva-Miranda","given":"Mayra","non-dropping-particle":"","parse-names":false,"suffix":""},{"dropping-particle":"","family":"Arce-Paredes","given":"Patricia","non-dropping-particle":"","parse-names":false,"suffix":""},{"dropping-particle":"","family":"Rojas-Espinosa","given":"Oscar","non-dropping-particle":"","parse-names":false,"suffix":""},{"dropping-particle":"","family":"Park","given":"Chanmin","non-dropping-particle":"","parse-names":false,"suffix":""},{"dropping-particle":"","family":"Lee","given":"Yeon Jung","non-dropping-particle":"","parse-names":false,"suffix":""},{"dropping-particle":"","family":"Hong","given":"Minha","non-dropping-particle":"","parse-names":false,"suffix":""},{"dropping-particle":"","family":"Jung","given":"Chul Ho","non-dropping-particle":"","parse-names":false,"suffix":""},{"dropping-particle":"","family":"Synn","given":"Yeni","non-dropping-particle":"","parse-names":false,"suffix":""},{"dropping-particle":"","family":"Kwack","given":"Young Sook","non-dropping-particle":"","parse-names":false,"suffix":""},{"dropping-particle":"","family":"Ryu","given":"Jae Sung","non-dropping-particle":"","parse-names":false,"suffix":""},{"dropping-particle":"","family":"Park","given":"Tae Won","non-dropping-particle":"","parse-names":false,"suffix":""},{"dropping-particle":"","family":"Lee","given":"Sung Chul Seong Ae","non-dropping-particle":"","parse-names":false,"suffix":""},{"dropping-particle":"","family":"Bahn","given":"Geon Ho","non-dropping-particle":"","parse-names":false,"suffix":""},{"dropping-particle":"","family":"Chawla","given":"Bhavna","non-dropping-particle":"","parse-names":false,"suffix":""},{"dropping-particle":"","family":"Singh","given":"Rishi P. Rashmi","non-dropping-particle":"","parse-names":false,"suffix":""},{"dropping-particle":"El","family":"Sawy","given":"Ali M","non-dropping-particle":"","parse-names":false,"suffix":""},{"dropping-particle":"","family":"Hamdi","given":"Momen M","non-dropping-particle":"","parse-names":false,"suffix":""},{"dropping-particle":"","family":"Elwan","given":"Sherif S","non-dropping-particle":"","parse-names":false,"suffix":""},{"dropping-particle":"","family":"Abdalla","given":"Tarek M","non-dropping-particle":"","parse-names":false,"suffix":""},{"dropping-particle":"","family":"Elmahdy","given":"Ahmed G","non-dropping-particle":"","parse-names":false,"suffix":""},{"dropping-particle":"","family":"Such","given":"Statistics","non-dropping-particle":"","parse-names":false,"suffix":""},{"dropping-particle":"","family":"Subject","given":"Difficult","non-dropping-particle":"","parse-names":false,"suffix":""},{"dropping-particle":"","family":"Shanafelt","given":"Tait D.","non-dropping-particle":"","parse-names":false,"suffix":""},{"dropping-particle":"","family":"Boone","given":"Sonja","non-dropping-particle":"","parse-names":false,"suffix":""},{"dropping-particle":"","family":"Tan","given":"Litjen","non-dropping-particle":"","parse-names":false,"suffix":""},{"dropping-particle":"","family":"Dyrbye","given":"Lotte N. Liselotte N.","non-dropping-particle":"","parse-names":false,"suffix":""},{"dropping-particle":"","family":"Sotile","given":"Wayne","non-dropping-particle":"","parse-names":false,"suffix":""},{"dropping-particle":"V.","family":"Satele","given":"Daniel","non-dropping-particle":"","parse-names":false,"suffix":""},{"dropping-particle":"","family":"West","given":"Colin P.","non-dropping-particle":"","parse-names":false,"suffix":""},{"dropping-particle":"","family":"Sloan","given":"Jeff A.","non-dropping-particle":"","parse-names":false,"suffix":""},{"dropping-particle":"","family":"Oreskovich","given":"Michael R.","non-dropping-particle":"","parse-names":false,"suffix":""},{"dropping-particle":"","family":"Li","given":"Songfeng Shou-Ling","non-dropping-particle":"","parse-names":false,"suffix":""},{"dropping-particle":"","family":"Deng","given":"Guangda","non-dropping-particle":"","parse-names":false,"suffix":""},{"dropping-particle":"","family":"Liu","given":"Jia Jinghua","non-dropping-particle":"","parse-names":false,"suffix":""},{"dropping-particle":"","family":"Ma","given":"Yan","non-dropping-particle":"","parse-names":false,"suffix":""},{"dropping-particle":"","family":"Lu","given":"Hai","non-dropping-particle":"","parse-names":false,"suffix":""},{"dropping-particle":"","family":"Bolstad","given":"William M","non-dropping-particle":"","parse-names":false,"suffix":""},{"dropping-particle":"","family":"Zhang","given":"Shaowei","non-dropping-particle":"","parse-names":false,"suffix":""},{"dropping-particle":"","family":"Xu","given":"Haipeng","non-dropping-particle":"","parse-names":false,"suffix":""},{"dropping-particle":"","family":"Zheng","given":"Ke","non-dropping-particle":"","parse-names":false,"suffix":""},{"dropping-particle":"","family":"Zhao","given":"Jing","non-dropping-particle":"","parse-names":false,"suffix":""},{"dropping-particle":"","family":"Jian","given":"Weijun","non-dropping-particle":"","parse-names":false,"suffix":""},{"dropping-particle":"","family":"Li","given":"Miaoling Meiyan","non-dropping-particle":"","parse-names":false,"suffix":""},{"dropping-particle":"","family":"Zhou","given":"Xingtao","non-dropping-particle":"","parse-names":false,"suffix":""},{"dropping-particle":"","family":"Olitsky","given":"Scott E.","non-dropping-particle":"","parse-names":false,"suffix":""},{"dropping-particle":"","family":"Sudesh","given":"Sudha","non-dropping-particle":"","parse-names":false,"suffix":""},{"dropping-particle":"","family":"Graziano","given":"Anthony","non-dropping-particle":"","parse-names":false,"suffix":""},{"dropping-particle":"","family":"Hamblen","given":"Jessica","non-dropping-particle":"","parse-names":false,"suffix":""},{"dropping-particle":"","family":"Brooks","given":"Steven E.","non-dropping-particle":"","parse-names":false,"suffix":""},{"dropping-particle":"","family":"Shaha","given":"Steven H.","non-dropping-particle":"","parse-names":false,"suffix":""},{"dropping-particle":"","family":"Waizel","given":"Maria","non-dropping-particle":"","parse-names":false,"suffix":""},{"dropping-particle":"","family":"Todorova","given":"Margarita G.","non-dropping-particle":"","parse-names":false,"suffix":""},{"dropping-particle":"","family":"Masyk","given":"Michael","non-dropping-particle":"","parse-names":false,"suffix":""},{"dropping-particle":"","family":"Wolf","given":"Katharina","non-dropping-particle":"","parse-names":false,"suffix":""},{"dropping-particle":"","family":"Rickmann","given":"Annekatrin","non-dropping-particle":"","parse-names":false,"suffix":""},{"dropping-particle":"","family":"Helaiwa","given":"Khaled","non-dropping-particle":"","parse-names":false,"suffix":""},{"dropping-particle":"","family":"Blanke","given":"Björn R.","non-dropping-particle":"","parse-names":false,"suffix":""},{"dropping-particle":"","family":"Szurman","given":"Peter","non-dropping-particle":"","parse-names":false,"suffix":""},{"dropping-particle":"","family":"Rosdahl","given":"Jullia","non-dropping-particle":"","parse-names":false,"suffix":""},{"dropping-particle":"","family":"Goldhagen","given":"Brian","non-dropping-particle":"","parse-names":false,"suffix":""},{"dropping-particle":"","family":"Kingsolver","given":"Karen","non-dropping-particle":"","parse-names":false,"suffix":""},{"dropping-particle":"","family":"Stinnett","given":"Sandra","non-dropping-particle":"","parse-names":false,"suffix":""},{"dropping-particle":"","family":"Jung","given":"Jae Hyun","non-dropping-particle":"","parse-names":false,"suffix":""},{"dropping-particle":"","family":"Song","given":"Gwan Gyu","non-dropping-particle":"","parse-names":false,"suffix":""},{"dropping-particle":"","family":"Kim","given":"Jae-Hoon Jaeryung Hyoung","non-dropping-particle":"","parse-names":false,"suffix":""},{"dropping-particle":"","family":"Seo","given":"Young Ho","non-dropping-particle":"","parse-names":false,"suffix":""},{"dropping-particle":"","family":"Choi","given":"Sung Jae","non-dropping-particle":"","parse-names":false,"suffix":""},{"dropping-particle":"","family":"Takesue","given":"Yoshio","non-dropping-particle":"","parse-names":false,"suffix":""},{"dropping-particle":"","family":"Tsuchida","given":"Toshie","non-dropping-particle":"","parse-names":false,"suffix":""},{"dropping-particle":"","family":"Balch","given":"Charles M.","non-dropping-particle":"","parse-names":false,"suffix":""},{"dropping-particle":"V","family":"Gelfand","given":"Dmitri","non-dropping-particle":"","parse-names":false,"suffix":""},{"dropping-particle":"","family":"Podnos","given":"Yale D","non-dropping-particle":"","parse-names":false,"suffix":""},{"dropping-particle":"","family":"Carmichael","given":"Joseph C","non-dropping-particle":"","parse-names":false,"suffix":""},{"dropping-particle":"","family":"Saltzman","given":"Darin J","non-dropping-particle":"","parse-names":false,"suffix":""},{"dropping-particle":"","family":"Wilson","given":"Samuel E Steven E","non-dropping-particle":"","parse-names":false,"suffix":""},{"dropping-particle":"","family":"Williams","given":"Russell a","non-dropping-particle":"","parse-names":false,"suffix":""},{"dropping-particle":"","family":"Habiba","given":"Ume","non-dropping-particle":"","parse-names":false,"suffix":""},{"dropping-particle":"","family":"Ormsby","given":"Gail M","non-dropping-particle":"","parse-names":false,"suffix":""},{"dropping-particle":"","family":"Butt","given":"Zahid Ahmad","non-dropping-particle":"","parse-names":false,"suffix":""},{"dropping-particle":"","family":"Afghani","given":"Tayyab","non-dropping-particle":"","parse-names":false,"suffix":""},{"dropping-particle":"","family":"Asif","given":"Muhammad","non-dropping-particle":"","parse-names":false,"suffix":""},{"dropping-particle":"","family":"Article","given":"Review","non-dropping-particle":"","parse-names":false,"suffix":""},{"dropping-particle":"","family":"Terkawi","given":"AbdullahSulieman","non-dropping-particle":"","parse-names":false,"suffix":""},{"dropping-particle":"","family":"Tsang","given":"Siny","non-dropping-particle":"","parse-names":false,"suffix":""},{"dropping-particle":"","family":"Abolkhair","given":"Abdullah","non-dropping-particle":"","parse-names":false,"suffix":""},{"dropping-particle":"","family":"Alsharif","given":"Mohammed","non-dropping-particle":"","parse-names":false,"suffix":""},{"dropping-particle":"","family":"Alswiti","given":"Mousa","non-dropping-particle":"","parse-names":false,"suffix":""},{"dropping-particle":"","family":"Alsadoun","given":"Adwa","non-dropping-particle":"","parse-names":false,"suffix":""},{"dropping-particle":"","family":"AlZoraigi","given":"UsamaSaleh","non-dropping-particle":"","parse-names":false,"suffix":""},{"dropping-particle":"","family":"Aldhahri","given":"SalehF","non-dropping-particle":"","parse-names":false,"suffix":""},{"dropping-particle":"","family":"Al-Zhahrani","given":"Tariq","non-dropping-particle":"","parse-names":false,"suffix":""},{"dropping-particle":"","family":"Altirkawi","given":"KhaildAli","non-dropping-particle":"","parse-names":false,"suffix":""},{"dropping-particle":"","family":"Schuemie","given":"Martijn J.","non-dropping-particle":"","parse-names":false,"suffix":""},{"dropping-particle":"","family":"Ryan","given":"Patrick B.","non-dropping-particle":"","parse-names":false,"suffix":""},{"dropping-particle":"","family":"Dumouchel","given":"William","non-dropping-particle":"","parse-names":false,"suffix":""},{"dropping-particle":"","family":"Suchard","given":"Marc A.","non-dropping-particle":"","parse-names":false,"suffix":""},{"dropping-particle":"","family":"Madigan","given":"David","non-dropping-particle":"","parse-names":false,"suffix":""},{"dropping-particle":"","family":"Dyrbye","given":"Lotte N. Liselotte N.","non-dropping-particle":"","parse-names":false,"suffix":""},{"dropping-particle":"","family":"Freischlag","given":"Julie","non-dropping-particle":"","parse-names":false,"suffix":""},{"dropping-particle":"","family":"Kaups","given":"Krista L.","non-dropping-particle":"","parse-names":false,"suffix":""},{"dropping-particle":"","family":"Oreskovich","given":"Michael R.","non-dropping-particle":"","parse-names":false,"suffix":""},{"dropping-particle":"V.","family":"Satele","given":"Daniel","non-dropping-particle":"","parse-names":false,"suffix":""},{"dropping-particle":"","family":"Hanks","given":"John B.","non-dropping-particle":"","parse-names":false,"suffix":""},{"dropping-particle":"","family":"Sloan","given":"Jeff A.","non-dropping-particle":"","parse-names":false,"suffix":""},{"dropping-particle":"","family":"Balch","given":"Charles M.","non-dropping-particle":"","parse-names":false,"suffix":""},{"dropping-particle":"","family":"Shanafelt","given":"Tait D.","non-dropping-particle":"","parse-names":false,"suffix":""},{"dropping-particle":"","family":"García-Pérez","given":"Jorge L.","non-dropping-particle":"","parse-names":false,"suffix":""},{"dropping-particle":"","family":"Gros-Otero","given":"Juan","non-dropping-particle":"","parse-names":false,"suffix":""},{"dropping-particle":"","family":"Sánchez-Ramos","given":"Celia","non-dropping-particle":"","parse-names":false,"suffix":""},{"dropping-particle":"","family":"Blázquez","given":"Vanesa","non-dropping-particle":"","parse-names":false,"suffix":""},{"dropping-particle":"","family":"Contreras","given":"Inés","non-dropping-particle":"","parse-names":false,"suffix":""},{"dropping-particle":"","family":"Kim","given":"Jae-Hoon Jaeryung Hyoung","non-dropping-particle":"","parse-names":false,"suffix":""},{"dropping-particle":"","family":"Hwang","given":"Jeong-Min","non-dropping-particle":"","parse-names":false,"suffix":""},{"dropping-particle":"","family":"Chen","given":"XiangWu Xuejing Xuling Xinyi","non-dropping-particle":"","parse-names":false,"suffix":""},{"dropping-particle":"","family":"Meng","given":"Ying","non-dropping-particle":"","parse-names":false,"suffix":""},{"dropping-particle":"","family":"Li","given":"Jun Jianping","non-dropping-particle":"","parse-names":false,"suffix":""},{"dropping-particle":"","family":"She","given":"Hiacheng","non-dropping-particle":"","parse-names":false,"suffix":""},{"dropping-particle":"","family":"Zhao","given":"Liang","non-dropping-particle":"","parse-names":false,"suffix":""},{"dropping-particle":"","family":"Zhang","given":"Jing","non-dropping-particle":"","parse-names":false,"suffix":""},{"dropping-particle":"","family":"Peng","given":"Yuting Yuan","non-dropping-particle":"","parse-names":false,"suffix":""},{"dropping-particle":"","family":"Shang","given":"Kun","non-dropping-particle":"","parse-names":false,"suffix":""},{"dropping-particle":"","family":"Zhang","given":"Yong Yadi Yan Yimin","non-dropping-particle":"","parse-names":false,"suffix":""},{"dropping-particle":"","family":"Gu","given":"Xiaopeng","non-dropping-particle":"","parse-names":false,"suffix":""},{"dropping-particle":"","family":"Yang","given":"Wenbin","non-dropping-particle":"","parse-names":false,"suffix":""},{"dropping-particle":"","family":"Zhang","given":"Yong Yadi Yan Yimin","non-dropping-particle":"","parse-names":false,"suffix":""},{"dropping-particle":"","family":"Li","given":"Jun Jianping","non-dropping-particle":"","parse-names":false,"suffix":""},{"dropping-particle":"","family":"Qin","given":"Xianhui","non-dropping-particle":"","parse-names":false,"suffix":""},{"dropping-particle":"","family":"Wang","given":"Binyan","non-dropping-particle":"","parse-names":false,"suffix":""},{"dropping-particle":"","family":"Xu","given":"Xiping","non-dropping-particle":"","parse-names":false,"suffix":""},{"dropping-particle":"","family":"Hou","given":"Fanfan","non-dropping-particle":"","parse-names":false,"suffix":""},{"dropping-particle":"","family":"Tang","given":"Genfu","non-dropping-particle":"","parse-names":false,"suffix":""},{"dropping-particle":"","family":"Liao","given":"Rongfeng","non-dropping-particle":"","parse-names":false,"suffix":""},{"dropping-particle":"","family":"Huo","given":"Yong","non-dropping-particle":"","parse-names":false,"suffix":""},{"dropping-particle":"","family":"Yang","given":"Liu","non-dropping-particle":"","parse-names":false,"suffix":""},{"dropping-particle":"","family":"Chang","given":"Ji Woong","non-dropping-particle":"","parse-names":false,"suffix":""},{"dropping-particle":"","family":"Frings","given":"Andreas","non-dropping-particle":"","parse-names":false,"suffix":""},{"dropping-particle":"","family":"Richard","given":"Gisbert","non-dropping-particle":"","parse-names":false,"suffix":""},{"dropping-particle":"","family":"Steinberg","given":"Johannes","non-dropping-particle":"","parse-names":false,"suffix":""},{"dropping-particle":"","family":"Druchkiv","given":"Vasyl","non-dropping-particle":"","parse-names":false,"suffix":""},{"dropping-particle":"","family":"Linke","given":"Stephan Johannes","non-dropping-particle":"","parse-names":false,"suffix":""},{"dropping-particle":"","family":"Katz","given":"Toam","non-dropping-particle":"","parse-names":false,"suffix":""},{"dropping-particle":"","family":"Mendoza-Mendieta","given":"María Elena","non-dropping-particle":"","parse-names":false,"suffix":""},{"dropping-particle":"","family":"Lorenzo-Mejía","given":"Ana Aurora","non-dropping-particle":"","parse-names":false,"suffix":""},{"dropping-particle":"","family":"Gumus","given":"Koray","non-dropping-particle":"","parse-names":false,"suffix":""},{"dropping-particle":"","family":"Schuetzle","given":"Karri L.","non-dropping-particle":"","parse-names":false,"suffix":""},{"dropping-particle":"","family":"Pflugfelder","given":"Stephen C.","non-dropping-particle":"","parse-names":false,"suffix":""},{"dropping-particle":"","family":"Donahue","given":"Sean P.","non-dropping-particle":"","parse-names":false,"suffix":""},{"dropping-particle":"","family":"Arnold","given":"Robert W.","non-dropping-particle":"","parse-names":false,"suffix":""},{"dropping-particle":"","family":"Ruben","given":"James B.","non-dropping-particle":"","parse-names":false,"suffix":""},{"dropping-particle":"","family":"Yang","given":"Jee Myung","non-dropping-particle":"","parse-names":false,"suffix":""},{"dropping-particle":"","family":"Park","given":"Sang Woo","non-dropping-particle":"","parse-names":false,"suffix":""},{"dropping-particle":"","family":"Ji","given":"Yong Sok","non-dropping-particle":"","parse-names":false,"suffix":""},{"dropping-particle":"","family":"Kim","given":"Jae-Hoon Jaeryung Hyoung","non-dropping-particle":"","parse-names":false,"suffix":""},{"dropping-particle":"","family":"Yoo","given":"Chungkwon","non-dropping-particle":"","parse-names":false,"suffix":""},{"dropping-particle":"","family":"Heo","given":"Hwan","non-dropping-particle":"","parse-names":false,"suffix":""},{"dropping-particle":"","family":"Press","given":"Dove","non-dropping-particle":"","parse-names":false,"suffix":""},{"dropping-particle":"","family":"Bremond-Gignac","given":"Dominique","non-dropping-particle":"","parse-names":false,"suffix":""},{"dropping-particle":"","family":"Messaoud","given":"Riadh","non-dropping-particle":"","parse-names":false,"suffix":""},{"dropping-particle":"","family":"Lazreg","given":"Sihem","non-dropping-particle":"","parse-names":false,"suffix":""},{"dropping-particle":"","family":"Speeg-Schatz","given":"Claude","non-dropping-particle":"","parse-names":false,"suffix":""},{"dropping-particle":"","family":"Renault","given":"Didier","non-dropping-particle":"","parse-names":false,"suffix":""},{"dropping-particle":"","family":"Chiambaretta","given":"Fr??d??ric","non-dropping-particle":"","parse-names":false,"suffix":""},{"dropping-particle":"","family":"Harrtani","given":"A.","non-dropping-particle":"","parse-names":false,"suffix":""},{"dropping-particle":"","family":"Kaercher","given":"T.","non-dropping-particle":"","parse-names":false,"suffix":""},{"dropping-particle":"","family":"Khairallah","given":"M.","non-dropping-particle":"","parse-names":false,"suffix":""},{"dropping-particle":"","family":"Kocyla","given":"B.","non-dropping-particle":"","parse-names":false,"suffix":""},{"dropping-particle":"","family":"Lorenz","given":"B.","non-dropping-particle":"","parse-names":false,"suffix":""},{"dropping-particle":"","family":"Mortemousque","given":"B.","non-dropping-particle":"","parse-names":false,"suffix":""},{"dropping-particle":"","family":"Murta","given":"J.","non-dropping-particle":"","parse-names":false,"suffix":""},{"dropping-particle":"","family":"Nezzar","given":"H.","non-dropping-particle":"","parse-names":false,"suffix":""},{"dropping-particle":"","family":"Nucci","given":"P.","non-dropping-particle":"","parse-names":false,"suffix":""},{"dropping-particle":"","family":"Salgado-Borges","given":"J.","non-dropping-particle":"","parse-names":false,"suffix":""},{"dropping-particle":"","family":"Tataru","given":"C.","non-dropping-particle":"","parse-names":false,"suffix":""},{"dropping-particle":"","family":"Tatineanu","given":"M.","non-dropping-particle":"","parse-names":false,"suffix":""},{"dropping-particle":"","family":"Voinea","given":"L.","non-dropping-particle":"","parse-names":false,"suffix":""},{"dropping-particle":"","family":"Press","given":"Dove","non-dropping-particle":"","parse-names":false,"suffix":""},{"dropping-particle":"","family":"Brodie","given":"Frank L","non-dropping-particle":"","parse-names":false,"suffix":""},{"dropping-particle":"","family":"Ramirez","given":"David A","non-dropping-particle":"","parse-names":false,"suffix":""},{"dropping-particle":"","family":"Pandian","given":"Sundar","non-dropping-particle":"","parse-names":false,"suffix":""},{"dropping-particle":"De","family":"Juan","given":"Eugene","non-dropping-particle":"","parse-names":false,"suffix":""},{"dropping-particle":"","family":"Epitropoulos","given":"Alice","non-dropping-particle":"","parse-names":false,"suffix":""},{"dropping-particle":"","family":"Watson","given":"P G","non-dropping-particle":"","parse-names":false,"suffix":""},{"dropping-particle":"","family":"Nolfi","given":"Jerry","non-dropping-particle":"","parse-names":false,"suffix":""},{"dropping-particle":"","family":"Press","given":"Dove","non-dropping-particle":"","parse-names":false,"suffix":""},{"dropping-particle":"","family":"Davison","given":"James A","non-dropping-particle":"","parse-names":false,"suffix":""},{"dropping-particle":"","family":"Potvin","given":"Rick Richard","non-dropping-particle":"","parse-names":false,"suffix":""},{"dropping-particle":"","family":"Su","given":"Grace L","non-dropping-particle":"","parse-names":false,"suffix":""},{"dropping-particle":"","family":"Baughman","given":"Douglas M","non-dropping-particle":"","parse-names":false,"suffix":""},{"dropping-particle":"","family":"Lee","given":"Aaron Y","non-dropping-particle":"","parse-names":false,"suffix":""},{"dropping-particle":"","family":"Lee","given":"Cecilia S Christopher Seungkyu","non-dropping-particle":"","parse-names":false,"suffix":""},{"dropping-particle":"","family":"Pastor-idoate","given":"Salvador","non-dropping-particle":"","parse-names":false,"suffix":""},{"dropping-particle":"","family":"Rodríguez-","given":"Irene","non-dropping-particle":"","parse-names":false,"suffix":""},{"dropping-particle":"","family":"Rojas","given":"Jimena","non-dropping-particle":"","parse-names":false,"suffix":""},{"dropping-particle":"","family":"Delgado-tirado","given":"Santiago","non-dropping-particle":"","parse-names":false,"suffix":""},{"dropping-particle":"","family":"López","given":"Jose Carlos","non-dropping-particle":"","parse-names":false,"suffix":""},{"dropping-particle":"","family":"Gab-Alla","given":"Amr A.","non-dropping-particle":"","parse-names":false,"suffix":""},{"dropping-particle":"","family":"Shirakawa","given":"Rika","non-dropping-particle":"","parse-names":false,"suffix":""},{"dropping-particle":"","family":"Stroman","given":"David","non-dropping-particle":"","parse-names":false,"suffix":""},{"dropping-particle":"","family":"Mintun","given":"Keri","non-dropping-particle":"","parse-names":false,"suffix":""},{"dropping-particle":"","family":"Epstein","given":"Arthur","non-dropping-particle":"","parse-names":false,"suffix":""},{"dropping-particle":"","family":"Brimer","given":"Crystal","non-dropping-particle":"","parse-names":false,"suffix":""},{"dropping-particle":"","family":"Patel","given":"Chirag","non-dropping-particle":"","parse-names":false,"suffix":""},{"dropping-particle":"","family":"Branch","given":"James","non-dropping-particle":"","parse-names":false,"suffix":""},{"dropping-particle":"","family":"Najafi-Tagol","given":"Kathryn","non-dropping-particle":"","parse-names":false,"suffix":""},{"dropping-particle":"","family":"Wagenfeld","given":"Lars","non-dropping-particle":"","parse-names":false,"suffix":""},{"dropping-particle":"","family":"Hermsdorf","given":"Kristin","non-dropping-particle":"","parse-names":false,"suffix":""},{"dropping-particle":"","family":"Press","given":"Dove","non-dropping-particle":"","parse-names":false,"suffix":""},{"dropping-particle":"","family":"Cotrim","given":"Carina Costa","non-dropping-particle":"","parse-names":false,"suffix":""},{"dropping-particle":"","family":"Jorge","given":"Rodrigo","non-dropping-particle":"","parse-names":false,"suffix":""},{"dropping-particle":"","family":"Press","given":"Dove","non-dropping-particle":"","parse-names":false,"suffix":""},{"dropping-particle":"","family":"Wong","given":"E","non-dropping-particle":"","parse-names":false,"suffix":""},{"dropping-particle":"","family":"Morgan","given":"W","non-dropping-particle":"","parse-names":false,"suffix":""},{"dropping-particle":"","family":"Chen","given":"F","non-dropping-particle":"","parse-names":false,"suffix":""},{"dropping-particle":"","family":"Flinn","given":"Nicholas A P","non-dropping-particle":"","parse-names":false,"suffix":""},{"dropping-particle":"","family":"Nitta","given":"Koji","non-dropping-particle":"","parse-names":false,"suffix":""},{"dropping-particle":"","family":"Sugiyama","given":"Kazuhisa","non-dropping-particle":"","parse-names":false,"suffix":""},{"dropping-particle":"","family":"Wajima","given":"Ryotaro","non-dropping-particle":"","parse-names":false,"suffix":""},{"dropping-particle":"","family":"Tachibana","given":"Gaku","non-dropping-particle":"","parse-names":false,"suffix":""},{"dropping-particle":"","family":"Walker","given":"Thomas M","non-dropping-particle":"","parse-names":false,"suffix":""},{"dropping-particle":"","family":"Sager","given":"Dana","non-dropping-particle":"","parse-names":false,"suffix":""},{"dropping-particle":"","family":"Lehmann","given":"Robert","non-dropping-particle":"","parse-names":false,"suffix":""},{"dropping-particle":"","family":"Saedon","given":"Habiba","non-dropping-particle":"","parse-names":false,"suffix":""},{"dropping-particle":"","family":"Anand","given":"Astha","non-dropping-particle":"","parse-names":false,"suffix":""},{"dropping-particle":"","family":"Yang","given":"Yit C.","non-dropping-particle":"","parse-names":false,"suffix":""},{"dropping-particle":"","family":"Tai","given":"E. Shyong","non-dropping-particle":"","parse-names":false,"suffix":""},{"dropping-particle":"","family":"Irfan","given":"Muhammad","non-dropping-particle":"","parse-names":false,"suffix":""},{"dropping-particle":"","family":"Groß","given":"Dorothea","non-dropping-particle":"","parse-names":false,"suffix":""},{"dropping-particle":"","family":"Childs","given":"Marc","non-dropping-particle":"","parse-names":false,"suffix":""},{"dropping-particle":"","family":"Piaton","given":"Jean-marie","non-dropping-particle":"","parse-names":false,"suffix":""},{"dropping-particle":"","family":"Cullen","given":"James F","non-dropping-particle":"","parse-names":false,"suffix":""},{"dropping-particle":"","family":"Sood","given":"Devindra","non-dropping-particle":"","parse-names":false,"suffix":""},{"dropping-particle":"","family":"Pandey","given":"Alka","non-dropping-particle":"","parse-names":false,"suffix":""},{"dropping-particle":"","family":"Sood","given":"Rajeev","non-dropping-particle":"","parse-names":false,"suffix":""},{"dropping-particle":"","family":"Gupta","given":"Nagesh","non-dropping-particle":"","parse-names":false,"suffix":""},{"dropping-particle":"","family":"Sardana","given":"Rohit","non-dropping-particle":"","parse-names":false,"suffix":""},{"dropping-particle":"","family":"Bajaj","given":"Ravinder Kumar","non-dropping-particle":"","parse-names":false,"suffix":""},{"dropping-particle":"","family":"Nath Sood","given":"Narendra","non-dropping-particle":"","parse-names":false,"suffix":""},{"dropping-particle":"","family":"Brookes","given":"John L","non-dropping-particle":"","parse-names":false,"suffix":""},{"dropping-particle":"","family":"Venkatakrishnan","given":"Jaichandran","non-dropping-particle":"","parse-names":false,"suffix":""},{"dropping-particle":"","family":"Vijaya","given":"Lingam","non-dropping-particle":"","parse-names":false,"suffix":""},{"dropping-particle":"","family":"George","given":"Ronnie J.","non-dropping-particle":"","parse-names":false,"suffix":""},{"dropping-particle":"","family":"Maruthamuthu","given":"Thennarasu","non-dropping-particle":"","parse-names":false,"suffix":""},{"dropping-particle":"","family":"Lee","given":"Ming-yueh Yueh","non-dropping-particle":"","parse-names":false,"suffix":""},{"dropping-particle":"","family":"Hilda","given":"Tasha","non-dropping-particle":"","parse-names":false,"suffix":""},{"dropping-particle":"","family":"Ismail","given":"Mariam","non-dropping-particle":"","parse-names":false,"suffix":""},{"dropping-particle":"","family":"Goh","given":"Pik-pin","non-dropping-particle":"","parse-names":false,"suffix":""},{"dropping-particle":"","family":"Owji","given":"Naser","non-dropping-particle":"","parse-names":false,"suffix":""},{"dropping-particle":"","family":"Tehrani","given":"Mansooreh Jamshidian","non-dropping-particle":"","parse-names":false,"suffix":""},{"dropping-particle":"","family":"Yuksel","given":"Bora","non-dropping-particle":"","parse-names":false,"suffix":""},{"dropping-particle":"","family":"Binzet","given":"Menekse","non-dropping-particle":"","parse-names":false,"suffix":""},{"dropping-particle":"","family":"Uzunel","given":"Umut Duygu","non-dropping-particle":"","parse-names":false,"suffix":""},{"dropping-particle":"","family":"Kusbeci","given":"Tuncay","non-dropping-particle":"","parse-names":false,"suffix":""},{"dropping-particle":"","family":"Kushner","given":"B. H.","non-dropping-particle":"","parse-names":false,"suffix":""},{"dropping-particle":"","family":"LaQuaglia","given":"M. P.","non-dropping-particle":"","parse-names":false,"suffix":""},{"dropping-particle":"","family":"Wollner","given":"N.","non-dropping-particle":"","parse-names":false,"suffix":""},{"dropping-particle":"","family":"Meyers","given":"P. A.","non-dropping-particle":"","parse-names":false,"suffix":""},{"dropping-particle":"","family":"Lindsley","given":"K. L.","non-dropping-particle":"","parse-names":false,"suffix":""},{"dropping-particle":"","family":"Ghavimi","given":"F.","non-dropping-particle":"","parse-names":false,"suffix":""},{"dropping-particle":"","family":"Merchant","given":"T. E.","non-dropping-particle":"","parse-names":false,"suffix":""},{"dropping-particle":"","family":"Boulad","given":"F.","non-dropping-particle":"","parse-names":false,"suffix":""},{"dropping-particle":"","family":"Cheung","given":"N. K.","non-dropping-particle":"","parse-names":false,"suffix":""},{"dropping-particle":"","family":"Bonilla","given":"M. A.","non-dropping-particle":"","parse-names":false,"suffix":""},{"dropping-particle":"","family":"Crouch","given":"G.","non-dropping-particle":"","parse-names":false,"suffix":""},{"dropping-particle":"","family":"Kelleher","given":"J. F.","non-dropping-particle":"","parse-names":false,"suffix":""},{"dropping-particle":"","family":"Steinherz","given":"P. G.","non-dropping-particle":"","parse-names":false,"suffix":""},{"dropping-particle":"","family":"Gerald","given":"W. L.","non-dropping-particle":"","parse-names":false,"suffix":""},{"dropping-particle":"","family":"Maheshwari","given":"Devendra","non-dropping-particle":"","parse-names":false,"suffix":""},{"dropping-particle":"","family":"Ramakrishanan","given":"Rengappa","non-dropping-particle":"","parse-names":false,"suffix":""},{"dropping-particle":"","family":"Kader","given":"Mohideen Abdul","non-dropping-particle":"","parse-names":false,"suffix":""},{"dropping-particle":"","family":"Pawar","given":"Neelam","non-dropping-particle":"","parse-names":false,"suffix":""},{"dropping-particle":"","family":"Gupta","given":"Alpana Ankit","non-dropping-particle":"","parse-names":false,"suffix":""},{"dropping-particle":"","family":"Segev","given":"F","non-dropping-particle":"","parse-names":false,"suffix":""},{"dropping-particle":"","family":"Mor","given":"O","non-dropping-particle":"","parse-names":false,"suffix":""},{"dropping-particle":"","family":"Segev","given":"a","non-dropping-particle":"","parse-names":false,"suffix":""},{"dropping-particle":"","family":"Belkin","given":"M","non-dropping-particle":"","parse-names":false,"suffix":""},{"dropping-particle":"","family":"Assia","given":"E I","non-dropping-particle":"","parse-names":false,"suffix":""},{"dropping-particle":"","family":"Reyes","given":"Karen B","non-dropping-particle":"","parse-names":false,"suffix":""},{"dropping-particle":"","family":"Ii","given":"Andrew C Hilado","non-dropping-particle":"","parse-names":false,"suffix":""},{"dropping-particle":"","family":"Cullen","given":"James F","non-dropping-particle":"","parse-names":false,"suffix":""},{"dropping-particle":"","family":"Elsa","given":"Chris","non-dropping-particle":"","parse-names":false,"suffix":""},{"dropping-particle":"","family":"Jacob","given":"Samson","non-dropping-particle":"","parse-names":false,"suffix":""},{"dropping-particle":"","family":"Selvin","given":"Satheesh Solomon T","non-dropping-particle":"","parse-names":false,"suffix":""},{"dropping-particle":"","family":"Kuriakose","given":"Thomas","non-dropping-particle":"","parse-names":false,"suffix":""},{"dropping-particle":"","family":"Sahin","given":"Ozlem Gurses","non-dropping-particle":"","parse-names":false,"suffix":""},{"dropping-particle":"","family":"Taheri","given":"Nusret","non-dropping-particle":"","parse-names":false,"suffix":""},{"dropping-particle":"","family":"Wong","given":"Ching Lin","non-dropping-particle":"","parse-names":false,"suffix":""},{"dropping-particle":"","family":"Sendhil","given":"K. S.","non-dropping-particle":"","parse-names":false,"suffix":""},{"dropping-particle":"","family":"Karunakar","given":"T. V N","non-dropping-particle":"","parse-names":false,"suffix":""},{"dropping-particle":"","family":"Lee","given":"Ming-yueh Yueh","non-dropping-particle":"","parse-names":false,"suffix":""},{"dropping-particle":"","family":"Lingam","given":"Gopal","non-dropping-particle":"","parse-names":false,"suffix":""},{"dropping-particle":"","family":"Sharma","given":"Surabhi","non-dropping-particle":"","parse-names":false,"suffix":""},{"dropping-particle":"","family":"Tripathy","given":"Satyaswarup","non-dropping-particle":"","parse-names":false,"suffix":""},{"dropping-particle":"","family":"Rizvi","given":"Syed Ali Raza","non-dropping-particle":"","parse-names":false,"suffix":""},{"dropping-particle":"","family":"Adeolu","given":"J O","non-dropping-particle":"","parse-names":false,"suffix":""},{"dropping-particle":"","family":"Yussuf","given":"O B","non-dropping-particle":"","parse-names":false,"suffix":""},{"dropping-particle":"","family":"Popoola","given":"O A","non-dropping-particle":"","parse-names":false,"suffix":""},{"dropping-particle":"","family":"Vijaya Pai","given":"H.","non-dropping-particle":"","parse-names":false,"suffix":""},{"dropping-particle":"","family":"Shastri","given":"Divya","non-dropping-particle":"","parse-names":false,"suffix":""},{"dropping-particle":"","family":"Kamath","given":"Asha","non-dropping-particle":"","parse-names":false,"suffix":""},{"dropping-particle":"","family":"K.","given":"Pindar S.","non-dropping-particle":"","parse-names":false,"suffix":""},{"dropping-particle":"","family":"A.","given":"Wakil M.","non-dropping-particle":"","parse-names":false,"suffix":""},{"dropping-particle":"","family":"O.","given":"Coker A.","non-dropping-particle":"","parse-names":false,"suffix":""},{"dropping-particle":"","family":"W.","given":"Abdul I.","non-dropping-particle":"","parse-names":false,"suffix":""},{"dropping-particle":"","family":"Das","given":"Biman","non-dropping-particle":"","parse-names":false,"suffix":""},{"dropping-particle":"","family":"Mahadevan","given":"Rajeswari","non-dropping-particle":"","parse-names":false,"suffix":""},{"dropping-particle":"","family":"Keel","given":"Stuart","non-dropping-particle":"","parse-names":false,"suffix":""},{"dropping-particle":"","family":"Koklanis","given":"Connie","non-dropping-particle":"","parse-names":false,"suffix":""},{"dropping-particle":"","family":"Vukicevic","given":"Meri","non-dropping-particle":"","parse-names":false,"suffix":""},{"dropping-particle":"","family":"Itsiopoulos","given":"Catherine","non-dropping-particle":"","parse-names":false,"suffix":""},{"dropping-particle":"","family":"Brazionis","given":"Laima","non-dropping-particle":"","parse-names":false,"suffix":""},{"dropping-particle":"","family":"Kalappanavar","given":"N K","non-dropping-particle":"","parse-names":false,"suffix":""},{"dropping-particle":"","family":"Vinodkumar","given":"C S","non-dropping-particle":"","parse-names":false,"suffix":""},{"dropping-particle":"","family":"Campbell","given":"Robert J.","non-dropping-particle":"","parse-names":false,"suffix":""},{"dropping-particle":"","family":"El-Defrawy","given":"Sherif R.","non-dropping-particle":"","parse-names":false,"suffix":""},{"dropping-particle":"","family":"Bell","given":"Chaim M.","non-dropping-particle":"","parse-names":false,"suffix":""},{"dropping-particle":"","family":"Gill","given":"Sudeep S.","non-dropping-particle":"","parse-names":false,"suffix":""},{"dropping-particle":"","family":"Hooper","given":"Philip L.","non-dropping-particle":"","parse-names":false,"suffix":""},{"dropping-particle":"","family":"Whitehead","given":"Marlo","non-dropping-particle":"","parse-names":false,"suffix":""},{"dropping-particle":"","family":"Campbell","given":"Erica De L.P.","non-dropping-particle":"","parse-names":false,"suffix":""},{"dropping-particle":"","family":"Nesdole","given":"Robert","non-dropping-particle":"","parse-names":false,"suffix":""},{"dropping-particle":"","family":"Warder","given":"Daniel","non-dropping-particle":"","parse-names":false,"suffix":""},{"dropping-particle":"","family":"Hove","given":"Martin","non-dropping-particle":"Ten","parse-names":false,"suffix":""},{"dropping-particle":"","family":"Kiuchi","given":"Yoshiaki","non-dropping-particle":"","parse-names":false,"suffix":""},{"dropping-particle":"","family":"Yanagi","given":"Masahide","non-dropping-particle":"","parse-names":false,"suffix":""},{"dropping-particle":"","family":"Nakamura","given":"Takao","non-dropping-particle":"","parse-names":false,"suffix":""},{"dropping-particle":"","family":"Lee","given":"Elin","non-dropping-particle":"","parse-names":false,"suffix":""},{"dropping-particle":"","family":"Sanjay","given":"Srinivasan","non-dropping-particle":"","parse-names":false,"suffix":""},{"dropping-particle":"","family":"Teoh","given":"Stephen","non-dropping-particle":"","parse-names":false,"suffix":""},{"dropping-particle":"","family":"Kannan","given":"Balaji","non-dropping-particle":"","parse-names":false,"suffix":""},{"dropping-particle":"","family":"Bilgel","given":"Nazan","non-dropping-particle":"","parse-names":false,"suffix":""},{"dropping-particle":"","family":"Dimaras","given":"Helen","non-dropping-particle":"","parse-names":false,"suffix":""},{"dropping-particle":"","family":"Kimani","given":"Kahaki","non-dropping-particle":"","parse-names":false,"suffix":""},{"dropping-particle":"","family":"Dimba","given":"Elizabeth A O","non-dropping-particle":"","parse-names":false,"suffix":""},{"dropping-particle":"","family":"Gronsdahl","given":"Peggy","non-dropping-particle":"","parse-names":false,"suffix":""},{"dropping-particle":"","family":"White","given":"Abby","non-dropping-particle":"","parse-names":false,"suffix":""},{"dropping-particle":"","family":"Chan","given":"Helen S L","non-dropping-particle":"","parse-names":false,"suffix":""},{"dropping-particle":"","family":"Gallie","given":"Brenda L.","non-dropping-particle":"","parse-names":false,"suffix":""},{"dropping-particle":"","family":"Ong","given":"Keith","non-dropping-particle":"","parse-names":false,"suffix":""},{"dropping-particle":"","family":"Editorial","given":"Guest","non-dropping-particle":"","parse-names":false,"suffix":""},{"dropping-particle":"","family":"Ayanniyi","given":"Abdulkabir Ayansiji","non-dropping-particle":"","parse-names":false,"suffix":""},{"dropping-particle":"","family":"Olatunji","given":"Fatai Olasunkanmi","non-dropping-particle":"","parse-names":false,"suffix":""},{"dropping-particle":"","family":"Hassan","given":"Ramatu Yahaya","non-dropping-particle":"","parse-names":false,"suffix":""},{"dropping-particle":"","family":"Adekoya","given":"Bola Josephine","non-dropping-particle":"","parse-names":false,"suffix":""},{"dropping-particle":"","family":"Monsudi","given":"Kehinde Fasasi","non-dropping-particle":"","parse-names":false,"suffix":""},{"dropping-particle":"","family":"Jamda","given":"Abubakar Mustapha","non-dropping-particle":"","parse-names":false,"suffix":""},{"dropping-particle":"","family":"Saadani","given":"R J","non-dropping-particle":"","parse-names":false,"suffix":""},{"dropping-particle":"","family":"Machan","given":"Carolyn M","non-dropping-particle":"","parse-names":false,"suffix":""},{"dropping-particle":"","family":"Li","given":"Ling-Jun","non-dropping-particle":"","parse-names":false,"suffix":""},{"dropping-particle":"","family":"Kramer","given":"Michael","non-dropping-particle":"","parse-names":false,"suffix":""},{"dropping-particle":"","family":"Tapp","given":"Robyn J.","non-dropping-particle":"","parse-names":false,"suffix":""},{"dropping-particle":"","family":"Man","given":"Ryan E. K.","non-dropping-particle":"","parse-names":false,"suffix":""},{"dropping-particle":"","family":"Lek","given":"Ngee","non-dropping-particle":"","parse-names":false,"suffix":""},{"dropping-particle":"","family":"Cai","given":"Shirong","non-dropping-particle":"","parse-names":false,"suffix":""},{"dropping-particle":"","family":"Yap","given":"Fabian","non-dropping-particle":"","parse-names":false,"suffix":""},{"dropping-particle":"","family":"Gluckman","given":"Peter","non-dropping-particle":"","parse-names":false,"suffix":""},{"dropping-particle":"","family":"Tan","given":"Kok Hian","non-dropping-particle":"","parse-names":false,"suffix":""},{"dropping-particle":"","family":"Chong","given":"Yap Seng","non-dropping-particle":"","parse-names":false,"suffix":""},{"dropping-particle":"","family":"Koh","given":"Jia Yu","non-dropping-particle":"","parse-names":false,"suffix":""},{"dropping-particle":"","family":"Saw","given":"Seang Mei","non-dropping-particle":"","parse-names":false,"suffix":""},{"dropping-particle":"","family":"Cheung","given":"Yin Bun","non-dropping-particle":"","parse-names":false,"suffix":""},{"dropping-particle":"","family":"Wong","given":"Tien Yin","non-dropping-particle":"","parse-names":false,"suffix":""},{"dropping-particle":"","family":"Chawla","given":"P Cheena","non-dropping-particle":"","parse-names":false,"suffix":""},{"dropping-particle":"","family":"Chawla","given":"Anil","non-dropping-particle":"","parse-names":false,"suffix":""},{"dropping-particle":"","family":"Chaudhary","given":"Seema","non-dropping-particle":"","parse-names":false,"suffix":""},{"dropping-particle":"","family":"Shah","given":"Anjal M","non-dropping-particle":"","parse-names":false,"suffix":""},{"dropping-particle":"","family":"Harakuni","given":"Umesh U","non-dropping-particle":"","parse-names":false,"suffix":""},{"dropping-particle":"","family":"Nabil","given":"Karim M","non-dropping-particle":"","parse-names":false,"suffix":""},{"dropping-particle":"","family":"Khalaf","given":"Maged","non-dropping-particle":"","parse-names":false,"suffix":""},{"dropping-particle":"","family":"Mohamed","given":"Kholoud","non-dropping-particle":"","parse-names":false,"suffix":""},{"dropping-particle":"","family":"Anbar","given":"Mohamed","non-dropping-particle":"","parse-names":false,"suffix":""},{"dropping-particle":"","family":"Ammar","given":"Hatem","non-dropping-particle":"","parse-names":false,"suffix":""},{"dropping-particle":"","family":"Khalil","given":"Ahmad S","non-dropping-particle":"","parse-names":false,"suffix":""},{"dropping-particle":"","family":"Bor","given":"Ashraf","non-dropping-particle":"","parse-names":false,"suffix":""},{"dropping-particle":"","family":"Kunita","given":"Daisuke","non-dropping-particle":"","parse-names":false,"suffix":""},{"dropping-particle":"","family":"Inoue","given":"Makoto","non-dropping-particle":"","parse-names":false,"suffix":""},{"dropping-particle":"","family":"Itoh","given":"Yuji","non-dropping-particle":"","parse-names":false,"suffix":""},{"dropping-particle":"","family":"Matsuki","given":"Naoko","non-dropping-particle":"","parse-names":false,"suffix":""},{"dropping-particle":"","family":"Nagamoto","given":"Toshiyuki","non-dropping-particle":"","parse-names":false,"suffix":""},{"dropping-particle":"","family":"Hirakata","given":"Akito","non-dropping-particle":"","parse-names":false,"suffix":""},{"dropping-particle":"","family":"Raj","given":"Anuradha","non-dropping-particle":"","parse-names":false,"suffix":""},{"dropping-particle":"","family":"Dhasmana","given":"Renu","non-dropping-particle":"","parse-names":false,"suffix":""},{"dropping-particle":"","family":"Bahadur","given":"Harsh","non-dropping-particle":"","parse-names":false,"suffix":""},{"dropping-particle":"","family":"Labetoulle","given":"M","non-dropping-particle":"","parse-names":false,"suffix":""},{"dropping-particle":"","family":"Chiambaretta","given":"Fr??d??ric","non-dropping-particle":"","parse-names":false,"suffix":""},{"dropping-particle":"","family":"Shirlaw","given":"A","non-dropping-particle":"","parse-names":false,"suffix":""},{"dropping-particle":"","family":"Leaback","given":"R","non-dropping-particle":"","parse-names":false,"suffix":""},{"dropping-particle":"","family":"Baudouin","given":"C","non-dropping-particle":"","parse-names":false,"suffix":""},{"dropping-particle":"","family":"Article","given":"Original","non-dropping-particle":"","parse-names":false,"suffix":""},{"dropping-particle":"","family":"Rathi","given":"Manisha","non-dropping-particle":"","parse-names":false,"suffix":""},{"dropping-particle":"","family":"Bhatt","given":"Nikunj","non-dropping-particle":"","parse-names":false,"suffix":""},{"dropping-particle":"","family":"Dhull","given":"C S","non-dropping-particle":"","parse-names":false,"suffix":""},{"dropping-particle":"","family":"Sachdeva","given":"Sumit","non-dropping-particle":"","parse-names":false,"suffix":""},{"dropping-particle":"","family":"Phogat","given":"Jitender","non-dropping-particle":"","parse-names":false,"suffix":""},{"dropping-particle":"","family":"Chen","given":"XiangWu Xuejing Xuling Xinyi","non-dropping-particle":"","parse-names":false,"suffix":""},{"dropping-particle":"","family":"Zhao","given":"YingXi","non-dropping-particle":"","parse-names":false,"suffix":""},{"dropping-particle":"","family":"SMART","given":"","non-dropping-particle":"","parse-names":false,"suffix":""},{"dropping-particle":"","family":"Snijders","given":"Tom a B","non-dropping-particle":"","parse-names":false,"suffix":""},{"dropping-particle":"","family":"Salganik","given":"Matthew J.","non-dropping-particle":"","parse-names":false,"suffix":""},{"dropping-particle":"","family":"Gonzalez","given":"Eugenio J","non-dropping-particle":"","parse-names":false,"suffix":""},{"dropping-particle":"","family":"Foy","given":"Pierre","non-dropping-particle":"","parse-names":false,"suffix":""},{"dropping-particle":"","family":"Darrow","given":"D. H.","non-dropping-particle":"","parse-names":false,"suffix":""},{"dropping-particle":"","family":"Greene","given":"A. K.","non-dropping-particle":"","parse-names":false,"suffix":""},{"dropping-particle":"","family":"Mancini","given":"A. J.","non-dropping-particle":"","parse-names":false,"suffix":""},{"dropping-particle":"","family":"Nopper","given":"A. J.","non-dropping-particle":"","parse-names":false,"suffix":""},{"dropping-particle":"","family":"Khanna","given":"Rohit C","non-dropping-particle":"","parse-names":false,"suffix":""},{"dropping-particle":"","family":"Kaza","given":"Srivalli","non-dropping-particle":"","parse-names":false,"suffix":""},{"dropping-particle":"","family":"Palamaner Subash Shantha","given":"Ghanshyam","non-dropping-particle":"","parse-names":false,"suffix":""},{"dropping-particle":"","family":"Sangwan","given":"Virender S","non-dropping-particle":"","parse-names":false,"suffix":""},{"dropping-particle":"","family":"Tomljenovic","given":"Morana","non-dropping-particle":"","parse-names":false,"suffix":""},{"dropping-particle":"","family":"Kolaric","given":"Branko","non-dropping-particle":"","parse-names":false,"suffix":""},{"dropping-particle":"","family":"Stajduhar","given":"Dinko","non-dropping-particle":"","parse-names":false,"suffix":""},{"dropping-particle":"","family":"Tesic","given":"Vanja","non-dropping-particle":"","parse-names":false,"suffix":""},{"dropping-particle":"","family":"Jraymo","given":"","non-dropping-particle":"","parse-names":false,"suffix":""},{"dropping-particle":"","family":"Cordell","given":"H J","non-dropping-particle":"","parse-names":false,"suffix":""},{"dropping-particle":"","family":"Cunningham","given":"Tina","non-dropping-particle":"","parse-names":false,"suffix":""},{"dropping-particle":"","family":"Kilic","given":"Talip","non-dropping-particle":"","parse-names":false,"suffix":""},{"dropping-particle":"","family":"Course","given":"Inequality Analysis","non-dropping-particle":"","parse-names":false,"suffix":""},{"dropping-particle":"","family":"Jain","given":"Sandhya","non-dropping-particle":"","parse-names":false,"suffix":""},{"dropping-particle":"","family":"Gupta","given":"Alpana Ankit","non-dropping-particle":"","parse-names":false,"suffix":""},{"dropping-particle":"","family":"Jain","given":"Deshraj","non-dropping-particle":"","parse-names":false,"suffix":""},{"dropping-particle":"","family":"Eholmberg","given":"","non-dropping-particle":"","parse-names":false,"suffix":""},{"dropping-particle":"","family":"Ziemssen","given":"F.","non-dropping-particle":"","parse-names":false,"suffix":""},{"dropping-particle":"","family":"Feltgen","given":"N.","non-dropping-particle":"","parse-names":false,"suffix":""},{"dropping-particle":"","family":"Holz","given":"FG.","non-dropping-particle":"","parse-names":false,"suffix":""},{"dropping-particle":"","family":"Guthoff","given":"R.","non-dropping-particle":"","parse-names":false,"suffix":""},{"dropping-particle":"","family":"Ringwald","given":"A.","non-dropping-particle":"","parse-names":false,"suffix":""},{"dropping-particle":"","family":"Bertelmann","given":"T.","non-dropping-particle":"","parse-names":false,"suffix":""},{"dropping-particle":"","family":"Wiedon","given":"A.","non-dropping-particle":"","parse-names":false,"suffix":""},{"dropping-particle":"","family":"Korb","given":"C.","non-dropping-particle":"","parse-names":false,"suffix":""},{"dropping-particle":"","family":"Pan","given":"An Peng","non-dropping-particle":"","parse-names":false,"suffix":""},{"dropping-particle":"","family":"Wang","given":"Qin Mei","non-dropping-particle":"","parse-names":false,"suffix":""},{"dropping-particle":"","family":"Huang","given":"Fang","non-dropping-particle":"","parse-names":false,"suffix":""},{"dropping-particle":"","family":"Huang","given":"Jin Hai","non-dropping-particle":"","parse-names":false,"suffix":""},{"dropping-particle":"","family":"Bao","given":"Fang Jun","non-dropping-particle":"","parse-names":false,"suffix":""},{"dropping-particle":"","family":"Yu","given":"A. Yong","non-dropping-particle":"","parse-names":false,"suffix":""},{"dropping-particle":"","family":"Long","given":"Erping","non-dropping-particle":"","parse-names":false,"suffix":""},{"dropping-particle":"","family":"Xu","given":"Shuangjuan","non-dropping-particle":"","parse-names":false,"suffix":""},{"dropping-particle":"","family":"Liu","given":"Zhenzhen","non-dropping-particle":"","parse-names":false,"suffix":""},{"dropping-particle":"","family":"Wu","given":"Xiaotang Xiaohang","non-dropping-particle":"","parse-names":false,"suffix":""},{"dropping-particle":"","family":"Zhang","given":"Xiongze Xiayin Xinbo","non-dropping-particle":"","parse-names":false,"suffix":""},{"dropping-particle":"","family":"Wang","given":"Jinghui Jingbing","non-dropping-particle":"","parse-names":false,"suffix":""},{"dropping-particle":"","family":"Li","given":"Wangting","non-dropping-particle":"","parse-names":false,"suffix":""},{"dropping-particle":"","family":"Liu","given":"Runzhong","non-dropping-particle":"","parse-names":false,"suffix":""},{"dropping-particle":"","family":"Chen","given":"Zicong","non-dropping-particle":"","parse-names":false,"suffix":""},{"dropping-particle":"","family":"Chen","given":"Kailin Kexin","non-dropping-particle":"","parse-names":false,"suffix":""},{"dropping-particle":"","family":"Yu","given":"Tongyong","non-dropping-particle":"","parse-names":false,"suffix":""},{"dropping-particle":"","family":"Wu","given":"Dongxuan","non-dropping-particle":"","parse-names":false,"suffix":""},{"dropping-particle":"","family":"Zhao","given":"Xutu","non-dropping-particle":"","parse-names":false,"suffix":""},{"dropping-particle":"","family":"Chen","given":"Jingjing","non-dropping-particle":"","parse-names":false,"suffix":""},{"dropping-particle":"","family":"Lin","given":"Zhuoling","non-dropping-particle":"","parse-names":false,"suffix":""},{"dropping-particle":"","family":"Cao","given":"Qianzhong","non-dropping-particle":"","parse-names":false,"suffix":""},{"dropping-particle":"","family":"Lin","given":"Duoru","non-dropping-particle":"","parse-names":false,"suffix":""},{"dropping-particle":"","family":"Li","given":"Xiaoyan","non-dropping-particle":"","parse-names":false,"suffix":""},{"dropping-particle":"","family":"Cai","given":"Jingheng","non-dropping-particle":"","parse-names":false,"suffix":""},{"dropping-particle":"","family":"Lin","given":"Haotian","non-dropping-particle":"","parse-names":false,"suffix":""},{"dropping-particle":"","family":"Russo","given":"Andrea","non-dropping-particle":"","parse-names":false,"suffix":""},{"dropping-particle":"","family":"Morescalchi","given":"Francesco","non-dropping-particle":"","parse-names":false,"suffix":""},{"dropping-particle":"","family":"Costagliola","given":"Ciro","non-dropping-particle":"","parse-names":false,"suffix":""},{"dropping-particle":"","family":"Delcassi","given":"Luisa","non-dropping-particle":"","parse-names":false,"suffix":""},{"dropping-particle":"","family":"Semeraro","given":"Francesco","non-dropping-particle":"","parse-names":false,"suffix":""},{"dropping-particle":"","family":"Kalton","given":"Graham","non-dropping-particle":"","parse-names":false,"suffix":""},{"dropping-particle":"","family":"Brick","given":"J Michael","non-dropping-particle":"","parse-names":false,"suffix":""},{"dropping-particle":"","family":"Living Standards Measurement Study","given":"","non-dropping-particle":"","parse-names":false,"suffix":""},{"dropping-particle":"","family":"Mukhopadhyay","given":"Parimal","non-dropping-particle":"","parse-names":false,"suffix":""},{"dropping-particle":"","family":"Naing","given":"L","non-dropping-particle":"","parse-names":false,"suffix":""},{"dropping-particle":"","family":"Winn","given":"T","non-dropping-particle":"","parse-names":false,"suffix":""},{"dropping-particle":"","family":"Rusli","given":"B N","non-dropping-particle":"","parse-names":false,"suffix":""},{"dropping-particle":"","family":"Pu","given":"Hui","non-dropping-particle":"","parse-names":false,"suffix":""},{"dropping-particle":"","family":"Wang","given":"Yong","non-dropping-particle":"","parse-names":false,"suffix":""},{"dropping-particle":"","family":"Wei","given":"Qiang","non-dropping-particle":"","parse-names":false,"suffix":""},{"dropping-particle":"","family":"Ma","given":"Hui-Juan Hongxing","non-dropping-particle":"","parse-names":false,"suffix":""},{"dropping-particle":"","family":"Hu","given":"Pan-Pan","non-dropping-particle":"","parse-names":false,"suffix":""},{"dropping-particle":"","family":"Li","given":"Songfeng Shou-Ling","non-dropping-particle":"","parse-names":false,"suffix":""},{"dropping-particle":"","family":"Pang","given":"Hong-Bo","non-dropping-particle":"","parse-names":false,"suffix":""},{"dropping-particle":"","family":"Tian","given":"Yang-Hua","non-dropping-particle":"","parse-names":false,"suffix":""},{"dropping-particle":"","family":"Wang","given":"Kai","non-dropping-particle":"","parse-names":false,"suffix":""},{"dropping-particle":"","family":"Ochi","given":"Ryosuke","non-dropping-particle":"","parse-names":false,"suffix":""},{"dropping-particle":"","family":"Sato","given":"Bumpei","non-dropping-particle":"","parse-names":false,"suffix":""},{"dropping-particle":"","family":"Morishita","given":"Seita","non-dropping-particle":"","parse-names":false,"suffix":""},{"dropping-particle":"","family":"Imagawa","given":"Yukihiro","non-dropping-particle":"","parse-names":false,"suffix":""},{"dropping-particle":"","family":"Mimura","given":"Masashi","non-dropping-particle":"","parse-names":false,"suffix":""},{"dropping-particle":"","family":"Fukumoto","given":"Masanori","non-dropping-particle":"","parse-names":false,"suffix":""},{"dropping-particle":"","family":"Sato","given":"Takaki","non-dropping-particle":"","parse-names":false,"suffix":""},{"dropping-particle":"","family":"Kobayashi","given":"Takatoshi","non-dropping-particle":"","parse-names":false,"suffix":""},{"dropping-particle":"","family":"Kida","given":"Teruyo","non-dropping-particle":"","parse-names":false,"suffix":""},{"dropping-particle":"","family":"Ikeda","given":"Tsunehiko","non-dropping-particle":"","parse-names":false,"suffix":""},{"dropping-particle":"","family":"Khan","given":"HamzaH","non-dropping-particle":"","parse-names":false,"suffix":""},{"dropping-particle":"","family":"Khan","given":"ZarakH","non-dropping-particle":"","parse-names":false,"suffix":""},{"dropping-particle":"","family":"Zafar","given":"Bilal","non-dropping-particle":"","parse-names":false,"suffix":""},{"dropping-particle":"","family":"Malik","given":"MuhammadB","non-dropping-particle":"","parse-names":false,"suffix":""},{"dropping-particle":"","family":"Steinkuller","given":"P G","non-dropping-particle":"","parse-names":false,"suffix":""},{"dropping-particle":"","family":"Du","given":"L","non-dropping-particle":"","parse-names":false,"suffix":""},{"dropping-particle":"","family":"Gilbert","given":"C","non-dropping-particle":"","parse-names":false,"suffix":""},{"dropping-particle":"","family":"Foster","given":"A","non-dropping-particle":"","parse-names":false,"suffix":""},{"dropping-particle":"","family":"Collins","given":"M L","non-dropping-particle":"","parse-names":false,"suffix":""},{"dropping-particle":"","family":"Coats","given":"D K","non-dropping-particle":"","parse-names":false,"suffix":""},{"dropping-particle":"","family":"Colvin","given":"Hugh","non-dropping-particle":"","parse-names":false,"suffix":""},{"dropping-particle":"","family":"Mizushima","given":"Tsunekazu","non-dropping-particle":"","parse-names":false,"suffix":""},{"dropping-particle":"","family":"Eguchi","given":"Hidetoshi","non-dropping-particle":"","parse-names":false,"suffix":""},{"dropping-particle":"","family":"Takiguchi","given":"Shuji","non-dropping-particle":"","parse-names":false,"suffix":""},{"dropping-particle":"","family":"Doki","given":"Yuichiro","non-dropping-particle":"","parse-names":false,"suffix":""},{"dropping-particle":"","family":"Mori","given":"Masaki","non-dropping-particle":"","parse-names":false,"suffix":""},{"dropping-particle":"","family":"Awad","given":"NahlaMahmoud","non-dropping-particle":"","parse-names":false,"suffix":""},{"dropping-particle":"","family":"Shindy","given":"IbrahimEzzat","non-dropping-particle":"","parse-names":false,"suffix":""},{"dropping-particle":"","family":"Hossameldin","given":"Reem","non-dropping-particle":"","parse-names":false,"suffix":""},{"dropping-particle":"","family":"Graf","given":"Chris","non-dropping-particle":"","parse-names":false,"suffix":""},{"dropping-particle":"","family":"Tanna","given":"Angelo P.","non-dropping-particle":"","parse-names":false,"suffix":""},{"dropping-particle":"","family":"Rademaker","given":"Alfred W.","non-dropping-particle":"","parse-names":false,"suffix":""},{"dropping-particle":"","family":"Moraes","given":"C. Gustavo","non-dropping-particle":"de","parse-names":false,"suffix":""},{"dropping-particle":"","family":"Godfrey","given":"David G.","non-dropping-particle":"","parse-names":false,"suffix":""},{"dropping-particle":"","family":"Sarkisian","given":"Steven R.","non-dropping-particle":"","parse-names":false,"suffix":""},{"dropping-particle":"","family":"Vold","given":"Steven D.","non-dropping-particle":"","parse-names":false,"suffix":""},{"dropping-particle":"","family":"Ritch","given":"Robert","non-dropping-particle":"","parse-names":false,"suffix":""},{"dropping-particle":"","family":"Lee","given":"Raymond T","non-dropping-particle":"","parse-names":false,"suffix":""},{"dropping-particle":"","family":"Seo","given":"Bosu","non-dropping-particle":"","parse-names":false,"suffix":""},{"dropping-particle":"","family":"Hladkyj","given":"Steven","non-dropping-particle":"","parse-names":false,"suffix":""},{"dropping-particle":"","family":"Lovell","given":"Brenda L","non-dropping-particle":"","parse-names":false,"suffix":""},{"dropping-particle":"","family":"Schwartzmann","given":"Laura","non-dropping-particle":"","parse-names":false,"suffix":""},{"dropping-particle":"","family":"Wu","given":"Ming-Yue","non-dropping-particle":"","parse-names":false,"suffix":""},{"dropping-particle":"","family":"Wu","given":"Yang","non-dropping-particle":"","parse-names":false,"suffix":""},{"dropping-particle":"","family":"Zhang","given":"Yong Yadi Yan Yimin","non-dropping-particle":"","parse-names":false,"suffix":""},{"dropping-particle":"","family":"Liu","given":"Cai-Yun","non-dropping-particle":"","parse-names":false,"suffix":""},{"dropping-particle":"","family":"Deng","given":"Chun-Yan","non-dropping-particle":"","parse-names":false,"suffix":""},{"dropping-particle":"","family":"Peng","given":"Le","non-dropping-particle":"","parse-names":false,"suffix":""},{"dropping-particle":"","family":"Zhou","given":"Lan","non-dropping-particle":"","parse-names":false,"suffix":""},{"dropping-particle":"","family":"Rageh","given":"IbrahimM","non-dropping-particle":"","parse-names":false,"suffix":""},{"dropping-particle":"","family":"Sharaawy","given":"AhmedA","non-dropping-particle":"","parse-names":false,"suffix":""},{"dropping-particle":"","family":"Fouda","given":"AliI","non-dropping-particle":"","parse-names":false,"suffix":""},{"dropping-particle":"","family":"Abdelgawad","given":"EmanR","non-dropping-particle":"","parse-names":false,"suffix":""},{"dropping-particle":"","family":"Abdel Halim","given":"WalidA","non-dropping-particle":"","parse-names":false,"suffix":""},{"dropping-particle":"","family":"Sharkawy","given":"ReemA","non-dropping-particle":"","parse-names":false,"suffix":""},{"dropping-particle":"","family":"Farahat","given":"TamerE","non-dropping-particle":"","parse-names":false,"suffix":""},{"dropping-particle":"","family":"Nematallah","given":"EhabH","non-dropping-particle":"","parse-names":false,"suffix":""},{"dropping-particle":"","family":"Msaouel","given":"Pavlos","non-dropping-particle":"","parse-names":false,"suffix":""},{"dropping-particle":"","family":"Keramaris","given":"Nikolaos C","non-dropping-particle":"","parse-names":false,"suffix":""},{"dropping-particle":"","family":"Tasoulis","given":"Athanasios","non-dropping-particle":"","parse-names":false,"suffix":""},{"dropping-particle":"","family":"Kolokythas","given":"Dimitrios","non-dropping-particle":"","parse-names":false,"suffix":""},{"dropping-particle":"","family":"Syrmos","given":"Nikolaos","non-dropping-particle":"","parse-names":false,"suffix":""},{"dropping-particle":"","family":"Pararas","given":"Nikolaos","non-dropping-particle":"","parse-names":false,"suffix":""},{"dropping-particle":"","family":"Thireos","given":"Eleftherios","non-dropping-particle":"","parse-names":false,"suffix":""},{"dropping-particle":"","family":"Lionis","given":"Christos","non-dropping-particle":"","parse-names":false,"suffix":""},{"dropping-particle":"","family":"Aboulnasr","given":"TarekT","non-dropping-particle":"","parse-names":false,"suffix":""},{"dropping-particle":"","family":"Elfiky","given":"HazemM","non-dropping-particle":"","parse-names":false,"suffix":""},{"dropping-particle":"","family":"Mohamed","given":"YasserA","non-dropping-particle":"","parse-names":false,"suffix":""},{"dropping-particle":"","family":"Yoo","given":"Han Soo","non-dropping-particle":"","parse-names":false,"suffix":""},{"dropping-particle":"","family":"Park","given":"Eunjeong","non-dropping-particle":"","parse-names":false,"suffix":""},{"dropping-particle":"","family":"Rhiu","given":"Soolienah","non-dropping-particle":"","parse-names":false,"suffix":""},{"dropping-particle":"","family":"Chang","given":"Hyuk-Jae","non-dropping-particle":"","parse-names":false,"suffix":""},{"dropping-particle":"","family":"Kim","given":"Kyoungsub","non-dropping-particle":"","parse-names":false,"suffix":""},{"dropping-particle":"","family":"Yoo","given":"Joonsang","non-dropping-particle":"","parse-names":false,"suffix":""},{"dropping-particle":"","family":"Heo","given":"Ji Hoe","non-dropping-particle":"","parse-names":false,"suffix":""},{"dropping-particle":"","family":"Nam","given":"Hyo Suk","non-dropping-particle":"","parse-names":false,"suffix":""},{"dropping-particle":"","family":"Tham","given":"Clement C Y","non-dropping-particle":"","parse-names":false,"suffix":""},{"dropping-particle":"","family":"Giannakaki-Zimmermann","given":"Helena","non-dropping-particle":"","parse-names":false,"suffix":""},{"dropping-particle":"","family":"Querques","given":"Giuseppe","non-dropping-particle":"","parse-names":false,"suffix":""},{"dropping-particle":"","family":"Munch","given":"Inger Christine","non-dropping-particle":"","parse-names":false,"suffix":""},{"dropping-particle":"","family":"Shroff","given":"Daraius","non-dropping-particle":"","parse-names":false,"suffix":""},{"dropping-particle":"","family":"Sarraf","given":"David","non-dropping-particle":"","parse-names":false,"suffix":""},{"dropping-particle":"","family":"Chen","given":"XiangWu Xuejing Xuling Xinyi","non-dropping-particle":"","parse-names":false,"suffix":""},{"dropping-particle":"","family":"Cunha-Souza","given":"Eduardo","non-dropping-particle":"","parse-names":false,"suffix":""},{"dropping-particle":"","family":"Mrejen","given":"Sarah","non-dropping-particle":"","parse-names":false,"suffix":""},{"dropping-particle":"","family":"Capuano","given":"Vittorio","non-dropping-particle":"","parse-names":false,"suffix":""},{"dropping-particle":"","family":"Rodrigues","given":"Murilo W.","non-dropping-particle":"","parse-names":false,"suffix":""},{"dropping-particle":"","family":"Gupta","given":"Charu","non-dropping-particle":"","parse-names":false,"suffix":""},{"dropping-particle":"","family":"Ebneter","given":"Andreas","non-dropping-particle":"","parse-names":false,"suffix":""},{"dropping-particle":"","family":"Zinkernagel","given":"Martin S.","non-dropping-particle":"","parse-names":false,"suffix":""},{"dropping-particle":"","family":"Munk","given":"Marion R.","non-dropping-particle":"","parse-names":false,"suffix":""},{"dropping-particle":"","family":"Lee","given":"Elin","non-dropping-particle":"","parse-names":false,"suffix":""},{"dropping-particle":"","family":"Sanjay","given":"Srinivasan","non-dropping-particle":"","parse-names":false,"suffix":""},{"dropping-particle":"","family":"Sangtam","given":"Tiakumzuk","non-dropping-particle":"","parse-names":false,"suffix":""},{"dropping-particle":"V.","family":"Le","given":"Phuc","non-dropping-particle":"","parse-names":false,"suffix":""},{"dropping-particle":"","family":"Zhang","given":"Xiongze Xiayin Xinbo","non-dropping-particle":"","parse-names":false,"suffix":""},{"dropping-particle":"","family":"Francis","given":"Brian A.","non-dropping-particle":"","parse-names":false,"suffix":""},{"dropping-particle":"","family":"Varma","given":"Rohit","non-dropping-particle":"","parse-names":false,"suffix":""},{"dropping-particle":"","family":"Greenfield","given":"David S.","non-dropping-particle":"","parse-names":false,"suffix":""},{"dropping-particle":"","family":"Schuman","given":"Joel S.","non-dropping-particle":"","parse-names":false,"suffix":""},{"dropping-particle":"","family":"Loewen","given":"Nils","non-dropping-particle":"","parse-names":false,"suffix":""},{"dropping-particle":"","family":"Huang","given":"David","non-dropping-particle":"","parse-names":false,"suffix":""},{"dropping-particle":"","family":"Zhang","given":"Yong Yadi Yan Yimin","non-dropping-particle":"","parse-names":false,"suffix":""},{"dropping-particle":"","family":"Feng","given":"Xueshan","non-dropping-particle":"","parse-names":false,"suffix":""},{"dropping-particle":"","family":"Stewart","given":"William C.","non-dropping-particle":"","parse-names":false,"suffix":""},{"dropping-particle":"","family":"Adams","given":"Michelle P.","non-dropping-particle":"","parse-names":false,"suffix":""},{"dropping-particle":"","family":"Stewart","given":"Jeanette A.","non-dropping-particle":"","parse-names":false,"suffix":""},{"dropping-particle":"","family":"Nelson","given":"Lindsay A.","non-dropping-particle":"","parse-names":false,"suffix":""},{"dropping-particle":"","family":"Moore","given":"Daniel B.","non-dropping-particle":"","parse-names":false,"suffix":""},{"dropping-particle":"","family":"Beck","given":"Judy","non-dropping-particle":"","parse-names":false,"suffix":""},{"dropping-particle":"","family":"Kryscio","given":"Richard J","non-dropping-particle":"","parse-names":false,"suffix":""},{"dropping-particle":"","family":"Montero-Marín","given":"Jesús","non-dropping-particle":"","parse-names":false,"suffix":""},{"dropping-particle":"","family":"García-Campayo","given":"Javier","non-dropping-particle":"","parse-names":false,"suffix":""},{"dropping-particle":"","family":"Fajó-Pascual","given":"Marta","non-dropping-particle":"","parse-names":false,"suffix":""},{"dropping-particle":"","family":"Carrasco","given":"José Miguel","non-dropping-particle":"","parse-names":false,"suffix":""},{"dropping-particle":"","family":"Gascón","given":"Santiago","non-dropping-particle":"","parse-names":false,"suffix":""},{"dropping-particle":"","family":"Gili","given":"Margarita","non-dropping-particle":"","parse-names":false,"suffix":""},{"dropping-particle":"","family":"Mayoral-Cleries","given":"Fermín","non-dropping-particle":"","parse-names":false,"suffix":""},{"dropping-particle":"","family":"Blehm","given":"Clayton","non-dropping-particle":"","parse-names":false,"suffix":""},{"dropping-particle":"","family":"Potvin","given":"Rick Richard","non-dropping-particle":"","parse-names":false,"suffix":""},{"dropping-particle":"","family":"Press","given":"Dove","non-dropping-particle":"","parse-names":false,"suffix":""},{"dropping-particle":"","family":"Negrete","given":"Francisco Jos?? Mu??oz","non-dropping-particle":"","parse-names":false,"suffix":""},{"dropping-particle":"","family":"Lemij","given":"Hans G.","non-dropping-particle":"","parse-names":false,"suffix":""},{"dropping-particle":"","family":"Erb","given":"Carl","non-dropping-particle":"","parse-names":false,"suffix":""},{"dropping-particle":"","family":"Elagouz","given":"Mohammed","non-dropping-particle":"","parse-names":false,"suffix":""},{"dropping-particle":"","family":"Press","given":"Dove","non-dropping-particle":"","parse-names":false,"suffix":""},{"dropping-particle":"","family":"Abozaid","given":"Mortada Ahmed","non-dropping-particle":"","parse-names":false,"suffix":""},{"dropping-particle":"","family":"Mohammed","given":"Usama Ali","non-dropping-particle":"","parse-names":false,"suffix":""},{"dropping-particle":"","family":"Sahanne","given":"Sari","non-dropping-particle":"","parse-names":false,"suffix":""},{"dropping-particle":"","family":"Tuuminen","given":"Raimo","non-dropping-particle":"","parse-names":false,"suffix":""},{"dropping-particle":"","family":"Haukka","given":"Jari","non-dropping-particle":"","parse-names":false,"suffix":""},{"dropping-particle":"","family":"Loukovaara","given":"Sirpa","non-dropping-particle":"","parse-names":false,"suffix":""}],"container-title":"BMC Ophthalmology","id":"ITEM-1","issue":"1","issued":{"date-parts":[["2017"]]},"page":"1","title":"Symposium Recent advances and challenges in the management of retinoblastoma Globe ‑ saving Treatments","type":"article-journal","volume":"17"},"uris":["http://www.mendeley.com/documents/?uuid=bd17cbe1-17ac-4c51-9369-7b9f8e8b3cbd"]}],"mendeley":{"formattedCitation":"(25)","manualFormatting":"(Fernandez-Cobo  et al., 2023)","plainTextFormattedCitation":"(25)","previouslyFormattedCitation":"(Balasopoulou &lt;i&gt;et al.&lt;/i&gt;, 2017)"},"properties":{"noteIndex":0},"schema":"https://github.com/citation-style-language/schema/raw/master/csl-citation.json"}</w:instrText>
      </w:r>
      <w:r w:rsidRPr="001016D6">
        <w:rPr>
          <w:rFonts w:ascii="Times New Roman" w:eastAsia="Times New Roman" w:hAnsi="Times New Roman" w:cs="Times New Roman"/>
          <w:color w:val="000000" w:themeColor="text1"/>
          <w:sz w:val="24"/>
          <w:szCs w:val="24"/>
          <w:lang w:eastAsia="en-GB"/>
        </w:rPr>
        <w:fldChar w:fldCharType="separate"/>
      </w:r>
      <w:r w:rsidRPr="001016D6">
        <w:rPr>
          <w:rFonts w:ascii="Times New Roman" w:eastAsia="Times New Roman" w:hAnsi="Times New Roman" w:cs="Times New Roman"/>
          <w:noProof/>
          <w:color w:val="000000" w:themeColor="text1"/>
          <w:sz w:val="24"/>
          <w:szCs w:val="24"/>
          <w:lang w:eastAsia="en-GB"/>
        </w:rPr>
        <w:t>(</w:t>
      </w:r>
      <w:r w:rsidRPr="001016D6">
        <w:rPr>
          <w:rFonts w:ascii="Times New Roman" w:eastAsia="Times New Roman" w:hAnsi="Times New Roman" w:cs="Times New Roman"/>
          <w:bCs/>
          <w:noProof/>
          <w:color w:val="000000" w:themeColor="text1"/>
          <w:sz w:val="24"/>
          <w:szCs w:val="24"/>
          <w:lang w:eastAsia="en-GB"/>
        </w:rPr>
        <w:t xml:space="preserve">Fernandez-Cobo </w:t>
      </w:r>
      <w:r w:rsidRPr="001016D6">
        <w:rPr>
          <w:rFonts w:ascii="Times New Roman" w:eastAsia="Times New Roman" w:hAnsi="Times New Roman" w:cs="Times New Roman"/>
          <w:noProof/>
          <w:color w:val="000000" w:themeColor="text1"/>
          <w:sz w:val="24"/>
          <w:szCs w:val="24"/>
          <w:lang w:eastAsia="en-GB"/>
        </w:rPr>
        <w:t xml:space="preserve"> </w:t>
      </w:r>
      <w:r w:rsidRPr="001016D6">
        <w:rPr>
          <w:rFonts w:ascii="Times New Roman" w:eastAsia="Times New Roman" w:hAnsi="Times New Roman" w:cs="Times New Roman"/>
          <w:i/>
          <w:noProof/>
          <w:color w:val="000000" w:themeColor="text1"/>
          <w:sz w:val="24"/>
          <w:szCs w:val="24"/>
          <w:lang w:eastAsia="en-GB"/>
        </w:rPr>
        <w:t>et al.</w:t>
      </w:r>
      <w:r w:rsidRPr="001016D6">
        <w:rPr>
          <w:rFonts w:ascii="Times New Roman" w:eastAsia="Times New Roman" w:hAnsi="Times New Roman" w:cs="Times New Roman"/>
          <w:noProof/>
          <w:color w:val="000000" w:themeColor="text1"/>
          <w:sz w:val="24"/>
          <w:szCs w:val="24"/>
          <w:lang w:eastAsia="en-GB"/>
        </w:rPr>
        <w:t>, 2023)</w:t>
      </w:r>
      <w:r w:rsidRPr="001016D6">
        <w:rPr>
          <w:rFonts w:ascii="Times New Roman" w:eastAsia="Times New Roman" w:hAnsi="Times New Roman" w:cs="Times New Roman"/>
          <w:color w:val="000000" w:themeColor="text1"/>
          <w:sz w:val="24"/>
          <w:szCs w:val="24"/>
          <w:lang w:eastAsia="en-GB"/>
        </w:rPr>
        <w:fldChar w:fldCharType="end"/>
      </w:r>
      <w:r w:rsidRPr="001016D6">
        <w:rPr>
          <w:rFonts w:ascii="Times New Roman" w:eastAsia="Times New Roman" w:hAnsi="Times New Roman" w:cs="Times New Roman"/>
          <w:color w:val="000000" w:themeColor="text1"/>
          <w:sz w:val="24"/>
          <w:szCs w:val="24"/>
          <w:lang w:eastAsia="en-GB"/>
        </w:rPr>
        <w:t>, showed slow-release triamcinolone over 90 days without significant pressure rise. While not yet cost-effective for low-income settings, this technology offers a future alternative to minimize pressure-related adverse events.</w:t>
      </w:r>
    </w:p>
    <w:p w14:paraId="424AC737" w14:textId="77777777" w:rsidR="00EF6979" w:rsidRPr="001016D6" w:rsidRDefault="00EF6979" w:rsidP="001A3D64">
      <w:pPr>
        <w:pStyle w:val="NoSpacing"/>
        <w:spacing w:line="360" w:lineRule="auto"/>
        <w:rPr>
          <w:rFonts w:ascii="Times New Roman" w:hAnsi="Times New Roman" w:cs="Times New Roman"/>
          <w:color w:val="000000" w:themeColor="text1"/>
          <w:sz w:val="24"/>
          <w:szCs w:val="24"/>
        </w:rPr>
      </w:pPr>
      <w:bookmarkStart w:id="40" w:name="_Toc171521437"/>
    </w:p>
    <w:p w14:paraId="49C95D93" w14:textId="77777777" w:rsidR="00EF6979" w:rsidRPr="001016D6" w:rsidRDefault="00EF6979" w:rsidP="001A3D64">
      <w:pPr>
        <w:pStyle w:val="Heading2"/>
        <w:spacing w:line="360" w:lineRule="auto"/>
        <w:rPr>
          <w:rFonts w:ascii="Times New Roman" w:hAnsi="Times New Roman" w:cs="Times New Roman"/>
          <w:i/>
          <w:color w:val="000000" w:themeColor="text1"/>
          <w:sz w:val="24"/>
          <w:szCs w:val="24"/>
        </w:rPr>
      </w:pPr>
      <w:bookmarkStart w:id="41" w:name="_Toc201688056"/>
      <w:r w:rsidRPr="001016D6">
        <w:rPr>
          <w:rFonts w:ascii="Times New Roman" w:hAnsi="Times New Roman" w:cs="Times New Roman"/>
          <w:i/>
          <w:color w:val="000000" w:themeColor="text1"/>
          <w:sz w:val="24"/>
          <w:szCs w:val="24"/>
        </w:rPr>
        <w:t>Conclusion</w:t>
      </w:r>
      <w:bookmarkEnd w:id="40"/>
      <w:bookmarkEnd w:id="41"/>
      <w:r w:rsidR="009B0905" w:rsidRPr="001016D6">
        <w:rPr>
          <w:rFonts w:ascii="Times New Roman" w:hAnsi="Times New Roman" w:cs="Times New Roman"/>
          <w:i/>
          <w:color w:val="000000" w:themeColor="text1"/>
          <w:sz w:val="24"/>
          <w:szCs w:val="24"/>
        </w:rPr>
        <w:t>(s)</w:t>
      </w:r>
    </w:p>
    <w:p w14:paraId="4D17AD03" w14:textId="77777777" w:rsidR="00EF6979" w:rsidRPr="001016D6" w:rsidRDefault="00EF6979" w:rsidP="001A3D64">
      <w:pPr>
        <w:spacing w:line="360" w:lineRule="auto"/>
        <w:rPr>
          <w:rFonts w:ascii="Times New Roman" w:eastAsia="Times New Roman" w:hAnsi="Times New Roman" w:cs="Times New Roman"/>
          <w:color w:val="000000" w:themeColor="text1"/>
          <w:sz w:val="24"/>
          <w:szCs w:val="24"/>
          <w:lang w:eastAsia="en-GB"/>
        </w:rPr>
      </w:pPr>
      <w:r w:rsidRPr="001016D6">
        <w:rPr>
          <w:rFonts w:ascii="Times New Roman" w:eastAsia="Times New Roman" w:hAnsi="Times New Roman" w:cs="Times New Roman"/>
          <w:color w:val="000000" w:themeColor="text1"/>
          <w:sz w:val="24"/>
          <w:szCs w:val="24"/>
          <w:lang w:eastAsia="en-GB"/>
        </w:rPr>
        <w:t xml:space="preserve">This study offers crucial information about the prevalence, trend, and risk factors of ocular hypertension in patients with macular </w:t>
      </w:r>
      <w:proofErr w:type="spellStart"/>
      <w:r w:rsidRPr="001016D6">
        <w:rPr>
          <w:rFonts w:ascii="Times New Roman" w:eastAsia="Times New Roman" w:hAnsi="Times New Roman" w:cs="Times New Roman"/>
          <w:color w:val="000000" w:themeColor="text1"/>
          <w:sz w:val="24"/>
          <w:szCs w:val="24"/>
          <w:lang w:eastAsia="en-GB"/>
        </w:rPr>
        <w:t>edema</w:t>
      </w:r>
      <w:proofErr w:type="spellEnd"/>
      <w:r w:rsidRPr="001016D6">
        <w:rPr>
          <w:rFonts w:ascii="Times New Roman" w:eastAsia="Times New Roman" w:hAnsi="Times New Roman" w:cs="Times New Roman"/>
          <w:color w:val="000000" w:themeColor="text1"/>
          <w:sz w:val="24"/>
          <w:szCs w:val="24"/>
          <w:lang w:eastAsia="en-GB"/>
        </w:rPr>
        <w:t xml:space="preserve"> at Kilimanjaro Christian Medical </w:t>
      </w:r>
      <w:proofErr w:type="spellStart"/>
      <w:r w:rsidRPr="001016D6">
        <w:rPr>
          <w:rFonts w:ascii="Times New Roman" w:eastAsia="Times New Roman" w:hAnsi="Times New Roman" w:cs="Times New Roman"/>
          <w:color w:val="000000" w:themeColor="text1"/>
          <w:sz w:val="24"/>
          <w:szCs w:val="24"/>
          <w:lang w:eastAsia="en-GB"/>
        </w:rPr>
        <w:t>Center</w:t>
      </w:r>
      <w:proofErr w:type="spellEnd"/>
      <w:r w:rsidRPr="001016D6">
        <w:rPr>
          <w:rFonts w:ascii="Times New Roman" w:eastAsia="Times New Roman" w:hAnsi="Times New Roman" w:cs="Times New Roman"/>
          <w:color w:val="000000" w:themeColor="text1"/>
          <w:sz w:val="24"/>
          <w:szCs w:val="24"/>
          <w:lang w:eastAsia="en-GB"/>
        </w:rPr>
        <w:t xml:space="preserve"> after intravitreal triamcinolone acetonide (IVTA) injections. The results showed that after receiving a typical IVTA dose of 4 mg, more than one-third of patients experienced ocular hypertension within six weeks, with the maximum intraocular pressure occurring just after injection. Retinal vein occlusion and phakic lens status were found to be important risk factors, highlighting the necessity of careful monitoring and tailored patient </w:t>
      </w:r>
      <w:proofErr w:type="spellStart"/>
      <w:proofErr w:type="gramStart"/>
      <w:r w:rsidRPr="001016D6">
        <w:rPr>
          <w:rFonts w:ascii="Times New Roman" w:eastAsia="Times New Roman" w:hAnsi="Times New Roman" w:cs="Times New Roman"/>
          <w:color w:val="000000" w:themeColor="text1"/>
          <w:sz w:val="24"/>
          <w:szCs w:val="24"/>
          <w:lang w:eastAsia="en-GB"/>
        </w:rPr>
        <w:t>evaluation.The</w:t>
      </w:r>
      <w:proofErr w:type="spellEnd"/>
      <w:proofErr w:type="gramEnd"/>
      <w:r w:rsidRPr="001016D6">
        <w:rPr>
          <w:rFonts w:ascii="Times New Roman" w:eastAsia="Times New Roman" w:hAnsi="Times New Roman" w:cs="Times New Roman"/>
          <w:color w:val="000000" w:themeColor="text1"/>
          <w:sz w:val="24"/>
          <w:szCs w:val="24"/>
          <w:lang w:eastAsia="en-GB"/>
        </w:rPr>
        <w:t xml:space="preserve"> study also emphasizes how IOP elevation tends to peak early and stabilize over time, however cases with delayed beginning can go unnoticed without close monitoring. IVTA has a quantifiable risk of steroid-induced problems despite its therapeutic efficacy and cost benefits, particularly in places with limited resources where access to diagnostic equipment and follow-up care may be limited. Thus, for safe and efficient IVTA delivery, it is crucial to include regular intraocular pressure monitoring, risk assessment prior to injection, and patient education. These results enable the creation of useful guidelines suited to low-resource ophthalmic care systems and add significant regional data to the global understanding of IVTA safety.</w:t>
      </w:r>
    </w:p>
    <w:p w14:paraId="2055396A" w14:textId="77777777" w:rsidR="00EF6979" w:rsidRPr="001016D6" w:rsidRDefault="00EF6979" w:rsidP="001A3D64">
      <w:pPr>
        <w:pStyle w:val="Heading2"/>
        <w:spacing w:line="360" w:lineRule="auto"/>
        <w:rPr>
          <w:rFonts w:ascii="Times New Roman" w:hAnsi="Times New Roman" w:cs="Times New Roman"/>
          <w:i/>
          <w:color w:val="000000" w:themeColor="text1"/>
          <w:sz w:val="24"/>
          <w:szCs w:val="24"/>
        </w:rPr>
      </w:pPr>
      <w:bookmarkStart w:id="42" w:name="_Toc171521438"/>
      <w:bookmarkStart w:id="43" w:name="_Toc201688057"/>
      <w:r w:rsidRPr="001016D6">
        <w:rPr>
          <w:rFonts w:ascii="Times New Roman" w:hAnsi="Times New Roman" w:cs="Times New Roman"/>
          <w:i/>
          <w:color w:val="000000" w:themeColor="text1"/>
          <w:sz w:val="24"/>
          <w:szCs w:val="24"/>
        </w:rPr>
        <w:t>Recommendations</w:t>
      </w:r>
      <w:bookmarkEnd w:id="42"/>
      <w:bookmarkEnd w:id="43"/>
    </w:p>
    <w:p w14:paraId="00884B83" w14:textId="77777777" w:rsidR="004E1F82" w:rsidRPr="001016D6" w:rsidRDefault="004E1F82" w:rsidP="004E1F82">
      <w:pPr>
        <w:pStyle w:val="NormalWeb"/>
        <w:spacing w:line="360" w:lineRule="auto"/>
      </w:pPr>
      <w:r w:rsidRPr="001016D6">
        <w:rPr>
          <w:rStyle w:val="Strong"/>
          <w:b w:val="0"/>
        </w:rPr>
        <w:t>1. Conduct thorough pre-treatment evaluations</w:t>
      </w:r>
      <w:r w:rsidRPr="001016D6">
        <w:t xml:space="preserve"> for all patients receiving intravitreal triamcinolone acetonide, including assessment of baseline intraocular pressure, lens status, and history of retinal vascular diseases.</w:t>
      </w:r>
    </w:p>
    <w:p w14:paraId="07C59651" w14:textId="77777777" w:rsidR="004E1F82" w:rsidRPr="001016D6" w:rsidRDefault="004E1F82" w:rsidP="004E1F82">
      <w:pPr>
        <w:pStyle w:val="NormalWeb"/>
        <w:spacing w:line="360" w:lineRule="auto"/>
      </w:pPr>
      <w:r w:rsidRPr="001016D6">
        <w:rPr>
          <w:rFonts w:hAnsi="Symbol"/>
        </w:rPr>
        <w:lastRenderedPageBreak/>
        <w:t xml:space="preserve">2. </w:t>
      </w:r>
      <w:r w:rsidRPr="001016D6">
        <w:rPr>
          <w:rStyle w:val="Strong"/>
          <w:b w:val="0"/>
        </w:rPr>
        <w:t>Implement standardized follow-up protocols</w:t>
      </w:r>
      <w:r w:rsidRPr="001016D6">
        <w:t xml:space="preserve"> with intraocular pressure (IOP) monitoring at baseline, 1 week, and up to 6-8 weeks’ post-injection, especially for high-risk patients.</w:t>
      </w:r>
    </w:p>
    <w:p w14:paraId="42245DF8" w14:textId="77777777" w:rsidR="004E1F82" w:rsidRPr="001016D6" w:rsidRDefault="004E1F82" w:rsidP="004E1F82">
      <w:pPr>
        <w:pStyle w:val="NormalWeb"/>
        <w:spacing w:line="360" w:lineRule="auto"/>
      </w:pPr>
      <w:r w:rsidRPr="001016D6">
        <w:rPr>
          <w:rFonts w:hAnsi="Symbol"/>
        </w:rPr>
        <w:t xml:space="preserve">3. </w:t>
      </w:r>
      <w:r w:rsidRPr="001016D6">
        <w:rPr>
          <w:rStyle w:val="Strong"/>
          <w:b w:val="0"/>
        </w:rPr>
        <w:t>Consider alternative treatments or lower steroid doses</w:t>
      </w:r>
      <w:r w:rsidRPr="001016D6">
        <w:t xml:space="preserve"> for patients at higher risk of ocular hypertension; prophylactic IOP lowering medications may also be appropriate.</w:t>
      </w:r>
    </w:p>
    <w:p w14:paraId="0835CF72" w14:textId="77777777" w:rsidR="004E1F82" w:rsidRPr="001016D6" w:rsidRDefault="004E1F82" w:rsidP="004E1F82">
      <w:pPr>
        <w:pStyle w:val="NormalWeb"/>
        <w:spacing w:line="360" w:lineRule="auto"/>
      </w:pPr>
      <w:r w:rsidRPr="001016D6">
        <w:rPr>
          <w:rFonts w:hAnsi="Symbol"/>
        </w:rPr>
        <w:t xml:space="preserve">4. </w:t>
      </w:r>
      <w:r w:rsidRPr="001016D6">
        <w:rPr>
          <w:rStyle w:val="Strong"/>
          <w:b w:val="0"/>
        </w:rPr>
        <w:t>Enhance patient education and equip eye care units</w:t>
      </w:r>
      <w:r w:rsidRPr="001016D6">
        <w:t xml:space="preserve"> with reliable tonometry tools and ongoing staff training to ensure early detection and management of complications.</w:t>
      </w:r>
    </w:p>
    <w:p w14:paraId="13640A34" w14:textId="77777777" w:rsidR="004E1F82" w:rsidRPr="001016D6" w:rsidRDefault="004E1F82" w:rsidP="004E1F82">
      <w:pPr>
        <w:spacing w:line="360" w:lineRule="auto"/>
      </w:pPr>
    </w:p>
    <w:p w14:paraId="464E6C17" w14:textId="77777777" w:rsidR="006247F4" w:rsidRPr="001016D6" w:rsidRDefault="006247F4" w:rsidP="001A3D64">
      <w:pPr>
        <w:spacing w:line="360" w:lineRule="auto"/>
        <w:rPr>
          <w:rFonts w:ascii="Times New Roman" w:eastAsia="Times New Roman" w:hAnsi="Times New Roman" w:cs="Times New Roman"/>
          <w:color w:val="000000" w:themeColor="text1"/>
          <w:sz w:val="24"/>
          <w:szCs w:val="24"/>
          <w:lang w:eastAsia="en-GB"/>
        </w:rPr>
      </w:pPr>
      <w:bookmarkStart w:id="44" w:name="_Toc103910637"/>
      <w:bookmarkStart w:id="45" w:name="_Toc104993264"/>
      <w:bookmarkStart w:id="46" w:name="_Toc133575170"/>
      <w:bookmarkStart w:id="47" w:name="_Toc162525689"/>
      <w:bookmarkStart w:id="48" w:name="_GoBack"/>
      <w:bookmarkEnd w:id="48"/>
    </w:p>
    <w:p w14:paraId="49959203" w14:textId="77777777" w:rsidR="00125921" w:rsidRPr="001016D6" w:rsidRDefault="00094B97" w:rsidP="00094B97">
      <w:pPr>
        <w:pStyle w:val="Heading1"/>
        <w:jc w:val="left"/>
        <w:rPr>
          <w:color w:val="000000" w:themeColor="text1"/>
        </w:rPr>
      </w:pPr>
      <w:bookmarkStart w:id="49" w:name="_Toc201688058"/>
      <w:r w:rsidRPr="001016D6">
        <w:rPr>
          <w:color w:val="000000" w:themeColor="text1"/>
        </w:rPr>
        <w:t>References</w:t>
      </w:r>
      <w:bookmarkEnd w:id="49"/>
    </w:p>
    <w:p w14:paraId="0A0F46E6" w14:textId="77777777" w:rsidR="001A3D64" w:rsidRPr="001016D6" w:rsidRDefault="00125921" w:rsidP="001A3D6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1016D6">
        <w:rPr>
          <w:rFonts w:ascii="Times New Roman" w:hAnsi="Times New Roman" w:cs="Times New Roman"/>
          <w:color w:val="000000" w:themeColor="text1"/>
          <w:sz w:val="24"/>
          <w:szCs w:val="24"/>
        </w:rPr>
        <w:fldChar w:fldCharType="begin" w:fldLock="1"/>
      </w:r>
      <w:r w:rsidRPr="001016D6">
        <w:rPr>
          <w:rFonts w:ascii="Times New Roman" w:hAnsi="Times New Roman" w:cs="Times New Roman"/>
          <w:color w:val="000000" w:themeColor="text1"/>
          <w:sz w:val="24"/>
          <w:szCs w:val="24"/>
        </w:rPr>
        <w:instrText xml:space="preserve">ADDIN Mendeley Bibliography CSL_BIBLIOGRAPHY </w:instrText>
      </w:r>
      <w:r w:rsidRPr="001016D6">
        <w:rPr>
          <w:rFonts w:ascii="Times New Roman" w:hAnsi="Times New Roman" w:cs="Times New Roman"/>
          <w:color w:val="000000" w:themeColor="text1"/>
          <w:sz w:val="24"/>
          <w:szCs w:val="24"/>
        </w:rPr>
        <w:fldChar w:fldCharType="separate"/>
      </w:r>
      <w:r w:rsidR="001A3D64" w:rsidRPr="001016D6">
        <w:rPr>
          <w:rFonts w:ascii="Times New Roman" w:hAnsi="Times New Roman" w:cs="Times New Roman"/>
          <w:noProof/>
          <w:sz w:val="24"/>
          <w:szCs w:val="24"/>
        </w:rPr>
        <w:t>1.</w:t>
      </w:r>
      <w:r w:rsidR="001A3D64" w:rsidRPr="001016D6">
        <w:rPr>
          <w:rFonts w:ascii="Times New Roman" w:hAnsi="Times New Roman" w:cs="Times New Roman"/>
          <w:noProof/>
          <w:sz w:val="24"/>
          <w:szCs w:val="24"/>
        </w:rPr>
        <w:tab/>
        <w:t xml:space="preserve">Yuksel-Elgin C, Elgin C. Intraocular pressure elevation after intravitreal triamcinolone acetonide injection: A Meta-analysis. Int J Ophthalmol. 2016;9(1):139–44. </w:t>
      </w:r>
    </w:p>
    <w:p w14:paraId="071F95D0" w14:textId="77777777" w:rsidR="001A3D64" w:rsidRPr="001016D6" w:rsidRDefault="001A3D64" w:rsidP="001A3D6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1016D6">
        <w:rPr>
          <w:rFonts w:ascii="Times New Roman" w:hAnsi="Times New Roman" w:cs="Times New Roman"/>
          <w:noProof/>
          <w:sz w:val="24"/>
          <w:szCs w:val="24"/>
        </w:rPr>
        <w:t>2.</w:t>
      </w:r>
      <w:r w:rsidRPr="001016D6">
        <w:rPr>
          <w:rFonts w:ascii="Times New Roman" w:hAnsi="Times New Roman" w:cs="Times New Roman"/>
          <w:noProof/>
          <w:sz w:val="24"/>
          <w:szCs w:val="24"/>
        </w:rPr>
        <w:tab/>
        <w:t xml:space="preserve">KARAKAHYA RH, KALAYCI D, KARAKURT A. Ocular Hypertension and Glaucoma after Intravitreal Injection of Triamcinolone Acetonide. Middle Black Sea J Heal Sci. 2018;4(1):24–30. </w:t>
      </w:r>
    </w:p>
    <w:p w14:paraId="61C2FF23" w14:textId="77777777" w:rsidR="001A3D64" w:rsidRPr="001016D6" w:rsidRDefault="001A3D64" w:rsidP="001A3D6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1016D6">
        <w:rPr>
          <w:rFonts w:ascii="Times New Roman" w:hAnsi="Times New Roman" w:cs="Times New Roman"/>
          <w:noProof/>
          <w:sz w:val="24"/>
          <w:szCs w:val="24"/>
        </w:rPr>
        <w:t>3.</w:t>
      </w:r>
      <w:r w:rsidRPr="001016D6">
        <w:rPr>
          <w:rFonts w:ascii="Times New Roman" w:hAnsi="Times New Roman" w:cs="Times New Roman"/>
          <w:noProof/>
          <w:sz w:val="24"/>
          <w:szCs w:val="24"/>
        </w:rPr>
        <w:tab/>
        <w:t xml:space="preserve">Sarao V, Veritti D, Boscia F, Lanzetta P. Intravitreal Steroids for the Treatment of Retinal Diseases. 2014;2014. </w:t>
      </w:r>
    </w:p>
    <w:p w14:paraId="10C2D2DC" w14:textId="77777777" w:rsidR="001A3D64" w:rsidRPr="001016D6" w:rsidRDefault="001A3D64" w:rsidP="001A3D6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1016D6">
        <w:rPr>
          <w:rFonts w:ascii="Times New Roman" w:hAnsi="Times New Roman" w:cs="Times New Roman"/>
          <w:noProof/>
          <w:sz w:val="24"/>
          <w:szCs w:val="24"/>
        </w:rPr>
        <w:t>4.</w:t>
      </w:r>
      <w:r w:rsidRPr="001016D6">
        <w:rPr>
          <w:rFonts w:ascii="Times New Roman" w:hAnsi="Times New Roman" w:cs="Times New Roman"/>
          <w:noProof/>
          <w:sz w:val="24"/>
          <w:szCs w:val="24"/>
        </w:rPr>
        <w:tab/>
        <w:t xml:space="preserve">Aceves-Franco LA, Sanchez-Aguilar OE, Barragan-Arias AR, Ponce-Gallegos MA, Navarro-Partida J, Santos A. The Evolution of Triamcinolone Acetonide Therapeutic Use in Retinal Diseases: From Off-Label Intravitreal Injection to Advanced Nano-Drug Delivery Systems. Vol. 11, Biomedicines. Multidisciplinary Digital Publishing Institute (MDPI); 2023. </w:t>
      </w:r>
    </w:p>
    <w:p w14:paraId="1D20000A" w14:textId="77777777" w:rsidR="001A3D64" w:rsidRPr="001016D6" w:rsidRDefault="001A3D64" w:rsidP="001A3D6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1016D6">
        <w:rPr>
          <w:rFonts w:ascii="Times New Roman" w:hAnsi="Times New Roman" w:cs="Times New Roman"/>
          <w:noProof/>
          <w:sz w:val="24"/>
          <w:szCs w:val="24"/>
        </w:rPr>
        <w:t>5.</w:t>
      </w:r>
      <w:r w:rsidRPr="001016D6">
        <w:rPr>
          <w:rFonts w:ascii="Times New Roman" w:hAnsi="Times New Roman" w:cs="Times New Roman"/>
          <w:noProof/>
          <w:sz w:val="24"/>
          <w:szCs w:val="24"/>
        </w:rPr>
        <w:tab/>
        <w:t xml:space="preserve">Kiddee W, Trope GE, Sheng L, Beltran-Agullo L, Smith M, Strungaru MH, et al. Intraocular Pressure Monitoring Post Intravitreal Steroids: A Systematic Review. Surv Ophthalmol. 2013;58(4):291–310. </w:t>
      </w:r>
    </w:p>
    <w:p w14:paraId="6FAE495C" w14:textId="77777777" w:rsidR="001A3D64" w:rsidRPr="001016D6" w:rsidRDefault="001A3D64" w:rsidP="001A3D6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1016D6">
        <w:rPr>
          <w:rFonts w:ascii="Times New Roman" w:hAnsi="Times New Roman" w:cs="Times New Roman"/>
          <w:noProof/>
          <w:sz w:val="24"/>
          <w:szCs w:val="24"/>
        </w:rPr>
        <w:t>6.</w:t>
      </w:r>
      <w:r w:rsidRPr="001016D6">
        <w:rPr>
          <w:rFonts w:ascii="Times New Roman" w:hAnsi="Times New Roman" w:cs="Times New Roman"/>
          <w:noProof/>
          <w:sz w:val="24"/>
          <w:szCs w:val="24"/>
        </w:rPr>
        <w:tab/>
        <w:t xml:space="preserve">Article O, Rathi R, Patel S, Jain A, Jaiswal K, Nema N. Intraocular Pressure Elevation Following Intra- Vitreal Injection of Bevacizumab , Ranibizumab and Triamcinolone Acetonide. 2023;39(3):190–5. </w:t>
      </w:r>
    </w:p>
    <w:p w14:paraId="0C414470" w14:textId="77777777" w:rsidR="001A3D64" w:rsidRPr="001016D6" w:rsidRDefault="001A3D64" w:rsidP="001A3D6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1016D6">
        <w:rPr>
          <w:rFonts w:ascii="Times New Roman" w:hAnsi="Times New Roman" w:cs="Times New Roman"/>
          <w:noProof/>
          <w:sz w:val="24"/>
          <w:szCs w:val="24"/>
        </w:rPr>
        <w:t>7.</w:t>
      </w:r>
      <w:r w:rsidRPr="001016D6">
        <w:rPr>
          <w:rFonts w:ascii="Times New Roman" w:hAnsi="Times New Roman" w:cs="Times New Roman"/>
          <w:noProof/>
          <w:sz w:val="24"/>
          <w:szCs w:val="24"/>
        </w:rPr>
        <w:tab/>
        <w:t>Vries VA De, Bassil FL, Ramdas WD. The effects of intravitreal injections on intraocular pressure and retinal nerve fiber layer : a systematic review and meta ‑ analysis. Sci Rep [Internet]. 2020;1–10. Available from: https://doi.org/10.1038/s41598-020-70269-7</w:t>
      </w:r>
    </w:p>
    <w:p w14:paraId="3EEB3376" w14:textId="77777777" w:rsidR="001A3D64" w:rsidRPr="001016D6" w:rsidRDefault="001A3D64" w:rsidP="001A3D6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1016D6">
        <w:rPr>
          <w:rFonts w:ascii="Times New Roman" w:hAnsi="Times New Roman" w:cs="Times New Roman"/>
          <w:noProof/>
          <w:sz w:val="24"/>
          <w:szCs w:val="24"/>
        </w:rPr>
        <w:lastRenderedPageBreak/>
        <w:t>8.</w:t>
      </w:r>
      <w:r w:rsidRPr="001016D6">
        <w:rPr>
          <w:rFonts w:ascii="Times New Roman" w:hAnsi="Times New Roman" w:cs="Times New Roman"/>
          <w:noProof/>
          <w:sz w:val="24"/>
          <w:szCs w:val="24"/>
        </w:rPr>
        <w:tab/>
        <w:t>Murad A, Maguire J, Bergfeld W. Drug‐induced alopecia areata? Clin Exp Dermatol [Internet]. 2021 Mar 1;46(2):363–6. Available from: https://doi.org/10.1111/ced.14381</w:t>
      </w:r>
    </w:p>
    <w:p w14:paraId="6022073D" w14:textId="77777777" w:rsidR="001A3D64" w:rsidRPr="001016D6" w:rsidRDefault="001A3D64" w:rsidP="001A3D6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1016D6">
        <w:rPr>
          <w:rFonts w:ascii="Times New Roman" w:hAnsi="Times New Roman" w:cs="Times New Roman"/>
          <w:noProof/>
          <w:sz w:val="24"/>
          <w:szCs w:val="24"/>
        </w:rPr>
        <w:t>9.</w:t>
      </w:r>
      <w:r w:rsidRPr="001016D6">
        <w:rPr>
          <w:rFonts w:ascii="Times New Roman" w:hAnsi="Times New Roman" w:cs="Times New Roman"/>
          <w:noProof/>
          <w:sz w:val="24"/>
          <w:szCs w:val="24"/>
        </w:rPr>
        <w:tab/>
        <w:t>Silpa S, Peranut N. Revisiting the Role of Intravitreal Triamcinolone in Diabetic Macular Edema : 12 ‑ Month Outcomes after Bevacizumab Failure. Ophthalmol Ther [Internet]. 2025;(0123456789). Available from: https://doi.org/10.1007/s40123-025-01172-5</w:t>
      </w:r>
    </w:p>
    <w:p w14:paraId="147C930B" w14:textId="77777777" w:rsidR="001A3D64" w:rsidRPr="001016D6" w:rsidRDefault="001A3D64" w:rsidP="001A3D6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1016D6">
        <w:rPr>
          <w:rFonts w:ascii="Times New Roman" w:hAnsi="Times New Roman" w:cs="Times New Roman"/>
          <w:noProof/>
          <w:sz w:val="24"/>
          <w:szCs w:val="24"/>
        </w:rPr>
        <w:t>10.</w:t>
      </w:r>
      <w:r w:rsidRPr="001016D6">
        <w:rPr>
          <w:rFonts w:ascii="Times New Roman" w:hAnsi="Times New Roman" w:cs="Times New Roman"/>
          <w:noProof/>
          <w:sz w:val="24"/>
          <w:szCs w:val="24"/>
        </w:rPr>
        <w:tab/>
        <w:t>Chuang LH, Yeung L, Wang NK, Chen HSL, Ku WC, Lai CC. Secondary Ocular Hypertension After Intravitreal Injection with 2 mg or 4 mg of Triamcinolone in Retinal Vein Occlusion. J Ocul Pharmacol Ther [Internet]. 2010 Jul 24;26(4):325–8. Available from: https://doi.org/10.1089/jop.2010.0039</w:t>
      </w:r>
    </w:p>
    <w:p w14:paraId="0A21C559" w14:textId="77777777" w:rsidR="001A3D64" w:rsidRPr="001016D6" w:rsidRDefault="001A3D64" w:rsidP="001A3D6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1016D6">
        <w:rPr>
          <w:rFonts w:ascii="Times New Roman" w:hAnsi="Times New Roman" w:cs="Times New Roman"/>
          <w:noProof/>
          <w:sz w:val="24"/>
          <w:szCs w:val="24"/>
        </w:rPr>
        <w:t>11.</w:t>
      </w:r>
      <w:r w:rsidRPr="001016D6">
        <w:rPr>
          <w:rFonts w:ascii="Times New Roman" w:hAnsi="Times New Roman" w:cs="Times New Roman"/>
          <w:noProof/>
          <w:sz w:val="24"/>
          <w:szCs w:val="24"/>
        </w:rPr>
        <w:tab/>
        <w:t xml:space="preserve">Mihalache A, Hatamnejad A, Patil NS, Popovic MM, Kertes PJ, Cruz-Pimentel M, et al. Intravitreal Triamcinolone Acetonide for Diabetic Macular Edema and Macular Edema Secondary to Retinal Vein Occlusion: A Meta-Analysis. Ophthalmologica. 2024;247(1):19–29. </w:t>
      </w:r>
    </w:p>
    <w:p w14:paraId="4C9C8B39" w14:textId="77777777" w:rsidR="001A3D64" w:rsidRPr="001016D6" w:rsidRDefault="001A3D64" w:rsidP="001A3D6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1016D6">
        <w:rPr>
          <w:rFonts w:ascii="Times New Roman" w:hAnsi="Times New Roman" w:cs="Times New Roman"/>
          <w:noProof/>
          <w:sz w:val="24"/>
          <w:szCs w:val="24"/>
        </w:rPr>
        <w:t>12.</w:t>
      </w:r>
      <w:r w:rsidRPr="001016D6">
        <w:rPr>
          <w:rFonts w:ascii="Times New Roman" w:hAnsi="Times New Roman" w:cs="Times New Roman"/>
          <w:noProof/>
          <w:sz w:val="24"/>
          <w:szCs w:val="24"/>
        </w:rPr>
        <w:tab/>
        <w:t>Yang F, Hu R. Efficacy and safety of intravitreal conbercept and triamcinolone acetonide for wet age-related macular degeneration in China: a meta-analysis. Int Ophthalmol [Internet]. 2024;44(1):424. Available from: https://doi.org/10.1007/s10792-024-03346-9</w:t>
      </w:r>
    </w:p>
    <w:p w14:paraId="2C95E3C6" w14:textId="77777777" w:rsidR="001A3D64" w:rsidRPr="001016D6" w:rsidRDefault="001A3D64" w:rsidP="001A3D6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1016D6">
        <w:rPr>
          <w:rFonts w:ascii="Times New Roman" w:hAnsi="Times New Roman" w:cs="Times New Roman"/>
          <w:noProof/>
          <w:sz w:val="24"/>
          <w:szCs w:val="24"/>
        </w:rPr>
        <w:t>13.</w:t>
      </w:r>
      <w:r w:rsidRPr="001016D6">
        <w:rPr>
          <w:rFonts w:ascii="Times New Roman" w:hAnsi="Times New Roman" w:cs="Times New Roman"/>
          <w:noProof/>
          <w:sz w:val="24"/>
          <w:szCs w:val="24"/>
        </w:rPr>
        <w:tab/>
        <w:t>Storey PP, Obeid A, Pancholy M, Goodman J, Borkar D, Su D, et al. OCULAR HYPERTENSION AFTER INTRAVITREAL INJECTION OF 2-MG TRIAMCINOLONE. RETINA [Internet]. 2020;40(1). Available from: https://journals.lww.com/retinajournal/fulltext/2020/01000/ocular_hypertension_after_intravitreal_injection.9.aspx</w:t>
      </w:r>
    </w:p>
    <w:p w14:paraId="0D4FE326" w14:textId="77777777" w:rsidR="001A3D64" w:rsidRPr="001016D6" w:rsidRDefault="001A3D64" w:rsidP="001A3D6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1016D6">
        <w:rPr>
          <w:rFonts w:ascii="Times New Roman" w:hAnsi="Times New Roman" w:cs="Times New Roman"/>
          <w:noProof/>
          <w:sz w:val="24"/>
          <w:szCs w:val="24"/>
        </w:rPr>
        <w:t>14.</w:t>
      </w:r>
      <w:r w:rsidRPr="001016D6">
        <w:rPr>
          <w:rFonts w:ascii="Times New Roman" w:hAnsi="Times New Roman" w:cs="Times New Roman"/>
          <w:noProof/>
          <w:sz w:val="24"/>
          <w:szCs w:val="24"/>
        </w:rPr>
        <w:tab/>
        <w:t xml:space="preserve">Aref AA, Scott IU, Oden NL, Ip MS, Blodi BA, Van Veldhuisen PC. Incidence, risk factors, and timing of elevated intraocular pressure after intravitreal triamcinolone acetonide injection for macular edema secondary to retinal vein occlusion SCORE study report 15. JAMA Ophthalmol. 2015;133(9):1022–9. </w:t>
      </w:r>
    </w:p>
    <w:p w14:paraId="4CC9CF78" w14:textId="77777777" w:rsidR="001A3D64" w:rsidRPr="001016D6" w:rsidRDefault="001A3D64" w:rsidP="001A3D6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1016D6">
        <w:rPr>
          <w:rFonts w:ascii="Times New Roman" w:hAnsi="Times New Roman" w:cs="Times New Roman"/>
          <w:noProof/>
          <w:sz w:val="24"/>
          <w:szCs w:val="24"/>
        </w:rPr>
        <w:t>15.</w:t>
      </w:r>
      <w:r w:rsidRPr="001016D6">
        <w:rPr>
          <w:rFonts w:ascii="Times New Roman" w:hAnsi="Times New Roman" w:cs="Times New Roman"/>
          <w:noProof/>
          <w:sz w:val="24"/>
          <w:szCs w:val="24"/>
        </w:rPr>
        <w:tab/>
        <w:t xml:space="preserve">Liu K, Yi J, Xu J, Zhong L, Su N. Efficacy of different routes of triamcinolone acetonide administration on macular edema : A systematic review and network meta- analysis. 2025;1–20. </w:t>
      </w:r>
    </w:p>
    <w:p w14:paraId="7528FDF1" w14:textId="77777777" w:rsidR="001A3D64" w:rsidRPr="001016D6" w:rsidRDefault="001A3D64" w:rsidP="001A3D6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1016D6">
        <w:rPr>
          <w:rFonts w:ascii="Times New Roman" w:hAnsi="Times New Roman" w:cs="Times New Roman"/>
          <w:noProof/>
          <w:sz w:val="24"/>
          <w:szCs w:val="24"/>
        </w:rPr>
        <w:t>16.</w:t>
      </w:r>
      <w:r w:rsidRPr="001016D6">
        <w:rPr>
          <w:rFonts w:ascii="Times New Roman" w:hAnsi="Times New Roman" w:cs="Times New Roman"/>
          <w:noProof/>
          <w:sz w:val="24"/>
          <w:szCs w:val="24"/>
        </w:rPr>
        <w:tab/>
        <w:t xml:space="preserve">Sarao V, Veritti D, Lanzetta P. Triamcinolone acetonide for the treatment of diabetic macular oedema. Eur Endocrinol. 2012;8(1):42–7. </w:t>
      </w:r>
    </w:p>
    <w:p w14:paraId="40A2EE1A" w14:textId="77777777" w:rsidR="001A3D64" w:rsidRPr="001016D6" w:rsidRDefault="001A3D64" w:rsidP="001A3D6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1016D6">
        <w:rPr>
          <w:rFonts w:ascii="Times New Roman" w:hAnsi="Times New Roman" w:cs="Times New Roman"/>
          <w:noProof/>
          <w:sz w:val="24"/>
          <w:szCs w:val="24"/>
        </w:rPr>
        <w:t>17.</w:t>
      </w:r>
      <w:r w:rsidRPr="001016D6">
        <w:rPr>
          <w:rFonts w:ascii="Times New Roman" w:hAnsi="Times New Roman" w:cs="Times New Roman"/>
          <w:noProof/>
          <w:sz w:val="24"/>
          <w:szCs w:val="24"/>
        </w:rPr>
        <w:tab/>
        <w:t xml:space="preserve">Johari MK, Askari M, Amini A, Yasemi M. Acute Systemic Complications of Intravitreal Bevacizumab and Triamcinolone Injections – a Comparative Study. </w:t>
      </w:r>
      <w:r w:rsidRPr="001016D6">
        <w:rPr>
          <w:rFonts w:ascii="Times New Roman" w:hAnsi="Times New Roman" w:cs="Times New Roman"/>
          <w:noProof/>
          <w:sz w:val="24"/>
          <w:szCs w:val="24"/>
        </w:rPr>
        <w:lastRenderedPageBreak/>
        <w:t xml:space="preserve">2022;64(2):240–7. </w:t>
      </w:r>
    </w:p>
    <w:p w14:paraId="4595367C" w14:textId="77777777" w:rsidR="001A3D64" w:rsidRPr="001016D6" w:rsidRDefault="001A3D64" w:rsidP="001A3D6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1016D6">
        <w:rPr>
          <w:rFonts w:ascii="Times New Roman" w:hAnsi="Times New Roman" w:cs="Times New Roman"/>
          <w:noProof/>
          <w:sz w:val="24"/>
          <w:szCs w:val="24"/>
        </w:rPr>
        <w:t>18.</w:t>
      </w:r>
      <w:r w:rsidRPr="001016D6">
        <w:rPr>
          <w:rFonts w:ascii="Times New Roman" w:hAnsi="Times New Roman" w:cs="Times New Roman"/>
          <w:noProof/>
          <w:sz w:val="24"/>
          <w:szCs w:val="24"/>
        </w:rPr>
        <w:tab/>
        <w:t>Lemos-reis R, Moreira-gonçalves N, Melo AB, Ângela M, Falcão-reis FM. Immediate effect of intravitreal injection of bevacizumab on intraocular pressure Immediate effect of intravitreal injection of bevacizumab on intraocular pressure. 2022; Available from: https://doi.org/10.2147/OPTH.S64721</w:t>
      </w:r>
    </w:p>
    <w:p w14:paraId="08580120" w14:textId="77777777" w:rsidR="001A3D64" w:rsidRPr="001016D6" w:rsidRDefault="001A3D64" w:rsidP="001A3D6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1016D6">
        <w:rPr>
          <w:rFonts w:ascii="Times New Roman" w:hAnsi="Times New Roman" w:cs="Times New Roman"/>
          <w:noProof/>
          <w:sz w:val="24"/>
          <w:szCs w:val="24"/>
        </w:rPr>
        <w:t>19.</w:t>
      </w:r>
      <w:r w:rsidRPr="001016D6">
        <w:rPr>
          <w:rFonts w:ascii="Times New Roman" w:hAnsi="Times New Roman" w:cs="Times New Roman"/>
          <w:noProof/>
          <w:sz w:val="24"/>
          <w:szCs w:val="24"/>
        </w:rPr>
        <w:tab/>
        <w:t xml:space="preserve">Liu K, Yi J, Xu J, Zhong L, Su N. Efficacy of different routes of triamcinolone acetonide administration on macular edema: A systematic review and network meta-analysis. PLoS One. 2025;20(1 January). </w:t>
      </w:r>
    </w:p>
    <w:p w14:paraId="332FE671" w14:textId="77777777" w:rsidR="001A3D64" w:rsidRPr="001016D6" w:rsidRDefault="001A3D64" w:rsidP="001A3D6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1016D6">
        <w:rPr>
          <w:rFonts w:ascii="Times New Roman" w:hAnsi="Times New Roman" w:cs="Times New Roman"/>
          <w:noProof/>
          <w:sz w:val="24"/>
          <w:szCs w:val="24"/>
        </w:rPr>
        <w:t>20.</w:t>
      </w:r>
      <w:r w:rsidRPr="001016D6">
        <w:rPr>
          <w:rFonts w:ascii="Times New Roman" w:hAnsi="Times New Roman" w:cs="Times New Roman"/>
          <w:noProof/>
          <w:sz w:val="24"/>
          <w:szCs w:val="24"/>
        </w:rPr>
        <w:tab/>
        <w:t xml:space="preserve">Rahman S, Tayyab H, Siddiqui MAR. Suprachoroidal Triamcinolone Acetonide Injection to Treat Macular Edema: A  Review. J Vitreoretin Dis. 2024 Oct;24741264241275270. </w:t>
      </w:r>
    </w:p>
    <w:p w14:paraId="4FA85145" w14:textId="77777777" w:rsidR="001A3D64" w:rsidRPr="001016D6" w:rsidRDefault="001A3D64" w:rsidP="001A3D6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1016D6">
        <w:rPr>
          <w:rFonts w:ascii="Times New Roman" w:hAnsi="Times New Roman" w:cs="Times New Roman"/>
          <w:noProof/>
          <w:sz w:val="24"/>
          <w:szCs w:val="24"/>
        </w:rPr>
        <w:t>21.</w:t>
      </w:r>
      <w:r w:rsidRPr="001016D6">
        <w:rPr>
          <w:rFonts w:ascii="Times New Roman" w:hAnsi="Times New Roman" w:cs="Times New Roman"/>
          <w:noProof/>
          <w:sz w:val="24"/>
          <w:szCs w:val="24"/>
        </w:rPr>
        <w:tab/>
        <w:t xml:space="preserve">Chuang LH, Yeung L, Wang NK, Chen HSL, Ku WC, Lai CC. Secondary ocular hypertension after intravitreal injection with 2 mg or 4 mg of triamcinolone in retinal vein occlusion. J Ocul Pharmacol Ther. 2010;26(4):325–8. </w:t>
      </w:r>
    </w:p>
    <w:p w14:paraId="0742A434" w14:textId="77777777" w:rsidR="001A3D64" w:rsidRPr="001016D6" w:rsidRDefault="001A3D64" w:rsidP="001A3D6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1016D6">
        <w:rPr>
          <w:rFonts w:ascii="Times New Roman" w:hAnsi="Times New Roman" w:cs="Times New Roman"/>
          <w:noProof/>
          <w:sz w:val="24"/>
          <w:szCs w:val="24"/>
        </w:rPr>
        <w:t>22.</w:t>
      </w:r>
      <w:r w:rsidRPr="001016D6">
        <w:rPr>
          <w:rFonts w:ascii="Times New Roman" w:hAnsi="Times New Roman" w:cs="Times New Roman"/>
          <w:noProof/>
          <w:sz w:val="24"/>
          <w:szCs w:val="24"/>
        </w:rPr>
        <w:tab/>
        <w:t xml:space="preserve">Nauman A, Iqbal K, Seyal M. Effect of Suprachoroidal Triamcinolone Acetonide on Intraocular Pressure in  Macular Edema: A Retrospective Study. Cureus. 2025 Jan;17(1):e77282. </w:t>
      </w:r>
    </w:p>
    <w:p w14:paraId="22A21418" w14:textId="77777777" w:rsidR="001A3D64" w:rsidRPr="001016D6" w:rsidRDefault="001A3D64" w:rsidP="001A3D6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1016D6">
        <w:rPr>
          <w:rFonts w:ascii="Times New Roman" w:hAnsi="Times New Roman" w:cs="Times New Roman"/>
          <w:noProof/>
          <w:sz w:val="24"/>
          <w:szCs w:val="24"/>
        </w:rPr>
        <w:t>23.</w:t>
      </w:r>
      <w:r w:rsidRPr="001016D6">
        <w:rPr>
          <w:rFonts w:ascii="Times New Roman" w:hAnsi="Times New Roman" w:cs="Times New Roman"/>
          <w:noProof/>
          <w:sz w:val="24"/>
          <w:szCs w:val="24"/>
        </w:rPr>
        <w:tab/>
        <w:t xml:space="preserve">Mingaine M. Intraocular Pressure Changes in Eyes Receiving Intravitreal Triamcinolone Acetonide in Kikuyu Eye Unit. 2013;(May). </w:t>
      </w:r>
    </w:p>
    <w:p w14:paraId="3EE98ED9" w14:textId="77777777" w:rsidR="001A3D64" w:rsidRPr="001016D6" w:rsidRDefault="001A3D64" w:rsidP="001A3D64">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1016D6">
        <w:rPr>
          <w:rFonts w:ascii="Times New Roman" w:hAnsi="Times New Roman" w:cs="Times New Roman"/>
          <w:noProof/>
          <w:sz w:val="24"/>
          <w:szCs w:val="24"/>
        </w:rPr>
        <w:t>24.</w:t>
      </w:r>
      <w:r w:rsidRPr="001016D6">
        <w:rPr>
          <w:rFonts w:ascii="Times New Roman" w:hAnsi="Times New Roman" w:cs="Times New Roman"/>
          <w:noProof/>
          <w:sz w:val="24"/>
          <w:szCs w:val="24"/>
        </w:rPr>
        <w:tab/>
        <w:t xml:space="preserve">Sonmez K, Ozturk F. Complications of intravitreal triamcinolone acetonide for macular edema and predictive factors for intraocular pressure elevation. Int J Ophthalmol. 2012;5(6):719–25. </w:t>
      </w:r>
    </w:p>
    <w:p w14:paraId="2119E22A" w14:textId="77777777" w:rsidR="001A3D64" w:rsidRPr="001016D6" w:rsidRDefault="001A3D64" w:rsidP="001A3D64">
      <w:pPr>
        <w:widowControl w:val="0"/>
        <w:autoSpaceDE w:val="0"/>
        <w:autoSpaceDN w:val="0"/>
        <w:adjustRightInd w:val="0"/>
        <w:spacing w:after="0" w:line="360" w:lineRule="auto"/>
        <w:ind w:left="640" w:hanging="640"/>
        <w:rPr>
          <w:rFonts w:ascii="Times New Roman" w:hAnsi="Times New Roman" w:cs="Times New Roman"/>
          <w:noProof/>
          <w:sz w:val="24"/>
        </w:rPr>
      </w:pPr>
      <w:r w:rsidRPr="001016D6">
        <w:rPr>
          <w:rFonts w:ascii="Times New Roman" w:hAnsi="Times New Roman" w:cs="Times New Roman"/>
          <w:noProof/>
          <w:sz w:val="24"/>
          <w:szCs w:val="24"/>
        </w:rPr>
        <w:t>25.</w:t>
      </w:r>
      <w:r w:rsidRPr="001016D6">
        <w:rPr>
          <w:rFonts w:ascii="Times New Roman" w:hAnsi="Times New Roman" w:cs="Times New Roman"/>
          <w:noProof/>
          <w:sz w:val="24"/>
          <w:szCs w:val="24"/>
        </w:rPr>
        <w:tab/>
        <w:t xml:space="preserve">Balasopoulou A, Κokkinos P, Pagoulatos D, Plotas P, Makri OE, Georgakopoulos CD, et al. Symposium Recent advances and challenges in the management of retinoblastoma Globe ‑ saving Treatments. BMC Ophthalmol. 2017;17(1):1. </w:t>
      </w:r>
    </w:p>
    <w:p w14:paraId="79063C19" w14:textId="77777777" w:rsidR="00125921" w:rsidRPr="001A3D64" w:rsidRDefault="00125921" w:rsidP="001A3D64">
      <w:pPr>
        <w:spacing w:line="360" w:lineRule="auto"/>
        <w:rPr>
          <w:rFonts w:ascii="Times New Roman" w:hAnsi="Times New Roman" w:cs="Times New Roman"/>
          <w:color w:val="000000" w:themeColor="text1"/>
          <w:sz w:val="24"/>
          <w:szCs w:val="24"/>
        </w:rPr>
      </w:pPr>
      <w:r w:rsidRPr="001016D6">
        <w:rPr>
          <w:rFonts w:ascii="Times New Roman" w:hAnsi="Times New Roman" w:cs="Times New Roman"/>
          <w:color w:val="000000" w:themeColor="text1"/>
          <w:sz w:val="24"/>
          <w:szCs w:val="24"/>
        </w:rPr>
        <w:fldChar w:fldCharType="end"/>
      </w:r>
      <w:r w:rsidRPr="001A3D64">
        <w:rPr>
          <w:rFonts w:ascii="Times New Roman" w:hAnsi="Times New Roman" w:cs="Times New Roman"/>
          <w:color w:val="000000" w:themeColor="text1"/>
          <w:sz w:val="24"/>
          <w:szCs w:val="24"/>
        </w:rPr>
        <w:br w:type="page"/>
      </w:r>
    </w:p>
    <w:p w14:paraId="7F3C78EC" w14:textId="77777777" w:rsidR="00125921" w:rsidRPr="00EF6979" w:rsidRDefault="00125921" w:rsidP="00EF6979">
      <w:pPr>
        <w:spacing w:line="360" w:lineRule="auto"/>
        <w:rPr>
          <w:rFonts w:ascii="Times New Roman" w:eastAsia="Times New Roman" w:hAnsi="Times New Roman" w:cs="Times New Roman"/>
          <w:sz w:val="24"/>
          <w:szCs w:val="24"/>
          <w:lang w:eastAsia="en-GB"/>
        </w:rPr>
      </w:pPr>
    </w:p>
    <w:p w14:paraId="4DF80107" w14:textId="77777777" w:rsidR="00EF6979" w:rsidRPr="00E429DA" w:rsidRDefault="00EF6979" w:rsidP="00EF6979">
      <w:pPr>
        <w:spacing w:after="0" w:line="240" w:lineRule="auto"/>
        <w:rPr>
          <w:rFonts w:ascii="Times New Roman" w:eastAsia="Times New Roman" w:hAnsi="Times New Roman" w:cs="Times New Roman"/>
          <w:sz w:val="24"/>
          <w:szCs w:val="24"/>
          <w:lang w:eastAsia="en-GB"/>
        </w:rPr>
      </w:pPr>
      <w:r w:rsidRPr="00CE6332">
        <w:br w:type="page"/>
      </w:r>
    </w:p>
    <w:bookmarkEnd w:id="44"/>
    <w:bookmarkEnd w:id="45"/>
    <w:bookmarkEnd w:id="46"/>
    <w:bookmarkEnd w:id="47"/>
    <w:p w14:paraId="3E4C36CB" w14:textId="77777777" w:rsidR="00EF6979" w:rsidRPr="00EF6979" w:rsidRDefault="00EF6979" w:rsidP="00EF6979">
      <w:pPr>
        <w:spacing w:after="200" w:line="360" w:lineRule="auto"/>
        <w:rPr>
          <w:rFonts w:ascii="Times New Roman" w:eastAsia="SimSun" w:hAnsi="Times New Roman" w:cs="Times New Roman"/>
          <w:sz w:val="24"/>
          <w:szCs w:val="24"/>
        </w:rPr>
      </w:pPr>
    </w:p>
    <w:p w14:paraId="0CDEEE01" w14:textId="77777777" w:rsidR="00EF6979" w:rsidRPr="00EF6979" w:rsidRDefault="00EF6979" w:rsidP="00EF6979">
      <w:pPr>
        <w:spacing w:before="240" w:after="0" w:line="360" w:lineRule="auto"/>
        <w:rPr>
          <w:rFonts w:ascii="Times New Roman" w:eastAsia="SimSun" w:hAnsi="Times New Roman" w:cs="Times New Roman"/>
          <w:b/>
          <w:bCs/>
          <w:sz w:val="24"/>
          <w:szCs w:val="24"/>
        </w:rPr>
      </w:pPr>
    </w:p>
    <w:p w14:paraId="5F5D5130" w14:textId="77777777" w:rsidR="00EF6979" w:rsidRPr="00EF6979" w:rsidRDefault="00EF6979" w:rsidP="00EF6979">
      <w:pPr>
        <w:spacing w:after="200" w:line="360" w:lineRule="auto"/>
        <w:rPr>
          <w:rFonts w:ascii="Times New Roman" w:eastAsia="SimSun" w:hAnsi="Times New Roman" w:cs="Times New Roman"/>
          <w:sz w:val="24"/>
          <w:szCs w:val="24"/>
        </w:rPr>
      </w:pPr>
    </w:p>
    <w:p w14:paraId="1A007A74" w14:textId="77777777" w:rsidR="00EF6979" w:rsidRPr="00EF6979" w:rsidRDefault="00EF6979" w:rsidP="00EF6979">
      <w:pPr>
        <w:autoSpaceDE w:val="0"/>
        <w:autoSpaceDN w:val="0"/>
        <w:adjustRightInd w:val="0"/>
        <w:spacing w:after="0" w:line="360" w:lineRule="auto"/>
        <w:rPr>
          <w:rFonts w:ascii="Times New Roman" w:eastAsia="Calibri" w:hAnsi="Times New Roman" w:cs="Times New Roman"/>
          <w:sz w:val="24"/>
          <w:szCs w:val="24"/>
        </w:rPr>
      </w:pPr>
    </w:p>
    <w:p w14:paraId="1F6669B7" w14:textId="77777777" w:rsidR="00EF6979" w:rsidRPr="00EF6979" w:rsidRDefault="00EF6979" w:rsidP="00EF6979">
      <w:pPr>
        <w:pStyle w:val="Heading1"/>
        <w:jc w:val="left"/>
      </w:pPr>
    </w:p>
    <w:p w14:paraId="36F26673" w14:textId="77777777" w:rsidR="00EF6979" w:rsidRPr="00EF6979" w:rsidRDefault="00EF6979" w:rsidP="00EF6979">
      <w:pPr>
        <w:pStyle w:val="NormalWeb"/>
        <w:spacing w:line="360" w:lineRule="auto"/>
      </w:pPr>
    </w:p>
    <w:sectPr w:rsidR="00EF6979" w:rsidRPr="00EF69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E6FB6" w14:textId="77777777" w:rsidR="00A1795E" w:rsidRDefault="00A1795E">
      <w:pPr>
        <w:spacing w:after="0" w:line="240" w:lineRule="auto"/>
      </w:pPr>
      <w:r>
        <w:separator/>
      </w:r>
    </w:p>
  </w:endnote>
  <w:endnote w:type="continuationSeparator" w:id="0">
    <w:p w14:paraId="197E7A53" w14:textId="77777777" w:rsidR="00A1795E" w:rsidRDefault="00A17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D018C" w14:textId="77777777" w:rsidR="00C019E5" w:rsidRDefault="00C01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C2D74" w14:textId="77777777" w:rsidR="00C5798E" w:rsidRDefault="00C5798E" w:rsidP="00BE574D">
    <w:pPr>
      <w:pStyle w:val="Footer"/>
      <w:tabs>
        <w:tab w:val="clear" w:pos="4680"/>
        <w:tab w:val="clear" w:pos="9360"/>
        <w:tab w:val="left" w:pos="118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9B28C" w14:textId="77777777" w:rsidR="00C019E5" w:rsidRDefault="00C01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0608F" w14:textId="77777777" w:rsidR="00A1795E" w:rsidRDefault="00A1795E">
      <w:pPr>
        <w:spacing w:after="0" w:line="240" w:lineRule="auto"/>
      </w:pPr>
      <w:r>
        <w:separator/>
      </w:r>
    </w:p>
  </w:footnote>
  <w:footnote w:type="continuationSeparator" w:id="0">
    <w:p w14:paraId="141C03DE" w14:textId="77777777" w:rsidR="00A1795E" w:rsidRDefault="00A17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6B227" w14:textId="41D96AC3" w:rsidR="00C019E5" w:rsidRDefault="00C019E5">
    <w:pPr>
      <w:pStyle w:val="Header"/>
    </w:pPr>
    <w:r>
      <w:rPr>
        <w:noProof/>
      </w:rPr>
      <w:pict w14:anchorId="7DF1D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4485F" w14:textId="41C55783" w:rsidR="00C5798E" w:rsidRDefault="00C019E5" w:rsidP="00BE574D">
    <w:pPr>
      <w:pStyle w:val="Header"/>
      <w:jc w:val="center"/>
    </w:pPr>
    <w:r>
      <w:rPr>
        <w:noProof/>
      </w:rPr>
      <w:pict w14:anchorId="3F1C7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B8357" w14:textId="28451D1E" w:rsidR="00C019E5" w:rsidRDefault="00C019E5">
    <w:pPr>
      <w:pStyle w:val="Header"/>
    </w:pPr>
    <w:r>
      <w:rPr>
        <w:noProof/>
      </w:rPr>
      <w:pict w14:anchorId="04075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85E"/>
    <w:rsid w:val="0003285E"/>
    <w:rsid w:val="00094B97"/>
    <w:rsid w:val="001016D6"/>
    <w:rsid w:val="00125921"/>
    <w:rsid w:val="001A3D64"/>
    <w:rsid w:val="00374708"/>
    <w:rsid w:val="003F2A84"/>
    <w:rsid w:val="004C3B42"/>
    <w:rsid w:val="004E1F82"/>
    <w:rsid w:val="004E4AB0"/>
    <w:rsid w:val="004F3B45"/>
    <w:rsid w:val="00542868"/>
    <w:rsid w:val="00620CF1"/>
    <w:rsid w:val="006247F4"/>
    <w:rsid w:val="006B0414"/>
    <w:rsid w:val="006E5FF6"/>
    <w:rsid w:val="007B6744"/>
    <w:rsid w:val="008023D5"/>
    <w:rsid w:val="008277F0"/>
    <w:rsid w:val="0086087C"/>
    <w:rsid w:val="008D4100"/>
    <w:rsid w:val="008E0915"/>
    <w:rsid w:val="0094535A"/>
    <w:rsid w:val="009B0905"/>
    <w:rsid w:val="009D1561"/>
    <w:rsid w:val="00A1795E"/>
    <w:rsid w:val="00AE2366"/>
    <w:rsid w:val="00B11717"/>
    <w:rsid w:val="00BC4466"/>
    <w:rsid w:val="00BE574D"/>
    <w:rsid w:val="00BF1629"/>
    <w:rsid w:val="00BF348C"/>
    <w:rsid w:val="00C019E5"/>
    <w:rsid w:val="00C5798E"/>
    <w:rsid w:val="00C62744"/>
    <w:rsid w:val="00CE47F9"/>
    <w:rsid w:val="00D602C3"/>
    <w:rsid w:val="00E734B1"/>
    <w:rsid w:val="00EF6979"/>
    <w:rsid w:val="00F46173"/>
    <w:rsid w:val="00FA3161"/>
    <w:rsid w:val="00FD463F"/>
    <w:rsid w:val="00FF6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AADEF2"/>
  <w15:chartTrackingRefBased/>
  <w15:docId w15:val="{32776DCE-1DCC-4801-BFAE-628AC916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85E"/>
    <w:pPr>
      <w:spacing w:after="0" w:line="360" w:lineRule="auto"/>
      <w:jc w:val="center"/>
      <w:outlineLvl w:val="0"/>
    </w:pPr>
    <w:rPr>
      <w:rFonts w:ascii="Times New Roman" w:hAnsi="Times New Roman" w:cs="Times New Roman"/>
      <w:b/>
      <w:sz w:val="24"/>
      <w:szCs w:val="24"/>
      <w:lang w:val="en-US"/>
    </w:rPr>
  </w:style>
  <w:style w:type="paragraph" w:styleId="Heading2">
    <w:name w:val="heading 2"/>
    <w:basedOn w:val="Normal"/>
    <w:next w:val="Normal"/>
    <w:link w:val="Heading2Char"/>
    <w:uiPriority w:val="9"/>
    <w:unhideWhenUsed/>
    <w:qFormat/>
    <w:rsid w:val="00EF69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F69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85E"/>
    <w:rPr>
      <w:rFonts w:ascii="Times New Roman" w:hAnsi="Times New Roman" w:cs="Times New Roman"/>
      <w:b/>
      <w:sz w:val="24"/>
      <w:szCs w:val="24"/>
      <w:lang w:val="en-US"/>
    </w:rPr>
  </w:style>
  <w:style w:type="character" w:styleId="Strong">
    <w:name w:val="Strong"/>
    <w:basedOn w:val="DefaultParagraphFont"/>
    <w:uiPriority w:val="22"/>
    <w:qFormat/>
    <w:rsid w:val="0003285E"/>
    <w:rPr>
      <w:b/>
      <w:bCs/>
    </w:rPr>
  </w:style>
  <w:style w:type="paragraph" w:styleId="NormalWeb">
    <w:name w:val="Normal (Web)"/>
    <w:basedOn w:val="Normal"/>
    <w:uiPriority w:val="99"/>
    <w:unhideWhenUsed/>
    <w:rsid w:val="0003285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620CF1"/>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620CF1"/>
    <w:rPr>
      <w:rFonts w:eastAsiaTheme="minorEastAsia"/>
      <w:lang w:val="en-US" w:eastAsia="zh-CN"/>
    </w:rPr>
  </w:style>
  <w:style w:type="character" w:customStyle="1" w:styleId="Heading2Char">
    <w:name w:val="Heading 2 Char"/>
    <w:basedOn w:val="DefaultParagraphFont"/>
    <w:link w:val="Heading2"/>
    <w:uiPriority w:val="9"/>
    <w:rsid w:val="00EF697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F6979"/>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EF6979"/>
    <w:pPr>
      <w:spacing w:after="0" w:line="360" w:lineRule="auto"/>
    </w:pPr>
    <w:rPr>
      <w:rFonts w:ascii="Times New Roman" w:eastAsiaTheme="minorEastAsia" w:hAnsi="Times New Roman" w:cs="Times New Roman"/>
      <w:b/>
      <w:bCs/>
      <w:sz w:val="24"/>
      <w:szCs w:val="18"/>
      <w:lang w:val="en-US" w:eastAsia="zh-CN"/>
    </w:rPr>
  </w:style>
  <w:style w:type="table" w:customStyle="1" w:styleId="TableGridLight1">
    <w:name w:val="Table Grid Light1"/>
    <w:basedOn w:val="TableNormal"/>
    <w:uiPriority w:val="40"/>
    <w:rsid w:val="00EF6979"/>
    <w:pPr>
      <w:spacing w:after="0" w:line="240" w:lineRule="auto"/>
    </w:pPr>
    <w:rPr>
      <w:rFonts w:ascii="Calibri" w:eastAsia="Calibri" w:hAnsi="Calibri" w:cs="SimSu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uiPriority w:val="42"/>
    <w:rsid w:val="00EF6979"/>
    <w:pPr>
      <w:spacing w:after="0" w:line="240" w:lineRule="auto"/>
    </w:pPr>
    <w:rPr>
      <w:rFonts w:ascii="Calibri" w:eastAsia="Calibri" w:hAnsi="Calibri" w:cs="SimSun"/>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uiPriority w:val="59"/>
    <w:rsid w:val="00EF6979"/>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F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4AB0"/>
    <w:rPr>
      <w:color w:val="0563C1" w:themeColor="hyperlink"/>
      <w:u w:val="single"/>
    </w:rPr>
  </w:style>
  <w:style w:type="paragraph" w:styleId="Header">
    <w:name w:val="header"/>
    <w:basedOn w:val="Normal"/>
    <w:link w:val="HeaderChar"/>
    <w:uiPriority w:val="99"/>
    <w:unhideWhenUsed/>
    <w:rsid w:val="00BE574D"/>
    <w:pPr>
      <w:tabs>
        <w:tab w:val="center" w:pos="4680"/>
        <w:tab w:val="right" w:pos="9360"/>
      </w:tabs>
      <w:spacing w:after="0" w:line="240" w:lineRule="auto"/>
    </w:pPr>
    <w:rPr>
      <w:rFonts w:ascii="Times New Roman" w:eastAsiaTheme="minorEastAsia" w:hAnsi="Times New Roman"/>
      <w:sz w:val="24"/>
      <w:lang w:val="en-US"/>
    </w:rPr>
  </w:style>
  <w:style w:type="character" w:customStyle="1" w:styleId="HeaderChar">
    <w:name w:val="Header Char"/>
    <w:basedOn w:val="DefaultParagraphFont"/>
    <w:link w:val="Header"/>
    <w:uiPriority w:val="99"/>
    <w:rsid w:val="00BE574D"/>
    <w:rPr>
      <w:rFonts w:ascii="Times New Roman" w:eastAsiaTheme="minorEastAsia" w:hAnsi="Times New Roman"/>
      <w:sz w:val="24"/>
      <w:lang w:val="en-US"/>
    </w:rPr>
  </w:style>
  <w:style w:type="paragraph" w:styleId="Footer">
    <w:name w:val="footer"/>
    <w:basedOn w:val="Normal"/>
    <w:link w:val="FooterChar"/>
    <w:uiPriority w:val="99"/>
    <w:unhideWhenUsed/>
    <w:rsid w:val="00BE574D"/>
    <w:pPr>
      <w:tabs>
        <w:tab w:val="center" w:pos="4680"/>
        <w:tab w:val="right" w:pos="9360"/>
      </w:tabs>
      <w:spacing w:after="0" w:line="240" w:lineRule="auto"/>
    </w:pPr>
    <w:rPr>
      <w:rFonts w:ascii="Times New Roman" w:eastAsiaTheme="minorEastAsia" w:hAnsi="Times New Roman"/>
      <w:sz w:val="24"/>
      <w:lang w:val="en-US"/>
    </w:rPr>
  </w:style>
  <w:style w:type="character" w:customStyle="1" w:styleId="FooterChar">
    <w:name w:val="Footer Char"/>
    <w:basedOn w:val="DefaultParagraphFont"/>
    <w:link w:val="Footer"/>
    <w:uiPriority w:val="99"/>
    <w:rsid w:val="00BE574D"/>
    <w:rPr>
      <w:rFonts w:ascii="Times New Roman" w:eastAsiaTheme="minorEastAsia"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6402">
      <w:bodyDiv w:val="1"/>
      <w:marLeft w:val="0"/>
      <w:marRight w:val="0"/>
      <w:marTop w:val="0"/>
      <w:marBottom w:val="0"/>
      <w:divBdr>
        <w:top w:val="none" w:sz="0" w:space="0" w:color="auto"/>
        <w:left w:val="none" w:sz="0" w:space="0" w:color="auto"/>
        <w:bottom w:val="none" w:sz="0" w:space="0" w:color="auto"/>
        <w:right w:val="none" w:sz="0" w:space="0" w:color="auto"/>
      </w:divBdr>
    </w:div>
    <w:div w:id="95517342">
      <w:bodyDiv w:val="1"/>
      <w:marLeft w:val="0"/>
      <w:marRight w:val="0"/>
      <w:marTop w:val="0"/>
      <w:marBottom w:val="0"/>
      <w:divBdr>
        <w:top w:val="none" w:sz="0" w:space="0" w:color="auto"/>
        <w:left w:val="none" w:sz="0" w:space="0" w:color="auto"/>
        <w:bottom w:val="none" w:sz="0" w:space="0" w:color="auto"/>
        <w:right w:val="none" w:sz="0" w:space="0" w:color="auto"/>
      </w:divBdr>
    </w:div>
    <w:div w:id="66428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2022j\Downloads\Epilepsy%20project_WIDE%2023.06.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Sheet1!$H$60</c:f>
              <c:strCache>
                <c:ptCount val="1"/>
                <c:pt idx="0">
                  <c:v>Percentage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tx>
                <c:rich>
                  <a:bodyPr/>
                  <a:lstStyle/>
                  <a:p>
                    <a:r>
                      <a:rPr lang="en-US"/>
                      <a:t>58.9%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489-4A7C-9869-934B292CCF2C}"/>
                </c:ext>
              </c:extLst>
            </c:dLbl>
            <c:dLbl>
              <c:idx val="1"/>
              <c:tx>
                <c:rich>
                  <a:bodyPr/>
                  <a:lstStyle/>
                  <a:p>
                    <a:r>
                      <a:rPr lang="en-US"/>
                      <a:t>9.3%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89-4A7C-9869-934B292CCF2C}"/>
                </c:ext>
              </c:extLst>
            </c:dLbl>
            <c:dLbl>
              <c:idx val="2"/>
              <c:tx>
                <c:rich>
                  <a:bodyPr/>
                  <a:lstStyle/>
                  <a:p>
                    <a:r>
                      <a:rPr lang="en-US"/>
                      <a:t>3.7%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489-4A7C-9869-934B292CCF2C}"/>
                </c:ext>
              </c:extLst>
            </c:dLbl>
            <c:dLbl>
              <c:idx val="3"/>
              <c:tx>
                <c:rich>
                  <a:bodyPr/>
                  <a:lstStyle/>
                  <a:p>
                    <a:r>
                      <a:rPr lang="en-US"/>
                      <a:t>28%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89-4A7C-9869-934B292CCF2C}"/>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Sheet1!$G$61:$G$64</c:f>
              <c:strCache>
                <c:ptCount val="4"/>
                <c:pt idx="0">
                  <c:v>CME</c:v>
                </c:pt>
                <c:pt idx="1">
                  <c:v>RVO</c:v>
                </c:pt>
                <c:pt idx="2">
                  <c:v>AMD</c:v>
                </c:pt>
                <c:pt idx="3">
                  <c:v>DME</c:v>
                </c:pt>
              </c:strCache>
            </c:strRef>
          </c:cat>
          <c:val>
            <c:numRef>
              <c:f>Sheet1!$H$61:$H$64</c:f>
              <c:numCache>
                <c:formatCode>General</c:formatCode>
                <c:ptCount val="4"/>
                <c:pt idx="0">
                  <c:v>58.9</c:v>
                </c:pt>
                <c:pt idx="1">
                  <c:v>9.3000000000000007</c:v>
                </c:pt>
                <c:pt idx="2">
                  <c:v>3.7</c:v>
                </c:pt>
                <c:pt idx="3">
                  <c:v>28</c:v>
                </c:pt>
              </c:numCache>
            </c:numRef>
          </c:val>
          <c:extLst>
            <c:ext xmlns:c16="http://schemas.microsoft.com/office/drawing/2014/chart" uri="{C3380CC4-5D6E-409C-BE32-E72D297353CC}">
              <c16:uniqueId val="{00000004-C489-4A7C-9869-934B292CCF2C}"/>
            </c:ext>
          </c:extLst>
        </c:ser>
        <c:dLbls>
          <c:dLblPos val="inEnd"/>
          <c:showLegendKey val="0"/>
          <c:showVal val="1"/>
          <c:showCatName val="0"/>
          <c:showSerName val="0"/>
          <c:showPercent val="0"/>
          <c:showBubbleSize val="0"/>
        </c:dLbls>
        <c:gapWidth val="100"/>
        <c:overlap val="-24"/>
        <c:axId val="487030784"/>
        <c:axId val="368709632"/>
      </c:barChart>
      <c:catAx>
        <c:axId val="487030784"/>
        <c:scaling>
          <c:orientation val="minMax"/>
        </c:scaling>
        <c:delete val="0"/>
        <c:axPos val="b"/>
        <c:title>
          <c:tx>
            <c:rich>
              <a:bodyPr rot="0" spcFirstLastPara="1" vertOverflow="ellipsis" vert="horz" wrap="square" anchor="ctr" anchorCtr="1"/>
              <a:lstStyle/>
              <a:p>
                <a:pPr algn="ctr" rtl="0">
                  <a:defRPr sz="900" b="1" i="0" u="none" strike="noStrike" kern="1200" baseline="0">
                    <a:solidFill>
                      <a:sysClr val="windowText" lastClr="000000"/>
                    </a:solidFill>
                    <a:latin typeface="+mn-lt"/>
                    <a:ea typeface="+mn-ea"/>
                    <a:cs typeface="+mn-cs"/>
                  </a:defRPr>
                </a:pPr>
                <a:r>
                  <a:rPr lang="en-US"/>
                  <a:t>Triamcinolone indication </a:t>
                </a:r>
              </a:p>
              <a:p>
                <a:pPr algn="ctr" rtl="0">
                  <a:defRPr sz="900" b="1" i="0" u="none" strike="noStrike" kern="1200" baseline="0">
                    <a:solidFill>
                      <a:sysClr val="windowText" lastClr="000000"/>
                    </a:solidFill>
                    <a:latin typeface="+mn-lt"/>
                    <a:ea typeface="+mn-ea"/>
                    <a:cs typeface="+mn-cs"/>
                  </a:defRPr>
                </a:pP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8709632"/>
        <c:crosses val="autoZero"/>
        <c:auto val="1"/>
        <c:lblAlgn val="ctr"/>
        <c:lblOffset val="100"/>
        <c:noMultiLvlLbl val="0"/>
      </c:catAx>
      <c:valAx>
        <c:axId val="36870963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87030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Sheet1!$H$4</c:f>
              <c:strCache>
                <c:ptCount val="1"/>
                <c:pt idx="0">
                  <c:v>Injected Eye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Sheet1!$G$5:$G$8</c:f>
              <c:strCache>
                <c:ptCount val="4"/>
                <c:pt idx="0">
                  <c:v>IOP Baseline</c:v>
                </c:pt>
                <c:pt idx="1">
                  <c:v>IOP Immediate</c:v>
                </c:pt>
                <c:pt idx="2">
                  <c:v>IOP 2 weeks</c:v>
                </c:pt>
                <c:pt idx="3">
                  <c:v>IOP 6 weeks</c:v>
                </c:pt>
              </c:strCache>
            </c:strRef>
          </c:cat>
          <c:val>
            <c:numRef>
              <c:f>Sheet1!$H$5:$H$8</c:f>
              <c:numCache>
                <c:formatCode>General</c:formatCode>
                <c:ptCount val="4"/>
                <c:pt idx="0">
                  <c:v>14.59</c:v>
                </c:pt>
                <c:pt idx="1">
                  <c:v>28.42</c:v>
                </c:pt>
                <c:pt idx="2">
                  <c:v>17.75</c:v>
                </c:pt>
                <c:pt idx="3">
                  <c:v>17.05</c:v>
                </c:pt>
              </c:numCache>
            </c:numRef>
          </c:val>
          <c:smooth val="0"/>
          <c:extLst>
            <c:ext xmlns:c16="http://schemas.microsoft.com/office/drawing/2014/chart" uri="{C3380CC4-5D6E-409C-BE32-E72D297353CC}">
              <c16:uniqueId val="{00000000-BB13-4ECE-A51F-0C9E18CBFD95}"/>
            </c:ext>
          </c:extLst>
        </c:ser>
        <c:ser>
          <c:idx val="1"/>
          <c:order val="1"/>
          <c:tx>
            <c:strRef>
              <c:f>Sheet1!$I$4</c:f>
              <c:strCache>
                <c:ptCount val="1"/>
                <c:pt idx="0">
                  <c:v>Non-injected eye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Sheet1!$G$5:$G$8</c:f>
              <c:strCache>
                <c:ptCount val="4"/>
                <c:pt idx="0">
                  <c:v>IOP Baseline</c:v>
                </c:pt>
                <c:pt idx="1">
                  <c:v>IOP Immediate</c:v>
                </c:pt>
                <c:pt idx="2">
                  <c:v>IOP 2 weeks</c:v>
                </c:pt>
                <c:pt idx="3">
                  <c:v>IOP 6 weeks</c:v>
                </c:pt>
              </c:strCache>
            </c:strRef>
          </c:cat>
          <c:val>
            <c:numRef>
              <c:f>Sheet1!$I$5:$I$8</c:f>
              <c:numCache>
                <c:formatCode>General</c:formatCode>
                <c:ptCount val="4"/>
                <c:pt idx="0">
                  <c:v>13.85</c:v>
                </c:pt>
                <c:pt idx="1">
                  <c:v>13.45</c:v>
                </c:pt>
                <c:pt idx="2">
                  <c:v>13.61</c:v>
                </c:pt>
                <c:pt idx="3">
                  <c:v>12.9</c:v>
                </c:pt>
              </c:numCache>
            </c:numRef>
          </c:val>
          <c:smooth val="0"/>
          <c:extLst>
            <c:ext xmlns:c16="http://schemas.microsoft.com/office/drawing/2014/chart" uri="{C3380CC4-5D6E-409C-BE32-E72D297353CC}">
              <c16:uniqueId val="{00000001-BB13-4ECE-A51F-0C9E18CBFD95}"/>
            </c:ext>
          </c:extLst>
        </c:ser>
        <c:dLbls>
          <c:showLegendKey val="0"/>
          <c:showVal val="0"/>
          <c:showCatName val="0"/>
          <c:showSerName val="0"/>
          <c:showPercent val="0"/>
          <c:showBubbleSize val="0"/>
        </c:dLbls>
        <c:marker val="1"/>
        <c:smooth val="0"/>
        <c:axId val="415897472"/>
        <c:axId val="415900032"/>
      </c:lineChart>
      <c:catAx>
        <c:axId val="415897472"/>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b="1"/>
                  <a:t>follow-up time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415900032"/>
        <c:crosses val="autoZero"/>
        <c:auto val="1"/>
        <c:lblAlgn val="ctr"/>
        <c:lblOffset val="100"/>
        <c:noMultiLvlLbl val="0"/>
      </c:catAx>
      <c:valAx>
        <c:axId val="415900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b="1"/>
                  <a:t>IOP in mmHg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415897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CBA5B-2BF0-466E-9CB9-B2B781913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37272</Words>
  <Characters>212457</Characters>
  <Application>Microsoft Office Word</Application>
  <DocSecurity>0</DocSecurity>
  <Lines>1770</Lines>
  <Paragraphs>498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33</cp:revision>
  <dcterms:created xsi:type="dcterms:W3CDTF">2025-07-01T13:27:00Z</dcterms:created>
  <dcterms:modified xsi:type="dcterms:W3CDTF">2026-02-14T14:07:00Z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a006dfb0-e98f-4de9-ba22-820a5ccb3325</vt:lpwstr>
  </property>
  <property fmtid="{D5CDD505-2E9C-101B-9397-08002B2CF9AE}" pid="3" name="Mendeley Document_1">
    <vt:lpwstr>True</vt:lpwstr>
  </property>
  <property fmtid="{D5CDD505-2E9C-101B-9397-08002B2CF9AE}" pid="4" name="Mendeley Citation Style_1">
    <vt:lpwstr>http://www.zotero.org/styles/vancouver</vt:lpwstr>
  </property>
  <property fmtid="{D5CDD505-2E9C-101B-9397-08002B2CF9AE}" pid="5" name="Mendeley Unique User Id_1">
    <vt:lpwstr>8f30cded-2659-3bd4-85ef-5f825169de81</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http://www.zotero.org/styles/american-sociological-association</vt:lpwstr>
  </property>
  <property fmtid="{D5CDD505-2E9C-101B-9397-08002B2CF9AE}" pid="9" name="Mendeley Recent Style Name 1_1">
    <vt:lpwstr>American Sociological Association 6th/7th edition</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17th edition (author-date)</vt:lpwstr>
  </property>
  <property fmtid="{D5CDD505-2E9C-101B-9397-08002B2CF9AE}" pid="12" name="Mendeley Recent Style Id 3_1">
    <vt:lpwstr>http://www.zotero.org/styles/harvard-cite-them-right</vt:lpwstr>
  </property>
  <property fmtid="{D5CDD505-2E9C-101B-9397-08002B2CF9AE}" pid="13" name="Mendeley Recent Style Name 3_1">
    <vt:lpwstr>Cite Them Right 12th edition - Harvard</vt:lpwstr>
  </property>
  <property fmtid="{D5CDD505-2E9C-101B-9397-08002B2CF9AE}" pid="14" name="Mendeley Recent Style Id 4_1">
    <vt:lpwstr>http://www.zotero.org/styles/harvard1</vt:lpwstr>
  </property>
  <property fmtid="{D5CDD505-2E9C-101B-9397-08002B2CF9AE}" pid="15" name="Mendeley Recent Style Name 4_1">
    <vt:lpwstr>Harvard reference format 1 (deprecated)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4th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