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104FD" w14:textId="57607FF4" w:rsidR="00754C9A" w:rsidRDefault="009C0B61" w:rsidP="00441B6F">
      <w:pPr>
        <w:pStyle w:val="Title"/>
        <w:spacing w:after="0"/>
        <w:jc w:val="both"/>
        <w:rPr>
          <w:rFonts w:ascii="Arial" w:hAnsi="Arial" w:cs="Arial"/>
        </w:rPr>
      </w:pPr>
      <w:r w:rsidRPr="009C0B61">
        <w:rPr>
          <w:rFonts w:ascii="Arial" w:hAnsi="Arial" w:cs="Arial"/>
        </w:rPr>
        <w:t>Original Research Article</w:t>
      </w:r>
    </w:p>
    <w:p w14:paraId="2EF2C063" w14:textId="77777777" w:rsidR="009C0B61" w:rsidRDefault="009C0B61" w:rsidP="00441B6F">
      <w:pPr>
        <w:pStyle w:val="Title"/>
        <w:spacing w:after="0"/>
        <w:jc w:val="both"/>
        <w:rPr>
          <w:rFonts w:ascii="Arial" w:hAnsi="Arial" w:cs="Arial"/>
        </w:rPr>
      </w:pPr>
    </w:p>
    <w:p w14:paraId="4301900B" w14:textId="7F9E626D" w:rsidR="00EF5209" w:rsidRPr="001B12B2" w:rsidRDefault="00EF5209" w:rsidP="00EF5209">
      <w:pPr>
        <w:pStyle w:val="Author"/>
        <w:rPr>
          <w:rFonts w:ascii="Arial" w:hAnsi="Arial" w:cs="Arial"/>
          <w:bCs/>
          <w:iCs/>
          <w:kern w:val="28"/>
          <w:sz w:val="32"/>
          <w:szCs w:val="32"/>
        </w:rPr>
      </w:pPr>
      <w:r w:rsidRPr="001B12B2">
        <w:rPr>
          <w:rFonts w:ascii="Arial" w:hAnsi="Arial" w:cs="Arial"/>
          <w:bCs/>
          <w:iCs/>
          <w:kern w:val="28"/>
          <w:sz w:val="32"/>
          <w:szCs w:val="32"/>
        </w:rPr>
        <w:t xml:space="preserve">Microbial gene markers in gut and oral microbiomes as non-invasive biomarkers for </w:t>
      </w:r>
      <w:r w:rsidR="004B52D1" w:rsidRPr="004B52D1">
        <w:rPr>
          <w:rFonts w:ascii="Arial" w:hAnsi="Arial" w:cs="Arial"/>
          <w:bCs/>
          <w:iCs/>
          <w:kern w:val="28"/>
          <w:sz w:val="32"/>
          <w:szCs w:val="32"/>
        </w:rPr>
        <w:t>colorectal cancer</w:t>
      </w:r>
      <w:r w:rsidRPr="001B12B2">
        <w:rPr>
          <w:rFonts w:ascii="Arial" w:hAnsi="Arial" w:cs="Arial"/>
          <w:bCs/>
          <w:iCs/>
          <w:kern w:val="28"/>
          <w:sz w:val="32"/>
          <w:szCs w:val="32"/>
        </w:rPr>
        <w:t>: a cross-sectional study</w:t>
      </w:r>
    </w:p>
    <w:p w14:paraId="12F41A12" w14:textId="2418557D" w:rsidR="00A258C3" w:rsidRPr="00790ADA" w:rsidRDefault="00231920" w:rsidP="00EF5209">
      <w:pPr>
        <w:pStyle w:val="Author"/>
        <w:spacing w:line="240" w:lineRule="auto"/>
        <w:ind w:right="360"/>
        <w:rPr>
          <w:rFonts w:ascii="Arial" w:hAnsi="Arial" w:cs="Arial"/>
          <w:sz w:val="36"/>
        </w:rPr>
      </w:pPr>
      <w:r>
        <w:rPr>
          <w:rFonts w:ascii="Arial" w:hAnsi="Arial" w:cs="Arial"/>
          <w:bCs/>
          <w:iCs/>
          <w:kern w:val="28"/>
          <w:sz w:val="36"/>
        </w:rPr>
        <w:t xml:space="preserve"> </w:t>
      </w:r>
    </w:p>
    <w:p w14:paraId="2B79C8C2" w14:textId="43C2213D" w:rsidR="00790ADA" w:rsidRDefault="00790ADA" w:rsidP="00F418C6">
      <w:pPr>
        <w:pStyle w:val="Affiliation"/>
        <w:spacing w:after="0" w:line="240" w:lineRule="auto"/>
        <w:rPr>
          <w:rFonts w:ascii="Arial" w:hAnsi="Arial" w:cs="Arial"/>
        </w:rPr>
      </w:pPr>
    </w:p>
    <w:p w14:paraId="7A17882D" w14:textId="77777777" w:rsidR="002C57D2" w:rsidRPr="00FB3A86" w:rsidRDefault="002C57D2" w:rsidP="00441B6F">
      <w:pPr>
        <w:pStyle w:val="Affiliation"/>
        <w:spacing w:after="0" w:line="240" w:lineRule="auto"/>
        <w:jc w:val="both"/>
        <w:rPr>
          <w:rFonts w:ascii="Arial" w:hAnsi="Arial" w:cs="Arial"/>
        </w:rPr>
      </w:pPr>
    </w:p>
    <w:p w14:paraId="4CDE1AF2" w14:textId="77777777" w:rsidR="00B01FCD" w:rsidRPr="00FB3A86" w:rsidRDefault="00D57BB8" w:rsidP="00441B6F">
      <w:pPr>
        <w:pStyle w:val="Copyright"/>
        <w:spacing w:after="0" w:line="240" w:lineRule="auto"/>
        <w:jc w:val="both"/>
        <w:rPr>
          <w:rFonts w:ascii="Arial" w:hAnsi="Arial" w:cs="Arial"/>
        </w:rPr>
        <w:sectPr w:rsidR="00B01FCD" w:rsidRPr="00FB3A86" w:rsidSect="00FA19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7FB45F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2F3CD06" w14:textId="46E80E06" w:rsidR="00B01FCD" w:rsidRDefault="00B01FCD" w:rsidP="00441B6F">
      <w:pPr>
        <w:pStyle w:val="AbstHead"/>
        <w:spacing w:after="0"/>
        <w:jc w:val="both"/>
        <w:rPr>
          <w:rFonts w:ascii="Arial" w:hAnsi="Arial" w:cs="Arial"/>
        </w:rPr>
      </w:pPr>
      <w:r w:rsidRPr="00FB3A86">
        <w:rPr>
          <w:rFonts w:ascii="Arial" w:hAnsi="Arial" w:cs="Arial"/>
        </w:rPr>
        <w:t>ABSTRACT</w:t>
      </w:r>
    </w:p>
    <w:p w14:paraId="6E0D46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459085" w14:textId="77777777" w:rsidTr="001E44FE">
        <w:tc>
          <w:tcPr>
            <w:tcW w:w="9576" w:type="dxa"/>
            <w:shd w:val="clear" w:color="auto" w:fill="F2F2F2"/>
          </w:tcPr>
          <w:p w14:paraId="65045C71" w14:textId="0AC3FF23" w:rsidR="00BA1B01" w:rsidRPr="003E5A59" w:rsidRDefault="00BA1B01" w:rsidP="00441B6F">
            <w:pPr>
              <w:pStyle w:val="Body"/>
              <w:spacing w:after="0"/>
              <w:rPr>
                <w:rFonts w:ascii="Arial" w:eastAsia="Calibri" w:hAnsi="Arial" w:cs="Arial"/>
              </w:rPr>
            </w:pPr>
            <w:r w:rsidRPr="00BA1B01">
              <w:rPr>
                <w:rFonts w:ascii="Arial" w:eastAsia="Calibri" w:hAnsi="Arial" w:cs="Arial"/>
                <w:b/>
                <w:szCs w:val="22"/>
              </w:rPr>
              <w:t xml:space="preserve">Aims: </w:t>
            </w:r>
            <w:r w:rsidR="00093AB2" w:rsidRPr="00093AB2">
              <w:rPr>
                <w:rFonts w:ascii="Arial" w:eastAsia="Calibri" w:hAnsi="Arial" w:cs="Arial"/>
                <w:szCs w:val="22"/>
              </w:rPr>
              <w:t>To evaluate fecal abundances of previously re</w:t>
            </w:r>
            <w:r w:rsidR="00093AB2" w:rsidRPr="003E5A59">
              <w:rPr>
                <w:rFonts w:ascii="Arial" w:eastAsia="Calibri" w:hAnsi="Arial" w:cs="Arial"/>
              </w:rPr>
              <w:t>ported microbial gene markers (</w:t>
            </w:r>
            <w:r w:rsidR="00093AB2" w:rsidRPr="00A66479">
              <w:rPr>
                <w:rFonts w:ascii="Arial" w:eastAsia="Calibri" w:hAnsi="Arial" w:cs="Arial"/>
                <w:i/>
                <w:iCs/>
              </w:rPr>
              <w:t>5ar</w:t>
            </w:r>
            <w:r w:rsidR="00093AB2" w:rsidRPr="003E5A59">
              <w:rPr>
                <w:rFonts w:ascii="Arial" w:eastAsia="Calibri" w:hAnsi="Arial" w:cs="Arial"/>
              </w:rPr>
              <w:t xml:space="preserve"> and </w:t>
            </w:r>
            <w:r w:rsidR="00093AB2" w:rsidRPr="00A66479">
              <w:rPr>
                <w:rFonts w:ascii="Arial" w:eastAsia="Calibri" w:hAnsi="Arial" w:cs="Arial"/>
                <w:i/>
                <w:iCs/>
              </w:rPr>
              <w:t>nan</w:t>
            </w:r>
            <w:r w:rsidR="00093AB2" w:rsidRPr="003E5A59">
              <w:rPr>
                <w:rFonts w:ascii="Arial" w:eastAsia="Calibri" w:hAnsi="Arial" w:cs="Arial"/>
              </w:rPr>
              <w:t>) as non-invasive biomarkers for colorectal diseases, and to identify additional gene markers in gut and oral microbiomes associated with colorectal cancer (CRC) progression.</w:t>
            </w:r>
          </w:p>
          <w:p w14:paraId="735B381C" w14:textId="066FB1EB" w:rsidR="00BA1B01" w:rsidRPr="003E5A59" w:rsidRDefault="00BA1B01" w:rsidP="00441B6F">
            <w:pPr>
              <w:pStyle w:val="Body"/>
              <w:spacing w:after="0"/>
              <w:rPr>
                <w:rFonts w:ascii="Arial" w:eastAsia="Calibri" w:hAnsi="Arial" w:cs="Arial"/>
              </w:rPr>
            </w:pPr>
            <w:r w:rsidRPr="003E5A59">
              <w:rPr>
                <w:rFonts w:ascii="Arial" w:eastAsia="Calibri" w:hAnsi="Arial" w:cs="Arial"/>
                <w:b/>
              </w:rPr>
              <w:t>Study design:</w:t>
            </w:r>
            <w:r w:rsidRPr="003E5A59">
              <w:rPr>
                <w:rFonts w:ascii="Arial" w:eastAsia="Calibri" w:hAnsi="Arial" w:cs="Arial"/>
              </w:rPr>
              <w:t xml:space="preserve">  </w:t>
            </w:r>
            <w:r w:rsidR="008920F5" w:rsidRPr="003E5A59">
              <w:rPr>
                <w:rFonts w:ascii="Arial" w:eastAsia="Calibri" w:hAnsi="Arial" w:cs="Arial"/>
              </w:rPr>
              <w:t>Cross-sectional study.</w:t>
            </w:r>
          </w:p>
          <w:p w14:paraId="7EE71D1B" w14:textId="77777777" w:rsidR="00337A59" w:rsidRPr="003E5A59" w:rsidRDefault="00BA1B01" w:rsidP="00337A59">
            <w:pPr>
              <w:pStyle w:val="Body"/>
              <w:spacing w:after="0"/>
              <w:rPr>
                <w:rFonts w:ascii="Arial" w:eastAsia="Calibri" w:hAnsi="Arial" w:cs="Arial"/>
              </w:rPr>
            </w:pPr>
            <w:r w:rsidRPr="003E5A59">
              <w:rPr>
                <w:rFonts w:ascii="Arial" w:eastAsia="Calibri" w:hAnsi="Arial" w:cs="Arial"/>
                <w:b/>
              </w:rPr>
              <w:t>Place and Duration of Study:</w:t>
            </w:r>
            <w:r w:rsidRPr="003E5A59">
              <w:rPr>
                <w:rFonts w:ascii="Arial" w:eastAsia="Calibri" w:hAnsi="Arial" w:cs="Arial"/>
              </w:rPr>
              <w:t xml:space="preserve"> </w:t>
            </w:r>
            <w:r w:rsidR="003E5A59" w:rsidRPr="003E5A59">
              <w:rPr>
                <w:rFonts w:ascii="Arial" w:eastAsia="Calibri" w:hAnsi="Arial" w:cs="Arial"/>
              </w:rPr>
              <w:t xml:space="preserve">Department of Gastroenterology and Hepatology, Fujita Health University, </w:t>
            </w:r>
            <w:proofErr w:type="spellStart"/>
            <w:r w:rsidR="003E5A59" w:rsidRPr="003E5A59">
              <w:rPr>
                <w:rFonts w:ascii="Arial" w:eastAsia="Calibri" w:hAnsi="Arial" w:cs="Arial"/>
              </w:rPr>
              <w:t>Toyoake</w:t>
            </w:r>
            <w:proofErr w:type="spellEnd"/>
            <w:r w:rsidR="003E5A59" w:rsidRPr="003E5A59">
              <w:rPr>
                <w:rFonts w:ascii="Arial" w:eastAsia="Calibri" w:hAnsi="Arial" w:cs="Arial"/>
              </w:rPr>
              <w:t>, Japan, between June 2024 and July 2025.</w:t>
            </w:r>
          </w:p>
          <w:p w14:paraId="0F54E518" w14:textId="7C8BCB9C" w:rsidR="00A66479" w:rsidRPr="003E5A59" w:rsidRDefault="00BA1B01" w:rsidP="00A66479">
            <w:pPr>
              <w:pStyle w:val="Body"/>
              <w:spacing w:after="0"/>
              <w:rPr>
                <w:rFonts w:ascii="Arial" w:eastAsia="Calibri" w:hAnsi="Arial" w:cs="Arial"/>
              </w:rPr>
            </w:pPr>
            <w:r w:rsidRPr="003E5A59">
              <w:rPr>
                <w:rFonts w:ascii="Arial" w:eastAsia="Calibri" w:hAnsi="Arial" w:cs="Arial"/>
                <w:b/>
                <w:bCs/>
              </w:rPr>
              <w:t>Methodology:</w:t>
            </w:r>
            <w:r w:rsidRPr="003E5A59">
              <w:rPr>
                <w:rFonts w:ascii="Arial" w:eastAsia="Calibri" w:hAnsi="Arial" w:cs="Arial"/>
              </w:rPr>
              <w:t xml:space="preserve"> </w:t>
            </w:r>
            <w:r w:rsidR="00E12C64" w:rsidRPr="00E12C64">
              <w:rPr>
                <w:rFonts w:ascii="Arial" w:eastAsia="Calibri" w:hAnsi="Arial" w:cs="Arial"/>
              </w:rPr>
              <w:t xml:space="preserve">Fecal samples were obtained from healthy controls (n = 65), colorectal adenoma patients (n = 38), and colorectal carcinoma patients (n = 27). Saliva samples were collected from healthy controls (n = 34) and </w:t>
            </w:r>
            <w:r w:rsidR="00DE2A88" w:rsidRPr="00DE2A88">
              <w:rPr>
                <w:rFonts w:ascii="Arial" w:eastAsia="Calibri" w:hAnsi="Arial" w:cs="Arial"/>
              </w:rPr>
              <w:t>the same adenoma and carcinoma cohorts</w:t>
            </w:r>
            <w:r w:rsidR="00E12C64" w:rsidRPr="00E12C64">
              <w:rPr>
                <w:rFonts w:ascii="Arial" w:eastAsia="Calibri" w:hAnsi="Arial" w:cs="Arial"/>
              </w:rPr>
              <w:t>. Microbial gene abundances were quantified by quantitative PCR, and microbiome composition was assessed by 16S rRNA gene sequencing. Group comparisons used the Kruskal-Wallis test with Dunn’s post hoc test.</w:t>
            </w:r>
            <w:r w:rsidR="00DA145F">
              <w:t xml:space="preserve"> </w:t>
            </w:r>
            <w:r w:rsidR="00891041">
              <w:rPr>
                <w:rFonts w:ascii="Arial" w:eastAsia="Calibri" w:hAnsi="Arial" w:cs="Arial"/>
              </w:rPr>
              <w:t>B</w:t>
            </w:r>
            <w:r w:rsidR="00DA145F" w:rsidRPr="00DA145F">
              <w:rPr>
                <w:rFonts w:ascii="Arial" w:eastAsia="Calibri" w:hAnsi="Arial" w:cs="Arial"/>
              </w:rPr>
              <w:t>eta diversity differences were tested by PERMANOVA.</w:t>
            </w:r>
          </w:p>
          <w:p w14:paraId="2C80DACC" w14:textId="7A72E58F" w:rsidR="00A66479" w:rsidRDefault="00BA1B01" w:rsidP="00441B6F">
            <w:pPr>
              <w:pStyle w:val="Body"/>
              <w:spacing w:after="0"/>
              <w:rPr>
                <w:rFonts w:ascii="Arial" w:eastAsia="Calibri" w:hAnsi="Arial" w:cs="Arial"/>
              </w:rPr>
            </w:pPr>
            <w:r w:rsidRPr="003E5A59">
              <w:rPr>
                <w:rFonts w:ascii="Arial" w:eastAsia="Calibri" w:hAnsi="Arial" w:cs="Arial"/>
                <w:b/>
                <w:bCs/>
              </w:rPr>
              <w:t>Results:</w:t>
            </w:r>
            <w:r w:rsidRPr="003E5A59">
              <w:rPr>
                <w:rFonts w:ascii="Arial" w:eastAsia="Calibri" w:hAnsi="Arial" w:cs="Arial"/>
              </w:rPr>
              <w:t xml:space="preserve"> </w:t>
            </w:r>
            <w:r w:rsidR="00A66479" w:rsidRPr="00A66479">
              <w:rPr>
                <w:rFonts w:ascii="Arial" w:eastAsia="Calibri" w:hAnsi="Arial" w:cs="Arial"/>
              </w:rPr>
              <w:t xml:space="preserve">In feces, </w:t>
            </w:r>
            <w:r w:rsidR="00A66479" w:rsidRPr="00A66479">
              <w:rPr>
                <w:rFonts w:ascii="Arial" w:eastAsia="Calibri" w:hAnsi="Arial" w:cs="Arial"/>
                <w:i/>
                <w:iCs/>
              </w:rPr>
              <w:t>5ar</w:t>
            </w:r>
            <w:r w:rsidR="00A66479" w:rsidRPr="00A66479">
              <w:rPr>
                <w:rFonts w:ascii="Arial" w:eastAsia="Calibri" w:hAnsi="Arial" w:cs="Arial"/>
              </w:rPr>
              <w:t xml:space="preserve">, </w:t>
            </w:r>
            <w:r w:rsidR="00A66479" w:rsidRPr="00A66479">
              <w:rPr>
                <w:rFonts w:ascii="Arial" w:eastAsia="Calibri" w:hAnsi="Arial" w:cs="Arial"/>
                <w:i/>
                <w:iCs/>
              </w:rPr>
              <w:t>nan</w:t>
            </w:r>
            <w:r w:rsidR="00A66479" w:rsidRPr="00A66479">
              <w:rPr>
                <w:rFonts w:ascii="Arial" w:eastAsia="Calibri" w:hAnsi="Arial" w:cs="Arial"/>
              </w:rPr>
              <w:t xml:space="preserve">, and the </w:t>
            </w:r>
            <w:proofErr w:type="spellStart"/>
            <w:r w:rsidR="00A66479" w:rsidRPr="00C213E6">
              <w:rPr>
                <w:rFonts w:ascii="Arial" w:eastAsia="Calibri" w:hAnsi="Arial" w:cs="Arial"/>
                <w:i/>
                <w:iCs/>
              </w:rPr>
              <w:t>Fusicatenibacter</w:t>
            </w:r>
            <w:proofErr w:type="spellEnd"/>
            <w:r w:rsidR="00A66479" w:rsidRPr="00C213E6">
              <w:rPr>
                <w:rFonts w:ascii="Arial" w:eastAsia="Calibri" w:hAnsi="Arial" w:cs="Arial"/>
                <w:i/>
                <w:iCs/>
              </w:rPr>
              <w:t xml:space="preserve"> </w:t>
            </w:r>
            <w:proofErr w:type="spellStart"/>
            <w:r w:rsidR="00A66479" w:rsidRPr="00C213E6">
              <w:rPr>
                <w:rFonts w:ascii="Arial" w:eastAsia="Calibri" w:hAnsi="Arial" w:cs="Arial"/>
                <w:i/>
                <w:iCs/>
              </w:rPr>
              <w:t>saccharivorans</w:t>
            </w:r>
            <w:proofErr w:type="spellEnd"/>
            <w:r w:rsidR="00A66479" w:rsidRPr="00C213E6">
              <w:rPr>
                <w:rFonts w:ascii="Arial" w:eastAsia="Calibri" w:hAnsi="Arial" w:cs="Arial"/>
                <w:i/>
                <w:iCs/>
              </w:rPr>
              <w:t xml:space="preserve"> </w:t>
            </w:r>
            <w:r w:rsidR="00A66479" w:rsidRPr="00A66479">
              <w:rPr>
                <w:rFonts w:ascii="Arial" w:eastAsia="Calibri" w:hAnsi="Arial" w:cs="Arial"/>
              </w:rPr>
              <w:t>16S rRNA gene (</w:t>
            </w:r>
            <w:r w:rsidR="00BA1B82">
              <w:rPr>
                <w:rFonts w:ascii="Arial" w:eastAsia="Calibri" w:hAnsi="Arial" w:cs="Arial"/>
                <w:i/>
                <w:iCs/>
              </w:rPr>
              <w:t>fs</w:t>
            </w:r>
            <w:r w:rsidR="00A66479" w:rsidRPr="00A66479">
              <w:rPr>
                <w:rFonts w:ascii="Arial" w:eastAsia="Calibri" w:hAnsi="Arial" w:cs="Arial"/>
              </w:rPr>
              <w:t>) decreased stepwise along disease progression, with carcinoma showing lower abundances than controls (</w:t>
            </w:r>
            <w:r w:rsidR="00A66479" w:rsidRPr="00A66479">
              <w:rPr>
                <w:rFonts w:ascii="Arial" w:eastAsia="Calibri" w:hAnsi="Arial" w:cs="Arial"/>
                <w:i/>
                <w:iCs/>
              </w:rPr>
              <w:t>5ar</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.0023; </w:t>
            </w:r>
            <w:r w:rsidR="00A66479" w:rsidRPr="00C213E6">
              <w:rPr>
                <w:rFonts w:ascii="Arial" w:eastAsia="Calibri" w:hAnsi="Arial" w:cs="Arial"/>
                <w:i/>
                <w:iCs/>
              </w:rPr>
              <w:t>nan</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.0012; </w:t>
            </w:r>
            <w:r w:rsidR="00A66479" w:rsidRPr="00A66479">
              <w:rPr>
                <w:rFonts w:ascii="Arial" w:eastAsia="Calibri" w:hAnsi="Arial" w:cs="Arial"/>
                <w:i/>
                <w:iCs/>
              </w:rPr>
              <w:t>fs</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.0004). In saliva, the </w:t>
            </w:r>
            <w:r w:rsidR="00A66479" w:rsidRPr="00C213E6">
              <w:rPr>
                <w:rFonts w:ascii="Arial" w:eastAsia="Calibri" w:hAnsi="Arial" w:cs="Arial"/>
                <w:i/>
                <w:iCs/>
              </w:rPr>
              <w:t xml:space="preserve">Fusobacterium </w:t>
            </w:r>
            <w:proofErr w:type="spellStart"/>
            <w:r w:rsidR="00A66479" w:rsidRPr="00C213E6">
              <w:rPr>
                <w:rFonts w:ascii="Arial" w:eastAsia="Calibri" w:hAnsi="Arial" w:cs="Arial"/>
                <w:i/>
                <w:iCs/>
              </w:rPr>
              <w:t>periodonticum</w:t>
            </w:r>
            <w:proofErr w:type="spellEnd"/>
            <w:r w:rsidR="00A66479" w:rsidRPr="00A66479">
              <w:rPr>
                <w:rFonts w:ascii="Arial" w:eastAsia="Calibri" w:hAnsi="Arial" w:cs="Arial"/>
              </w:rPr>
              <w:t xml:space="preserve"> tyrosine phenol lyase (</w:t>
            </w:r>
            <w:proofErr w:type="spellStart"/>
            <w:r w:rsidR="00A66479" w:rsidRPr="00C213E6">
              <w:rPr>
                <w:rFonts w:ascii="Arial" w:eastAsia="Calibri" w:hAnsi="Arial" w:cs="Arial"/>
                <w:i/>
                <w:iCs/>
              </w:rPr>
              <w:t>tpl</w:t>
            </w:r>
            <w:proofErr w:type="spellEnd"/>
            <w:r w:rsidR="00A66479" w:rsidRPr="00A66479">
              <w:rPr>
                <w:rFonts w:ascii="Arial" w:eastAsia="Calibri" w:hAnsi="Arial" w:cs="Arial"/>
              </w:rPr>
              <w:t>) gene decreased in carcinoma versus controls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.018). Beta diversity differed between controls and adenoma/carcinoma in feces (both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.001), whereas salivary beta diversity differed only between controls and carcinoma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.014).</w:t>
            </w:r>
          </w:p>
          <w:p w14:paraId="2714E944" w14:textId="0E1B1985" w:rsidR="00505F06" w:rsidRPr="000B349C" w:rsidRDefault="00BA1B01" w:rsidP="000B349C">
            <w:pPr>
              <w:pStyle w:val="Body"/>
              <w:rPr>
                <w:rFonts w:ascii="Arial" w:eastAsia="Calibri" w:hAnsi="Arial" w:cs="Arial"/>
                <w:bCs/>
                <w:lang w:eastAsia="ja-JP"/>
              </w:rPr>
            </w:pPr>
            <w:r w:rsidRPr="003E5A59">
              <w:rPr>
                <w:rFonts w:ascii="Arial" w:eastAsia="Calibri" w:hAnsi="Arial" w:cs="Arial"/>
                <w:b/>
                <w:bCs/>
              </w:rPr>
              <w:t>Conclusion:</w:t>
            </w:r>
            <w:r w:rsidRPr="003E5A59">
              <w:rPr>
                <w:rFonts w:ascii="Arial" w:eastAsia="Calibri" w:hAnsi="Arial" w:cs="Arial"/>
              </w:rPr>
              <w:t xml:space="preserve"> </w:t>
            </w:r>
            <w:r w:rsidR="00272BFC" w:rsidRPr="00272BFC">
              <w:rPr>
                <w:rFonts w:ascii="Arial" w:eastAsia="Calibri" w:hAnsi="Arial" w:cs="Arial"/>
                <w:bCs/>
                <w:iCs/>
              </w:rPr>
              <w:t>Micro</w:t>
            </w:r>
            <w:r w:rsidR="00C773F5">
              <w:rPr>
                <w:rFonts w:ascii="Arial" w:eastAsia="Calibri" w:hAnsi="Arial" w:cs="Arial"/>
                <w:bCs/>
                <w:iCs/>
              </w:rPr>
              <w:t xml:space="preserve">bial </w:t>
            </w:r>
            <w:r w:rsidR="00272BFC" w:rsidRPr="00272BFC">
              <w:rPr>
                <w:rFonts w:ascii="Arial" w:eastAsia="Calibri" w:hAnsi="Arial" w:cs="Arial"/>
                <w:bCs/>
                <w:iCs/>
              </w:rPr>
              <w:t xml:space="preserve">gene markers in fecal and saliva samples may serve as non-invasive, rapid, and cost-effective biomarkers for colorectal neoplasia. Fecal markers indicated microbiota disruption from the adenoma stage, whereas salivary markers mainly reflected alterations in carcinoma patients, i.e., the early and late stages of colorectal cancer progression, respectively. A combined fecal–saliva marker approach may provide a </w:t>
            </w:r>
            <w:r w:rsidR="00690798">
              <w:rPr>
                <w:rFonts w:ascii="Arial" w:eastAsia="Calibri" w:hAnsi="Arial" w:cs="Arial"/>
                <w:bCs/>
                <w:iCs/>
              </w:rPr>
              <w:t>promising</w:t>
            </w:r>
            <w:r w:rsidR="00272BFC" w:rsidRPr="00272BFC">
              <w:rPr>
                <w:rFonts w:ascii="Arial" w:eastAsia="Calibri" w:hAnsi="Arial" w:cs="Arial"/>
                <w:bCs/>
                <w:iCs/>
              </w:rPr>
              <w:t xml:space="preserve"> platform for early detection, monitoring of precursor lesions, and postoperative surveillance; however, validation in larger, independent cohorts is warranted.</w:t>
            </w:r>
          </w:p>
        </w:tc>
      </w:tr>
    </w:tbl>
    <w:p w14:paraId="4FC62EB5" w14:textId="77777777" w:rsidR="00636EB2" w:rsidRDefault="00636EB2" w:rsidP="00441B6F">
      <w:pPr>
        <w:pStyle w:val="Body"/>
        <w:spacing w:after="0"/>
        <w:rPr>
          <w:rFonts w:ascii="Arial" w:hAnsi="Arial" w:cs="Arial"/>
          <w:i/>
        </w:rPr>
      </w:pPr>
    </w:p>
    <w:p w14:paraId="00FAC148" w14:textId="30A19A09" w:rsidR="00A24E7E" w:rsidRDefault="00A24E7E" w:rsidP="00441B6F">
      <w:pPr>
        <w:pStyle w:val="Body"/>
        <w:spacing w:after="0"/>
        <w:rPr>
          <w:rFonts w:ascii="Arial" w:hAnsi="Arial" w:cs="Arial"/>
          <w:i/>
        </w:rPr>
      </w:pPr>
      <w:r>
        <w:rPr>
          <w:rFonts w:ascii="Arial" w:hAnsi="Arial" w:cs="Arial"/>
          <w:i/>
        </w:rPr>
        <w:t xml:space="preserve">Keywords: </w:t>
      </w:r>
      <w:r w:rsidR="00CF3922" w:rsidRPr="00CF3922">
        <w:rPr>
          <w:rFonts w:ascii="Arial" w:hAnsi="Arial" w:cs="Arial"/>
          <w:i/>
        </w:rPr>
        <w:t>adenoma; carcinoma; colorectal cancer; microbial gene marker</w:t>
      </w:r>
    </w:p>
    <w:p w14:paraId="2ED58D5F" w14:textId="77777777" w:rsidR="00790ADA" w:rsidRDefault="00790ADA" w:rsidP="00441B6F">
      <w:pPr>
        <w:pStyle w:val="Body"/>
        <w:spacing w:after="0"/>
        <w:rPr>
          <w:rFonts w:ascii="Arial" w:hAnsi="Arial" w:cs="Arial"/>
          <w:i/>
        </w:rPr>
      </w:pPr>
    </w:p>
    <w:p w14:paraId="35781E9D" w14:textId="77777777" w:rsidR="00505F06" w:rsidRPr="00A24E7E" w:rsidRDefault="00505F06" w:rsidP="00441B6F">
      <w:pPr>
        <w:pStyle w:val="Body"/>
        <w:spacing w:after="0"/>
        <w:rPr>
          <w:rFonts w:ascii="Arial" w:hAnsi="Arial" w:cs="Arial"/>
          <w:i/>
        </w:rPr>
      </w:pPr>
    </w:p>
    <w:p w14:paraId="5C3B31F8" w14:textId="2A7E842B" w:rsidR="007F7B32" w:rsidRDefault="00902823" w:rsidP="00441B6F">
      <w:pPr>
        <w:pStyle w:val="AbstHead"/>
        <w:spacing w:after="0"/>
        <w:jc w:val="both"/>
        <w:rPr>
          <w:rFonts w:ascii="Arial" w:hAnsi="Arial" w:cs="Arial"/>
        </w:rPr>
      </w:pPr>
      <w:r>
        <w:rPr>
          <w:rFonts w:ascii="Arial" w:hAnsi="Arial" w:cs="Arial"/>
        </w:rPr>
        <w:t xml:space="preserve">1. </w:t>
      </w:r>
      <w:r w:rsidR="00FB2443" w:rsidRPr="00FB2443">
        <w:rPr>
          <w:rFonts w:ascii="Arial" w:hAnsi="Arial" w:cs="Arial"/>
        </w:rPr>
        <w:t>INTRODUCTION</w:t>
      </w:r>
    </w:p>
    <w:p w14:paraId="65F8D520" w14:textId="77777777" w:rsidR="00790ADA" w:rsidRPr="00FB3A86" w:rsidRDefault="00790ADA" w:rsidP="00441B6F">
      <w:pPr>
        <w:pStyle w:val="AbstHead"/>
        <w:spacing w:after="0"/>
        <w:jc w:val="both"/>
        <w:rPr>
          <w:rFonts w:ascii="Arial" w:hAnsi="Arial" w:cs="Arial"/>
        </w:rPr>
      </w:pPr>
    </w:p>
    <w:p w14:paraId="6732E02A" w14:textId="77777777" w:rsidR="00C04B74" w:rsidRPr="00C04B74" w:rsidRDefault="00C04B74" w:rsidP="00C04B74">
      <w:pPr>
        <w:pStyle w:val="Body"/>
        <w:rPr>
          <w:rFonts w:ascii="Arial" w:hAnsi="Arial" w:cs="Arial"/>
        </w:rPr>
      </w:pPr>
      <w:r w:rsidRPr="00C04B74">
        <w:rPr>
          <w:rFonts w:ascii="Arial" w:hAnsi="Arial" w:cs="Arial"/>
        </w:rPr>
        <w:t>Colorectal cancer (CRC) remains one of the leading causes of cancer-related mortality worldwide, highlighting the critical need for early, non-invasive diagnostic approaches. Recent advances in microbiome research have revealed complex interactions between gut bacteria and host metabolism, underscoring the potential clinical utility of microbiota-derived biomarkers (Wong and Yu, 2019; Helmink et al., 2019; Schmitt and Greten, 2021).</w:t>
      </w:r>
    </w:p>
    <w:p w14:paraId="25CE9F19" w14:textId="77777777" w:rsidR="00C04B74" w:rsidRPr="00C04B74" w:rsidRDefault="00C04B74" w:rsidP="00C04B74">
      <w:pPr>
        <w:pStyle w:val="Body"/>
        <w:rPr>
          <w:rFonts w:ascii="Arial" w:hAnsi="Arial" w:cs="Arial"/>
        </w:rPr>
      </w:pPr>
      <w:r w:rsidRPr="00C04B74">
        <w:rPr>
          <w:rFonts w:ascii="Arial" w:hAnsi="Arial" w:cs="Arial"/>
        </w:rPr>
        <w:t xml:space="preserve">We previously proposed that microbial functional genes in the gut represent promising biomarker candidates, as their abundances directly reflect specific microbial metabolic potentials across diverse taxa, linked to intestinal disease states. A quantitative PCR (qPCR)-based approach enables rapid, cost-effective detection without next-generation sequencing, </w:t>
      </w:r>
      <w:r w:rsidRPr="00C04B74">
        <w:rPr>
          <w:rFonts w:ascii="Arial" w:hAnsi="Arial" w:cs="Arial"/>
        </w:rPr>
        <w:lastRenderedPageBreak/>
        <w:t>suitable for routine clinical use (Fujii et al., 2024; Nagasaka et al., 2024). Establishing microbiota-based diagnostics using non-invasive samples could significantly enhance clinical strategies for early detection, postoperative surveillance, and monitoring precursor lesions, such as adenomas.</w:t>
      </w:r>
    </w:p>
    <w:p w14:paraId="02BA54E2" w14:textId="4FF976EA" w:rsidR="00C04B74" w:rsidRPr="00C04B74" w:rsidRDefault="00C04B74" w:rsidP="00C04B74">
      <w:pPr>
        <w:pStyle w:val="Body"/>
        <w:rPr>
          <w:rFonts w:ascii="Arial" w:hAnsi="Arial" w:cs="Arial"/>
        </w:rPr>
      </w:pPr>
      <w:r w:rsidRPr="00C04B74">
        <w:rPr>
          <w:rFonts w:ascii="Arial" w:hAnsi="Arial" w:cs="Arial"/>
        </w:rPr>
        <w:t>Among such microbial functional genes, the bacterial 5α-reductase gene (</w:t>
      </w:r>
      <w:r w:rsidRPr="00C04B74">
        <w:rPr>
          <w:rFonts w:ascii="Arial" w:hAnsi="Arial" w:cs="Arial"/>
          <w:i/>
          <w:iCs/>
        </w:rPr>
        <w:t>5ar</w:t>
      </w:r>
      <w:r w:rsidRPr="008256EA">
        <w:rPr>
          <w:rFonts w:ascii="Arial" w:hAnsi="Arial" w:cs="Arial"/>
        </w:rPr>
        <w:t>)</w:t>
      </w:r>
      <w:r w:rsidRPr="00C04B74">
        <w:rPr>
          <w:rFonts w:ascii="Arial" w:hAnsi="Arial" w:cs="Arial"/>
        </w:rPr>
        <w:t xml:space="preserve"> involved in tertiary bile acid metabolism has garnered recent attention. Secondary bile acids, including deoxycholic acid and lithocholic acid, are known to promote inflammation in intestinal epithelial cells and contribute to tumor development (Jia et al., 20</w:t>
      </w:r>
      <w:r w:rsidR="001E22B1">
        <w:rPr>
          <w:rFonts w:ascii="Arial" w:hAnsi="Arial" w:cs="Arial"/>
        </w:rPr>
        <w:t>18</w:t>
      </w:r>
      <w:r w:rsidRPr="00C04B74">
        <w:rPr>
          <w:rFonts w:ascii="Arial" w:hAnsi="Arial" w:cs="Arial"/>
        </w:rPr>
        <w:t xml:space="preserve">). Interestingly, microbial metabolism of these bile acids by bacterial 5α-reductase leads to structural conversion from planar-chair to sterically constrained boat-form conformations—recently referred to as tertiary bile acids (Shi et al., 2023). This structural shift is hypothesized to modulate interactions of each compound with its specific host receptors. </w:t>
      </w:r>
      <w:proofErr w:type="spellStart"/>
      <w:r w:rsidRPr="00C04B74">
        <w:rPr>
          <w:rFonts w:ascii="Arial" w:hAnsi="Arial" w:cs="Arial"/>
        </w:rPr>
        <w:t>Isoallolithocholic</w:t>
      </w:r>
      <w:proofErr w:type="spellEnd"/>
      <w:r w:rsidRPr="00C04B74">
        <w:rPr>
          <w:rFonts w:ascii="Arial" w:hAnsi="Arial" w:cs="Arial"/>
        </w:rPr>
        <w:t xml:space="preserve"> acid, a representative 5α-reduced tertiary bile acid, has demonstrated anti-inflammatory properties and occurs at elevated levels in the gut microbiota of centenarians, suggesting a potentially protective role in intestinal homeostasis (Shi et al., 2023; Sato et al., 2021). Consistently, our previous study revealed that abundance of the bacterial </w:t>
      </w:r>
      <w:r w:rsidRPr="00C152E4">
        <w:rPr>
          <w:rFonts w:ascii="Arial" w:hAnsi="Arial" w:cs="Arial"/>
          <w:i/>
          <w:iCs/>
        </w:rPr>
        <w:t xml:space="preserve">5ar </w:t>
      </w:r>
      <w:r w:rsidRPr="00C04B74">
        <w:rPr>
          <w:rFonts w:ascii="Arial" w:hAnsi="Arial" w:cs="Arial"/>
        </w:rPr>
        <w:t>gene significantly decreased in intestinal lavage fluid samples with CRC progression (Fujii et al., 2024). However, intestinal lavage fluid is unsuitable for routine screening due to invasiveness, prompting the need to assess whether these functional changes can also be reliably detected in non-invasive stool samples.</w:t>
      </w:r>
    </w:p>
    <w:p w14:paraId="41570A90" w14:textId="3B03C1CB" w:rsidR="00C04B74" w:rsidRPr="00C04B74" w:rsidRDefault="00C04B74" w:rsidP="00C04B74">
      <w:pPr>
        <w:pStyle w:val="Body"/>
        <w:rPr>
          <w:rFonts w:ascii="Arial" w:hAnsi="Arial" w:cs="Arial"/>
        </w:rPr>
      </w:pPr>
      <w:r w:rsidRPr="00C04B74">
        <w:rPr>
          <w:rFonts w:ascii="Arial" w:hAnsi="Arial" w:cs="Arial"/>
        </w:rPr>
        <w:t xml:space="preserve">Another microbial gene of growing interest is the </w:t>
      </w:r>
      <w:proofErr w:type="spellStart"/>
      <w:r w:rsidRPr="00C04B74">
        <w:rPr>
          <w:rFonts w:ascii="Arial" w:hAnsi="Arial" w:cs="Arial"/>
          <w:i/>
          <w:iCs/>
        </w:rPr>
        <w:t>nanA</w:t>
      </w:r>
      <w:proofErr w:type="spellEnd"/>
      <w:r w:rsidRPr="00C04B74">
        <w:rPr>
          <w:rFonts w:ascii="Arial" w:hAnsi="Arial" w:cs="Arial"/>
          <w:i/>
          <w:iCs/>
        </w:rPr>
        <w:t xml:space="preserve"> </w:t>
      </w:r>
      <w:r w:rsidRPr="00C04B74">
        <w:rPr>
          <w:rFonts w:ascii="Arial" w:hAnsi="Arial" w:cs="Arial"/>
        </w:rPr>
        <w:t xml:space="preserve">gene within the sialic acid-catabolizing </w:t>
      </w:r>
      <w:r w:rsidRPr="00005F0C">
        <w:rPr>
          <w:rFonts w:ascii="Arial" w:hAnsi="Arial" w:cs="Arial"/>
          <w:i/>
          <w:iCs/>
        </w:rPr>
        <w:t>nan</w:t>
      </w:r>
      <w:r w:rsidRPr="00C04B74">
        <w:rPr>
          <w:rFonts w:ascii="Arial" w:hAnsi="Arial" w:cs="Arial"/>
        </w:rPr>
        <w:t xml:space="preserve"> gene cluster. This gene encodes bacterial enzymes responsible for utilizing host-derived sialic acid (N-acetylneuraminic acid) as an energy source. The </w:t>
      </w:r>
      <w:r w:rsidRPr="001C66E0">
        <w:rPr>
          <w:rFonts w:ascii="Arial" w:hAnsi="Arial" w:cs="Arial"/>
          <w:i/>
          <w:iCs/>
        </w:rPr>
        <w:t xml:space="preserve">nan </w:t>
      </w:r>
      <w:r w:rsidRPr="00C04B74">
        <w:rPr>
          <w:rFonts w:ascii="Arial" w:hAnsi="Arial" w:cs="Arial"/>
        </w:rPr>
        <w:t xml:space="preserve">gene cluster has been extensively studied in </w:t>
      </w:r>
      <w:proofErr w:type="spellStart"/>
      <w:r w:rsidR="005E6E90" w:rsidRPr="00B465B4">
        <w:rPr>
          <w:rFonts w:ascii="Arial" w:hAnsi="Arial" w:cs="Arial" w:hint="eastAsia"/>
          <w:i/>
          <w:iCs/>
        </w:rPr>
        <w:t>Mediterraneibacter</w:t>
      </w:r>
      <w:proofErr w:type="spellEnd"/>
      <w:r w:rsidR="005E6E90" w:rsidRPr="00B465B4">
        <w:rPr>
          <w:rFonts w:ascii="Arial" w:hAnsi="Arial" w:cs="Arial" w:hint="eastAsia"/>
          <w:i/>
          <w:iCs/>
        </w:rPr>
        <w:t xml:space="preserve"> </w:t>
      </w:r>
      <w:proofErr w:type="spellStart"/>
      <w:r w:rsidR="005E6E90" w:rsidRPr="00B465B4">
        <w:rPr>
          <w:rFonts w:ascii="Arial" w:hAnsi="Arial" w:cs="Arial" w:hint="eastAsia"/>
          <w:i/>
          <w:iCs/>
        </w:rPr>
        <w:t>gnavus</w:t>
      </w:r>
      <w:proofErr w:type="spellEnd"/>
      <w:r w:rsidR="005E6E90" w:rsidRPr="00B465B4">
        <w:rPr>
          <w:rFonts w:ascii="Arial" w:hAnsi="Arial" w:cs="Arial"/>
          <w:i/>
          <w:iCs/>
        </w:rPr>
        <w:t xml:space="preserve"> </w:t>
      </w:r>
      <w:r w:rsidR="005E6E90">
        <w:rPr>
          <w:rFonts w:ascii="Arial" w:hAnsi="Arial" w:cs="Arial"/>
        </w:rPr>
        <w:t>(</w:t>
      </w:r>
      <w:r w:rsidR="00B465B4" w:rsidRPr="00B465B4">
        <w:rPr>
          <w:rFonts w:ascii="Arial" w:hAnsi="Arial" w:cs="Arial"/>
        </w:rPr>
        <w:t xml:space="preserve">previously </w:t>
      </w:r>
      <w:proofErr w:type="spellStart"/>
      <w:r w:rsidRPr="00C04B74">
        <w:rPr>
          <w:rFonts w:ascii="Arial" w:hAnsi="Arial" w:cs="Arial"/>
          <w:i/>
          <w:iCs/>
        </w:rPr>
        <w:t>Ruminococcus</w:t>
      </w:r>
      <w:proofErr w:type="spellEnd"/>
      <w:r w:rsidRPr="00C04B74">
        <w:rPr>
          <w:rFonts w:ascii="Arial" w:hAnsi="Arial" w:cs="Arial"/>
          <w:i/>
          <w:iCs/>
        </w:rPr>
        <w:t xml:space="preserve"> </w:t>
      </w:r>
      <w:proofErr w:type="spellStart"/>
      <w:r w:rsidRPr="00C04B74">
        <w:rPr>
          <w:rFonts w:ascii="Arial" w:hAnsi="Arial" w:cs="Arial"/>
          <w:i/>
          <w:iCs/>
        </w:rPr>
        <w:t>gnavus</w:t>
      </w:r>
      <w:proofErr w:type="spellEnd"/>
      <w:r w:rsidR="004A1E06" w:rsidRPr="004A1E06">
        <w:rPr>
          <w:rFonts w:ascii="Arial" w:hAnsi="Arial" w:cs="Arial"/>
        </w:rPr>
        <w:t>)</w:t>
      </w:r>
      <w:r w:rsidRPr="00C04B74">
        <w:rPr>
          <w:rFonts w:ascii="Arial" w:hAnsi="Arial" w:cs="Arial"/>
        </w:rPr>
        <w:t xml:space="preserve">, a species frequently enriched in inflammatory bowel diseases (IBD), including ulcerative colitis (UC). Notably, homologous </w:t>
      </w:r>
      <w:r w:rsidRPr="001C66E0">
        <w:rPr>
          <w:rFonts w:ascii="Arial" w:hAnsi="Arial" w:cs="Arial"/>
          <w:i/>
          <w:iCs/>
        </w:rPr>
        <w:t xml:space="preserve">nan </w:t>
      </w:r>
      <w:r w:rsidRPr="00C04B74">
        <w:rPr>
          <w:rFonts w:ascii="Arial" w:hAnsi="Arial" w:cs="Arial"/>
        </w:rPr>
        <w:t xml:space="preserve">clusters are conserved across various gut commensals belonging to </w:t>
      </w:r>
      <w:proofErr w:type="spellStart"/>
      <w:r w:rsidRPr="00C04B74">
        <w:rPr>
          <w:rFonts w:ascii="Arial" w:hAnsi="Arial" w:cs="Arial"/>
        </w:rPr>
        <w:t>Lachnospiraceae</w:t>
      </w:r>
      <w:proofErr w:type="spellEnd"/>
      <w:r w:rsidRPr="00C04B74">
        <w:rPr>
          <w:rFonts w:ascii="Arial" w:hAnsi="Arial" w:cs="Arial"/>
        </w:rPr>
        <w:t xml:space="preserve"> genera, such as</w:t>
      </w:r>
      <w:r w:rsidRPr="00C04B74">
        <w:rPr>
          <w:rFonts w:ascii="Arial" w:hAnsi="Arial" w:cs="Arial"/>
          <w:i/>
          <w:iCs/>
        </w:rPr>
        <w:t xml:space="preserve"> </w:t>
      </w:r>
      <w:proofErr w:type="spellStart"/>
      <w:r w:rsidRPr="00C04B74">
        <w:rPr>
          <w:rFonts w:ascii="Arial" w:hAnsi="Arial" w:cs="Arial"/>
          <w:i/>
          <w:iCs/>
        </w:rPr>
        <w:t>Blautia</w:t>
      </w:r>
      <w:proofErr w:type="spellEnd"/>
      <w:r w:rsidRPr="00C04B74">
        <w:rPr>
          <w:rFonts w:ascii="Arial" w:hAnsi="Arial" w:cs="Arial"/>
        </w:rPr>
        <w:t xml:space="preserve"> and </w:t>
      </w:r>
      <w:proofErr w:type="spellStart"/>
      <w:r w:rsidRPr="00C04B74">
        <w:rPr>
          <w:rFonts w:ascii="Arial" w:hAnsi="Arial" w:cs="Arial"/>
          <w:i/>
          <w:iCs/>
        </w:rPr>
        <w:t>Dorea</w:t>
      </w:r>
      <w:proofErr w:type="spellEnd"/>
      <w:r w:rsidRPr="00C04B74">
        <w:rPr>
          <w:rFonts w:ascii="Arial" w:hAnsi="Arial" w:cs="Arial"/>
        </w:rPr>
        <w:t xml:space="preserve">, suggesting widespread distribution of sialic acid metabolism capabilities in gut microbiota. Elevated </w:t>
      </w:r>
      <w:r w:rsidRPr="000F345F">
        <w:rPr>
          <w:rFonts w:ascii="Arial" w:hAnsi="Arial" w:cs="Arial"/>
          <w:i/>
          <w:iCs/>
        </w:rPr>
        <w:t>nan</w:t>
      </w:r>
      <w:r w:rsidRPr="00C04B74">
        <w:rPr>
          <w:rFonts w:ascii="Arial" w:hAnsi="Arial" w:cs="Arial"/>
        </w:rPr>
        <w:t xml:space="preserve"> gene abundances have been reported in UC, presumably reflecting increased mucus degradation in inflamed mucosal environments (Nagasaka et al., 2024). However, its behavior in the context of colorectal cancer remains poorly understood.</w:t>
      </w:r>
    </w:p>
    <w:p w14:paraId="433D1373" w14:textId="3CDCC210" w:rsidR="00C04B74" w:rsidRPr="00C04B74" w:rsidRDefault="00C04B74" w:rsidP="00C04B74">
      <w:pPr>
        <w:pStyle w:val="Body"/>
        <w:rPr>
          <w:rFonts w:ascii="Arial" w:hAnsi="Arial" w:cs="Arial"/>
        </w:rPr>
      </w:pPr>
      <w:r w:rsidRPr="00C04B74">
        <w:rPr>
          <w:rFonts w:ascii="Arial" w:hAnsi="Arial" w:cs="Arial"/>
        </w:rPr>
        <w:t xml:space="preserve">While most microbiome studies in colorectal cancer research have predominantly focused on gut-derived microbial populations, recent investigations have identified distinct microbial signatures associated with CRC not only in feces but also in saliva samples, suggesting possible interactions between oral and gut microbial communities (Flemer et al., 2018). Such associations may occur via mechanisms including systemic bacterial dissemination or indirect modulation of intestinal microbial ecology through swallowed oral microbiota. However, the potential diagnostic relevance of oral microbial functional genes as biomarkers for non-invasive CRC screening remains largely unexplored. Therefore, evaluating microbial gene markers within saliva samples could uncover novel, clinically relevant microbial signatures and might enhance the </w:t>
      </w:r>
      <w:r w:rsidR="00646644" w:rsidRPr="00646644">
        <w:rPr>
          <w:rFonts w:ascii="Arial" w:hAnsi="Arial" w:cs="Arial"/>
        </w:rPr>
        <w:t>diagnostic potential</w:t>
      </w:r>
      <w:r w:rsidRPr="00646644">
        <w:rPr>
          <w:rFonts w:ascii="Arial" w:hAnsi="Arial" w:cs="Arial"/>
        </w:rPr>
        <w:t xml:space="preserve"> </w:t>
      </w:r>
      <w:r w:rsidRPr="00C04B74">
        <w:rPr>
          <w:rFonts w:ascii="Arial" w:hAnsi="Arial" w:cs="Arial"/>
        </w:rPr>
        <w:t>and comprehensiveness of microbiota-based CRC diagnostics.</w:t>
      </w:r>
    </w:p>
    <w:p w14:paraId="19200B28" w14:textId="30DAC8AF" w:rsidR="00C04B74" w:rsidRPr="00C04B74" w:rsidRDefault="00C04B74" w:rsidP="00C04B74">
      <w:pPr>
        <w:pStyle w:val="Body"/>
        <w:rPr>
          <w:rFonts w:ascii="Arial" w:hAnsi="Arial" w:cs="Arial"/>
        </w:rPr>
      </w:pPr>
      <w:r w:rsidRPr="00C04B74">
        <w:rPr>
          <w:rFonts w:ascii="Arial" w:hAnsi="Arial" w:cs="Arial"/>
        </w:rPr>
        <w:t xml:space="preserve">In summary, this study aimed to: (1) assess the feasibility of </w:t>
      </w:r>
      <w:r w:rsidR="0036740E">
        <w:t>previously reported</w:t>
      </w:r>
      <w:r w:rsidR="0036740E" w:rsidRPr="00C04B74">
        <w:rPr>
          <w:rFonts w:ascii="Arial" w:hAnsi="Arial" w:cs="Arial"/>
        </w:rPr>
        <w:t xml:space="preserve"> </w:t>
      </w:r>
      <w:r w:rsidRPr="00C04B74">
        <w:rPr>
          <w:rFonts w:ascii="Arial" w:hAnsi="Arial" w:cs="Arial"/>
        </w:rPr>
        <w:t>fecal microbial gene</w:t>
      </w:r>
      <w:r w:rsidR="00D15B88">
        <w:rPr>
          <w:rFonts w:ascii="Arial" w:hAnsi="Arial" w:cs="Arial"/>
        </w:rPr>
        <w:t xml:space="preserve"> markers</w:t>
      </w:r>
      <w:r w:rsidRPr="00C04B74">
        <w:rPr>
          <w:rFonts w:ascii="Arial" w:hAnsi="Arial" w:cs="Arial"/>
        </w:rPr>
        <w:t xml:space="preserve"> (</w:t>
      </w:r>
      <w:r w:rsidRPr="00054FDA">
        <w:rPr>
          <w:rFonts w:ascii="Arial" w:hAnsi="Arial" w:cs="Arial"/>
          <w:i/>
          <w:iCs/>
        </w:rPr>
        <w:t xml:space="preserve">5ar </w:t>
      </w:r>
      <w:r w:rsidRPr="00C04B74">
        <w:rPr>
          <w:rFonts w:ascii="Arial" w:hAnsi="Arial" w:cs="Arial"/>
        </w:rPr>
        <w:t xml:space="preserve">and </w:t>
      </w:r>
      <w:r w:rsidRPr="00054FDA">
        <w:rPr>
          <w:rFonts w:ascii="Arial" w:hAnsi="Arial" w:cs="Arial"/>
          <w:i/>
          <w:iCs/>
        </w:rPr>
        <w:t>nan</w:t>
      </w:r>
      <w:r w:rsidRPr="00C04B74">
        <w:rPr>
          <w:rFonts w:ascii="Arial" w:hAnsi="Arial" w:cs="Arial"/>
        </w:rPr>
        <w:t xml:space="preserve">) as non-invasive, rapid, and cost-effective CRC biomarkers, and (2) identify and evaluate additional novel microbial gene markers associated with CRC progression in both gut and oral microbiomes. By integrating biomarker discovery across these distinct microbiome niches, our findings aim to establish a </w:t>
      </w:r>
      <w:r w:rsidR="008F5D01" w:rsidRPr="008F5D01">
        <w:rPr>
          <w:rFonts w:ascii="Arial" w:hAnsi="Arial" w:cs="Arial"/>
        </w:rPr>
        <w:t>comprehensive</w:t>
      </w:r>
      <w:r w:rsidRPr="00C04B74">
        <w:rPr>
          <w:rFonts w:ascii="Arial" w:hAnsi="Arial" w:cs="Arial"/>
        </w:rPr>
        <w:t>, multi-niche microbial diagnostic platform that could facilitate earlier detection, monitoring of precursor lesions such as adenomas, and effective postoperative surveillance in colorectal cancer management.</w:t>
      </w:r>
    </w:p>
    <w:p w14:paraId="6D16277B" w14:textId="77777777" w:rsidR="00790ADA" w:rsidRPr="00FB3A86" w:rsidRDefault="00790ADA" w:rsidP="00441B6F">
      <w:pPr>
        <w:pStyle w:val="Body"/>
        <w:spacing w:after="0"/>
        <w:rPr>
          <w:rFonts w:ascii="Arial" w:hAnsi="Arial" w:cs="Arial"/>
        </w:rPr>
      </w:pPr>
    </w:p>
    <w:p w14:paraId="05F58908" w14:textId="13D0D85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96A83C" w14:textId="77777777" w:rsidR="00790ADA" w:rsidRPr="00FB3A86" w:rsidRDefault="00790ADA" w:rsidP="00441B6F">
      <w:pPr>
        <w:pStyle w:val="AbstHead"/>
        <w:spacing w:after="0"/>
        <w:jc w:val="both"/>
        <w:rPr>
          <w:rFonts w:ascii="Arial" w:hAnsi="Arial" w:cs="Arial"/>
        </w:rPr>
      </w:pPr>
    </w:p>
    <w:p w14:paraId="7BF4AB0D" w14:textId="11D9BE45" w:rsidR="00DA7EE6" w:rsidRPr="00DA7EE6" w:rsidRDefault="00DA7EE6" w:rsidP="00DA7EE6">
      <w:pPr>
        <w:pStyle w:val="Body"/>
        <w:rPr>
          <w:rFonts w:ascii="Arial" w:hAnsi="Arial" w:cs="Arial"/>
        </w:rPr>
      </w:pPr>
      <w:r w:rsidRPr="00C30A0F">
        <w:rPr>
          <w:rFonts w:ascii="Arial" w:hAnsi="Arial" w:cs="Arial"/>
          <w:b/>
          <w:caps/>
          <w:sz w:val="22"/>
        </w:rPr>
        <w:t xml:space="preserve">2.1 </w:t>
      </w:r>
      <w:r w:rsidRPr="00DA7EE6">
        <w:rPr>
          <w:rFonts w:ascii="Arial" w:hAnsi="Arial" w:cs="Arial"/>
          <w:b/>
          <w:sz w:val="22"/>
        </w:rPr>
        <w:t>Patients and sample collection</w:t>
      </w:r>
    </w:p>
    <w:p w14:paraId="024B753F" w14:textId="77777777" w:rsidR="007A33DA" w:rsidRPr="007A33DA" w:rsidRDefault="007A33DA" w:rsidP="007A33DA">
      <w:pPr>
        <w:pStyle w:val="Body"/>
        <w:rPr>
          <w:rFonts w:ascii="Arial" w:hAnsi="Arial" w:cs="Arial"/>
        </w:rPr>
      </w:pPr>
      <w:r w:rsidRPr="007A33DA">
        <w:rPr>
          <w:rFonts w:ascii="Arial" w:hAnsi="Arial" w:cs="Arial"/>
        </w:rPr>
        <w:t>This study was designed as a cross-sectional analysis comparing gut and oral microbiota profiles among healthy individuals, patients with colorectal adenoma, and patients with colorectal carcinoma at a single point in time. Between 2024 and 2025, adult patients who underwent colonoscopy at Fujita Health University Hospital were invited to participate. Due to logistical constraints, eligible participants were enrolled non-consecutively (convenience sampling) depending on investigator availability and patient consent. A total of 84 patients were initially enrolled in this study, comprising 38 diagnosed with colorectal adenoma and 27 with colorectal carcinoma. Eighteen patients who had neither adenoma nor carcinoma (normal mucosa or other gastrointestinal conditions), and one patient who did not undergo endoscopic examination, were excluded from the analysis. Endoscopic examinations were conducted using either an EC-760ZP-V/M colonoscope (Fujifilm Medical, Tokyo, Japan) or a CF-XZ1200I colonoscope (Olympus Medical Systems, Tokyo, Japan), according to guidelines outlined previously (Japanese et al., 2018). All pathological diagnoses were independently confirmed by two pathologists at Fujita Health University.</w:t>
      </w:r>
    </w:p>
    <w:p w14:paraId="3EFD6034" w14:textId="3BC54F6A" w:rsidR="009449C4" w:rsidRPr="007A33DA" w:rsidRDefault="009449C4" w:rsidP="007A33DA">
      <w:pPr>
        <w:pStyle w:val="Body"/>
        <w:rPr>
          <w:rFonts w:ascii="Arial" w:hAnsi="Arial" w:cs="Arial"/>
        </w:rPr>
      </w:pPr>
      <w:r w:rsidRPr="009449C4">
        <w:rPr>
          <w:rFonts w:ascii="Arial" w:hAnsi="Arial" w:cs="Arial"/>
        </w:rPr>
        <w:lastRenderedPageBreak/>
        <w:t xml:space="preserve">For microbial analyses, paired fecal and saliva samples were successfully obtained from all 65 included patients (38 with colorectal adenoma and 27 with colorectal carcinoma). Fecal samples were collected using the FS-0015 collection kit (Techno Suruga Laboratory, Shizuoka, Japan). Saliva samples were collected immediately after waking up using a Saliva Collection Kit (Hangzhou </w:t>
      </w:r>
      <w:proofErr w:type="spellStart"/>
      <w:r w:rsidRPr="009449C4">
        <w:rPr>
          <w:rFonts w:ascii="Arial" w:hAnsi="Arial" w:cs="Arial"/>
        </w:rPr>
        <w:t>Bioer</w:t>
      </w:r>
      <w:proofErr w:type="spellEnd"/>
      <w:r w:rsidRPr="009449C4">
        <w:rPr>
          <w:rFonts w:ascii="Arial" w:hAnsi="Arial" w:cs="Arial"/>
        </w:rPr>
        <w:t xml:space="preserve"> Technology, Hangzhou, China). All samples were stored at 4°C until DNA extraction and subsequent microbiome analyses.</w:t>
      </w:r>
    </w:p>
    <w:p w14:paraId="6E650A69" w14:textId="560179D0" w:rsidR="00DA7EE6" w:rsidRPr="00DA7EE6" w:rsidRDefault="00DA7EE6" w:rsidP="00DA7EE6">
      <w:pPr>
        <w:pStyle w:val="Body"/>
        <w:rPr>
          <w:rFonts w:ascii="Arial" w:hAnsi="Arial" w:cs="Arial"/>
        </w:rPr>
      </w:pPr>
      <w:r w:rsidRPr="00C30A0F">
        <w:rPr>
          <w:rFonts w:ascii="Arial" w:hAnsi="Arial" w:cs="Arial"/>
          <w:b/>
          <w:caps/>
          <w:sz w:val="22"/>
        </w:rPr>
        <w:t>2.</w:t>
      </w:r>
      <w:r w:rsidR="00E27D22">
        <w:rPr>
          <w:rFonts w:ascii="Arial" w:hAnsi="Arial" w:cs="Arial"/>
          <w:b/>
          <w:caps/>
          <w:sz w:val="22"/>
        </w:rPr>
        <w:t>2</w:t>
      </w:r>
      <w:r w:rsidRPr="00DA7EE6">
        <w:rPr>
          <w:rFonts w:ascii="Arial" w:hAnsi="Arial" w:cs="Arial"/>
          <w:b/>
          <w:caps/>
          <w:sz w:val="22"/>
          <w:szCs w:val="22"/>
        </w:rPr>
        <w:t xml:space="preserve"> </w:t>
      </w:r>
      <w:r w:rsidRPr="00DA7EE6">
        <w:rPr>
          <w:rFonts w:ascii="Arial" w:hAnsi="Arial" w:cs="Arial"/>
          <w:b/>
          <w:sz w:val="22"/>
          <w:szCs w:val="22"/>
        </w:rPr>
        <w:t>Healthy control individuals and sample collection</w:t>
      </w:r>
    </w:p>
    <w:p w14:paraId="6BD42392" w14:textId="059D296E" w:rsidR="00487F80" w:rsidRPr="00487F80" w:rsidRDefault="00487F80" w:rsidP="00487F80">
      <w:pPr>
        <w:pStyle w:val="Body"/>
        <w:rPr>
          <w:rFonts w:ascii="Arial" w:hAnsi="Arial" w:cs="Arial"/>
        </w:rPr>
      </w:pPr>
      <w:r w:rsidRPr="00487F80">
        <w:rPr>
          <w:rFonts w:ascii="Arial" w:hAnsi="Arial" w:cs="Arial"/>
        </w:rPr>
        <w:t>Healthy controls aged over 50 years were recruited by open calls for volunteers (participants who expressed interest). For fecal sample collection, 65 individuals participated, and for saliva sample collection, 34 individuals were included. All controls had no history of gastrointestinal diseases and had not used antibiotics within one week prior to sample collection. Samples were collected according to the protocol described above.</w:t>
      </w:r>
    </w:p>
    <w:p w14:paraId="56C7CDA0" w14:textId="291B5B45" w:rsidR="00DA7EE6" w:rsidRPr="00DA7EE6" w:rsidRDefault="00E27D22" w:rsidP="00DA7EE6">
      <w:pPr>
        <w:pStyle w:val="Body"/>
        <w:rPr>
          <w:rFonts w:ascii="Arial" w:hAnsi="Arial" w:cs="Arial"/>
          <w:b/>
          <w:bCs/>
          <w:sz w:val="22"/>
          <w:szCs w:val="22"/>
        </w:rPr>
      </w:pPr>
      <w:r w:rsidRPr="00C30A0F">
        <w:rPr>
          <w:rFonts w:ascii="Arial" w:hAnsi="Arial" w:cs="Arial"/>
          <w:b/>
          <w:caps/>
          <w:sz w:val="22"/>
        </w:rPr>
        <w:t>2.</w:t>
      </w:r>
      <w:r>
        <w:rPr>
          <w:rFonts w:ascii="Arial" w:hAnsi="Arial" w:cs="Arial"/>
          <w:b/>
          <w:caps/>
          <w:sz w:val="22"/>
        </w:rPr>
        <w:t>3</w:t>
      </w:r>
      <w:r w:rsidRPr="00E27D22">
        <w:rPr>
          <w:rFonts w:ascii="Arial" w:hAnsi="Arial" w:cs="Arial"/>
          <w:b/>
          <w:bCs/>
          <w:caps/>
          <w:sz w:val="22"/>
          <w:szCs w:val="22"/>
        </w:rPr>
        <w:t xml:space="preserve"> </w:t>
      </w:r>
      <w:r w:rsidR="00DA7EE6" w:rsidRPr="00DA7EE6">
        <w:rPr>
          <w:rFonts w:ascii="Arial" w:hAnsi="Arial" w:cs="Arial"/>
          <w:b/>
          <w:bCs/>
          <w:sz w:val="22"/>
          <w:szCs w:val="22"/>
        </w:rPr>
        <w:t>16S rRNA gene next-generation sequencing of fecal DNA samples</w:t>
      </w:r>
    </w:p>
    <w:p w14:paraId="4A285BCD" w14:textId="77777777" w:rsidR="00DA7EE6" w:rsidRPr="00DA7EE6" w:rsidRDefault="00DA7EE6" w:rsidP="00DA7EE6">
      <w:pPr>
        <w:pStyle w:val="Body"/>
        <w:rPr>
          <w:rFonts w:ascii="Arial" w:hAnsi="Arial" w:cs="Arial"/>
        </w:rPr>
      </w:pPr>
      <w:r w:rsidRPr="00DA7EE6">
        <w:rPr>
          <w:rFonts w:ascii="Arial" w:hAnsi="Arial" w:cs="Arial"/>
        </w:rPr>
        <w:t xml:space="preserve">The 16S rRNA gene next-generation sequencing (NGS) of DNA samples was performed following a previously described protocol (Fujii et al., 2024). Briefly, DNA was extracted from fecal and saliva samples using the </w:t>
      </w:r>
      <w:proofErr w:type="spellStart"/>
      <w:r w:rsidRPr="00DA7EE6">
        <w:rPr>
          <w:rFonts w:ascii="Arial" w:hAnsi="Arial" w:cs="Arial"/>
        </w:rPr>
        <w:t>QIAamp</w:t>
      </w:r>
      <w:proofErr w:type="spellEnd"/>
      <w:r w:rsidRPr="00DA7EE6">
        <w:rPr>
          <w:rFonts w:ascii="Arial" w:hAnsi="Arial" w:cs="Arial"/>
        </w:rPr>
        <w:t xml:space="preserve"> DNA Stool Mini Kit (QIAGEN, Venlo, The Netherlands), following the manufacturer’s instructions. A primer set comprising Pro341F and Pro805R targeting the V3–V4 region of the bacterial 16S rRNA gene was used for PCR (Takahashi et al., 2014). The 16S rRNA gene NGS was conducted at the Bioengineering Lab Co., Ltd. (Sagamihara, Japan). Paired-end sequencing (2 × 300 bp) was performed using the </w:t>
      </w:r>
      <w:proofErr w:type="spellStart"/>
      <w:r w:rsidRPr="00DA7EE6">
        <w:rPr>
          <w:rFonts w:ascii="Arial" w:hAnsi="Arial" w:cs="Arial"/>
        </w:rPr>
        <w:t>MiSeq</w:t>
      </w:r>
      <w:proofErr w:type="spellEnd"/>
      <w:r w:rsidRPr="00DA7EE6">
        <w:rPr>
          <w:rFonts w:ascii="Arial" w:hAnsi="Arial" w:cs="Arial"/>
        </w:rPr>
        <w:t xml:space="preserve"> platform (Illumina, San Diego, CA, USA), as described previously (Fukuda et al., 2022). The data output from the </w:t>
      </w:r>
      <w:proofErr w:type="spellStart"/>
      <w:r w:rsidRPr="00DA7EE6">
        <w:rPr>
          <w:rFonts w:ascii="Arial" w:hAnsi="Arial" w:cs="Arial"/>
        </w:rPr>
        <w:t>MiSeq</w:t>
      </w:r>
      <w:proofErr w:type="spellEnd"/>
      <w:r w:rsidRPr="00DA7EE6">
        <w:rPr>
          <w:rFonts w:ascii="Arial" w:hAnsi="Arial" w:cs="Arial"/>
        </w:rPr>
        <w:t xml:space="preserve"> sequencing system was processed, statistically analyzed, and graphed using the </w:t>
      </w:r>
      <w:proofErr w:type="spellStart"/>
      <w:r w:rsidRPr="00DA7EE6">
        <w:rPr>
          <w:rFonts w:ascii="Arial" w:hAnsi="Arial" w:cs="Arial"/>
        </w:rPr>
        <w:t>EzBioCloud</w:t>
      </w:r>
      <w:proofErr w:type="spellEnd"/>
      <w:r w:rsidRPr="00DA7EE6">
        <w:rPr>
          <w:rFonts w:ascii="Arial" w:hAnsi="Arial" w:cs="Arial"/>
        </w:rPr>
        <w:t xml:space="preserve"> 16S database PKSSU version 5.0 and 16S microbiome pipeline provided by </w:t>
      </w:r>
      <w:proofErr w:type="spellStart"/>
      <w:r w:rsidRPr="00DA7EE6">
        <w:rPr>
          <w:rFonts w:ascii="Arial" w:hAnsi="Arial" w:cs="Arial"/>
        </w:rPr>
        <w:t>ChunLab</w:t>
      </w:r>
      <w:proofErr w:type="spellEnd"/>
      <w:r w:rsidRPr="00DA7EE6">
        <w:rPr>
          <w:rFonts w:ascii="Arial" w:hAnsi="Arial" w:cs="Arial"/>
        </w:rPr>
        <w:t xml:space="preserve"> Inc. (</w:t>
      </w:r>
      <w:proofErr w:type="spellStart"/>
      <w:r w:rsidRPr="00DA7EE6">
        <w:rPr>
          <w:rFonts w:ascii="Arial" w:hAnsi="Arial" w:cs="Arial"/>
        </w:rPr>
        <w:t>EzBioCloud</w:t>
      </w:r>
      <w:proofErr w:type="spellEnd"/>
      <w:r w:rsidRPr="00DA7EE6">
        <w:rPr>
          <w:rFonts w:ascii="Arial" w:hAnsi="Arial" w:cs="Arial"/>
        </w:rPr>
        <w:t xml:space="preserve"> 16S-based MTP app, available at https://www.EZbiocloud.net) (Yoon et al., 2017). Shannon diversity index was used to assess the alpha diversity. Beta diversity, which reflects the overall phylogenetic distances among groups, was estimated using the Generalized </w:t>
      </w:r>
      <w:proofErr w:type="spellStart"/>
      <w:r w:rsidRPr="00DA7EE6">
        <w:rPr>
          <w:rFonts w:ascii="Arial" w:hAnsi="Arial" w:cs="Arial"/>
        </w:rPr>
        <w:t>UniFrac</w:t>
      </w:r>
      <w:proofErr w:type="spellEnd"/>
      <w:r w:rsidRPr="00DA7EE6">
        <w:rPr>
          <w:rFonts w:ascii="Arial" w:hAnsi="Arial" w:cs="Arial"/>
        </w:rPr>
        <w:t xml:space="preserve"> distance and visualized via principal coordinate analysis (</w:t>
      </w:r>
      <w:proofErr w:type="spellStart"/>
      <w:r w:rsidRPr="00DA7EE6">
        <w:rPr>
          <w:rFonts w:ascii="Arial" w:hAnsi="Arial" w:cs="Arial"/>
        </w:rPr>
        <w:t>PCoA</w:t>
      </w:r>
      <w:proofErr w:type="spellEnd"/>
      <w:r w:rsidRPr="00DA7EE6">
        <w:rPr>
          <w:rFonts w:ascii="Arial" w:hAnsi="Arial" w:cs="Arial"/>
        </w:rPr>
        <w:t>). Differences in alpha and beta diversity between the groups were tested using the Wilcoxon rank-sum test and permutational multivariate analysis of variance (PERMANOVA) with 9999 permutations, respectively. Potential biomarkers distinguishing each group were identified using the linear discriminant analysis effect size (</w:t>
      </w:r>
      <w:proofErr w:type="spellStart"/>
      <w:r w:rsidRPr="00DA7EE6">
        <w:rPr>
          <w:rFonts w:ascii="Arial" w:hAnsi="Arial" w:cs="Arial"/>
        </w:rPr>
        <w:t>LEfSe</w:t>
      </w:r>
      <w:proofErr w:type="spellEnd"/>
      <w:r w:rsidRPr="00DA7EE6">
        <w:rPr>
          <w:rFonts w:ascii="Arial" w:hAnsi="Arial" w:cs="Arial"/>
        </w:rPr>
        <w:t xml:space="preserve">) algorithm, following the default parameters. The analysis used thresholds of </w:t>
      </w:r>
      <w:r w:rsidRPr="0080448F">
        <w:rPr>
          <w:rFonts w:ascii="Arial" w:hAnsi="Arial" w:cs="Arial"/>
          <w:i/>
          <w:iCs/>
        </w:rPr>
        <w:t>P</w:t>
      </w:r>
      <w:r w:rsidRPr="00DA7EE6">
        <w:rPr>
          <w:rFonts w:ascii="Arial" w:hAnsi="Arial" w:cs="Arial"/>
        </w:rPr>
        <w:t xml:space="preserve"> &lt; 0.05 and |LDA effect size| &gt; 3.5.</w:t>
      </w:r>
    </w:p>
    <w:p w14:paraId="095697CD" w14:textId="237938BF" w:rsidR="00DA7EE6" w:rsidRPr="00DA7EE6" w:rsidRDefault="00245F8A" w:rsidP="00DA7EE6">
      <w:pPr>
        <w:pStyle w:val="Body"/>
        <w:rPr>
          <w:rFonts w:ascii="Arial" w:hAnsi="Arial" w:cs="Arial"/>
          <w:sz w:val="22"/>
          <w:szCs w:val="22"/>
        </w:rPr>
      </w:pPr>
      <w:r w:rsidRPr="00245F8A">
        <w:rPr>
          <w:rFonts w:ascii="Arial" w:hAnsi="Arial" w:cs="Arial"/>
          <w:b/>
          <w:sz w:val="22"/>
          <w:szCs w:val="22"/>
        </w:rPr>
        <w:t xml:space="preserve">2.4 </w:t>
      </w:r>
      <w:r w:rsidR="00DA7EE6" w:rsidRPr="00DA7EE6">
        <w:rPr>
          <w:rFonts w:ascii="Arial" w:hAnsi="Arial" w:cs="Arial"/>
          <w:b/>
          <w:sz w:val="22"/>
          <w:szCs w:val="22"/>
        </w:rPr>
        <w:t>Primer design</w:t>
      </w:r>
    </w:p>
    <w:p w14:paraId="55B2BC92" w14:textId="7C576CF0" w:rsidR="00DA7EE6" w:rsidRPr="00DA7EE6" w:rsidRDefault="00DA7EE6" w:rsidP="00DA7EE6">
      <w:pPr>
        <w:pStyle w:val="Body"/>
        <w:rPr>
          <w:rFonts w:ascii="Arial" w:hAnsi="Arial" w:cs="Arial"/>
          <w:lang w:eastAsia="ja-JP"/>
        </w:rPr>
      </w:pPr>
      <w:r w:rsidRPr="00DA7EE6">
        <w:rPr>
          <w:rFonts w:ascii="Arial" w:hAnsi="Arial" w:cs="Arial"/>
        </w:rPr>
        <w:t xml:space="preserve">To identify homologs of the </w:t>
      </w:r>
      <w:r w:rsidRPr="00DA7EE6">
        <w:rPr>
          <w:rFonts w:ascii="Arial" w:hAnsi="Arial" w:cs="Arial"/>
          <w:i/>
          <w:iCs/>
        </w:rPr>
        <w:t xml:space="preserve">Fusobacterium </w:t>
      </w:r>
      <w:proofErr w:type="spellStart"/>
      <w:r w:rsidRPr="00DA7EE6">
        <w:rPr>
          <w:rFonts w:ascii="Arial" w:hAnsi="Arial" w:cs="Arial"/>
          <w:i/>
          <w:iCs/>
        </w:rPr>
        <w:t>periodonticum</w:t>
      </w:r>
      <w:proofErr w:type="spellEnd"/>
      <w:r w:rsidRPr="00DA7EE6">
        <w:rPr>
          <w:rFonts w:ascii="Arial" w:hAnsi="Arial" w:cs="Arial"/>
          <w:i/>
          <w:iCs/>
        </w:rPr>
        <w:t xml:space="preserve"> </w:t>
      </w:r>
      <w:r w:rsidRPr="00DA7EE6">
        <w:rPr>
          <w:rFonts w:ascii="Arial" w:hAnsi="Arial" w:cs="Arial"/>
        </w:rPr>
        <w:t>tyrosine phenol lyase gene (</w:t>
      </w:r>
      <w:proofErr w:type="spellStart"/>
      <w:r w:rsidRPr="00DA7EE6">
        <w:rPr>
          <w:rFonts w:ascii="Arial" w:hAnsi="Arial" w:cs="Arial"/>
          <w:i/>
          <w:iCs/>
        </w:rPr>
        <w:t>tpl</w:t>
      </w:r>
      <w:proofErr w:type="spellEnd"/>
      <w:r w:rsidRPr="00DA7EE6">
        <w:rPr>
          <w:rFonts w:ascii="Arial" w:hAnsi="Arial" w:cs="Arial"/>
        </w:rPr>
        <w:t xml:space="preserve">), </w:t>
      </w:r>
      <w:proofErr w:type="spellStart"/>
      <w:r w:rsidRPr="00DA7EE6">
        <w:rPr>
          <w:rFonts w:ascii="Arial" w:hAnsi="Arial" w:cs="Arial"/>
        </w:rPr>
        <w:t>BLASTp</w:t>
      </w:r>
      <w:proofErr w:type="spellEnd"/>
      <w:r w:rsidRPr="00DA7EE6">
        <w:rPr>
          <w:rFonts w:ascii="Arial" w:hAnsi="Arial" w:cs="Arial"/>
        </w:rPr>
        <w:t xml:space="preserve"> (version 2.16.0) was used to search against the amino acid sequence of the tyrosine phenol lyase protein from </w:t>
      </w:r>
      <w:r w:rsidRPr="00DA7EE6">
        <w:rPr>
          <w:rFonts w:ascii="Arial" w:hAnsi="Arial" w:cs="Arial"/>
          <w:i/>
          <w:iCs/>
        </w:rPr>
        <w:t xml:space="preserve">F. </w:t>
      </w:r>
      <w:proofErr w:type="spellStart"/>
      <w:r w:rsidRPr="00DA7EE6">
        <w:rPr>
          <w:rFonts w:ascii="Arial" w:hAnsi="Arial" w:cs="Arial"/>
          <w:i/>
          <w:iCs/>
        </w:rPr>
        <w:t>periodonticum</w:t>
      </w:r>
      <w:proofErr w:type="spellEnd"/>
      <w:r w:rsidRPr="00DA7EE6">
        <w:rPr>
          <w:rFonts w:ascii="Arial" w:hAnsi="Arial" w:cs="Arial"/>
        </w:rPr>
        <w:t xml:space="preserve"> ATCC 33693, available on GenBank under accession number EFE87107.1. This search was conducted using the National Center for Biotechnology Information (NCBI) website (accessed on January 24, 2025). Ten homologous amino acid sequences were retrieved, including eight from various </w:t>
      </w:r>
      <w:r w:rsidRPr="00DA7EE6">
        <w:rPr>
          <w:rFonts w:ascii="Arial" w:hAnsi="Arial" w:cs="Arial"/>
          <w:i/>
          <w:iCs/>
        </w:rPr>
        <w:t xml:space="preserve">F. </w:t>
      </w:r>
      <w:proofErr w:type="spellStart"/>
      <w:r w:rsidRPr="00DA7EE6">
        <w:rPr>
          <w:rFonts w:ascii="Arial" w:hAnsi="Arial" w:cs="Arial"/>
          <w:i/>
          <w:iCs/>
        </w:rPr>
        <w:t>periodonticum</w:t>
      </w:r>
      <w:proofErr w:type="spellEnd"/>
      <w:r w:rsidRPr="00DA7EE6">
        <w:rPr>
          <w:rFonts w:ascii="Arial" w:hAnsi="Arial" w:cs="Arial"/>
        </w:rPr>
        <w:t xml:space="preserve"> strains and two from </w:t>
      </w:r>
      <w:r w:rsidRPr="00DA7EE6">
        <w:rPr>
          <w:rFonts w:ascii="Arial" w:hAnsi="Arial" w:cs="Arial"/>
          <w:i/>
          <w:iCs/>
        </w:rPr>
        <w:t xml:space="preserve">Fusobacterium </w:t>
      </w:r>
      <w:proofErr w:type="spellStart"/>
      <w:r w:rsidRPr="00DA7EE6">
        <w:rPr>
          <w:rFonts w:ascii="Arial" w:hAnsi="Arial" w:cs="Arial"/>
          <w:i/>
          <w:iCs/>
        </w:rPr>
        <w:t>nucleatum</w:t>
      </w:r>
      <w:proofErr w:type="spellEnd"/>
      <w:r w:rsidRPr="00DA7EE6">
        <w:rPr>
          <w:rFonts w:ascii="Arial" w:hAnsi="Arial" w:cs="Arial"/>
        </w:rPr>
        <w:t xml:space="preserve">. These sequences were aligned using MAFFT for multiple sequence alignment, which is available on the </w:t>
      </w:r>
      <w:proofErr w:type="spellStart"/>
      <w:r w:rsidRPr="00DA7EE6">
        <w:rPr>
          <w:rFonts w:ascii="Arial" w:hAnsi="Arial" w:cs="Arial"/>
        </w:rPr>
        <w:t>GenomeNet</w:t>
      </w:r>
      <w:proofErr w:type="spellEnd"/>
      <w:r w:rsidRPr="00DA7EE6">
        <w:rPr>
          <w:rFonts w:ascii="Arial" w:hAnsi="Arial" w:cs="Arial"/>
        </w:rPr>
        <w:t xml:space="preserve"> website (</w:t>
      </w:r>
      <w:proofErr w:type="spellStart"/>
      <w:r w:rsidRPr="00DA7EE6">
        <w:rPr>
          <w:rFonts w:ascii="Arial" w:hAnsi="Arial" w:cs="Arial"/>
        </w:rPr>
        <w:t>GenomeNet</w:t>
      </w:r>
      <w:proofErr w:type="spellEnd"/>
      <w:r w:rsidRPr="00DA7EE6">
        <w:rPr>
          <w:rFonts w:ascii="Arial" w:hAnsi="Arial" w:cs="Arial"/>
        </w:rPr>
        <w:t>; accessed on January 5, 2025).</w:t>
      </w:r>
      <w:r w:rsidR="00C33F71">
        <w:rPr>
          <w:rFonts w:ascii="Arial" w:hAnsi="Arial" w:cs="Arial"/>
        </w:rPr>
        <w:t xml:space="preserve"> </w:t>
      </w:r>
      <w:r w:rsidRPr="00DA7EE6">
        <w:rPr>
          <w:rFonts w:ascii="Arial" w:hAnsi="Arial" w:cs="Arial"/>
        </w:rPr>
        <w:t xml:space="preserve">Based on the conserved regions identified in </w:t>
      </w:r>
      <w:r w:rsidRPr="00DA7EE6">
        <w:rPr>
          <w:rFonts w:ascii="Arial" w:hAnsi="Arial" w:cs="Arial"/>
          <w:i/>
          <w:iCs/>
        </w:rPr>
        <w:t xml:space="preserve">F. </w:t>
      </w:r>
      <w:proofErr w:type="spellStart"/>
      <w:r w:rsidRPr="00DA7EE6">
        <w:rPr>
          <w:rFonts w:ascii="Arial" w:hAnsi="Arial" w:cs="Arial"/>
          <w:i/>
          <w:iCs/>
        </w:rPr>
        <w:t>periodonticum</w:t>
      </w:r>
      <w:proofErr w:type="spellEnd"/>
      <w:r w:rsidRPr="00DA7EE6">
        <w:rPr>
          <w:rFonts w:ascii="Arial" w:hAnsi="Arial" w:cs="Arial"/>
        </w:rPr>
        <w:t xml:space="preserve"> (but not in </w:t>
      </w:r>
      <w:r w:rsidRPr="00DA7EE6">
        <w:rPr>
          <w:rFonts w:ascii="Arial" w:hAnsi="Arial" w:cs="Arial"/>
          <w:i/>
          <w:iCs/>
        </w:rPr>
        <w:t xml:space="preserve">F. </w:t>
      </w:r>
      <w:proofErr w:type="spellStart"/>
      <w:r w:rsidRPr="00DA7EE6">
        <w:rPr>
          <w:rFonts w:ascii="Arial" w:hAnsi="Arial" w:cs="Arial"/>
          <w:i/>
          <w:iCs/>
        </w:rPr>
        <w:t>nucleatum</w:t>
      </w:r>
      <w:proofErr w:type="spellEnd"/>
      <w:r w:rsidRPr="00DA7EE6">
        <w:rPr>
          <w:rFonts w:ascii="Arial" w:hAnsi="Arial" w:cs="Arial"/>
        </w:rPr>
        <w:t xml:space="preserve">), a specific primer set was designed to amplify the </w:t>
      </w:r>
      <w:proofErr w:type="spellStart"/>
      <w:r w:rsidRPr="00DA7EE6">
        <w:rPr>
          <w:rFonts w:ascii="Arial" w:hAnsi="Arial" w:cs="Arial"/>
          <w:i/>
          <w:iCs/>
        </w:rPr>
        <w:t>tpl</w:t>
      </w:r>
      <w:proofErr w:type="spellEnd"/>
      <w:r w:rsidRPr="00DA7EE6">
        <w:rPr>
          <w:rFonts w:ascii="Arial" w:hAnsi="Arial" w:cs="Arial"/>
          <w:i/>
          <w:iCs/>
        </w:rPr>
        <w:t xml:space="preserve"> </w:t>
      </w:r>
      <w:r w:rsidRPr="00DA7EE6">
        <w:rPr>
          <w:rFonts w:ascii="Arial" w:hAnsi="Arial" w:cs="Arial"/>
        </w:rPr>
        <w:t xml:space="preserve">gene of </w:t>
      </w:r>
      <w:r w:rsidRPr="00DA7EE6">
        <w:rPr>
          <w:rFonts w:ascii="Arial" w:hAnsi="Arial" w:cs="Arial"/>
          <w:i/>
          <w:iCs/>
        </w:rPr>
        <w:t xml:space="preserve">F. </w:t>
      </w:r>
      <w:proofErr w:type="spellStart"/>
      <w:r w:rsidRPr="00DA7EE6">
        <w:rPr>
          <w:rFonts w:ascii="Arial" w:hAnsi="Arial" w:cs="Arial"/>
          <w:i/>
          <w:iCs/>
        </w:rPr>
        <w:t>periodonticum</w:t>
      </w:r>
      <w:proofErr w:type="spellEnd"/>
      <w:r w:rsidRPr="00DA7EE6">
        <w:rPr>
          <w:rFonts w:ascii="Arial" w:hAnsi="Arial" w:cs="Arial"/>
        </w:rPr>
        <w:t xml:space="preserve"> (</w:t>
      </w:r>
      <w:r w:rsidR="003E684B">
        <w:rPr>
          <w:rFonts w:ascii="Arial" w:hAnsi="Arial" w:cs="Arial"/>
        </w:rPr>
        <w:t xml:space="preserve">Supplementary </w:t>
      </w:r>
      <w:r w:rsidRPr="00DA7EE6">
        <w:rPr>
          <w:rFonts w:ascii="Arial" w:hAnsi="Arial" w:cs="Arial"/>
        </w:rPr>
        <w:t xml:space="preserve">Figure 1). The target regions of the primers were located at approximately 752–783 and 870–895 bp within the </w:t>
      </w:r>
      <w:proofErr w:type="spellStart"/>
      <w:r w:rsidRPr="00DA7EE6">
        <w:rPr>
          <w:rFonts w:ascii="Arial" w:hAnsi="Arial" w:cs="Arial"/>
          <w:i/>
          <w:iCs/>
        </w:rPr>
        <w:t>tpl</w:t>
      </w:r>
      <w:proofErr w:type="spellEnd"/>
      <w:r w:rsidRPr="00DA7EE6">
        <w:rPr>
          <w:rFonts w:ascii="Arial" w:hAnsi="Arial" w:cs="Arial"/>
          <w:i/>
          <w:iCs/>
        </w:rPr>
        <w:t xml:space="preserve"> </w:t>
      </w:r>
      <w:r w:rsidRPr="00DA7EE6">
        <w:rPr>
          <w:rFonts w:ascii="Arial" w:hAnsi="Arial" w:cs="Arial"/>
        </w:rPr>
        <w:t xml:space="preserve">gene sequence of </w:t>
      </w:r>
      <w:r w:rsidRPr="00DA7EE6">
        <w:rPr>
          <w:rFonts w:ascii="Arial" w:hAnsi="Arial" w:cs="Arial"/>
          <w:i/>
          <w:iCs/>
        </w:rPr>
        <w:t xml:space="preserve">F. </w:t>
      </w:r>
      <w:proofErr w:type="spellStart"/>
      <w:r w:rsidRPr="00DA7EE6">
        <w:rPr>
          <w:rFonts w:ascii="Arial" w:hAnsi="Arial" w:cs="Arial"/>
          <w:i/>
          <w:iCs/>
        </w:rPr>
        <w:t>periodonticum</w:t>
      </w:r>
      <w:proofErr w:type="spellEnd"/>
      <w:r w:rsidRPr="00DA7EE6">
        <w:rPr>
          <w:rFonts w:ascii="Arial" w:hAnsi="Arial" w:cs="Arial"/>
          <w:i/>
          <w:iCs/>
        </w:rPr>
        <w:t xml:space="preserve"> </w:t>
      </w:r>
      <w:r w:rsidRPr="00DA7EE6">
        <w:rPr>
          <w:rFonts w:ascii="Arial" w:hAnsi="Arial" w:cs="Arial"/>
        </w:rPr>
        <w:t>ATCC 33693.</w:t>
      </w:r>
    </w:p>
    <w:p w14:paraId="44F91869" w14:textId="2F581104" w:rsidR="00DA7EE6" w:rsidRPr="00DA7EE6" w:rsidRDefault="00262D4C" w:rsidP="00DA7EE6">
      <w:pPr>
        <w:pStyle w:val="Body"/>
        <w:rPr>
          <w:rFonts w:ascii="Arial" w:hAnsi="Arial" w:cs="Arial"/>
        </w:rPr>
      </w:pPr>
      <w:r w:rsidRPr="00245F8A">
        <w:rPr>
          <w:rFonts w:ascii="Arial" w:hAnsi="Arial" w:cs="Arial"/>
          <w:b/>
          <w:sz w:val="22"/>
          <w:szCs w:val="22"/>
        </w:rPr>
        <w:t>2.</w:t>
      </w:r>
      <w:r w:rsidR="00482F98">
        <w:rPr>
          <w:rFonts w:ascii="Arial" w:hAnsi="Arial" w:cs="Arial"/>
          <w:b/>
          <w:sz w:val="22"/>
          <w:szCs w:val="22"/>
        </w:rPr>
        <w:t>5</w:t>
      </w:r>
      <w:r w:rsidRPr="00262D4C">
        <w:rPr>
          <w:rFonts w:ascii="Arial" w:hAnsi="Arial" w:cs="Arial"/>
          <w:b/>
          <w:sz w:val="22"/>
          <w:szCs w:val="22"/>
        </w:rPr>
        <w:t xml:space="preserve"> </w:t>
      </w:r>
      <w:r w:rsidR="00DA7EE6" w:rsidRPr="00DA7EE6">
        <w:rPr>
          <w:rFonts w:ascii="Arial" w:hAnsi="Arial" w:cs="Arial"/>
          <w:b/>
          <w:sz w:val="22"/>
          <w:szCs w:val="22"/>
        </w:rPr>
        <w:t>qPCR Analysis</w:t>
      </w:r>
    </w:p>
    <w:p w14:paraId="232A5926" w14:textId="192BB9CE" w:rsidR="00DA7EE6" w:rsidRPr="00DA7EE6" w:rsidRDefault="00DA7EE6" w:rsidP="00DA7EE6">
      <w:pPr>
        <w:pStyle w:val="Body"/>
        <w:rPr>
          <w:rFonts w:ascii="Arial" w:hAnsi="Arial" w:cs="Arial"/>
        </w:rPr>
      </w:pPr>
      <w:r w:rsidRPr="00DA7EE6">
        <w:rPr>
          <w:rFonts w:ascii="Arial" w:hAnsi="Arial" w:cs="Arial"/>
        </w:rPr>
        <w:t xml:space="preserve">The abundances of </w:t>
      </w:r>
      <w:r w:rsidRPr="00DA7EE6">
        <w:rPr>
          <w:rFonts w:ascii="Arial" w:hAnsi="Arial" w:cs="Arial"/>
          <w:i/>
          <w:iCs/>
        </w:rPr>
        <w:t>5ar</w:t>
      </w:r>
      <w:r w:rsidRPr="00DA7EE6">
        <w:rPr>
          <w:rFonts w:ascii="Arial" w:hAnsi="Arial" w:cs="Arial"/>
        </w:rPr>
        <w:t xml:space="preserve">, </w:t>
      </w:r>
      <w:r w:rsidRPr="00DA7EE6">
        <w:rPr>
          <w:rFonts w:ascii="Arial" w:hAnsi="Arial" w:cs="Arial"/>
          <w:i/>
          <w:iCs/>
        </w:rPr>
        <w:t>nan</w:t>
      </w:r>
      <w:r w:rsidRPr="00DA7EE6">
        <w:rPr>
          <w:rFonts w:ascii="Arial" w:hAnsi="Arial" w:cs="Arial"/>
        </w:rPr>
        <w:t xml:space="preserve">, </w:t>
      </w:r>
      <w:proofErr w:type="spellStart"/>
      <w:r w:rsidRPr="00DA7EE6">
        <w:rPr>
          <w:rFonts w:ascii="Arial" w:hAnsi="Arial" w:cs="Arial"/>
          <w:i/>
          <w:iCs/>
        </w:rPr>
        <w:t>Fusicatenibacter</w:t>
      </w:r>
      <w:proofErr w:type="spellEnd"/>
      <w:r w:rsidRPr="00DA7EE6">
        <w:rPr>
          <w:rFonts w:ascii="Arial" w:hAnsi="Arial" w:cs="Arial"/>
          <w:i/>
          <w:iCs/>
        </w:rPr>
        <w:t xml:space="preserve"> </w:t>
      </w:r>
      <w:proofErr w:type="spellStart"/>
      <w:r w:rsidRPr="00DA7EE6">
        <w:rPr>
          <w:rFonts w:ascii="Arial" w:hAnsi="Arial" w:cs="Arial"/>
          <w:i/>
          <w:iCs/>
        </w:rPr>
        <w:t>saccharivorans</w:t>
      </w:r>
      <w:proofErr w:type="spellEnd"/>
      <w:r w:rsidRPr="00DA7EE6">
        <w:rPr>
          <w:rFonts w:ascii="Arial" w:hAnsi="Arial" w:cs="Arial"/>
          <w:i/>
          <w:iCs/>
        </w:rPr>
        <w:t xml:space="preserve"> </w:t>
      </w:r>
      <w:r w:rsidRPr="00DA7EE6">
        <w:rPr>
          <w:rFonts w:ascii="Arial" w:hAnsi="Arial" w:cs="Arial"/>
        </w:rPr>
        <w:t>16S rRNA gene (</w:t>
      </w:r>
      <w:r w:rsidR="00262D4C" w:rsidRPr="00262D4C">
        <w:rPr>
          <w:rFonts w:ascii="Arial" w:hAnsi="Arial" w:cs="Arial"/>
          <w:i/>
          <w:iCs/>
        </w:rPr>
        <w:t>fs</w:t>
      </w:r>
      <w:r w:rsidRPr="00DA7EE6">
        <w:rPr>
          <w:rFonts w:ascii="Arial" w:hAnsi="Arial" w:cs="Arial"/>
        </w:rPr>
        <w:t xml:space="preserve">), </w:t>
      </w:r>
      <w:proofErr w:type="spellStart"/>
      <w:r w:rsidRPr="00DA7EE6">
        <w:rPr>
          <w:rFonts w:ascii="Arial" w:hAnsi="Arial" w:cs="Arial"/>
          <w:i/>
          <w:iCs/>
        </w:rPr>
        <w:t>tpl</w:t>
      </w:r>
      <w:proofErr w:type="spellEnd"/>
      <w:r w:rsidRPr="00DA7EE6">
        <w:rPr>
          <w:rFonts w:ascii="Arial" w:hAnsi="Arial" w:cs="Arial"/>
          <w:i/>
          <w:iCs/>
        </w:rPr>
        <w:t>,</w:t>
      </w:r>
      <w:r w:rsidRPr="00DA7EE6">
        <w:rPr>
          <w:rFonts w:ascii="Arial" w:hAnsi="Arial" w:cs="Arial"/>
        </w:rPr>
        <w:t xml:space="preserve"> and total bacterial 16S rRNA genes were quantified by qPCR using the </w:t>
      </w:r>
      <w:proofErr w:type="spellStart"/>
      <w:r w:rsidR="004E3243" w:rsidRPr="0015104D">
        <w:rPr>
          <w:rFonts w:ascii="Arial" w:hAnsi="Arial" w:cs="Arial"/>
        </w:rPr>
        <w:t>QuantStudio</w:t>
      </w:r>
      <w:proofErr w:type="spellEnd"/>
      <w:r w:rsidR="004E3243" w:rsidRPr="0015104D">
        <w:rPr>
          <w:rFonts w:ascii="Arial" w:hAnsi="Arial" w:cs="Arial"/>
        </w:rPr>
        <w:t>™</w:t>
      </w:r>
      <w:r w:rsidRPr="00DA7EE6">
        <w:rPr>
          <w:rFonts w:ascii="Arial" w:hAnsi="Arial" w:cs="Arial"/>
        </w:rPr>
        <w:t xml:space="preserve"> 3 system (Thermo Fisher Scientific, Waltham, MA, USA). Reaction mixtures for each DNA template were prepared using the </w:t>
      </w:r>
      <w:proofErr w:type="spellStart"/>
      <w:r w:rsidRPr="00DA7EE6">
        <w:rPr>
          <w:rFonts w:ascii="Arial" w:hAnsi="Arial" w:cs="Arial"/>
        </w:rPr>
        <w:t>PowerTrack</w:t>
      </w:r>
      <w:proofErr w:type="spellEnd"/>
      <w:r w:rsidRPr="00DA7EE6">
        <w:rPr>
          <w:rFonts w:ascii="Arial" w:hAnsi="Arial" w:cs="Arial"/>
        </w:rPr>
        <w:t xml:space="preserve"> SYBR Green Master Mix (Thermo Fisher Scientific) in accordance with the manufacturer’s protocol. Specific primer sets were used for each target gene, as detailed in Table 1.</w:t>
      </w:r>
    </w:p>
    <w:p w14:paraId="123C4E78" w14:textId="3FFF4ECC" w:rsidR="00DA7EE6" w:rsidRDefault="007145C7" w:rsidP="00DA7EE6">
      <w:pPr>
        <w:pStyle w:val="Body"/>
        <w:rPr>
          <w:rFonts w:ascii="Arial" w:hAnsi="Arial" w:cs="Arial"/>
        </w:rPr>
      </w:pPr>
      <w:r w:rsidRPr="007145C7">
        <w:rPr>
          <w:rFonts w:ascii="Arial" w:hAnsi="Arial" w:cs="Arial"/>
        </w:rPr>
        <w:t xml:space="preserve">The thermal cycling conditions consisted of an initial denaturation at 95°C for 2 min, followed by 40 cycles of denaturation at 95°C for 10 s, annealing at the gene-specific temperatures listed in Table 1 for 15 s, and extension at 72°C for 15 s </w:t>
      </w:r>
      <w:r w:rsidR="005A21C2" w:rsidRPr="005A21C2">
        <w:rPr>
          <w:rFonts w:ascii="Arial" w:hAnsi="Arial" w:cs="Arial"/>
        </w:rPr>
        <w:t>(</w:t>
      </w:r>
      <w:proofErr w:type="spellStart"/>
      <w:r w:rsidR="005A21C2" w:rsidRPr="005A21C2">
        <w:rPr>
          <w:rFonts w:ascii="Arial" w:hAnsi="Arial" w:cs="Arial"/>
          <w:i/>
          <w:iCs/>
        </w:rPr>
        <w:t>tpl</w:t>
      </w:r>
      <w:proofErr w:type="spellEnd"/>
      <w:r w:rsidR="005A21C2" w:rsidRPr="005A21C2">
        <w:rPr>
          <w:rFonts w:ascii="Arial" w:hAnsi="Arial" w:cs="Arial"/>
        </w:rPr>
        <w:t xml:space="preserve"> and total bacterial 16S rRNA gene), 20 s (</w:t>
      </w:r>
      <w:r w:rsidR="005A21C2" w:rsidRPr="005A21C2">
        <w:rPr>
          <w:rFonts w:ascii="Arial" w:hAnsi="Arial" w:cs="Arial"/>
          <w:i/>
          <w:iCs/>
        </w:rPr>
        <w:t>5ar</w:t>
      </w:r>
      <w:r w:rsidR="005A21C2" w:rsidRPr="005A21C2">
        <w:rPr>
          <w:rFonts w:ascii="Arial" w:hAnsi="Arial" w:cs="Arial"/>
        </w:rPr>
        <w:t xml:space="preserve"> and </w:t>
      </w:r>
      <w:r w:rsidR="005A21C2" w:rsidRPr="005A21C2">
        <w:rPr>
          <w:rFonts w:ascii="Arial" w:hAnsi="Arial" w:cs="Arial"/>
          <w:i/>
          <w:iCs/>
        </w:rPr>
        <w:t>nan</w:t>
      </w:r>
      <w:r w:rsidR="005A21C2" w:rsidRPr="005A21C2">
        <w:rPr>
          <w:rFonts w:ascii="Arial" w:hAnsi="Arial" w:cs="Arial"/>
        </w:rPr>
        <w:t>), or 25 s (</w:t>
      </w:r>
      <w:r w:rsidR="005A21C2" w:rsidRPr="005A21C2">
        <w:rPr>
          <w:rFonts w:ascii="Arial" w:hAnsi="Arial" w:cs="Arial"/>
          <w:i/>
          <w:iCs/>
        </w:rPr>
        <w:t>fs</w:t>
      </w:r>
      <w:r w:rsidR="005A21C2" w:rsidRPr="005A21C2">
        <w:rPr>
          <w:rFonts w:ascii="Arial" w:hAnsi="Arial" w:cs="Arial"/>
        </w:rPr>
        <w:t>)</w:t>
      </w:r>
      <w:r w:rsidRPr="007145C7">
        <w:rPr>
          <w:rFonts w:ascii="Arial" w:hAnsi="Arial" w:cs="Arial"/>
        </w:rPr>
        <w:t>. A final extension at 72°C for 1 min was performed for all amplifications.</w:t>
      </w:r>
      <w:r w:rsidR="0036772C">
        <w:rPr>
          <w:rFonts w:ascii="Arial" w:hAnsi="Arial" w:cs="Arial"/>
        </w:rPr>
        <w:t xml:space="preserve"> </w:t>
      </w:r>
      <w:r w:rsidR="00DA7EE6" w:rsidRPr="00DA7EE6">
        <w:rPr>
          <w:rFonts w:ascii="Arial" w:hAnsi="Arial" w:cs="Arial"/>
        </w:rPr>
        <w:t xml:space="preserve">Gene abundances were normalized against total bacterial 16S rRNA gene copy numbers to accurately determine relative gene proportions. Specifically, </w:t>
      </w:r>
      <w:r w:rsidR="00DA7EE6" w:rsidRPr="00DA7EE6">
        <w:rPr>
          <w:rFonts w:ascii="Arial" w:hAnsi="Arial" w:cs="Arial"/>
          <w:i/>
          <w:iCs/>
        </w:rPr>
        <w:t xml:space="preserve">nan </w:t>
      </w:r>
      <w:r w:rsidR="00DA7EE6" w:rsidRPr="00DA7EE6">
        <w:rPr>
          <w:rFonts w:ascii="Arial" w:hAnsi="Arial" w:cs="Arial"/>
        </w:rPr>
        <w:t xml:space="preserve">levels were calculated by multiplying the normalized abundance values of the </w:t>
      </w:r>
      <w:r w:rsidR="00DA7EE6" w:rsidRPr="00DA7EE6">
        <w:rPr>
          <w:rFonts w:ascii="Arial" w:hAnsi="Arial" w:cs="Arial"/>
          <w:i/>
          <w:iCs/>
        </w:rPr>
        <w:t>nan</w:t>
      </w:r>
      <w:r w:rsidR="00DA7EE6" w:rsidRPr="00DA7EE6">
        <w:rPr>
          <w:rFonts w:ascii="Arial" w:hAnsi="Arial" w:cs="Arial"/>
        </w:rPr>
        <w:t xml:space="preserve"> by four, consistent with previously published methods (Nagasaka et al., 2024). </w:t>
      </w:r>
      <w:r w:rsidR="0015104D" w:rsidRPr="0015104D">
        <w:rPr>
          <w:rFonts w:ascii="Arial" w:hAnsi="Arial" w:cs="Arial"/>
        </w:rPr>
        <w:t xml:space="preserve">When the </w:t>
      </w:r>
      <w:proofErr w:type="spellStart"/>
      <w:r w:rsidR="0015104D" w:rsidRPr="0015104D">
        <w:rPr>
          <w:rFonts w:ascii="Arial" w:hAnsi="Arial" w:cs="Arial"/>
        </w:rPr>
        <w:t>QuantStudio</w:t>
      </w:r>
      <w:proofErr w:type="spellEnd"/>
      <w:r w:rsidR="0015104D" w:rsidRPr="0015104D">
        <w:rPr>
          <w:rFonts w:ascii="Arial" w:hAnsi="Arial" w:cs="Arial"/>
        </w:rPr>
        <w:t xml:space="preserve">™ </w:t>
      </w:r>
      <w:r w:rsidR="0015104D" w:rsidRPr="0015104D">
        <w:rPr>
          <w:rFonts w:ascii="Arial" w:hAnsi="Arial" w:cs="Arial"/>
        </w:rPr>
        <w:lastRenderedPageBreak/>
        <w:t>3 system reported a Ct value of “Undetermined,” indicating amplification below the detection threshold, the corresponding quantity was recorded as zero for downstream analyses.</w:t>
      </w:r>
    </w:p>
    <w:p w14:paraId="4EEC5714" w14:textId="6CBEF378" w:rsidR="00A72F89" w:rsidRPr="009B7D65" w:rsidRDefault="00A72F89" w:rsidP="00DA7EE6">
      <w:pPr>
        <w:pStyle w:val="Body"/>
        <w:rPr>
          <w:rFonts w:ascii="Arial" w:hAnsi="Arial" w:cs="Arial"/>
          <w:lang w:eastAsia="ja-JP"/>
        </w:rPr>
      </w:pPr>
      <w:r w:rsidRPr="009B7D65">
        <w:rPr>
          <w:rFonts w:ascii="Arial" w:hAnsi="Arial" w:cs="Arial"/>
        </w:rPr>
        <w:t>The amplification efficiency, slope, coefficient of determination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and linear dynamic range for each primer set were validated using standard curves generated from serial dilutions of DNA templates. The targeted primer sets exhibited high linearity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xml:space="preserve"> &gt; 0.99) and appropriate amplification efficiencies (Supplementary Table </w:t>
      </w:r>
      <w:r w:rsidR="009D5846" w:rsidRPr="009B7D65">
        <w:rPr>
          <w:rFonts w:ascii="Arial" w:hAnsi="Arial" w:cs="Arial"/>
        </w:rPr>
        <w:t>1</w:t>
      </w:r>
      <w:r w:rsidRPr="009B7D65">
        <w:rPr>
          <w:rFonts w:ascii="Arial" w:hAnsi="Arial" w:cs="Arial"/>
        </w:rPr>
        <w:t>).</w:t>
      </w:r>
    </w:p>
    <w:p w14:paraId="2E9B0944" w14:textId="2DCFF868" w:rsidR="00DA7EE6" w:rsidRPr="00DA7EE6" w:rsidRDefault="0036772C" w:rsidP="00DA7EE6">
      <w:pPr>
        <w:pStyle w:val="Body"/>
        <w:rPr>
          <w:rFonts w:ascii="Arial" w:hAnsi="Arial" w:cs="Arial"/>
          <w:sz w:val="22"/>
          <w:szCs w:val="22"/>
        </w:rPr>
      </w:pPr>
      <w:r w:rsidRPr="0036772C">
        <w:rPr>
          <w:rFonts w:ascii="Arial" w:hAnsi="Arial" w:cs="Arial"/>
          <w:b/>
          <w:sz w:val="22"/>
          <w:szCs w:val="22"/>
        </w:rPr>
        <w:t>2.</w:t>
      </w:r>
      <w:r w:rsidR="00482F98">
        <w:rPr>
          <w:rFonts w:ascii="Arial" w:hAnsi="Arial" w:cs="Arial"/>
          <w:b/>
          <w:sz w:val="22"/>
          <w:szCs w:val="22"/>
        </w:rPr>
        <w:t>6</w:t>
      </w:r>
      <w:r w:rsidRPr="0036772C">
        <w:rPr>
          <w:rFonts w:ascii="Arial" w:hAnsi="Arial" w:cs="Arial"/>
          <w:b/>
          <w:sz w:val="22"/>
          <w:szCs w:val="22"/>
        </w:rPr>
        <w:t xml:space="preserve"> </w:t>
      </w:r>
      <w:r w:rsidR="00DA7EE6" w:rsidRPr="00DA7EE6">
        <w:rPr>
          <w:rFonts w:ascii="Arial" w:hAnsi="Arial" w:cs="Arial"/>
          <w:b/>
          <w:sz w:val="22"/>
          <w:szCs w:val="22"/>
        </w:rPr>
        <w:t>Statistical analysis</w:t>
      </w:r>
    </w:p>
    <w:p w14:paraId="0CBF4DF9" w14:textId="719E067C" w:rsidR="00DA7EE6" w:rsidRDefault="00DA7EE6" w:rsidP="00DA7EE6">
      <w:pPr>
        <w:pStyle w:val="Body"/>
        <w:rPr>
          <w:rFonts w:ascii="Arial" w:hAnsi="Arial" w:cs="Arial"/>
        </w:rPr>
      </w:pPr>
      <w:r w:rsidRPr="00DA7EE6">
        <w:rPr>
          <w:rFonts w:ascii="Arial" w:hAnsi="Arial" w:cs="Arial"/>
        </w:rPr>
        <w:t xml:space="preserve">Statistical analysis of qPCR results comparing microbial gene abundances among Ctrl, Adenoma, and Carcinoma groups was performed using the Kruskal–Wallis test followed by Dunn’s post hoc multiple comparisons test. Differences in sex distribution among groups were evaluated using the chi-square test. Statistical analyses were conducted using GraphPad Prism version 10.3.1 (GraphPad Software, San Diego, CA, USA). A </w:t>
      </w:r>
      <w:r w:rsidRPr="00DA7EE6">
        <w:rPr>
          <w:rFonts w:ascii="Arial" w:hAnsi="Arial" w:cs="Arial"/>
          <w:i/>
          <w:iCs/>
        </w:rPr>
        <w:t>P</w:t>
      </w:r>
      <w:r w:rsidRPr="00DA7EE6">
        <w:rPr>
          <w:rFonts w:ascii="Arial" w:hAnsi="Arial" w:cs="Arial"/>
        </w:rPr>
        <w:t>-value &lt; 0.05 was considered statistically significant. The sample size was determined based on feasibility and participant availability during the study period, aiming to capture sufficient variation to detect differences among groups; therefore, no formal sample size calculation was conducted. No missing data were present for the variables analyzed.</w:t>
      </w:r>
      <w:r w:rsidR="00E45D2B" w:rsidRPr="00E45D2B">
        <w:t xml:space="preserve"> </w:t>
      </w:r>
      <w:r w:rsidR="00E45D2B" w:rsidRPr="00E45D2B">
        <w:rPr>
          <w:rFonts w:ascii="Arial" w:hAnsi="Arial" w:cs="Arial"/>
        </w:rPr>
        <w:t xml:space="preserve">For the comparative analysis of </w:t>
      </w:r>
      <w:r w:rsidR="00E45D2B" w:rsidRPr="00E45D2B">
        <w:rPr>
          <w:rFonts w:ascii="Arial" w:hAnsi="Arial" w:cs="Arial"/>
          <w:i/>
          <w:iCs/>
        </w:rPr>
        <w:t>nan</w:t>
      </w:r>
      <w:r w:rsidR="00E45D2B" w:rsidRPr="00E45D2B">
        <w:rPr>
          <w:rFonts w:ascii="Arial" w:hAnsi="Arial" w:cs="Arial"/>
        </w:rPr>
        <w:t xml:space="preserve"> gene levels across different intestinal diseases, previously published data from UC patients (Nagasaka et al., 2024) were integrated with the current dataset.</w:t>
      </w:r>
    </w:p>
    <w:p w14:paraId="7AD09B20" w14:textId="2FD4C099" w:rsidR="009577CD" w:rsidRDefault="009577CD" w:rsidP="007B267B">
      <w:pPr>
        <w:rPr>
          <w:rFonts w:ascii="Arial" w:hAnsi="Arial"/>
          <w:b/>
        </w:rPr>
      </w:pPr>
      <w:r>
        <w:rPr>
          <w:rFonts w:ascii="Arial" w:hAnsi="Arial"/>
          <w:b/>
        </w:rPr>
        <w:t>Table 1. PCR primers used in this study.</w:t>
      </w:r>
    </w:p>
    <w:p w14:paraId="3DE315A0" w14:textId="77777777" w:rsidR="007B267B" w:rsidRPr="007B267B" w:rsidRDefault="007B267B" w:rsidP="007B267B"/>
    <w:tbl>
      <w:tblPr>
        <w:tblW w:w="9640" w:type="dxa"/>
        <w:tblInd w:w="99" w:type="dxa"/>
        <w:tblCellMar>
          <w:left w:w="99" w:type="dxa"/>
          <w:right w:w="99" w:type="dxa"/>
        </w:tblCellMar>
        <w:tblLook w:val="04A0" w:firstRow="1" w:lastRow="0" w:firstColumn="1" w:lastColumn="0" w:noHBand="0" w:noVBand="1"/>
      </w:tblPr>
      <w:tblGrid>
        <w:gridCol w:w="1779"/>
        <w:gridCol w:w="1841"/>
        <w:gridCol w:w="3358"/>
        <w:gridCol w:w="1008"/>
        <w:gridCol w:w="1654"/>
      </w:tblGrid>
      <w:tr w:rsidR="005B0927" w:rsidRPr="005B0927" w14:paraId="34A1F540" w14:textId="77777777" w:rsidTr="005B0927">
        <w:trPr>
          <w:trHeight w:val="720"/>
        </w:trPr>
        <w:tc>
          <w:tcPr>
            <w:tcW w:w="1800" w:type="dxa"/>
            <w:tcBorders>
              <w:top w:val="single" w:sz="8" w:space="0" w:color="auto"/>
              <w:left w:val="nil"/>
              <w:bottom w:val="single" w:sz="8" w:space="0" w:color="auto"/>
              <w:right w:val="nil"/>
            </w:tcBorders>
            <w:vAlign w:val="center"/>
            <w:hideMark/>
          </w:tcPr>
          <w:p w14:paraId="6E76BFD2"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Target gene</w:t>
            </w:r>
          </w:p>
        </w:tc>
        <w:tc>
          <w:tcPr>
            <w:tcW w:w="1860" w:type="dxa"/>
            <w:tcBorders>
              <w:top w:val="single" w:sz="8" w:space="0" w:color="auto"/>
              <w:left w:val="nil"/>
              <w:bottom w:val="single" w:sz="8" w:space="0" w:color="auto"/>
              <w:right w:val="nil"/>
            </w:tcBorders>
            <w:vAlign w:val="center"/>
            <w:hideMark/>
          </w:tcPr>
          <w:p w14:paraId="5CA9D486"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Primer name</w:t>
            </w:r>
          </w:p>
        </w:tc>
        <w:tc>
          <w:tcPr>
            <w:tcW w:w="3360" w:type="dxa"/>
            <w:tcBorders>
              <w:top w:val="single" w:sz="8" w:space="0" w:color="auto"/>
              <w:left w:val="nil"/>
              <w:bottom w:val="single" w:sz="8" w:space="0" w:color="auto"/>
              <w:right w:val="nil"/>
            </w:tcBorders>
            <w:vAlign w:val="center"/>
            <w:hideMark/>
          </w:tcPr>
          <w:p w14:paraId="7A4AEE78"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Oligonucleotide sequence</w:t>
            </w:r>
          </w:p>
        </w:tc>
        <w:tc>
          <w:tcPr>
            <w:tcW w:w="940" w:type="dxa"/>
            <w:tcBorders>
              <w:top w:val="single" w:sz="8" w:space="0" w:color="auto"/>
              <w:left w:val="nil"/>
              <w:bottom w:val="single" w:sz="8" w:space="0" w:color="auto"/>
              <w:right w:val="nil"/>
            </w:tcBorders>
            <w:vAlign w:val="center"/>
            <w:hideMark/>
          </w:tcPr>
          <w:p w14:paraId="27AB70F9"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Annealing temperature</w:t>
            </w:r>
            <w:r w:rsidRPr="005B0927">
              <w:rPr>
                <w:rFonts w:ascii="Arial" w:eastAsia="Yu Gothic" w:hAnsi="Arial" w:cs="Arial"/>
                <w:b/>
                <w:bCs/>
                <w:color w:val="000000"/>
                <w:sz w:val="14"/>
                <w:szCs w:val="14"/>
                <w:lang w:eastAsia="ja-JP"/>
              </w:rPr>
              <w:br/>
              <w:t xml:space="preserve"> (°C)</w:t>
            </w:r>
          </w:p>
        </w:tc>
        <w:tc>
          <w:tcPr>
            <w:tcW w:w="1680" w:type="dxa"/>
            <w:tcBorders>
              <w:top w:val="single" w:sz="8" w:space="0" w:color="auto"/>
              <w:left w:val="nil"/>
              <w:bottom w:val="single" w:sz="8" w:space="0" w:color="auto"/>
              <w:right w:val="nil"/>
            </w:tcBorders>
            <w:vAlign w:val="center"/>
            <w:hideMark/>
          </w:tcPr>
          <w:p w14:paraId="7719D233"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Reference</w:t>
            </w:r>
          </w:p>
        </w:tc>
      </w:tr>
      <w:tr w:rsidR="005B0927" w:rsidRPr="005B0927" w14:paraId="2F15FFD6" w14:textId="77777777" w:rsidTr="005B0927">
        <w:trPr>
          <w:trHeight w:val="400"/>
        </w:trPr>
        <w:tc>
          <w:tcPr>
            <w:tcW w:w="1800" w:type="dxa"/>
            <w:vMerge w:val="restart"/>
            <w:tcBorders>
              <w:top w:val="nil"/>
              <w:left w:val="nil"/>
              <w:bottom w:val="nil"/>
              <w:right w:val="nil"/>
            </w:tcBorders>
            <w:vAlign w:val="center"/>
            <w:hideMark/>
          </w:tcPr>
          <w:p w14:paraId="444A625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5α-reductase gene</w:t>
            </w:r>
            <w:r w:rsidRPr="005B0927">
              <w:rPr>
                <w:rFonts w:ascii="Arial" w:eastAsia="Yu Gothic" w:hAnsi="Arial" w:cs="Arial"/>
                <w:color w:val="000000"/>
                <w:sz w:val="14"/>
                <w:szCs w:val="14"/>
                <w:lang w:eastAsia="ja-JP"/>
              </w:rPr>
              <w:br/>
              <w:t>(</w:t>
            </w:r>
            <w:r w:rsidRPr="005B0927">
              <w:rPr>
                <w:rFonts w:ascii="Arial" w:eastAsia="Yu Gothic" w:hAnsi="Arial" w:cs="Arial"/>
                <w:i/>
                <w:iCs/>
                <w:color w:val="000000"/>
                <w:sz w:val="14"/>
                <w:szCs w:val="14"/>
                <w:lang w:eastAsia="ja-JP"/>
              </w:rPr>
              <w:t>5ar</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74AC092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5alfa-Reductase_290F</w:t>
            </w:r>
          </w:p>
        </w:tc>
        <w:tc>
          <w:tcPr>
            <w:tcW w:w="3360" w:type="dxa"/>
            <w:tcBorders>
              <w:top w:val="nil"/>
              <w:left w:val="nil"/>
              <w:bottom w:val="nil"/>
              <w:right w:val="nil"/>
            </w:tcBorders>
            <w:vAlign w:val="center"/>
            <w:hideMark/>
          </w:tcPr>
          <w:p w14:paraId="06E93EE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YGTMVRWGCSGGTTATGG</w:t>
            </w:r>
          </w:p>
        </w:tc>
        <w:tc>
          <w:tcPr>
            <w:tcW w:w="940" w:type="dxa"/>
            <w:vMerge w:val="restart"/>
            <w:tcBorders>
              <w:top w:val="nil"/>
              <w:left w:val="nil"/>
              <w:bottom w:val="nil"/>
              <w:right w:val="nil"/>
            </w:tcBorders>
            <w:vAlign w:val="center"/>
            <w:hideMark/>
          </w:tcPr>
          <w:p w14:paraId="3D1EA38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5B74E8D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Fujii et al., 2024</w:t>
            </w:r>
          </w:p>
        </w:tc>
      </w:tr>
      <w:tr w:rsidR="005B0927" w:rsidRPr="005B0927" w14:paraId="2979970D" w14:textId="77777777" w:rsidTr="005B0927">
        <w:trPr>
          <w:trHeight w:val="400"/>
        </w:trPr>
        <w:tc>
          <w:tcPr>
            <w:tcW w:w="1800" w:type="dxa"/>
            <w:vMerge/>
            <w:tcBorders>
              <w:top w:val="nil"/>
              <w:left w:val="nil"/>
              <w:bottom w:val="nil"/>
              <w:right w:val="nil"/>
            </w:tcBorders>
            <w:vAlign w:val="center"/>
            <w:hideMark/>
          </w:tcPr>
          <w:p w14:paraId="7A048C4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1B859FD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5alfa-Reductase_290R</w:t>
            </w:r>
          </w:p>
        </w:tc>
        <w:tc>
          <w:tcPr>
            <w:tcW w:w="3360" w:type="dxa"/>
            <w:tcBorders>
              <w:top w:val="nil"/>
              <w:left w:val="nil"/>
              <w:bottom w:val="nil"/>
              <w:right w:val="nil"/>
            </w:tcBorders>
            <w:vAlign w:val="center"/>
            <w:hideMark/>
          </w:tcPr>
          <w:p w14:paraId="7050AE5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CCTGCATCWDHCCGTTCA</w:t>
            </w:r>
          </w:p>
        </w:tc>
        <w:tc>
          <w:tcPr>
            <w:tcW w:w="940" w:type="dxa"/>
            <w:vMerge/>
            <w:tcBorders>
              <w:top w:val="nil"/>
              <w:left w:val="nil"/>
              <w:bottom w:val="nil"/>
              <w:right w:val="nil"/>
            </w:tcBorders>
            <w:vAlign w:val="center"/>
            <w:hideMark/>
          </w:tcPr>
          <w:p w14:paraId="623C9618"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4956FECB"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6706187" w14:textId="77777777" w:rsidTr="005B0927">
        <w:trPr>
          <w:trHeight w:val="400"/>
        </w:trPr>
        <w:tc>
          <w:tcPr>
            <w:tcW w:w="1800" w:type="dxa"/>
            <w:vMerge w:val="restart"/>
            <w:tcBorders>
              <w:top w:val="nil"/>
              <w:left w:val="nil"/>
              <w:bottom w:val="nil"/>
              <w:right w:val="nil"/>
            </w:tcBorders>
            <w:vAlign w:val="center"/>
            <w:hideMark/>
          </w:tcPr>
          <w:p w14:paraId="38A49761" w14:textId="77777777" w:rsidR="005B0927" w:rsidRPr="005B0927" w:rsidRDefault="005B0927" w:rsidP="005B0927">
            <w:pPr>
              <w:rPr>
                <w:rFonts w:ascii="Arial" w:eastAsia="Yu Gothic" w:hAnsi="Arial" w:cs="Arial"/>
                <w:i/>
                <w:iCs/>
                <w:color w:val="000000"/>
                <w:sz w:val="14"/>
                <w:szCs w:val="14"/>
                <w:lang w:eastAsia="ja-JP"/>
              </w:rPr>
            </w:pPr>
            <w:proofErr w:type="spellStart"/>
            <w:r w:rsidRPr="005B0927">
              <w:rPr>
                <w:rFonts w:ascii="Arial" w:eastAsia="Yu Gothic" w:hAnsi="Arial" w:cs="Arial"/>
                <w:i/>
                <w:iCs/>
                <w:color w:val="000000"/>
                <w:sz w:val="14"/>
                <w:szCs w:val="14"/>
                <w:lang w:eastAsia="ja-JP"/>
              </w:rPr>
              <w:t>nanA</w:t>
            </w:r>
            <w:proofErr w:type="spellEnd"/>
            <w:r w:rsidRPr="005B0927">
              <w:rPr>
                <w:rFonts w:ascii="Arial" w:eastAsia="Yu Gothic" w:hAnsi="Arial" w:cs="Arial"/>
                <w:color w:val="000000"/>
                <w:sz w:val="14"/>
                <w:szCs w:val="14"/>
                <w:lang w:eastAsia="ja-JP"/>
              </w:rPr>
              <w:t xml:space="preserve"> gene</w:t>
            </w:r>
            <w:r w:rsidRPr="005B0927">
              <w:rPr>
                <w:rFonts w:ascii="Arial" w:eastAsia="Yu Gothic" w:hAnsi="Arial" w:cs="Arial"/>
                <w:i/>
                <w:iCs/>
                <w:color w:val="000000"/>
                <w:sz w:val="14"/>
                <w:szCs w:val="14"/>
                <w:lang w:eastAsia="ja-JP"/>
              </w:rPr>
              <w:br/>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nan</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1D502CEC"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nanA_113F</w:t>
            </w:r>
          </w:p>
        </w:tc>
        <w:tc>
          <w:tcPr>
            <w:tcW w:w="3360" w:type="dxa"/>
            <w:tcBorders>
              <w:top w:val="nil"/>
              <w:left w:val="nil"/>
              <w:bottom w:val="nil"/>
              <w:right w:val="nil"/>
            </w:tcBorders>
            <w:vAlign w:val="center"/>
            <w:hideMark/>
          </w:tcPr>
          <w:p w14:paraId="27D8148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ATYCCGGCATTTTATGC</w:t>
            </w:r>
          </w:p>
        </w:tc>
        <w:tc>
          <w:tcPr>
            <w:tcW w:w="940" w:type="dxa"/>
            <w:vMerge w:val="restart"/>
            <w:tcBorders>
              <w:top w:val="nil"/>
              <w:left w:val="nil"/>
              <w:bottom w:val="nil"/>
              <w:right w:val="nil"/>
            </w:tcBorders>
            <w:vAlign w:val="center"/>
            <w:hideMark/>
          </w:tcPr>
          <w:p w14:paraId="2799559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4076538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Nagasaka et al., 2024</w:t>
            </w:r>
          </w:p>
        </w:tc>
      </w:tr>
      <w:tr w:rsidR="005B0927" w:rsidRPr="005B0927" w14:paraId="246B1EA3" w14:textId="77777777" w:rsidTr="005B0927">
        <w:trPr>
          <w:trHeight w:val="400"/>
        </w:trPr>
        <w:tc>
          <w:tcPr>
            <w:tcW w:w="1800" w:type="dxa"/>
            <w:vMerge/>
            <w:tcBorders>
              <w:top w:val="nil"/>
              <w:left w:val="nil"/>
              <w:bottom w:val="nil"/>
              <w:right w:val="nil"/>
            </w:tcBorders>
            <w:vAlign w:val="center"/>
            <w:hideMark/>
          </w:tcPr>
          <w:p w14:paraId="705A43F1"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51ED74D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nanA_113R</w:t>
            </w:r>
          </w:p>
        </w:tc>
        <w:tc>
          <w:tcPr>
            <w:tcW w:w="3360" w:type="dxa"/>
            <w:tcBorders>
              <w:top w:val="nil"/>
              <w:left w:val="nil"/>
              <w:bottom w:val="nil"/>
              <w:right w:val="nil"/>
            </w:tcBorders>
            <w:vAlign w:val="center"/>
            <w:hideMark/>
          </w:tcPr>
          <w:p w14:paraId="1DA7C1A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CCRTTTACRTAGACACCYTTTAC</w:t>
            </w:r>
          </w:p>
        </w:tc>
        <w:tc>
          <w:tcPr>
            <w:tcW w:w="940" w:type="dxa"/>
            <w:vMerge/>
            <w:tcBorders>
              <w:top w:val="nil"/>
              <w:left w:val="nil"/>
              <w:bottom w:val="nil"/>
              <w:right w:val="nil"/>
            </w:tcBorders>
            <w:vAlign w:val="center"/>
            <w:hideMark/>
          </w:tcPr>
          <w:p w14:paraId="47BD1F4D"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3D669B93"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4DA6BA01" w14:textId="77777777" w:rsidTr="005B0927">
        <w:trPr>
          <w:trHeight w:val="400"/>
        </w:trPr>
        <w:tc>
          <w:tcPr>
            <w:tcW w:w="1800" w:type="dxa"/>
            <w:vMerge w:val="restart"/>
            <w:tcBorders>
              <w:top w:val="nil"/>
              <w:left w:val="nil"/>
              <w:bottom w:val="nil"/>
              <w:right w:val="nil"/>
            </w:tcBorders>
            <w:vAlign w:val="center"/>
            <w:hideMark/>
          </w:tcPr>
          <w:p w14:paraId="3C830A9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 xml:space="preserve">16S rRNA gene from </w:t>
            </w:r>
            <w:r w:rsidRPr="005B0927">
              <w:rPr>
                <w:rFonts w:ascii="Arial" w:eastAsia="Yu Gothic" w:hAnsi="Arial" w:cs="Arial"/>
                <w:color w:val="000000"/>
                <w:sz w:val="14"/>
                <w:szCs w:val="14"/>
                <w:lang w:eastAsia="ja-JP"/>
              </w:rPr>
              <w:br/>
            </w:r>
            <w:r w:rsidRPr="005B0927">
              <w:rPr>
                <w:rFonts w:ascii="Arial" w:eastAsia="Yu Gothic" w:hAnsi="Arial" w:cs="Arial"/>
                <w:i/>
                <w:iCs/>
                <w:color w:val="000000"/>
                <w:sz w:val="14"/>
                <w:szCs w:val="14"/>
                <w:lang w:eastAsia="ja-JP"/>
              </w:rPr>
              <w:t xml:space="preserve">F. </w:t>
            </w:r>
            <w:proofErr w:type="spellStart"/>
            <w:r w:rsidRPr="005B0927">
              <w:rPr>
                <w:rFonts w:ascii="Arial" w:eastAsia="Yu Gothic" w:hAnsi="Arial" w:cs="Arial"/>
                <w:i/>
                <w:iCs/>
                <w:color w:val="000000"/>
                <w:sz w:val="14"/>
                <w:szCs w:val="14"/>
                <w:lang w:eastAsia="ja-JP"/>
              </w:rPr>
              <w:t>saccharivorans</w:t>
            </w:r>
            <w:proofErr w:type="spellEnd"/>
            <w:r w:rsidRPr="005B0927">
              <w:rPr>
                <w:rFonts w:ascii="Arial" w:eastAsia="Yu Gothic" w:hAnsi="Arial" w:cs="Arial"/>
                <w:i/>
                <w:iCs/>
                <w:color w:val="000000"/>
                <w:sz w:val="14"/>
                <w:szCs w:val="14"/>
                <w:lang w:eastAsia="ja-JP"/>
              </w:rPr>
              <w:t xml:space="preserve"> </w:t>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fs</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A39FF4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Fsac-F_55do ext25s</w:t>
            </w:r>
          </w:p>
        </w:tc>
        <w:tc>
          <w:tcPr>
            <w:tcW w:w="3360" w:type="dxa"/>
            <w:tcBorders>
              <w:top w:val="nil"/>
              <w:left w:val="nil"/>
              <w:bottom w:val="nil"/>
              <w:right w:val="nil"/>
            </w:tcBorders>
            <w:vAlign w:val="center"/>
            <w:hideMark/>
          </w:tcPr>
          <w:p w14:paraId="6E01FD2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CTGCATTGGAAACTGTCTGG</w:t>
            </w:r>
          </w:p>
        </w:tc>
        <w:tc>
          <w:tcPr>
            <w:tcW w:w="940" w:type="dxa"/>
            <w:vMerge w:val="restart"/>
            <w:tcBorders>
              <w:top w:val="nil"/>
              <w:left w:val="nil"/>
              <w:bottom w:val="nil"/>
              <w:right w:val="nil"/>
            </w:tcBorders>
            <w:vAlign w:val="center"/>
            <w:hideMark/>
          </w:tcPr>
          <w:p w14:paraId="5D59EF9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55</w:t>
            </w:r>
          </w:p>
        </w:tc>
        <w:tc>
          <w:tcPr>
            <w:tcW w:w="1680" w:type="dxa"/>
            <w:vMerge w:val="restart"/>
            <w:tcBorders>
              <w:top w:val="nil"/>
              <w:left w:val="nil"/>
              <w:bottom w:val="nil"/>
              <w:right w:val="nil"/>
            </w:tcBorders>
            <w:vAlign w:val="center"/>
            <w:hideMark/>
          </w:tcPr>
          <w:p w14:paraId="5E49BB63" w14:textId="77777777" w:rsidR="005B0927" w:rsidRPr="005B0927" w:rsidRDefault="005B0927" w:rsidP="005B0927">
            <w:pPr>
              <w:rPr>
                <w:rFonts w:ascii="Arial" w:eastAsia="Yu Gothic" w:hAnsi="Arial" w:cs="Arial"/>
                <w:color w:val="000000"/>
                <w:sz w:val="14"/>
                <w:szCs w:val="14"/>
                <w:lang w:eastAsia="ja-JP"/>
              </w:rPr>
            </w:pPr>
            <w:proofErr w:type="spellStart"/>
            <w:r w:rsidRPr="005B0927">
              <w:rPr>
                <w:rFonts w:ascii="Arial" w:eastAsia="Yu Gothic" w:hAnsi="Arial" w:cs="Arial"/>
                <w:color w:val="000000"/>
                <w:sz w:val="14"/>
                <w:szCs w:val="14"/>
                <w:lang w:eastAsia="ja-JP"/>
              </w:rPr>
              <w:t>Kurakawa</w:t>
            </w:r>
            <w:proofErr w:type="spellEnd"/>
            <w:r w:rsidRPr="005B0927">
              <w:rPr>
                <w:rFonts w:ascii="Arial" w:eastAsia="Yu Gothic" w:hAnsi="Arial" w:cs="Arial"/>
                <w:color w:val="000000"/>
                <w:sz w:val="14"/>
                <w:szCs w:val="14"/>
                <w:lang w:eastAsia="ja-JP"/>
              </w:rPr>
              <w:t xml:space="preserve"> et al., 2016</w:t>
            </w:r>
          </w:p>
        </w:tc>
      </w:tr>
      <w:tr w:rsidR="005B0927" w:rsidRPr="005B0927" w14:paraId="5192626E" w14:textId="77777777" w:rsidTr="005B0927">
        <w:trPr>
          <w:trHeight w:val="400"/>
        </w:trPr>
        <w:tc>
          <w:tcPr>
            <w:tcW w:w="1800" w:type="dxa"/>
            <w:vMerge/>
            <w:tcBorders>
              <w:top w:val="nil"/>
              <w:left w:val="nil"/>
              <w:bottom w:val="nil"/>
              <w:right w:val="nil"/>
            </w:tcBorders>
            <w:vAlign w:val="center"/>
            <w:hideMark/>
          </w:tcPr>
          <w:p w14:paraId="103A879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306F78E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Fsac-R_55do ext25s</w:t>
            </w:r>
          </w:p>
        </w:tc>
        <w:tc>
          <w:tcPr>
            <w:tcW w:w="3360" w:type="dxa"/>
            <w:tcBorders>
              <w:top w:val="nil"/>
              <w:left w:val="nil"/>
              <w:bottom w:val="nil"/>
              <w:right w:val="nil"/>
            </w:tcBorders>
            <w:vAlign w:val="center"/>
            <w:hideMark/>
          </w:tcPr>
          <w:p w14:paraId="3F7EFF3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CGTTACGGGCCGGTCATC</w:t>
            </w:r>
          </w:p>
        </w:tc>
        <w:tc>
          <w:tcPr>
            <w:tcW w:w="940" w:type="dxa"/>
            <w:vMerge/>
            <w:tcBorders>
              <w:top w:val="nil"/>
              <w:left w:val="nil"/>
              <w:bottom w:val="nil"/>
              <w:right w:val="nil"/>
            </w:tcBorders>
            <w:vAlign w:val="center"/>
            <w:hideMark/>
          </w:tcPr>
          <w:p w14:paraId="061239D4"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044120C2"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64E9F5D0" w14:textId="77777777" w:rsidTr="005B0927">
        <w:trPr>
          <w:trHeight w:val="400"/>
        </w:trPr>
        <w:tc>
          <w:tcPr>
            <w:tcW w:w="1800" w:type="dxa"/>
            <w:vMerge w:val="restart"/>
            <w:tcBorders>
              <w:top w:val="nil"/>
              <w:left w:val="nil"/>
              <w:bottom w:val="nil"/>
              <w:right w:val="nil"/>
            </w:tcBorders>
            <w:vAlign w:val="center"/>
            <w:hideMark/>
          </w:tcPr>
          <w:p w14:paraId="77D6F963" w14:textId="77777777" w:rsidR="005B0927" w:rsidRPr="005B0927" w:rsidRDefault="005B0927" w:rsidP="005B0927">
            <w:pPr>
              <w:rPr>
                <w:rFonts w:ascii="Arial" w:eastAsia="Yu Gothic" w:hAnsi="Arial" w:cs="Arial"/>
                <w:i/>
                <w:iCs/>
                <w:color w:val="000000"/>
                <w:sz w:val="14"/>
                <w:szCs w:val="14"/>
                <w:lang w:eastAsia="ja-JP"/>
              </w:rPr>
            </w:pPr>
            <w:proofErr w:type="spellStart"/>
            <w:r w:rsidRPr="005B0927">
              <w:rPr>
                <w:rFonts w:ascii="Arial" w:eastAsia="Yu Gothic" w:hAnsi="Arial" w:cs="Arial"/>
                <w:i/>
                <w:iCs/>
                <w:color w:val="000000"/>
                <w:sz w:val="14"/>
                <w:szCs w:val="14"/>
                <w:lang w:eastAsia="ja-JP"/>
              </w:rPr>
              <w:t>tpl</w:t>
            </w:r>
            <w:proofErr w:type="spellEnd"/>
            <w:r w:rsidRPr="005B0927">
              <w:rPr>
                <w:rFonts w:ascii="Arial" w:eastAsia="Yu Gothic" w:hAnsi="Arial" w:cs="Arial"/>
                <w:i/>
                <w:iCs/>
                <w:color w:val="000000"/>
                <w:sz w:val="14"/>
                <w:szCs w:val="14"/>
                <w:lang w:eastAsia="ja-JP"/>
              </w:rPr>
              <w:t xml:space="preserve"> </w:t>
            </w:r>
            <w:r w:rsidRPr="005B0927">
              <w:rPr>
                <w:rFonts w:ascii="Arial" w:eastAsia="Yu Gothic" w:hAnsi="Arial" w:cs="Arial"/>
                <w:color w:val="000000"/>
                <w:sz w:val="14"/>
                <w:szCs w:val="14"/>
                <w:lang w:eastAsia="ja-JP"/>
              </w:rPr>
              <w:t>gene from</w:t>
            </w:r>
            <w:r w:rsidRPr="005B0927">
              <w:rPr>
                <w:rFonts w:ascii="Arial" w:eastAsia="Yu Gothic" w:hAnsi="Arial" w:cs="Arial"/>
                <w:i/>
                <w:iCs/>
                <w:color w:val="000000"/>
                <w:sz w:val="14"/>
                <w:szCs w:val="14"/>
                <w:lang w:eastAsia="ja-JP"/>
              </w:rPr>
              <w:t xml:space="preserve"> </w:t>
            </w:r>
            <w:r w:rsidRPr="005B0927">
              <w:rPr>
                <w:rFonts w:ascii="Arial" w:eastAsia="Yu Gothic" w:hAnsi="Arial" w:cs="Arial"/>
                <w:i/>
                <w:iCs/>
                <w:color w:val="000000"/>
                <w:sz w:val="14"/>
                <w:szCs w:val="14"/>
                <w:lang w:eastAsia="ja-JP"/>
              </w:rPr>
              <w:br/>
              <w:t xml:space="preserve">F. </w:t>
            </w:r>
            <w:proofErr w:type="spellStart"/>
            <w:r w:rsidRPr="005B0927">
              <w:rPr>
                <w:rFonts w:ascii="Arial" w:eastAsia="Yu Gothic" w:hAnsi="Arial" w:cs="Arial"/>
                <w:i/>
                <w:iCs/>
                <w:color w:val="000000"/>
                <w:sz w:val="14"/>
                <w:szCs w:val="14"/>
                <w:lang w:eastAsia="ja-JP"/>
              </w:rPr>
              <w:t>periodonticum</w:t>
            </w:r>
            <w:proofErr w:type="spellEnd"/>
            <w:r w:rsidRPr="005B0927">
              <w:rPr>
                <w:rFonts w:ascii="Arial" w:eastAsia="Yu Gothic" w:hAnsi="Arial" w:cs="Arial"/>
                <w:color w:val="000000"/>
                <w:sz w:val="14"/>
                <w:szCs w:val="14"/>
                <w:lang w:eastAsia="ja-JP"/>
              </w:rPr>
              <w:t xml:space="preserve"> (</w:t>
            </w:r>
            <w:proofErr w:type="spellStart"/>
            <w:r w:rsidRPr="005B0927">
              <w:rPr>
                <w:rFonts w:ascii="Arial" w:eastAsia="Yu Gothic" w:hAnsi="Arial" w:cs="Arial"/>
                <w:i/>
                <w:iCs/>
                <w:color w:val="000000"/>
                <w:sz w:val="14"/>
                <w:szCs w:val="14"/>
                <w:lang w:eastAsia="ja-JP"/>
              </w:rPr>
              <w:t>tpl</w:t>
            </w:r>
            <w:proofErr w:type="spellEnd"/>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D2A4C98" w14:textId="77777777" w:rsidR="005B0927" w:rsidRPr="005B0927" w:rsidRDefault="005B0927" w:rsidP="005B0927">
            <w:pPr>
              <w:rPr>
                <w:rFonts w:ascii="Arial" w:eastAsia="Yu Gothic" w:hAnsi="Arial" w:cs="Arial"/>
                <w:color w:val="000000"/>
                <w:sz w:val="14"/>
                <w:szCs w:val="14"/>
                <w:lang w:eastAsia="ja-JP"/>
              </w:rPr>
            </w:pPr>
            <w:proofErr w:type="spellStart"/>
            <w:proofErr w:type="gramStart"/>
            <w:r w:rsidRPr="005B0927">
              <w:rPr>
                <w:rFonts w:ascii="Arial" w:eastAsia="Yu Gothic" w:hAnsi="Arial" w:cs="Arial"/>
                <w:color w:val="000000"/>
                <w:sz w:val="14"/>
                <w:szCs w:val="14"/>
                <w:lang w:eastAsia="ja-JP"/>
              </w:rPr>
              <w:t>F.periodonticum</w:t>
            </w:r>
            <w:proofErr w:type="spellEnd"/>
            <w:proofErr w:type="gramEnd"/>
            <w:r w:rsidRPr="005B0927">
              <w:rPr>
                <w:rFonts w:ascii="Arial" w:eastAsia="Yu Gothic" w:hAnsi="Arial" w:cs="Arial"/>
                <w:color w:val="000000"/>
                <w:sz w:val="14"/>
                <w:szCs w:val="14"/>
                <w:lang w:eastAsia="ja-JP"/>
              </w:rPr>
              <w:t xml:space="preserve"> TPL_F</w:t>
            </w:r>
          </w:p>
        </w:tc>
        <w:tc>
          <w:tcPr>
            <w:tcW w:w="3360" w:type="dxa"/>
            <w:tcBorders>
              <w:top w:val="nil"/>
              <w:left w:val="nil"/>
              <w:bottom w:val="nil"/>
              <w:right w:val="nil"/>
            </w:tcBorders>
            <w:vAlign w:val="center"/>
            <w:hideMark/>
          </w:tcPr>
          <w:p w14:paraId="2AC91FD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CTGATGGATGTACTATGAGTGGTAAAAAAGAC</w:t>
            </w:r>
          </w:p>
        </w:tc>
        <w:tc>
          <w:tcPr>
            <w:tcW w:w="940" w:type="dxa"/>
            <w:vMerge w:val="restart"/>
            <w:tcBorders>
              <w:top w:val="nil"/>
              <w:left w:val="nil"/>
              <w:bottom w:val="nil"/>
              <w:right w:val="nil"/>
            </w:tcBorders>
            <w:vAlign w:val="center"/>
            <w:hideMark/>
          </w:tcPr>
          <w:p w14:paraId="00D72C9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nil"/>
              <w:right w:val="nil"/>
            </w:tcBorders>
            <w:vAlign w:val="center"/>
            <w:hideMark/>
          </w:tcPr>
          <w:p w14:paraId="59D53F4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This study</w:t>
            </w:r>
          </w:p>
        </w:tc>
      </w:tr>
      <w:tr w:rsidR="005B0927" w:rsidRPr="005B0927" w14:paraId="7817D87A" w14:textId="77777777" w:rsidTr="005B0927">
        <w:trPr>
          <w:trHeight w:val="400"/>
        </w:trPr>
        <w:tc>
          <w:tcPr>
            <w:tcW w:w="1800" w:type="dxa"/>
            <w:vMerge/>
            <w:tcBorders>
              <w:top w:val="nil"/>
              <w:left w:val="nil"/>
              <w:bottom w:val="nil"/>
              <w:right w:val="nil"/>
            </w:tcBorders>
            <w:vAlign w:val="center"/>
            <w:hideMark/>
          </w:tcPr>
          <w:p w14:paraId="7E88227F"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47A05E98" w14:textId="77777777" w:rsidR="005B0927" w:rsidRPr="005B0927" w:rsidRDefault="005B0927" w:rsidP="005B0927">
            <w:pPr>
              <w:rPr>
                <w:rFonts w:ascii="Arial" w:eastAsia="Yu Gothic" w:hAnsi="Arial" w:cs="Arial"/>
                <w:color w:val="000000"/>
                <w:sz w:val="14"/>
                <w:szCs w:val="14"/>
                <w:lang w:eastAsia="ja-JP"/>
              </w:rPr>
            </w:pPr>
            <w:proofErr w:type="spellStart"/>
            <w:proofErr w:type="gramStart"/>
            <w:r w:rsidRPr="005B0927">
              <w:rPr>
                <w:rFonts w:ascii="Arial" w:eastAsia="Yu Gothic" w:hAnsi="Arial" w:cs="Arial"/>
                <w:color w:val="000000"/>
                <w:sz w:val="14"/>
                <w:szCs w:val="14"/>
                <w:lang w:eastAsia="ja-JP"/>
              </w:rPr>
              <w:t>F.periodonticum</w:t>
            </w:r>
            <w:proofErr w:type="spellEnd"/>
            <w:proofErr w:type="gramEnd"/>
            <w:r w:rsidRPr="005B0927">
              <w:rPr>
                <w:rFonts w:ascii="Arial" w:eastAsia="Yu Gothic" w:hAnsi="Arial" w:cs="Arial"/>
                <w:color w:val="000000"/>
                <w:sz w:val="14"/>
                <w:szCs w:val="14"/>
                <w:lang w:eastAsia="ja-JP"/>
              </w:rPr>
              <w:t xml:space="preserve"> TPL_R</w:t>
            </w:r>
          </w:p>
        </w:tc>
        <w:tc>
          <w:tcPr>
            <w:tcW w:w="3360" w:type="dxa"/>
            <w:tcBorders>
              <w:top w:val="nil"/>
              <w:left w:val="nil"/>
              <w:bottom w:val="nil"/>
              <w:right w:val="nil"/>
            </w:tcBorders>
            <w:vAlign w:val="center"/>
            <w:hideMark/>
          </w:tcPr>
          <w:p w14:paraId="6E59BBD1"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AGCAAGTCCTCCATAAGAAGGCATT</w:t>
            </w:r>
          </w:p>
        </w:tc>
        <w:tc>
          <w:tcPr>
            <w:tcW w:w="940" w:type="dxa"/>
            <w:vMerge/>
            <w:tcBorders>
              <w:top w:val="nil"/>
              <w:left w:val="nil"/>
              <w:bottom w:val="nil"/>
              <w:right w:val="nil"/>
            </w:tcBorders>
            <w:vAlign w:val="center"/>
            <w:hideMark/>
          </w:tcPr>
          <w:p w14:paraId="03872F86"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7436DF0D"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1E17710" w14:textId="77777777" w:rsidTr="005B0927">
        <w:trPr>
          <w:trHeight w:val="400"/>
        </w:trPr>
        <w:tc>
          <w:tcPr>
            <w:tcW w:w="1800" w:type="dxa"/>
            <w:vMerge w:val="restart"/>
            <w:tcBorders>
              <w:top w:val="nil"/>
              <w:left w:val="nil"/>
              <w:bottom w:val="single" w:sz="8" w:space="0" w:color="000000"/>
              <w:right w:val="nil"/>
            </w:tcBorders>
            <w:vAlign w:val="center"/>
            <w:hideMark/>
          </w:tcPr>
          <w:p w14:paraId="45D8A998" w14:textId="77777777" w:rsidR="005B0927" w:rsidRPr="005B0927" w:rsidRDefault="005B0927" w:rsidP="005B0927">
            <w:pPr>
              <w:jc w:val="cente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Bacterial 16S rRNA gene</w:t>
            </w:r>
          </w:p>
        </w:tc>
        <w:tc>
          <w:tcPr>
            <w:tcW w:w="1860" w:type="dxa"/>
            <w:tcBorders>
              <w:top w:val="nil"/>
              <w:left w:val="nil"/>
              <w:bottom w:val="nil"/>
              <w:right w:val="nil"/>
            </w:tcBorders>
            <w:vAlign w:val="center"/>
            <w:hideMark/>
          </w:tcPr>
          <w:p w14:paraId="23EF0E01" w14:textId="77777777" w:rsidR="005B0927" w:rsidRPr="005B0927" w:rsidRDefault="005B0927" w:rsidP="005B0927">
            <w:pPr>
              <w:rPr>
                <w:rFonts w:ascii="Arial" w:eastAsia="Yu Gothic" w:hAnsi="Arial" w:cs="Arial"/>
                <w:color w:val="000000"/>
                <w:sz w:val="14"/>
                <w:szCs w:val="14"/>
                <w:lang w:eastAsia="ja-JP"/>
              </w:rPr>
            </w:pPr>
            <w:proofErr w:type="spellStart"/>
            <w:r w:rsidRPr="005B0927">
              <w:rPr>
                <w:rFonts w:ascii="Arial" w:eastAsia="Yu Gothic" w:hAnsi="Arial" w:cs="Arial"/>
                <w:color w:val="000000"/>
                <w:sz w:val="14"/>
                <w:szCs w:val="14"/>
                <w:lang w:eastAsia="ja-JP"/>
              </w:rPr>
              <w:t>F_Bact</w:t>
            </w:r>
            <w:proofErr w:type="spellEnd"/>
            <w:r w:rsidRPr="005B0927">
              <w:rPr>
                <w:rFonts w:ascii="Arial" w:eastAsia="Yu Gothic" w:hAnsi="Arial" w:cs="Arial"/>
                <w:color w:val="000000"/>
                <w:sz w:val="14"/>
                <w:szCs w:val="14"/>
                <w:lang w:eastAsia="ja-JP"/>
              </w:rPr>
              <w:t xml:space="preserve"> 1369</w:t>
            </w:r>
          </w:p>
        </w:tc>
        <w:tc>
          <w:tcPr>
            <w:tcW w:w="3360" w:type="dxa"/>
            <w:tcBorders>
              <w:top w:val="nil"/>
              <w:left w:val="nil"/>
              <w:bottom w:val="nil"/>
              <w:right w:val="nil"/>
            </w:tcBorders>
            <w:vAlign w:val="center"/>
            <w:hideMark/>
          </w:tcPr>
          <w:p w14:paraId="24F8F16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CGGTGAATACGTTCCCGG</w:t>
            </w:r>
          </w:p>
        </w:tc>
        <w:tc>
          <w:tcPr>
            <w:tcW w:w="940" w:type="dxa"/>
            <w:vMerge w:val="restart"/>
            <w:tcBorders>
              <w:top w:val="nil"/>
              <w:left w:val="nil"/>
              <w:bottom w:val="single" w:sz="8" w:space="0" w:color="000000"/>
              <w:right w:val="nil"/>
            </w:tcBorders>
            <w:vAlign w:val="center"/>
            <w:hideMark/>
          </w:tcPr>
          <w:p w14:paraId="7D523A0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single" w:sz="8" w:space="0" w:color="000000"/>
              <w:right w:val="nil"/>
            </w:tcBorders>
            <w:vAlign w:val="center"/>
            <w:hideMark/>
          </w:tcPr>
          <w:p w14:paraId="568A476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Furet et al., 2009</w:t>
            </w:r>
          </w:p>
        </w:tc>
      </w:tr>
      <w:tr w:rsidR="005B0927" w:rsidRPr="005B0927" w14:paraId="0997DEA5" w14:textId="77777777" w:rsidTr="005B0927">
        <w:trPr>
          <w:trHeight w:val="420"/>
        </w:trPr>
        <w:tc>
          <w:tcPr>
            <w:tcW w:w="1800" w:type="dxa"/>
            <w:vMerge/>
            <w:tcBorders>
              <w:top w:val="nil"/>
              <w:left w:val="nil"/>
              <w:bottom w:val="single" w:sz="8" w:space="0" w:color="000000"/>
              <w:right w:val="nil"/>
            </w:tcBorders>
            <w:vAlign w:val="center"/>
            <w:hideMark/>
          </w:tcPr>
          <w:p w14:paraId="11A148FA"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single" w:sz="8" w:space="0" w:color="auto"/>
              <w:right w:val="nil"/>
            </w:tcBorders>
            <w:vAlign w:val="center"/>
            <w:hideMark/>
          </w:tcPr>
          <w:p w14:paraId="7379601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R_Prok1492</w:t>
            </w:r>
          </w:p>
        </w:tc>
        <w:tc>
          <w:tcPr>
            <w:tcW w:w="3360" w:type="dxa"/>
            <w:tcBorders>
              <w:top w:val="nil"/>
              <w:left w:val="nil"/>
              <w:bottom w:val="single" w:sz="8" w:space="0" w:color="auto"/>
              <w:right w:val="nil"/>
            </w:tcBorders>
            <w:vAlign w:val="center"/>
            <w:hideMark/>
          </w:tcPr>
          <w:p w14:paraId="1267E77D"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TACGGCTACCTTGTTACGACTT</w:t>
            </w:r>
          </w:p>
        </w:tc>
        <w:tc>
          <w:tcPr>
            <w:tcW w:w="940" w:type="dxa"/>
            <w:vMerge/>
            <w:tcBorders>
              <w:top w:val="nil"/>
              <w:left w:val="nil"/>
              <w:bottom w:val="single" w:sz="8" w:space="0" w:color="000000"/>
              <w:right w:val="nil"/>
            </w:tcBorders>
            <w:vAlign w:val="center"/>
            <w:hideMark/>
          </w:tcPr>
          <w:p w14:paraId="3728626E"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single" w:sz="8" w:space="0" w:color="000000"/>
              <w:right w:val="nil"/>
            </w:tcBorders>
            <w:vAlign w:val="center"/>
            <w:hideMark/>
          </w:tcPr>
          <w:p w14:paraId="2354DC65" w14:textId="77777777" w:rsidR="005B0927" w:rsidRPr="005B0927" w:rsidRDefault="005B0927" w:rsidP="005B0927">
            <w:pPr>
              <w:rPr>
                <w:rFonts w:ascii="Arial" w:eastAsia="Yu Gothic" w:hAnsi="Arial" w:cs="Arial"/>
                <w:color w:val="000000"/>
                <w:sz w:val="14"/>
                <w:szCs w:val="14"/>
                <w:lang w:eastAsia="ja-JP"/>
              </w:rPr>
            </w:pPr>
          </w:p>
        </w:tc>
      </w:tr>
    </w:tbl>
    <w:p w14:paraId="0DA0FA68" w14:textId="77777777" w:rsidR="00781504" w:rsidRPr="00DA7EE6" w:rsidRDefault="00781504" w:rsidP="00DA7EE6">
      <w:pPr>
        <w:pStyle w:val="Body"/>
        <w:rPr>
          <w:rFonts w:ascii="Arial" w:hAnsi="Arial" w:cs="Arial"/>
          <w:lang w:eastAsia="ja-JP"/>
        </w:rPr>
      </w:pPr>
    </w:p>
    <w:p w14:paraId="66DF7907" w14:textId="77777777" w:rsidR="00790ADA" w:rsidRPr="00FB3A86" w:rsidRDefault="00790ADA" w:rsidP="00441B6F">
      <w:pPr>
        <w:pStyle w:val="Body"/>
        <w:spacing w:after="0"/>
        <w:rPr>
          <w:rFonts w:ascii="Arial" w:hAnsi="Arial" w:cs="Arial"/>
        </w:rPr>
      </w:pPr>
    </w:p>
    <w:p w14:paraId="2632F768" w14:textId="6BAEB86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C4A1FE9" w14:textId="77777777" w:rsidR="00790ADA" w:rsidRPr="00FB3A86" w:rsidRDefault="00790ADA" w:rsidP="00441B6F">
      <w:pPr>
        <w:pStyle w:val="Head1"/>
        <w:spacing w:after="0"/>
        <w:jc w:val="both"/>
        <w:rPr>
          <w:rFonts w:ascii="Arial" w:hAnsi="Arial" w:cs="Arial"/>
        </w:rPr>
      </w:pPr>
    </w:p>
    <w:p w14:paraId="5A716CBD" w14:textId="4B8792CA" w:rsidR="00A950BE" w:rsidRPr="00A950BE" w:rsidRDefault="00A950BE" w:rsidP="00A950BE">
      <w:pPr>
        <w:pStyle w:val="Body"/>
        <w:rPr>
          <w:rFonts w:ascii="Arial" w:hAnsi="Arial" w:cs="Arial"/>
          <w:sz w:val="22"/>
          <w:szCs w:val="22"/>
        </w:rPr>
      </w:pPr>
      <w:r w:rsidRPr="00A950BE">
        <w:rPr>
          <w:rFonts w:ascii="Arial" w:hAnsi="Arial" w:cs="Arial"/>
          <w:b/>
          <w:sz w:val="22"/>
          <w:szCs w:val="22"/>
        </w:rPr>
        <w:t>3.1 Characteristics of individuals</w:t>
      </w:r>
    </w:p>
    <w:p w14:paraId="4C656E7E" w14:textId="65A24B77" w:rsidR="00A950BE" w:rsidRPr="00A950BE" w:rsidRDefault="00A950BE" w:rsidP="00A950BE">
      <w:pPr>
        <w:pStyle w:val="Body"/>
        <w:rPr>
          <w:rFonts w:ascii="Arial" w:hAnsi="Arial" w:cs="Arial"/>
        </w:rPr>
      </w:pPr>
      <w:r w:rsidRPr="00A950BE">
        <w:rPr>
          <w:rFonts w:ascii="Arial" w:hAnsi="Arial" w:cs="Arial"/>
        </w:rPr>
        <w:t xml:space="preserve">A total of 65 patients were included in the analysis, comprising 38 patients diagnosed with colorectal adenoma (23 males, 15 females; average age, 67.1 years; range, 40–88 years) and 27 patients diagnosed with colorectal carcinoma (15 males, 12 females; average age, 65.6 years; range, 34–87 years). Healthy controls consisted of 65 individuals for fecal microbiome analysis (average age, 67.2 years; range, 50–88 years) and 34 individuals for salivary microbiome analysis (average age, 69.3 years; range, 50–85 years). No significant age differences were observed among the healthy control (Ctrl), adenoma (Adenoma), and carcinoma (Carcinoma) groups for either fecal or saliva samples (both </w:t>
      </w:r>
      <w:r w:rsidRPr="006B0EF8">
        <w:rPr>
          <w:rFonts w:ascii="Arial" w:hAnsi="Arial" w:cs="Arial"/>
          <w:i/>
          <w:iCs/>
        </w:rPr>
        <w:t>P</w:t>
      </w:r>
      <w:r w:rsidRPr="00A950BE">
        <w:rPr>
          <w:rFonts w:ascii="Arial" w:hAnsi="Arial" w:cs="Arial"/>
        </w:rPr>
        <w:t xml:space="preserve"> &gt; 0.9999). Likewise, no significant differences in sex distribution were detected among groups for fecal (</w:t>
      </w:r>
      <w:r w:rsidRPr="00B91CF4">
        <w:rPr>
          <w:rFonts w:ascii="Arial" w:hAnsi="Arial" w:cs="Arial"/>
          <w:i/>
          <w:iCs/>
        </w:rPr>
        <w:t>P</w:t>
      </w:r>
      <w:r w:rsidRPr="00A950BE">
        <w:rPr>
          <w:rFonts w:ascii="Arial" w:hAnsi="Arial" w:cs="Arial"/>
        </w:rPr>
        <w:t xml:space="preserve"> = 0.8048) and saliva samples (</w:t>
      </w:r>
      <w:r w:rsidRPr="00E21913">
        <w:rPr>
          <w:rFonts w:ascii="Arial" w:hAnsi="Arial" w:cs="Arial"/>
          <w:i/>
          <w:iCs/>
        </w:rPr>
        <w:t>P</w:t>
      </w:r>
      <w:r w:rsidRPr="00A950BE">
        <w:rPr>
          <w:rFonts w:ascii="Arial" w:hAnsi="Arial" w:cs="Arial"/>
        </w:rPr>
        <w:t xml:space="preserve"> = 0.5628). Detailed demographic characteristics and clinical staging data of patients with adenoma or carcinoma are provided in Supplementary </w:t>
      </w:r>
      <w:r w:rsidR="00325F75">
        <w:rPr>
          <w:rFonts w:ascii="Arial" w:hAnsi="Arial" w:cs="Arial"/>
        </w:rPr>
        <w:t>T</w:t>
      </w:r>
      <w:r w:rsidRPr="00A950BE">
        <w:rPr>
          <w:rFonts w:ascii="Arial" w:hAnsi="Arial" w:cs="Arial"/>
        </w:rPr>
        <w:t xml:space="preserve">able </w:t>
      </w:r>
      <w:r w:rsidR="009D5846">
        <w:rPr>
          <w:rFonts w:ascii="Arial" w:hAnsi="Arial" w:cs="Arial"/>
        </w:rPr>
        <w:t>2</w:t>
      </w:r>
      <w:r w:rsidRPr="00A950BE">
        <w:rPr>
          <w:rFonts w:ascii="Arial" w:hAnsi="Arial" w:cs="Arial"/>
        </w:rPr>
        <w:t>.</w:t>
      </w:r>
    </w:p>
    <w:p w14:paraId="6A4CBDD3" w14:textId="46D52C73" w:rsidR="00A950BE" w:rsidRPr="00A950BE" w:rsidRDefault="00D47C4D" w:rsidP="00A950BE">
      <w:pPr>
        <w:pStyle w:val="Body"/>
        <w:rPr>
          <w:rFonts w:ascii="Arial" w:hAnsi="Arial" w:cs="Arial"/>
          <w:sz w:val="22"/>
          <w:szCs w:val="22"/>
        </w:rPr>
      </w:pPr>
      <w:r w:rsidRPr="00D47C4D">
        <w:rPr>
          <w:rFonts w:ascii="Arial" w:hAnsi="Arial" w:cs="Arial"/>
          <w:b/>
          <w:sz w:val="22"/>
          <w:szCs w:val="22"/>
        </w:rPr>
        <w:lastRenderedPageBreak/>
        <w:t xml:space="preserve">3.2 </w:t>
      </w:r>
      <w:r w:rsidR="00A950BE" w:rsidRPr="00A950BE">
        <w:rPr>
          <w:rFonts w:ascii="Arial" w:hAnsi="Arial" w:cs="Arial"/>
          <w:b/>
          <w:sz w:val="22"/>
          <w:szCs w:val="22"/>
        </w:rPr>
        <w:t>Fecal Microbiota Analysis</w:t>
      </w:r>
    </w:p>
    <w:p w14:paraId="1D1B30A1" w14:textId="0F455386" w:rsidR="00A950BE" w:rsidRPr="00A950BE" w:rsidRDefault="00A950BE" w:rsidP="00A950BE">
      <w:pPr>
        <w:pStyle w:val="Body"/>
        <w:rPr>
          <w:rFonts w:ascii="Arial" w:hAnsi="Arial" w:cs="Arial"/>
        </w:rPr>
      </w:pPr>
      <w:r w:rsidRPr="00A950BE">
        <w:rPr>
          <w:rFonts w:ascii="Arial" w:hAnsi="Arial" w:cs="Arial"/>
        </w:rPr>
        <w:t xml:space="preserve">To characterize microbial community shifts associated with colorectal tumorigenesis and to explore potential microbial gene markers beyond the previously investigated </w:t>
      </w:r>
      <w:r w:rsidRPr="00CC3BBD">
        <w:rPr>
          <w:rFonts w:ascii="Arial" w:hAnsi="Arial" w:cs="Arial"/>
          <w:i/>
          <w:iCs/>
        </w:rPr>
        <w:t xml:space="preserve">5ar </w:t>
      </w:r>
      <w:r w:rsidRPr="00A950BE">
        <w:rPr>
          <w:rFonts w:ascii="Arial" w:hAnsi="Arial" w:cs="Arial"/>
        </w:rPr>
        <w:t xml:space="preserve">and </w:t>
      </w:r>
      <w:r w:rsidRPr="00CC3BBD">
        <w:rPr>
          <w:rFonts w:ascii="Arial" w:hAnsi="Arial" w:cs="Arial"/>
          <w:i/>
          <w:iCs/>
        </w:rPr>
        <w:t>nan</w:t>
      </w:r>
      <w:r w:rsidRPr="00A950BE">
        <w:rPr>
          <w:rFonts w:ascii="Arial" w:hAnsi="Arial" w:cs="Arial"/>
        </w:rPr>
        <w:t xml:space="preserve">, fecal microbiota profiles were analyzed using 16S rRNA gene sequencing via NGS. </w:t>
      </w:r>
      <w:r w:rsidR="001B58A7" w:rsidRPr="001B58A7">
        <w:rPr>
          <w:rFonts w:ascii="Arial" w:hAnsi="Arial" w:cs="Arial"/>
        </w:rPr>
        <w:t xml:space="preserve">Supplementary Figure </w:t>
      </w:r>
      <w:r w:rsidR="001B58A7">
        <w:rPr>
          <w:rFonts w:ascii="Arial" w:hAnsi="Arial" w:cs="Arial"/>
        </w:rPr>
        <w:t>2</w:t>
      </w:r>
      <w:r w:rsidRPr="00A950BE">
        <w:rPr>
          <w:rFonts w:ascii="Arial" w:hAnsi="Arial" w:cs="Arial"/>
        </w:rPr>
        <w:t>a illustrates fecal microbiota composition at the species level among the Ctrl, Adenoma, and Carcinoma groups. Alpha diversity, assessed using the Shannon index, showed no significant differences among the three groups.</w:t>
      </w:r>
    </w:p>
    <w:p w14:paraId="37255653" w14:textId="77777777" w:rsidR="00A950BE" w:rsidRDefault="00A950BE" w:rsidP="00A950BE">
      <w:pPr>
        <w:pStyle w:val="Body"/>
        <w:rPr>
          <w:rFonts w:ascii="Arial" w:hAnsi="Arial" w:cs="Arial"/>
        </w:rPr>
      </w:pPr>
      <w:proofErr w:type="spellStart"/>
      <w:r w:rsidRPr="00A950BE">
        <w:rPr>
          <w:rFonts w:ascii="Arial" w:hAnsi="Arial" w:cs="Arial"/>
        </w:rPr>
        <w:t>PCoA</w:t>
      </w:r>
      <w:proofErr w:type="spellEnd"/>
      <w:r w:rsidRPr="00A950BE">
        <w:rPr>
          <w:rFonts w:ascii="Arial" w:hAnsi="Arial" w:cs="Arial"/>
        </w:rPr>
        <w:t xml:space="preserve"> based on Generalized </w:t>
      </w:r>
      <w:proofErr w:type="spellStart"/>
      <w:r w:rsidRPr="00A950BE">
        <w:rPr>
          <w:rFonts w:ascii="Arial" w:hAnsi="Arial" w:cs="Arial"/>
        </w:rPr>
        <w:t>UniFrac</w:t>
      </w:r>
      <w:proofErr w:type="spellEnd"/>
      <w:r w:rsidRPr="00A950BE">
        <w:rPr>
          <w:rFonts w:ascii="Arial" w:hAnsi="Arial" w:cs="Arial"/>
        </w:rPr>
        <w:t xml:space="preserve"> distances demonstrated clear separation in microbial community structures among the groups (Fig. 1a). PERMANOVA further confirmed significant differences in beta diversity between the Ctrl group and both the Adenoma and Carcinoma groups (both </w:t>
      </w:r>
      <w:r w:rsidRPr="00C7014F">
        <w:rPr>
          <w:rFonts w:ascii="Arial" w:hAnsi="Arial" w:cs="Arial"/>
          <w:i/>
          <w:iCs/>
        </w:rPr>
        <w:t>P</w:t>
      </w:r>
      <w:r w:rsidRPr="00A950BE">
        <w:rPr>
          <w:rFonts w:ascii="Arial" w:hAnsi="Arial" w:cs="Arial"/>
        </w:rPr>
        <w:t xml:space="preserve"> ≤ 0.001). However, no significant difference was observed in beta diversity between the Adenoma and Carcinoma groups (</w:t>
      </w:r>
      <w:r w:rsidRPr="00C7014F">
        <w:rPr>
          <w:rFonts w:ascii="Arial" w:hAnsi="Arial" w:cs="Arial"/>
          <w:i/>
          <w:iCs/>
        </w:rPr>
        <w:t>P</w:t>
      </w:r>
      <w:r w:rsidRPr="00A950BE">
        <w:rPr>
          <w:rFonts w:ascii="Arial" w:hAnsi="Arial" w:cs="Arial"/>
        </w:rPr>
        <w:t xml:space="preserve"> = 0.220).</w:t>
      </w:r>
    </w:p>
    <w:p w14:paraId="48B68245" w14:textId="0E01EE88" w:rsidR="006F06B5" w:rsidRDefault="005C7CB0" w:rsidP="00C94BD0">
      <w:pPr>
        <w:pStyle w:val="Body"/>
        <w:jc w:val="center"/>
        <w:rPr>
          <w:rFonts w:ascii="Arial" w:hAnsi="Arial" w:cs="Arial"/>
          <w:lang w:eastAsia="ja-JP"/>
        </w:rPr>
      </w:pPr>
      <w:r w:rsidRPr="005C7CB0">
        <w:rPr>
          <w:rFonts w:ascii="Arial" w:hAnsi="Arial" w:cs="Arial"/>
          <w:noProof/>
          <w:lang w:eastAsia="ja-JP"/>
        </w:rPr>
        <w:drawing>
          <wp:inline distT="0" distB="0" distL="0" distR="0" wp14:anchorId="7B289059" wp14:editId="682B88E5">
            <wp:extent cx="6728555" cy="3080425"/>
            <wp:effectExtent l="0" t="0" r="0" b="0"/>
            <wp:docPr id="84999843"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843" name="図 1" descr="グラフ, 散布図&#10;&#10;AI 生成コンテンツは誤りを含む可能性があります。"/>
                    <pic:cNvPicPr/>
                  </pic:nvPicPr>
                  <pic:blipFill rotWithShape="1">
                    <a:blip r:embed="rId14"/>
                    <a:srcRect l="5013" t="10468" r="4108" b="34059"/>
                    <a:stretch>
                      <a:fillRect/>
                    </a:stretch>
                  </pic:blipFill>
                  <pic:spPr bwMode="auto">
                    <a:xfrm>
                      <a:off x="0" y="0"/>
                      <a:ext cx="6751384" cy="3090877"/>
                    </a:xfrm>
                    <a:prstGeom prst="rect">
                      <a:avLst/>
                    </a:prstGeom>
                    <a:ln>
                      <a:noFill/>
                    </a:ln>
                    <a:extLst>
                      <a:ext uri="{53640926-AAD7-44D8-BBD7-CCE9431645EC}">
                        <a14:shadowObscured xmlns:a14="http://schemas.microsoft.com/office/drawing/2010/main"/>
                      </a:ext>
                    </a:extLst>
                  </pic:spPr>
                </pic:pic>
              </a:graphicData>
            </a:graphic>
          </wp:inline>
        </w:drawing>
      </w:r>
    </w:p>
    <w:p w14:paraId="68AB80D3" w14:textId="138815CB" w:rsidR="005F4BBB" w:rsidRPr="005F4BBB" w:rsidRDefault="005F4BBB" w:rsidP="00A950BE">
      <w:pPr>
        <w:pStyle w:val="Body"/>
        <w:rPr>
          <w:rFonts w:ascii="Arial" w:hAnsi="Arial" w:cs="Arial"/>
          <w:lang w:eastAsia="ja-JP"/>
        </w:rPr>
      </w:pPr>
      <w:r w:rsidRPr="006973FF">
        <w:rPr>
          <w:rFonts w:ascii="Arial" w:hAnsi="Arial" w:cs="Arial"/>
          <w:b/>
        </w:rPr>
        <w:t xml:space="preserve">Fig. 1. </w:t>
      </w:r>
      <w:r w:rsidRPr="006973FF">
        <w:rPr>
          <w:rFonts w:ascii="Arial" w:hAnsi="Arial" w:cs="Arial"/>
        </w:rPr>
        <w:t xml:space="preserve">Principal Coordinate Analysis plots based on Generalized </w:t>
      </w:r>
      <w:proofErr w:type="spellStart"/>
      <w:r w:rsidRPr="006973FF">
        <w:rPr>
          <w:rFonts w:ascii="Arial" w:hAnsi="Arial" w:cs="Arial"/>
        </w:rPr>
        <w:t>UniFrac</w:t>
      </w:r>
      <w:proofErr w:type="spellEnd"/>
      <w:r w:rsidRPr="006973FF">
        <w:rPr>
          <w:rFonts w:ascii="Arial" w:hAnsi="Arial" w:cs="Arial"/>
        </w:rPr>
        <w:t xml:space="preserve"> distances showing group-wise separation of the microbiota composition in (a) fecal and (b) salivary samples among healthy controls, adenoma patients, and carcinoma patients.</w:t>
      </w:r>
    </w:p>
    <w:p w14:paraId="2E6D6CB8" w14:textId="0D832052" w:rsidR="00A950BE" w:rsidRDefault="00A950BE" w:rsidP="00A950BE">
      <w:pPr>
        <w:pStyle w:val="Body"/>
        <w:rPr>
          <w:rFonts w:ascii="Arial" w:hAnsi="Arial" w:cs="Arial"/>
        </w:rPr>
      </w:pPr>
      <w:r w:rsidRPr="00A950BE">
        <w:rPr>
          <w:rFonts w:ascii="Arial" w:hAnsi="Arial" w:cs="Arial"/>
        </w:rPr>
        <w:t xml:space="preserve">To identify specific bacterial taxa associated with colorectal tumorigenesis, </w:t>
      </w:r>
      <w:proofErr w:type="spellStart"/>
      <w:r w:rsidRPr="00A950BE">
        <w:rPr>
          <w:rFonts w:ascii="Arial" w:hAnsi="Arial" w:cs="Arial"/>
        </w:rPr>
        <w:t>LEfSe</w:t>
      </w:r>
      <w:proofErr w:type="spellEnd"/>
      <w:r w:rsidRPr="00A950BE">
        <w:rPr>
          <w:rFonts w:ascii="Arial" w:hAnsi="Arial" w:cs="Arial"/>
        </w:rPr>
        <w:t xml:space="preserve"> was employed across all groups. </w:t>
      </w:r>
      <w:proofErr w:type="spellStart"/>
      <w:r w:rsidRPr="00A950BE">
        <w:rPr>
          <w:rFonts w:ascii="Arial" w:hAnsi="Arial" w:cs="Arial"/>
        </w:rPr>
        <w:t>LEfSe</w:t>
      </w:r>
      <w:proofErr w:type="spellEnd"/>
      <w:r w:rsidRPr="00A950BE">
        <w:rPr>
          <w:rFonts w:ascii="Arial" w:hAnsi="Arial" w:cs="Arial"/>
        </w:rPr>
        <w:t xml:space="preserve"> analysis identified five significantly altered candidate taxa in fecal samples from tumor-associated conditions: </w:t>
      </w:r>
      <w:proofErr w:type="spellStart"/>
      <w:r w:rsidR="009C4224" w:rsidRPr="00DA7EE6">
        <w:rPr>
          <w:rFonts w:ascii="Arial" w:hAnsi="Arial" w:cs="Arial"/>
          <w:i/>
          <w:iCs/>
        </w:rPr>
        <w:t>Fusicatenibacter</w:t>
      </w:r>
      <w:proofErr w:type="spellEnd"/>
      <w:r w:rsidRPr="00154C21">
        <w:rPr>
          <w:rFonts w:ascii="Arial" w:hAnsi="Arial" w:cs="Arial"/>
          <w:i/>
          <w:iCs/>
        </w:rPr>
        <w:t xml:space="preserve"> </w:t>
      </w:r>
      <w:proofErr w:type="spellStart"/>
      <w:r w:rsidRPr="00154C21">
        <w:rPr>
          <w:rFonts w:ascii="Arial" w:hAnsi="Arial" w:cs="Arial"/>
          <w:i/>
          <w:iCs/>
        </w:rPr>
        <w:t>saccharivorans</w:t>
      </w:r>
      <w:proofErr w:type="spellEnd"/>
      <w:r w:rsidRPr="00A950BE">
        <w:rPr>
          <w:rFonts w:ascii="Arial" w:hAnsi="Arial" w:cs="Arial"/>
        </w:rPr>
        <w:t xml:space="preserve"> group, </w:t>
      </w:r>
      <w:proofErr w:type="spellStart"/>
      <w:r w:rsidRPr="00154C21">
        <w:rPr>
          <w:rFonts w:ascii="Arial" w:hAnsi="Arial" w:cs="Arial"/>
          <w:i/>
          <w:iCs/>
        </w:rPr>
        <w:t>Anaerostipes</w:t>
      </w:r>
      <w:proofErr w:type="spellEnd"/>
      <w:r w:rsidRPr="00154C21">
        <w:rPr>
          <w:rFonts w:ascii="Arial" w:hAnsi="Arial" w:cs="Arial"/>
          <w:i/>
          <w:iCs/>
        </w:rPr>
        <w:t xml:space="preserve"> </w:t>
      </w:r>
      <w:proofErr w:type="spellStart"/>
      <w:r w:rsidRPr="00154C21">
        <w:rPr>
          <w:rFonts w:ascii="Arial" w:hAnsi="Arial" w:cs="Arial"/>
          <w:i/>
          <w:iCs/>
        </w:rPr>
        <w:t>hadrus</w:t>
      </w:r>
      <w:proofErr w:type="spellEnd"/>
      <w:r w:rsidRPr="00A950BE">
        <w:rPr>
          <w:rFonts w:ascii="Arial" w:hAnsi="Arial" w:cs="Arial"/>
        </w:rPr>
        <w:t xml:space="preserve"> group, </w:t>
      </w:r>
      <w:proofErr w:type="spellStart"/>
      <w:r w:rsidRPr="00154C21">
        <w:rPr>
          <w:rFonts w:ascii="Arial" w:hAnsi="Arial" w:cs="Arial"/>
          <w:i/>
          <w:iCs/>
        </w:rPr>
        <w:t>Faecalibacterium</w:t>
      </w:r>
      <w:proofErr w:type="spellEnd"/>
      <w:r w:rsidRPr="00154C21">
        <w:rPr>
          <w:rFonts w:ascii="Arial" w:hAnsi="Arial" w:cs="Arial"/>
          <w:i/>
          <w:iCs/>
        </w:rPr>
        <w:t xml:space="preserve"> </w:t>
      </w:r>
      <w:proofErr w:type="spellStart"/>
      <w:r w:rsidRPr="00154C21">
        <w:rPr>
          <w:rFonts w:ascii="Arial" w:hAnsi="Arial" w:cs="Arial"/>
          <w:i/>
          <w:iCs/>
        </w:rPr>
        <w:t>prausnitzii</w:t>
      </w:r>
      <w:proofErr w:type="spellEnd"/>
      <w:r w:rsidRPr="00154C21">
        <w:rPr>
          <w:rFonts w:ascii="Arial" w:hAnsi="Arial" w:cs="Arial"/>
          <w:i/>
          <w:iCs/>
        </w:rPr>
        <w:t xml:space="preserve"> </w:t>
      </w:r>
      <w:r w:rsidRPr="00A950BE">
        <w:rPr>
          <w:rFonts w:ascii="Arial" w:hAnsi="Arial" w:cs="Arial"/>
        </w:rPr>
        <w:t xml:space="preserve">group, </w:t>
      </w:r>
      <w:proofErr w:type="spellStart"/>
      <w:r w:rsidRPr="00154C21">
        <w:rPr>
          <w:rFonts w:ascii="Arial" w:hAnsi="Arial" w:cs="Arial"/>
          <w:i/>
          <w:iCs/>
        </w:rPr>
        <w:t>Anaerobutyricum</w:t>
      </w:r>
      <w:proofErr w:type="spellEnd"/>
      <w:r w:rsidRPr="00154C21">
        <w:rPr>
          <w:rFonts w:ascii="Arial" w:hAnsi="Arial" w:cs="Arial"/>
          <w:i/>
          <w:iCs/>
        </w:rPr>
        <w:t xml:space="preserve"> </w:t>
      </w:r>
      <w:proofErr w:type="spellStart"/>
      <w:r w:rsidRPr="00154C21">
        <w:rPr>
          <w:rFonts w:ascii="Arial" w:hAnsi="Arial" w:cs="Arial"/>
          <w:i/>
          <w:iCs/>
        </w:rPr>
        <w:t>hallii</w:t>
      </w:r>
      <w:proofErr w:type="spellEnd"/>
      <w:r w:rsidRPr="00A950BE">
        <w:rPr>
          <w:rFonts w:ascii="Arial" w:hAnsi="Arial" w:cs="Arial"/>
        </w:rPr>
        <w:t xml:space="preserve">, and </w:t>
      </w:r>
      <w:proofErr w:type="spellStart"/>
      <w:r w:rsidRPr="00154C21">
        <w:rPr>
          <w:rFonts w:ascii="Arial" w:hAnsi="Arial" w:cs="Arial"/>
          <w:i/>
          <w:iCs/>
        </w:rPr>
        <w:t>Blautia</w:t>
      </w:r>
      <w:proofErr w:type="spellEnd"/>
      <w:r w:rsidRPr="00154C21">
        <w:rPr>
          <w:rFonts w:ascii="Arial" w:hAnsi="Arial" w:cs="Arial"/>
          <w:i/>
          <w:iCs/>
        </w:rPr>
        <w:t xml:space="preserve"> </w:t>
      </w:r>
      <w:proofErr w:type="spellStart"/>
      <w:r w:rsidRPr="00154C21">
        <w:rPr>
          <w:rFonts w:ascii="Arial" w:hAnsi="Arial" w:cs="Arial"/>
          <w:i/>
          <w:iCs/>
        </w:rPr>
        <w:t>obeum</w:t>
      </w:r>
      <w:proofErr w:type="spellEnd"/>
      <w:r w:rsidRPr="00A950BE">
        <w:rPr>
          <w:rFonts w:ascii="Arial" w:hAnsi="Arial" w:cs="Arial"/>
        </w:rPr>
        <w:t xml:space="preserve"> group (Fig. 2a). As </w:t>
      </w:r>
      <w:proofErr w:type="spellStart"/>
      <w:r w:rsidRPr="00A950BE">
        <w:rPr>
          <w:rFonts w:ascii="Arial" w:hAnsi="Arial" w:cs="Arial"/>
        </w:rPr>
        <w:t>LEfSe</w:t>
      </w:r>
      <w:proofErr w:type="spellEnd"/>
      <w:r w:rsidRPr="00A950BE">
        <w:rPr>
          <w:rFonts w:ascii="Arial" w:hAnsi="Arial" w:cs="Arial"/>
        </w:rPr>
        <w:t xml:space="preserve"> analysis identifies taxa significantly different among any groups, additional pairwise comparisons were conducted using Kruskal–Wallis tests followed by Dunn’s post hoc tests for confirmation. These analyses revealed that the abundances of all five identified taxa were significantly lower in both the Adenoma and Carcinoma groups compared to the Ctrl group. No significant differences were observed between the Adenoma and Carcinoma groups for these taxa (Fig. 3a–</w:t>
      </w:r>
      <w:r w:rsidR="007628C6">
        <w:rPr>
          <w:rFonts w:ascii="Arial" w:hAnsi="Arial" w:cs="Arial"/>
        </w:rPr>
        <w:t>e</w:t>
      </w:r>
      <w:r w:rsidRPr="00A950BE">
        <w:rPr>
          <w:rFonts w:ascii="Arial" w:hAnsi="Arial" w:cs="Arial"/>
        </w:rPr>
        <w:t>).</w:t>
      </w:r>
    </w:p>
    <w:p w14:paraId="47BD8044" w14:textId="47D917F7" w:rsidR="005F4BBB" w:rsidRDefault="00972B38" w:rsidP="00C94BD0">
      <w:pPr>
        <w:pStyle w:val="Body"/>
        <w:jc w:val="center"/>
        <w:rPr>
          <w:rFonts w:ascii="Arial" w:hAnsi="Arial" w:cs="Arial"/>
        </w:rPr>
      </w:pPr>
      <w:r w:rsidRPr="00972B38">
        <w:rPr>
          <w:rFonts w:ascii="Arial" w:hAnsi="Arial" w:cs="Arial"/>
          <w:noProof/>
        </w:rPr>
        <w:lastRenderedPageBreak/>
        <w:drawing>
          <wp:inline distT="0" distB="0" distL="0" distR="0" wp14:anchorId="6E793066" wp14:editId="435AFCFA">
            <wp:extent cx="6350000" cy="1911350"/>
            <wp:effectExtent l="0" t="0" r="0" b="0"/>
            <wp:docPr id="124895407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4077" name="図 1" descr="テーブル&#10;&#10;AI 生成コンテンツは誤りを含む可能性があります。"/>
                    <pic:cNvPicPr/>
                  </pic:nvPicPr>
                  <pic:blipFill rotWithShape="1">
                    <a:blip r:embed="rId15"/>
                    <a:srcRect l="3056" t="21976" r="4352" b="40864"/>
                    <a:stretch>
                      <a:fillRect/>
                    </a:stretch>
                  </pic:blipFill>
                  <pic:spPr bwMode="auto">
                    <a:xfrm>
                      <a:off x="0" y="0"/>
                      <a:ext cx="6350000" cy="1911350"/>
                    </a:xfrm>
                    <a:prstGeom prst="rect">
                      <a:avLst/>
                    </a:prstGeom>
                    <a:ln>
                      <a:noFill/>
                    </a:ln>
                    <a:extLst>
                      <a:ext uri="{53640926-AAD7-44D8-BBD7-CCE9431645EC}">
                        <a14:shadowObscured xmlns:a14="http://schemas.microsoft.com/office/drawing/2010/main"/>
                      </a:ext>
                    </a:extLst>
                  </pic:spPr>
                </pic:pic>
              </a:graphicData>
            </a:graphic>
          </wp:inline>
        </w:drawing>
      </w:r>
    </w:p>
    <w:p w14:paraId="30BE2C9B" w14:textId="77777777" w:rsidR="00972B38" w:rsidRPr="006973FF" w:rsidRDefault="00972B38" w:rsidP="00972B38">
      <w:pPr>
        <w:pStyle w:val="Body"/>
        <w:rPr>
          <w:rFonts w:ascii="Arial" w:hAnsi="Arial" w:cs="Arial"/>
        </w:rPr>
      </w:pPr>
      <w:r w:rsidRPr="006973FF">
        <w:rPr>
          <w:rFonts w:ascii="Arial" w:hAnsi="Arial" w:cs="Arial"/>
          <w:b/>
        </w:rPr>
        <w:t xml:space="preserve">Fig. 2. </w:t>
      </w:r>
      <w:r w:rsidRPr="006973FF">
        <w:rPr>
          <w:rFonts w:ascii="Arial" w:hAnsi="Arial" w:cs="Arial"/>
        </w:rPr>
        <w:t xml:space="preserve">Linear discriminant analysis (LDA) effect size results identifying microbial taxa significantly associated with healthy controls (Ctrl), adenoma patients (Adenoma), and carcinoma patients (Carcinoma). Analyses were performed at the species level for (a) fecal microbiota and (b) salivary microbiota. Thresholds for significance were set at </w:t>
      </w:r>
      <w:r w:rsidRPr="00972B38">
        <w:rPr>
          <w:rFonts w:ascii="Arial" w:hAnsi="Arial" w:cs="Arial"/>
          <w:i/>
          <w:iCs/>
        </w:rPr>
        <w:t>P</w:t>
      </w:r>
      <w:r w:rsidRPr="006973FF">
        <w:rPr>
          <w:rFonts w:ascii="Arial" w:hAnsi="Arial" w:cs="Arial"/>
        </w:rPr>
        <w:t xml:space="preserve"> &lt; </w:t>
      </w:r>
      <w:r>
        <w:rPr>
          <w:rFonts w:ascii="Arial" w:hAnsi="Arial" w:cs="Arial"/>
        </w:rPr>
        <w:t>0</w:t>
      </w:r>
      <w:r w:rsidRPr="006973FF">
        <w:rPr>
          <w:rFonts w:ascii="Arial" w:hAnsi="Arial" w:cs="Arial"/>
        </w:rPr>
        <w:t>.05 and |LDA effect size| &gt; 3.5. Blue bars indicate the magnitude of LDA effect size; red bars represent relative taxonomic abundance.</w:t>
      </w:r>
    </w:p>
    <w:p w14:paraId="7B19A2F2" w14:textId="77777777" w:rsidR="00972B38" w:rsidRDefault="00972B38" w:rsidP="00A950BE">
      <w:pPr>
        <w:pStyle w:val="Body"/>
        <w:rPr>
          <w:rFonts w:ascii="Arial" w:hAnsi="Arial" w:cs="Arial"/>
        </w:rPr>
      </w:pPr>
    </w:p>
    <w:p w14:paraId="1EE2FC6D" w14:textId="3B82BBD3" w:rsidR="00911ED1" w:rsidRDefault="00C94BD0" w:rsidP="00C94BD0">
      <w:pPr>
        <w:pStyle w:val="Body"/>
        <w:jc w:val="center"/>
        <w:rPr>
          <w:rFonts w:ascii="Arial" w:hAnsi="Arial" w:cs="Arial"/>
        </w:rPr>
      </w:pPr>
      <w:r w:rsidRPr="00C94BD0">
        <w:rPr>
          <w:rFonts w:ascii="Arial" w:hAnsi="Arial" w:cs="Arial"/>
          <w:noProof/>
        </w:rPr>
        <w:drawing>
          <wp:inline distT="0" distB="0" distL="0" distR="0" wp14:anchorId="216C6A0B" wp14:editId="14B3D3F6">
            <wp:extent cx="4216400" cy="4362450"/>
            <wp:effectExtent l="0" t="0" r="0" b="0"/>
            <wp:docPr id="881191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1018" name=""/>
                    <pic:cNvPicPr/>
                  </pic:nvPicPr>
                  <pic:blipFill rotWithShape="1">
                    <a:blip r:embed="rId16"/>
                    <a:srcRect l="15648" t="3457" r="22871" b="11728"/>
                    <a:stretch>
                      <a:fillRect/>
                    </a:stretch>
                  </pic:blipFill>
                  <pic:spPr bwMode="auto">
                    <a:xfrm>
                      <a:off x="0" y="0"/>
                      <a:ext cx="4216400" cy="4362450"/>
                    </a:xfrm>
                    <a:prstGeom prst="rect">
                      <a:avLst/>
                    </a:prstGeom>
                    <a:ln>
                      <a:noFill/>
                    </a:ln>
                    <a:extLst>
                      <a:ext uri="{53640926-AAD7-44D8-BBD7-CCE9431645EC}">
                        <a14:shadowObscured xmlns:a14="http://schemas.microsoft.com/office/drawing/2010/main"/>
                      </a:ext>
                    </a:extLst>
                  </pic:spPr>
                </pic:pic>
              </a:graphicData>
            </a:graphic>
          </wp:inline>
        </w:drawing>
      </w:r>
    </w:p>
    <w:p w14:paraId="65D94542" w14:textId="760347CD" w:rsidR="00C94BD0" w:rsidRPr="00A950BE" w:rsidRDefault="00C94BD0" w:rsidP="00C94BD0">
      <w:pPr>
        <w:pStyle w:val="Body"/>
        <w:rPr>
          <w:rFonts w:ascii="Arial" w:hAnsi="Arial" w:cs="Arial"/>
        </w:rPr>
      </w:pPr>
      <w:r w:rsidRPr="006973FF">
        <w:rPr>
          <w:rFonts w:ascii="Arial" w:hAnsi="Arial" w:cs="Arial"/>
          <w:b/>
        </w:rPr>
        <w:t xml:space="preserve">Fig. 3. </w:t>
      </w:r>
      <w:r w:rsidRPr="006973FF">
        <w:rPr>
          <w:rFonts w:ascii="Arial" w:hAnsi="Arial" w:cs="Arial"/>
        </w:rPr>
        <w:t xml:space="preserve">Relative abundances of selected bacterial taxa in fecal and salivary samples from healthy controls (Ctrl), adenoma patients (Adenoma), and carcinoma patients (Carcinoma). Fecal samples: (a) </w:t>
      </w:r>
      <w:proofErr w:type="spellStart"/>
      <w:r w:rsidRPr="00AC15FF">
        <w:rPr>
          <w:rFonts w:ascii="Arial" w:hAnsi="Arial" w:cs="Arial"/>
          <w:i/>
          <w:iCs/>
        </w:rPr>
        <w:t>Fusicatenibacter</w:t>
      </w:r>
      <w:proofErr w:type="spellEnd"/>
      <w:r w:rsidRPr="00AC15FF">
        <w:rPr>
          <w:rFonts w:ascii="Arial" w:hAnsi="Arial" w:cs="Arial"/>
          <w:i/>
          <w:iCs/>
        </w:rPr>
        <w:t xml:space="preserve"> </w:t>
      </w:r>
      <w:proofErr w:type="spellStart"/>
      <w:r w:rsidRPr="00AC15FF">
        <w:rPr>
          <w:rFonts w:ascii="Arial" w:hAnsi="Arial" w:cs="Arial"/>
          <w:i/>
          <w:iCs/>
        </w:rPr>
        <w:t>saccharivorans</w:t>
      </w:r>
      <w:proofErr w:type="spellEnd"/>
      <w:r w:rsidRPr="006973FF">
        <w:rPr>
          <w:rFonts w:ascii="Arial" w:hAnsi="Arial" w:cs="Arial"/>
        </w:rPr>
        <w:t xml:space="preserve"> group, (b) </w:t>
      </w:r>
      <w:proofErr w:type="spellStart"/>
      <w:r w:rsidRPr="00AC15FF">
        <w:rPr>
          <w:rFonts w:ascii="Arial" w:hAnsi="Arial" w:cs="Arial"/>
          <w:i/>
          <w:iCs/>
        </w:rPr>
        <w:t>Anaerostipes</w:t>
      </w:r>
      <w:proofErr w:type="spellEnd"/>
      <w:r w:rsidRPr="00AC15FF">
        <w:rPr>
          <w:rFonts w:ascii="Arial" w:hAnsi="Arial" w:cs="Arial"/>
          <w:i/>
          <w:iCs/>
        </w:rPr>
        <w:t xml:space="preserve"> </w:t>
      </w:r>
      <w:proofErr w:type="spellStart"/>
      <w:r w:rsidRPr="00AC15FF">
        <w:rPr>
          <w:rFonts w:ascii="Arial" w:hAnsi="Arial" w:cs="Arial"/>
          <w:i/>
          <w:iCs/>
        </w:rPr>
        <w:t>hadrus</w:t>
      </w:r>
      <w:proofErr w:type="spellEnd"/>
      <w:r w:rsidRPr="00AC15FF">
        <w:rPr>
          <w:rFonts w:ascii="Arial" w:hAnsi="Arial" w:cs="Arial"/>
          <w:i/>
          <w:iCs/>
        </w:rPr>
        <w:t xml:space="preserve"> </w:t>
      </w:r>
      <w:r w:rsidRPr="006973FF">
        <w:rPr>
          <w:rFonts w:ascii="Arial" w:hAnsi="Arial" w:cs="Arial"/>
        </w:rPr>
        <w:t xml:space="preserve">group, (c) </w:t>
      </w:r>
      <w:proofErr w:type="spellStart"/>
      <w:r w:rsidRPr="00AC15FF">
        <w:rPr>
          <w:rFonts w:ascii="Arial" w:hAnsi="Arial" w:cs="Arial"/>
          <w:i/>
          <w:iCs/>
        </w:rPr>
        <w:t>Faecalibacterium</w:t>
      </w:r>
      <w:proofErr w:type="spellEnd"/>
      <w:r w:rsidRPr="00AC15FF">
        <w:rPr>
          <w:rFonts w:ascii="Arial" w:hAnsi="Arial" w:cs="Arial"/>
          <w:i/>
          <w:iCs/>
        </w:rPr>
        <w:t xml:space="preserve"> </w:t>
      </w:r>
      <w:proofErr w:type="spellStart"/>
      <w:r w:rsidRPr="00AC15FF">
        <w:rPr>
          <w:rFonts w:ascii="Arial" w:hAnsi="Arial" w:cs="Arial"/>
          <w:i/>
          <w:iCs/>
        </w:rPr>
        <w:t>prausnitzii</w:t>
      </w:r>
      <w:proofErr w:type="spellEnd"/>
      <w:r w:rsidRPr="00AC15FF">
        <w:rPr>
          <w:rFonts w:ascii="Arial" w:hAnsi="Arial" w:cs="Arial"/>
          <w:i/>
          <w:iCs/>
        </w:rPr>
        <w:t xml:space="preserve"> </w:t>
      </w:r>
      <w:r w:rsidRPr="006973FF">
        <w:rPr>
          <w:rFonts w:ascii="Arial" w:hAnsi="Arial" w:cs="Arial"/>
        </w:rPr>
        <w:t xml:space="preserve">group, (d) </w:t>
      </w:r>
      <w:proofErr w:type="spellStart"/>
      <w:r w:rsidRPr="00AC15FF">
        <w:rPr>
          <w:rFonts w:ascii="Arial" w:hAnsi="Arial" w:cs="Arial"/>
          <w:i/>
          <w:iCs/>
        </w:rPr>
        <w:t>Anaerobutyricum</w:t>
      </w:r>
      <w:proofErr w:type="spellEnd"/>
      <w:r w:rsidRPr="00AC15FF">
        <w:rPr>
          <w:rFonts w:ascii="Arial" w:hAnsi="Arial" w:cs="Arial"/>
          <w:i/>
          <w:iCs/>
        </w:rPr>
        <w:t xml:space="preserve"> </w:t>
      </w:r>
      <w:proofErr w:type="spellStart"/>
      <w:r w:rsidRPr="00AC15FF">
        <w:rPr>
          <w:rFonts w:ascii="Arial" w:hAnsi="Arial" w:cs="Arial"/>
          <w:i/>
          <w:iCs/>
        </w:rPr>
        <w:t>hallii</w:t>
      </w:r>
      <w:proofErr w:type="spellEnd"/>
      <w:r w:rsidRPr="006973FF">
        <w:rPr>
          <w:rFonts w:ascii="Arial" w:hAnsi="Arial" w:cs="Arial"/>
        </w:rPr>
        <w:t xml:space="preserve">, and (e) </w:t>
      </w:r>
      <w:proofErr w:type="spellStart"/>
      <w:r w:rsidRPr="00AC15FF">
        <w:rPr>
          <w:rFonts w:ascii="Arial" w:hAnsi="Arial" w:cs="Arial"/>
          <w:i/>
          <w:iCs/>
        </w:rPr>
        <w:t>Blautia</w:t>
      </w:r>
      <w:proofErr w:type="spellEnd"/>
      <w:r w:rsidRPr="00AC15FF">
        <w:rPr>
          <w:rFonts w:ascii="Arial" w:hAnsi="Arial" w:cs="Arial"/>
          <w:i/>
          <w:iCs/>
        </w:rPr>
        <w:t xml:space="preserve"> </w:t>
      </w:r>
      <w:proofErr w:type="spellStart"/>
      <w:r w:rsidRPr="00AC15FF">
        <w:rPr>
          <w:rFonts w:ascii="Arial" w:hAnsi="Arial" w:cs="Arial"/>
          <w:i/>
          <w:iCs/>
        </w:rPr>
        <w:t>obeum</w:t>
      </w:r>
      <w:proofErr w:type="spellEnd"/>
      <w:r w:rsidRPr="006973FF">
        <w:rPr>
          <w:rFonts w:ascii="Arial" w:hAnsi="Arial" w:cs="Arial"/>
        </w:rPr>
        <w:t xml:space="preserve"> group. Salivary samples: (f) </w:t>
      </w:r>
      <w:r w:rsidRPr="00AC15FF">
        <w:rPr>
          <w:rFonts w:ascii="Arial" w:hAnsi="Arial" w:cs="Arial"/>
          <w:i/>
          <w:iCs/>
        </w:rPr>
        <w:t xml:space="preserve">Fusobacterium </w:t>
      </w:r>
      <w:proofErr w:type="spellStart"/>
      <w:r w:rsidRPr="00AC15FF">
        <w:rPr>
          <w:rFonts w:ascii="Arial" w:hAnsi="Arial" w:cs="Arial"/>
          <w:i/>
          <w:iCs/>
        </w:rPr>
        <w:t>periodonticum</w:t>
      </w:r>
      <w:proofErr w:type="spellEnd"/>
      <w:r w:rsidRPr="006973FF">
        <w:rPr>
          <w:rFonts w:ascii="Arial" w:hAnsi="Arial" w:cs="Arial"/>
        </w:rPr>
        <w:t xml:space="preserve"> group. Bars represent means with standard deviations indicated by positive error bars. Statistical analysis was performed using Kruskal–Wallis tests followed by Dunn’s post hoc tests; significant intergroup differences (</w:t>
      </w:r>
      <w:r w:rsidRPr="00AC15FF">
        <w:rPr>
          <w:rFonts w:ascii="Arial" w:hAnsi="Arial" w:cs="Arial"/>
          <w:i/>
          <w:iCs/>
        </w:rPr>
        <w:t>P</w:t>
      </w:r>
      <w:r w:rsidRPr="006973FF">
        <w:rPr>
          <w:rFonts w:ascii="Arial" w:hAnsi="Arial" w:cs="Arial"/>
        </w:rPr>
        <w:t>-values) are indicated above bars.</w:t>
      </w:r>
    </w:p>
    <w:p w14:paraId="36F09C05" w14:textId="1DC6CDFA" w:rsidR="00A950BE" w:rsidRPr="00A950BE" w:rsidRDefault="00D47C4D" w:rsidP="00A950BE">
      <w:pPr>
        <w:pStyle w:val="Body"/>
        <w:rPr>
          <w:rFonts w:ascii="Arial" w:hAnsi="Arial" w:cs="Arial"/>
          <w:sz w:val="22"/>
          <w:szCs w:val="22"/>
        </w:rPr>
      </w:pPr>
      <w:r w:rsidRPr="00D47C4D">
        <w:rPr>
          <w:rFonts w:ascii="Arial" w:hAnsi="Arial" w:cs="Arial"/>
          <w:b/>
          <w:sz w:val="22"/>
          <w:szCs w:val="22"/>
        </w:rPr>
        <w:lastRenderedPageBreak/>
        <w:t xml:space="preserve">3.3 </w:t>
      </w:r>
      <w:r w:rsidR="00A950BE" w:rsidRPr="00A950BE">
        <w:rPr>
          <w:rFonts w:ascii="Arial" w:hAnsi="Arial" w:cs="Arial"/>
          <w:b/>
          <w:sz w:val="22"/>
          <w:szCs w:val="22"/>
        </w:rPr>
        <w:t>Salivary Microbiota Analysis</w:t>
      </w:r>
    </w:p>
    <w:p w14:paraId="479E491A" w14:textId="58C2E43F" w:rsidR="00A950BE" w:rsidRPr="00A950BE" w:rsidRDefault="00A950BE" w:rsidP="00A950BE">
      <w:pPr>
        <w:pStyle w:val="Body"/>
        <w:rPr>
          <w:rFonts w:ascii="Arial" w:hAnsi="Arial" w:cs="Arial"/>
        </w:rPr>
      </w:pPr>
      <w:r w:rsidRPr="00A950BE">
        <w:rPr>
          <w:rFonts w:ascii="Arial" w:hAnsi="Arial" w:cs="Arial"/>
        </w:rPr>
        <w:t xml:space="preserve">To explore oral microbial community shifts potentially linked to colorectal tumorigenesis and identify novel microbial biomarkers, saliva samples were analyzed by 16S rRNA gene sequencing using NGS. </w:t>
      </w:r>
      <w:r w:rsidR="00354074" w:rsidRPr="00354074">
        <w:rPr>
          <w:rFonts w:ascii="Arial" w:hAnsi="Arial" w:cs="Arial"/>
        </w:rPr>
        <w:t xml:space="preserve">Supplementary Figure </w:t>
      </w:r>
      <w:r w:rsidRPr="00A950BE">
        <w:rPr>
          <w:rFonts w:ascii="Arial" w:hAnsi="Arial" w:cs="Arial"/>
        </w:rPr>
        <w:t>2b displays salivary microbiota composition at the species level among Ctrl, Adenoma, and Carcinoma groups. Alpha diversity, assessed using the Shannon index, revealed no significant differences among the three groups.</w:t>
      </w:r>
    </w:p>
    <w:p w14:paraId="1E6749C2" w14:textId="77777777" w:rsidR="00A950BE" w:rsidRPr="00A950BE" w:rsidRDefault="00A950BE" w:rsidP="00A950BE">
      <w:pPr>
        <w:pStyle w:val="Body"/>
        <w:rPr>
          <w:rFonts w:ascii="Arial" w:hAnsi="Arial" w:cs="Arial"/>
        </w:rPr>
      </w:pPr>
      <w:proofErr w:type="spellStart"/>
      <w:r w:rsidRPr="00A950BE">
        <w:rPr>
          <w:rFonts w:ascii="Arial" w:hAnsi="Arial" w:cs="Arial"/>
        </w:rPr>
        <w:t>PCoA</w:t>
      </w:r>
      <w:proofErr w:type="spellEnd"/>
      <w:r w:rsidRPr="00A950BE">
        <w:rPr>
          <w:rFonts w:ascii="Arial" w:hAnsi="Arial" w:cs="Arial"/>
        </w:rPr>
        <w:t xml:space="preserve"> based on Generalized </w:t>
      </w:r>
      <w:proofErr w:type="spellStart"/>
      <w:r w:rsidRPr="00A950BE">
        <w:rPr>
          <w:rFonts w:ascii="Arial" w:hAnsi="Arial" w:cs="Arial"/>
        </w:rPr>
        <w:t>UniFrac</w:t>
      </w:r>
      <w:proofErr w:type="spellEnd"/>
      <w:r w:rsidRPr="00A950BE">
        <w:rPr>
          <w:rFonts w:ascii="Arial" w:hAnsi="Arial" w:cs="Arial"/>
        </w:rPr>
        <w:t xml:space="preserve"> distances indicated distinct oral microbial community structures (Fig. 1b). PERMANOVA analysis confirmed significant differences in beta diversity between the Ctrl and Carcinoma groups (</w:t>
      </w:r>
      <w:r w:rsidRPr="00911ED1">
        <w:rPr>
          <w:rFonts w:ascii="Arial" w:hAnsi="Arial" w:cs="Arial"/>
          <w:i/>
          <w:iCs/>
        </w:rPr>
        <w:t>P</w:t>
      </w:r>
      <w:r w:rsidRPr="00A950BE">
        <w:rPr>
          <w:rFonts w:ascii="Arial" w:hAnsi="Arial" w:cs="Arial"/>
        </w:rPr>
        <w:t xml:space="preserve"> = 0.014). However, beta diversity did not differ significantly between the Ctrl and Adenoma groups (</w:t>
      </w:r>
      <w:r w:rsidRPr="00911ED1">
        <w:rPr>
          <w:rFonts w:ascii="Arial" w:hAnsi="Arial" w:cs="Arial"/>
          <w:i/>
          <w:iCs/>
        </w:rPr>
        <w:t>P</w:t>
      </w:r>
      <w:r w:rsidRPr="00A950BE">
        <w:rPr>
          <w:rFonts w:ascii="Arial" w:hAnsi="Arial" w:cs="Arial"/>
        </w:rPr>
        <w:t xml:space="preserve"> = 0.221) nor between the Adenoma and Carcinoma groups (</w:t>
      </w:r>
      <w:r w:rsidRPr="00911ED1">
        <w:rPr>
          <w:rFonts w:ascii="Arial" w:hAnsi="Arial" w:cs="Arial"/>
          <w:i/>
          <w:iCs/>
        </w:rPr>
        <w:t>P</w:t>
      </w:r>
      <w:r w:rsidRPr="00A950BE">
        <w:rPr>
          <w:rFonts w:ascii="Arial" w:hAnsi="Arial" w:cs="Arial"/>
        </w:rPr>
        <w:t xml:space="preserve"> = 0.237).</w:t>
      </w:r>
    </w:p>
    <w:p w14:paraId="7B854CBF" w14:textId="18AB8F71" w:rsidR="00A950BE" w:rsidRPr="00A950BE" w:rsidRDefault="00A950BE" w:rsidP="00A950BE">
      <w:pPr>
        <w:pStyle w:val="Body"/>
        <w:rPr>
          <w:rFonts w:ascii="Arial" w:hAnsi="Arial" w:cs="Arial"/>
        </w:rPr>
      </w:pPr>
      <w:proofErr w:type="spellStart"/>
      <w:r w:rsidRPr="00A950BE">
        <w:rPr>
          <w:rFonts w:ascii="Arial" w:hAnsi="Arial" w:cs="Arial"/>
        </w:rPr>
        <w:t>LEfSe</w:t>
      </w:r>
      <w:proofErr w:type="spellEnd"/>
      <w:r w:rsidRPr="00A950BE">
        <w:rPr>
          <w:rFonts w:ascii="Arial" w:hAnsi="Arial" w:cs="Arial"/>
        </w:rPr>
        <w:t xml:space="preserve"> analysis of salivary microbiota revealed one bacterial taxon significantly altered in association with colorectal carcinoma: </w:t>
      </w:r>
      <w:r w:rsidRPr="00FD3F70">
        <w:rPr>
          <w:rFonts w:ascii="Arial" w:hAnsi="Arial" w:cs="Arial"/>
          <w:i/>
          <w:iCs/>
        </w:rPr>
        <w:t xml:space="preserve">Fusobacterium </w:t>
      </w:r>
      <w:proofErr w:type="spellStart"/>
      <w:r w:rsidRPr="00FD3F70">
        <w:rPr>
          <w:rFonts w:ascii="Arial" w:hAnsi="Arial" w:cs="Arial"/>
          <w:i/>
          <w:iCs/>
        </w:rPr>
        <w:t>periodonticum</w:t>
      </w:r>
      <w:proofErr w:type="spellEnd"/>
      <w:r w:rsidRPr="00A950BE">
        <w:rPr>
          <w:rFonts w:ascii="Arial" w:hAnsi="Arial" w:cs="Arial"/>
        </w:rPr>
        <w:t xml:space="preserve"> group (Fig. 2b). Subsequent pairwise statistical analyses using Kruskal–Wallis tests with Dunn’s post hoc comparisons confirmed significantly lower abundances of this taxon in the Carcinoma group compared to the Ctrl group (</w:t>
      </w:r>
      <w:r w:rsidRPr="000831B9">
        <w:rPr>
          <w:rFonts w:ascii="Arial" w:hAnsi="Arial" w:cs="Arial"/>
          <w:i/>
          <w:iCs/>
        </w:rPr>
        <w:t>P</w:t>
      </w:r>
      <w:r w:rsidRPr="00A950BE">
        <w:rPr>
          <w:rFonts w:ascii="Arial" w:hAnsi="Arial" w:cs="Arial"/>
        </w:rPr>
        <w:t xml:space="preserve"> = 0.0081). No significant differences were detected between the Ctrl and Adenoma groups or between the Adenoma and Carcinoma groups for these taxa (Fig. 3f).</w:t>
      </w:r>
    </w:p>
    <w:p w14:paraId="43DE4135" w14:textId="3AF2E60F" w:rsidR="00A950BE" w:rsidRPr="00A950BE" w:rsidRDefault="00D47C4D" w:rsidP="00A950BE">
      <w:pPr>
        <w:pStyle w:val="Body"/>
        <w:rPr>
          <w:rFonts w:ascii="Arial" w:hAnsi="Arial" w:cs="Arial"/>
          <w:b/>
          <w:bCs/>
          <w:sz w:val="22"/>
          <w:szCs w:val="22"/>
        </w:rPr>
      </w:pPr>
      <w:r w:rsidRPr="00D47C4D">
        <w:rPr>
          <w:rFonts w:ascii="Arial" w:hAnsi="Arial" w:cs="Arial"/>
          <w:b/>
          <w:bCs/>
          <w:sz w:val="22"/>
          <w:szCs w:val="22"/>
        </w:rPr>
        <w:t xml:space="preserve">3.4 </w:t>
      </w:r>
      <w:r w:rsidR="00A950BE" w:rsidRPr="00A950BE">
        <w:rPr>
          <w:rFonts w:ascii="Arial" w:hAnsi="Arial" w:cs="Arial"/>
          <w:b/>
          <w:bCs/>
          <w:sz w:val="22"/>
          <w:szCs w:val="22"/>
        </w:rPr>
        <w:t>Quantitative PCR Analysis of Fecal and saliva DNA Samples</w:t>
      </w:r>
    </w:p>
    <w:p w14:paraId="407877D4" w14:textId="77777777" w:rsidR="00A950BE" w:rsidRPr="00A950BE" w:rsidRDefault="00A950BE" w:rsidP="00A950BE">
      <w:pPr>
        <w:pStyle w:val="Body"/>
        <w:rPr>
          <w:rFonts w:ascii="Arial" w:hAnsi="Arial" w:cs="Arial"/>
        </w:rPr>
      </w:pPr>
      <w:r w:rsidRPr="00A950BE">
        <w:rPr>
          <w:rFonts w:ascii="Arial" w:hAnsi="Arial" w:cs="Arial"/>
        </w:rPr>
        <w:t>qPCR analyses were performed on fecal and salivary DNA samples to quantify the abundance of selected microbiome-derived gene markers and evaluate their associations with CRC development and progression.</w:t>
      </w:r>
    </w:p>
    <w:p w14:paraId="6899D73B" w14:textId="549F6941" w:rsidR="00A950BE" w:rsidRDefault="00A950BE" w:rsidP="00A950BE">
      <w:pPr>
        <w:pStyle w:val="Body"/>
        <w:rPr>
          <w:rFonts w:ascii="Arial" w:hAnsi="Arial" w:cs="Arial"/>
        </w:rPr>
      </w:pPr>
      <w:r w:rsidRPr="00A950BE">
        <w:rPr>
          <w:rFonts w:ascii="Arial" w:hAnsi="Arial" w:cs="Arial"/>
        </w:rPr>
        <w:t xml:space="preserve">In fecal samples, three microbial gene markers were examined. The first target was </w:t>
      </w:r>
      <w:r w:rsidRPr="00C94BD0">
        <w:rPr>
          <w:rFonts w:ascii="Arial" w:hAnsi="Arial" w:cs="Arial"/>
          <w:i/>
          <w:iCs/>
        </w:rPr>
        <w:t>5ar</w:t>
      </w:r>
      <w:r w:rsidRPr="00A950BE">
        <w:rPr>
          <w:rFonts w:ascii="Arial" w:hAnsi="Arial" w:cs="Arial"/>
        </w:rPr>
        <w:t xml:space="preserve">, a gene encoding bacterial 5α-reductase involved in tertiary bile acid biosynthesis, previously reported to decrease significantly in intestinal lavage fluid samples during CRC progression (Fujii et al., 2024). The second gene, </w:t>
      </w:r>
      <w:proofErr w:type="spellStart"/>
      <w:r w:rsidRPr="00C94BD0">
        <w:rPr>
          <w:rFonts w:ascii="Arial" w:hAnsi="Arial" w:cs="Arial"/>
          <w:i/>
          <w:iCs/>
        </w:rPr>
        <w:t>nanA</w:t>
      </w:r>
      <w:proofErr w:type="spellEnd"/>
      <w:r w:rsidRPr="00A950BE">
        <w:rPr>
          <w:rFonts w:ascii="Arial" w:hAnsi="Arial" w:cs="Arial"/>
        </w:rPr>
        <w:t xml:space="preserve">, is part of the </w:t>
      </w:r>
      <w:r w:rsidRPr="008256EA">
        <w:rPr>
          <w:rFonts w:ascii="Arial" w:hAnsi="Arial" w:cs="Arial"/>
          <w:i/>
          <w:iCs/>
        </w:rPr>
        <w:t>nan</w:t>
      </w:r>
      <w:r w:rsidRPr="00A950BE">
        <w:rPr>
          <w:rFonts w:ascii="Arial" w:hAnsi="Arial" w:cs="Arial"/>
        </w:rPr>
        <w:t xml:space="preserve"> gene cluster responsible for bacterial utilization of mucin-derived sialic acid. Previous studies have shown elevated </w:t>
      </w:r>
      <w:r w:rsidRPr="00940549">
        <w:rPr>
          <w:rFonts w:ascii="Arial" w:hAnsi="Arial" w:cs="Arial"/>
          <w:i/>
          <w:iCs/>
        </w:rPr>
        <w:t>nan</w:t>
      </w:r>
      <w:r w:rsidRPr="00A950BE">
        <w:rPr>
          <w:rFonts w:ascii="Arial" w:hAnsi="Arial" w:cs="Arial"/>
        </w:rPr>
        <w:t xml:space="preserve"> gene levels in UC patients compared to healthy controls (Nagasaka et al., 2024). In the current qPCR analysis, both the </w:t>
      </w:r>
      <w:r w:rsidRPr="00C94BD0">
        <w:rPr>
          <w:rFonts w:ascii="Arial" w:hAnsi="Arial" w:cs="Arial"/>
          <w:i/>
          <w:iCs/>
        </w:rPr>
        <w:t>5ar</w:t>
      </w:r>
      <w:r w:rsidRPr="00A950BE">
        <w:rPr>
          <w:rFonts w:ascii="Arial" w:hAnsi="Arial" w:cs="Arial"/>
        </w:rPr>
        <w:t xml:space="preserve"> and </w:t>
      </w:r>
      <w:r w:rsidRPr="00C94BD0">
        <w:rPr>
          <w:rFonts w:ascii="Arial" w:hAnsi="Arial" w:cs="Arial"/>
          <w:i/>
          <w:iCs/>
        </w:rPr>
        <w:t>nan</w:t>
      </w:r>
      <w:r w:rsidRPr="00A950BE">
        <w:rPr>
          <w:rFonts w:ascii="Arial" w:hAnsi="Arial" w:cs="Arial"/>
        </w:rPr>
        <w:t xml:space="preserve"> </w:t>
      </w:r>
      <w:r w:rsidR="00940549">
        <w:rPr>
          <w:rFonts w:ascii="Arial" w:hAnsi="Arial" w:cs="Arial"/>
        </w:rPr>
        <w:t>levels</w:t>
      </w:r>
      <w:r w:rsidRPr="00A950BE">
        <w:rPr>
          <w:rFonts w:ascii="Arial" w:hAnsi="Arial" w:cs="Arial"/>
        </w:rPr>
        <w:t xml:space="preserve"> exhibited significantly reduced abundances in carcinoma samples compared to controls (Fig. 4a, b). Notably, these gene levels demonstrated a clear stepwise decline from the healthy control group through adenoma to carcinoma. </w:t>
      </w:r>
      <w:r w:rsidR="00626B02" w:rsidRPr="00626B02">
        <w:rPr>
          <w:rFonts w:ascii="Arial" w:hAnsi="Arial" w:cs="Arial"/>
        </w:rPr>
        <w:t xml:space="preserve">To further contextualize these findings, we compared the </w:t>
      </w:r>
      <w:r w:rsidR="00626B02" w:rsidRPr="00626B02">
        <w:rPr>
          <w:rFonts w:ascii="Arial" w:hAnsi="Arial" w:cs="Arial"/>
          <w:i/>
          <w:iCs/>
        </w:rPr>
        <w:t>nan</w:t>
      </w:r>
      <w:r w:rsidR="00626B02" w:rsidRPr="00626B02">
        <w:rPr>
          <w:rFonts w:ascii="Arial" w:hAnsi="Arial" w:cs="Arial"/>
        </w:rPr>
        <w:t xml:space="preserve"> levels of our current cohort (Ctrl, Adenoma, and Carcinoma) with previously published data from UC patients (Nagasaka et al., 2024). This comparative analysis revealed a significant stepwise reduction </w:t>
      </w:r>
      <w:r w:rsidR="00626B02" w:rsidRPr="00766104">
        <w:rPr>
          <w:rFonts w:ascii="Arial" w:hAnsi="Arial" w:cs="Arial"/>
        </w:rPr>
        <w:t xml:space="preserve">in </w:t>
      </w:r>
      <w:r w:rsidR="00626B02" w:rsidRPr="00766104">
        <w:rPr>
          <w:rFonts w:ascii="Arial" w:hAnsi="Arial" w:cs="Arial"/>
          <w:i/>
          <w:iCs/>
        </w:rPr>
        <w:t>nan</w:t>
      </w:r>
      <w:r w:rsidR="00626B02" w:rsidRPr="00766104">
        <w:rPr>
          <w:rFonts w:ascii="Arial" w:hAnsi="Arial" w:cs="Arial"/>
        </w:rPr>
        <w:t xml:space="preserve"> levels</w:t>
      </w:r>
      <w:r w:rsidR="00626B02" w:rsidRPr="00626B02">
        <w:rPr>
          <w:rFonts w:ascii="Arial" w:hAnsi="Arial" w:cs="Arial"/>
        </w:rPr>
        <w:t xml:space="preserve"> reflecting the progression across UC, Ctrl, Adenoma, and Carcinoma groups (</w:t>
      </w:r>
      <w:r w:rsidR="00992DFE" w:rsidRPr="00992DFE">
        <w:rPr>
          <w:rFonts w:ascii="Arial" w:hAnsi="Arial" w:cs="Arial"/>
        </w:rPr>
        <w:t xml:space="preserve">Supplementary Figure </w:t>
      </w:r>
      <w:r w:rsidR="00626B02" w:rsidRPr="00626B02">
        <w:rPr>
          <w:rFonts w:ascii="Arial" w:hAnsi="Arial" w:cs="Arial"/>
        </w:rPr>
        <w:t>3).</w:t>
      </w:r>
    </w:p>
    <w:p w14:paraId="4E73469A" w14:textId="09D1F2A1" w:rsidR="00E034C3" w:rsidRPr="00A950BE" w:rsidRDefault="00E034C3" w:rsidP="00E034C3">
      <w:pPr>
        <w:pStyle w:val="Body"/>
        <w:rPr>
          <w:rFonts w:ascii="Arial" w:hAnsi="Arial" w:cs="Arial"/>
        </w:rPr>
      </w:pPr>
      <w:r w:rsidRPr="00A950BE">
        <w:rPr>
          <w:rFonts w:ascii="Arial" w:hAnsi="Arial" w:cs="Arial"/>
        </w:rPr>
        <w:t xml:space="preserve">The third fecal gene marker targeted was the 16S rRNA gene specific to </w:t>
      </w:r>
      <w:r w:rsidRPr="00CB6D11">
        <w:rPr>
          <w:rFonts w:ascii="Arial" w:hAnsi="Arial" w:cs="Arial"/>
          <w:i/>
          <w:iCs/>
        </w:rPr>
        <w:t xml:space="preserve">F. </w:t>
      </w:r>
      <w:proofErr w:type="spellStart"/>
      <w:r w:rsidRPr="00CB6D11">
        <w:rPr>
          <w:rFonts w:ascii="Arial" w:hAnsi="Arial" w:cs="Arial"/>
          <w:i/>
          <w:iCs/>
        </w:rPr>
        <w:t>saccharivorans</w:t>
      </w:r>
      <w:proofErr w:type="spellEnd"/>
      <w:r w:rsidR="003355D5">
        <w:rPr>
          <w:rFonts w:ascii="Arial" w:hAnsi="Arial" w:cs="Arial"/>
          <w:i/>
          <w:iCs/>
        </w:rPr>
        <w:t xml:space="preserve"> </w:t>
      </w:r>
      <w:r w:rsidR="003355D5" w:rsidRPr="003355D5">
        <w:rPr>
          <w:rFonts w:ascii="Arial" w:hAnsi="Arial" w:cs="Arial"/>
        </w:rPr>
        <w:t>(</w:t>
      </w:r>
      <w:r w:rsidR="003355D5" w:rsidRPr="003355D5">
        <w:rPr>
          <w:rFonts w:ascii="Arial" w:hAnsi="Arial" w:cs="Arial"/>
          <w:i/>
          <w:iCs/>
        </w:rPr>
        <w:t>fs</w:t>
      </w:r>
      <w:r w:rsidR="003355D5" w:rsidRPr="003355D5">
        <w:rPr>
          <w:rFonts w:ascii="Arial" w:hAnsi="Arial" w:cs="Arial"/>
        </w:rPr>
        <w:t>)</w:t>
      </w:r>
      <w:r w:rsidRPr="00A950BE">
        <w:rPr>
          <w:rFonts w:ascii="Arial" w:hAnsi="Arial" w:cs="Arial"/>
        </w:rPr>
        <w:t xml:space="preserve">, selected based on </w:t>
      </w:r>
      <w:proofErr w:type="spellStart"/>
      <w:r w:rsidRPr="00A950BE">
        <w:rPr>
          <w:rFonts w:ascii="Arial" w:hAnsi="Arial" w:cs="Arial"/>
        </w:rPr>
        <w:t>LEfSe</w:t>
      </w:r>
      <w:proofErr w:type="spellEnd"/>
      <w:r w:rsidRPr="00A950BE">
        <w:rPr>
          <w:rFonts w:ascii="Arial" w:hAnsi="Arial" w:cs="Arial"/>
        </w:rPr>
        <w:t xml:space="preserve"> analysis results indicating its most pronounced decrease among candidate fecal taxa. The qPCR data confirmed a significant reduction in </w:t>
      </w:r>
      <w:r w:rsidRPr="00CB6D11">
        <w:rPr>
          <w:rFonts w:ascii="Arial" w:hAnsi="Arial" w:cs="Arial"/>
          <w:i/>
          <w:iCs/>
        </w:rPr>
        <w:t>fs</w:t>
      </w:r>
      <w:r w:rsidRPr="00A950BE">
        <w:rPr>
          <w:rFonts w:ascii="Arial" w:hAnsi="Arial" w:cs="Arial"/>
        </w:rPr>
        <w:t xml:space="preserve"> abundance within the Adenoma group and the Carcinoma group compared with </w:t>
      </w:r>
      <w:r w:rsidR="00EF36E6">
        <w:rPr>
          <w:rFonts w:ascii="Arial" w:hAnsi="Arial" w:cs="Arial"/>
        </w:rPr>
        <w:t xml:space="preserve">the </w:t>
      </w:r>
      <w:r w:rsidRPr="00A950BE">
        <w:rPr>
          <w:rFonts w:ascii="Arial" w:hAnsi="Arial" w:cs="Arial"/>
        </w:rPr>
        <w:t>Ctrl group (</w:t>
      </w:r>
      <w:r w:rsidRPr="00CB6D11">
        <w:rPr>
          <w:rFonts w:ascii="Arial" w:hAnsi="Arial" w:cs="Arial"/>
          <w:i/>
          <w:iCs/>
        </w:rPr>
        <w:t xml:space="preserve">P </w:t>
      </w:r>
      <w:r w:rsidRPr="00A950BE">
        <w:rPr>
          <w:rFonts w:ascii="Arial" w:hAnsi="Arial" w:cs="Arial"/>
        </w:rPr>
        <w:t xml:space="preserve">&lt; 0.0001 and </w:t>
      </w:r>
      <w:r w:rsidRPr="00CB6D11">
        <w:rPr>
          <w:rFonts w:ascii="Arial" w:hAnsi="Arial" w:cs="Arial"/>
          <w:i/>
          <w:iCs/>
        </w:rPr>
        <w:t>P</w:t>
      </w:r>
      <w:r w:rsidRPr="00A950BE">
        <w:rPr>
          <w:rFonts w:ascii="Arial" w:hAnsi="Arial" w:cs="Arial"/>
        </w:rPr>
        <w:t xml:space="preserve"> = 0.0004, respectively) (Fig. </w:t>
      </w:r>
      <w:r w:rsidR="008C4490">
        <w:rPr>
          <w:rFonts w:ascii="Arial" w:hAnsi="Arial" w:cs="Arial"/>
        </w:rPr>
        <w:t>4c</w:t>
      </w:r>
      <w:r w:rsidRPr="00A950BE">
        <w:rPr>
          <w:rFonts w:ascii="Arial" w:hAnsi="Arial" w:cs="Arial"/>
        </w:rPr>
        <w:t>).</w:t>
      </w:r>
    </w:p>
    <w:p w14:paraId="37686EE4" w14:textId="0E0F61A0" w:rsidR="00E034C3" w:rsidRDefault="00E034C3" w:rsidP="00E034C3">
      <w:pPr>
        <w:pStyle w:val="Body"/>
        <w:rPr>
          <w:rFonts w:ascii="Arial" w:hAnsi="Arial" w:cs="Arial"/>
        </w:rPr>
      </w:pPr>
      <w:r w:rsidRPr="00A950BE">
        <w:rPr>
          <w:rFonts w:ascii="Arial" w:hAnsi="Arial" w:cs="Arial"/>
        </w:rPr>
        <w:t xml:space="preserve">In saliva samples, qPCR analysis targeted the </w:t>
      </w:r>
      <w:proofErr w:type="spellStart"/>
      <w:r w:rsidRPr="000240FF">
        <w:rPr>
          <w:rFonts w:ascii="Arial" w:hAnsi="Arial" w:cs="Arial"/>
          <w:i/>
          <w:iCs/>
        </w:rPr>
        <w:t>tpl</w:t>
      </w:r>
      <w:proofErr w:type="spellEnd"/>
      <w:r w:rsidRPr="00A950BE">
        <w:rPr>
          <w:rFonts w:ascii="Arial" w:hAnsi="Arial" w:cs="Arial"/>
        </w:rPr>
        <w:t xml:space="preserve"> gene specific to </w:t>
      </w:r>
      <w:r w:rsidRPr="00CB6D11">
        <w:rPr>
          <w:rFonts w:ascii="Arial" w:hAnsi="Arial" w:cs="Arial"/>
          <w:i/>
          <w:iCs/>
        </w:rPr>
        <w:t xml:space="preserve">F. </w:t>
      </w:r>
      <w:proofErr w:type="spellStart"/>
      <w:r w:rsidRPr="00CB6D11">
        <w:rPr>
          <w:rFonts w:ascii="Arial" w:hAnsi="Arial" w:cs="Arial"/>
          <w:i/>
          <w:iCs/>
        </w:rPr>
        <w:t>periodonticum</w:t>
      </w:r>
      <w:proofErr w:type="spellEnd"/>
      <w:r w:rsidRPr="00A950BE">
        <w:rPr>
          <w:rFonts w:ascii="Arial" w:hAnsi="Arial" w:cs="Arial"/>
        </w:rPr>
        <w:t xml:space="preserve">, selected due to its pronounced reduction in salivary microbiota associated with colorectal carcinoma. Results revealed a significant reduction of </w:t>
      </w:r>
      <w:proofErr w:type="spellStart"/>
      <w:r w:rsidRPr="00CB6D11">
        <w:rPr>
          <w:rFonts w:ascii="Arial" w:hAnsi="Arial" w:cs="Arial"/>
          <w:i/>
          <w:iCs/>
        </w:rPr>
        <w:t>tpl</w:t>
      </w:r>
      <w:proofErr w:type="spellEnd"/>
      <w:r w:rsidRPr="00A950BE">
        <w:rPr>
          <w:rFonts w:ascii="Arial" w:hAnsi="Arial" w:cs="Arial"/>
        </w:rPr>
        <w:t xml:space="preserve"> gene levels specifically in the Carcinoma group (</w:t>
      </w:r>
      <w:r w:rsidRPr="00CB6D11">
        <w:rPr>
          <w:rFonts w:ascii="Arial" w:hAnsi="Arial" w:cs="Arial"/>
          <w:i/>
          <w:iCs/>
        </w:rPr>
        <w:t>P</w:t>
      </w:r>
      <w:r w:rsidRPr="00A950BE">
        <w:rPr>
          <w:rFonts w:ascii="Arial" w:hAnsi="Arial" w:cs="Arial"/>
        </w:rPr>
        <w:t xml:space="preserve"> = 0.0180), whereas no significant changes were observed in the Adenoma group compared to controls (</w:t>
      </w:r>
      <w:r w:rsidRPr="00CB6D11">
        <w:rPr>
          <w:rFonts w:ascii="Arial" w:hAnsi="Arial" w:cs="Arial"/>
          <w:i/>
          <w:iCs/>
        </w:rPr>
        <w:t>P</w:t>
      </w:r>
      <w:r w:rsidRPr="00A950BE">
        <w:rPr>
          <w:rFonts w:ascii="Arial" w:hAnsi="Arial" w:cs="Arial"/>
        </w:rPr>
        <w:t xml:space="preserve"> = 0.3464)</w:t>
      </w:r>
      <w:r w:rsidR="008C4490">
        <w:rPr>
          <w:rFonts w:ascii="Arial" w:hAnsi="Arial" w:cs="Arial"/>
        </w:rPr>
        <w:t xml:space="preserve"> (Fig.</w:t>
      </w:r>
      <w:r w:rsidR="00103527">
        <w:rPr>
          <w:rFonts w:ascii="Arial" w:hAnsi="Arial" w:cs="Arial"/>
        </w:rPr>
        <w:t xml:space="preserve"> </w:t>
      </w:r>
      <w:r w:rsidR="0040427E">
        <w:rPr>
          <w:rFonts w:ascii="Arial" w:hAnsi="Arial" w:cs="Arial"/>
        </w:rPr>
        <w:t>4d)</w:t>
      </w:r>
      <w:r w:rsidRPr="00A950BE">
        <w:rPr>
          <w:rFonts w:ascii="Arial" w:hAnsi="Arial" w:cs="Arial"/>
        </w:rPr>
        <w:t xml:space="preserve">. These findings suggest that salivary microbial shifts reflected by </w:t>
      </w:r>
      <w:proofErr w:type="spellStart"/>
      <w:r w:rsidRPr="00CB6D11">
        <w:rPr>
          <w:rFonts w:ascii="Arial" w:hAnsi="Arial" w:cs="Arial"/>
          <w:i/>
          <w:iCs/>
        </w:rPr>
        <w:t>tpl</w:t>
      </w:r>
      <w:proofErr w:type="spellEnd"/>
      <w:r w:rsidRPr="00A950BE">
        <w:rPr>
          <w:rFonts w:ascii="Arial" w:hAnsi="Arial" w:cs="Arial"/>
        </w:rPr>
        <w:t xml:space="preserve"> gene reduction may represent late-stage microbial alterations associated with colorectal cancer progression.</w:t>
      </w:r>
    </w:p>
    <w:p w14:paraId="4AA20841" w14:textId="77777777" w:rsidR="00E034C3" w:rsidRDefault="00E034C3" w:rsidP="00A950BE">
      <w:pPr>
        <w:pStyle w:val="Body"/>
        <w:rPr>
          <w:rFonts w:ascii="Arial" w:hAnsi="Arial" w:cs="Arial"/>
        </w:rPr>
      </w:pPr>
    </w:p>
    <w:p w14:paraId="1D19E823" w14:textId="11DB1310" w:rsidR="00C94BD0" w:rsidRDefault="007D49E6" w:rsidP="00CB6D11">
      <w:pPr>
        <w:pStyle w:val="Body"/>
        <w:jc w:val="center"/>
        <w:rPr>
          <w:rFonts w:ascii="Arial" w:hAnsi="Arial" w:cs="Arial"/>
        </w:rPr>
      </w:pPr>
      <w:r w:rsidRPr="007D49E6">
        <w:rPr>
          <w:noProof/>
        </w:rPr>
        <w:lastRenderedPageBreak/>
        <w:t xml:space="preserve"> </w:t>
      </w:r>
      <w:r w:rsidR="004764C2" w:rsidRPr="004764C2">
        <w:rPr>
          <w:noProof/>
        </w:rPr>
        <w:drawing>
          <wp:inline distT="0" distB="0" distL="0" distR="0" wp14:anchorId="1C7708C2" wp14:editId="4C1069A6">
            <wp:extent cx="6438900" cy="2997200"/>
            <wp:effectExtent l="0" t="0" r="0" b="0"/>
            <wp:docPr id="1091675793"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5793" name="図 1" descr="グラフ&#10;&#10;AI 生成コンテンツは誤りを含む可能性があります。"/>
                    <pic:cNvPicPr/>
                  </pic:nvPicPr>
                  <pic:blipFill rotWithShape="1">
                    <a:blip r:embed="rId17"/>
                    <a:srcRect l="2129" t="18642" r="3981" b="23086"/>
                    <a:stretch>
                      <a:fillRect/>
                    </a:stretch>
                  </pic:blipFill>
                  <pic:spPr bwMode="auto">
                    <a:xfrm>
                      <a:off x="0" y="0"/>
                      <a:ext cx="6438900" cy="2997200"/>
                    </a:xfrm>
                    <a:prstGeom prst="rect">
                      <a:avLst/>
                    </a:prstGeom>
                    <a:ln>
                      <a:noFill/>
                    </a:ln>
                    <a:extLst>
                      <a:ext uri="{53640926-AAD7-44D8-BBD7-CCE9431645EC}">
                        <a14:shadowObscured xmlns:a14="http://schemas.microsoft.com/office/drawing/2010/main"/>
                      </a:ext>
                    </a:extLst>
                  </pic:spPr>
                </pic:pic>
              </a:graphicData>
            </a:graphic>
          </wp:inline>
        </w:drawing>
      </w:r>
    </w:p>
    <w:p w14:paraId="7C5D3F95" w14:textId="29170F49" w:rsidR="00CB6D11" w:rsidRPr="00A950BE" w:rsidRDefault="00CB6D11" w:rsidP="00F12ACC">
      <w:pPr>
        <w:pStyle w:val="Body"/>
        <w:rPr>
          <w:rFonts w:ascii="Arial" w:hAnsi="Arial" w:cs="Arial"/>
        </w:rPr>
      </w:pPr>
      <w:r w:rsidRPr="006973FF">
        <w:rPr>
          <w:rFonts w:ascii="Arial" w:hAnsi="Arial" w:cs="Arial"/>
          <w:b/>
        </w:rPr>
        <w:t xml:space="preserve">Fig. 4. </w:t>
      </w:r>
      <w:r w:rsidR="004F160A" w:rsidRPr="00F12ACC">
        <w:rPr>
          <w:rFonts w:ascii="Arial" w:hAnsi="Arial" w:cs="Arial"/>
        </w:rPr>
        <w:t>Quantitative PCR analyses of previously reported and newly proposed microbial gene markers in fecal and saliva DNA samples.</w:t>
      </w:r>
      <w:r w:rsidR="00F12ACC" w:rsidRPr="00F12ACC">
        <w:rPr>
          <w:rFonts w:ascii="Arial" w:hAnsi="Arial" w:cs="Arial"/>
        </w:rPr>
        <w:t xml:space="preserve"> </w:t>
      </w:r>
      <w:r w:rsidR="004F160A" w:rsidRPr="00F12ACC">
        <w:rPr>
          <w:rFonts w:ascii="Arial" w:hAnsi="Arial" w:cs="Arial"/>
        </w:rPr>
        <w:t xml:space="preserve">Gene levels of the </w:t>
      </w:r>
      <w:r w:rsidR="004F160A" w:rsidRPr="00F12ACC">
        <w:rPr>
          <w:rFonts w:ascii="Arial" w:hAnsi="Arial" w:cs="Arial"/>
          <w:i/>
          <w:iCs/>
        </w:rPr>
        <w:t xml:space="preserve">5ar </w:t>
      </w:r>
      <w:r w:rsidR="004F160A" w:rsidRPr="00F12ACC">
        <w:rPr>
          <w:rFonts w:ascii="Arial" w:hAnsi="Arial" w:cs="Arial"/>
        </w:rPr>
        <w:t>(a) and</w:t>
      </w:r>
      <w:r w:rsidR="004F160A" w:rsidRPr="00F12ACC">
        <w:rPr>
          <w:rFonts w:ascii="Arial" w:hAnsi="Arial" w:cs="Arial"/>
          <w:i/>
          <w:iCs/>
        </w:rPr>
        <w:t xml:space="preserve"> nan</w:t>
      </w:r>
      <w:r w:rsidR="004F160A" w:rsidRPr="00F12ACC">
        <w:rPr>
          <w:rFonts w:ascii="Arial" w:hAnsi="Arial" w:cs="Arial"/>
        </w:rPr>
        <w:t xml:space="preserve"> (b) were measured by qPCR in fecal DNA samples from healthy controls (Ctrl), adenoma patients (Adenoma), and carcinoma patients (Carcinoma). Gene levels of the </w:t>
      </w:r>
      <w:proofErr w:type="spellStart"/>
      <w:r w:rsidR="004F160A" w:rsidRPr="00F12ACC">
        <w:rPr>
          <w:rFonts w:ascii="Arial" w:hAnsi="Arial" w:cs="Arial"/>
          <w:i/>
          <w:iCs/>
        </w:rPr>
        <w:t>Fusicatenibacter</w:t>
      </w:r>
      <w:proofErr w:type="spellEnd"/>
      <w:r w:rsidR="004F160A" w:rsidRPr="00F12ACC">
        <w:rPr>
          <w:rFonts w:ascii="Arial" w:hAnsi="Arial" w:cs="Arial"/>
          <w:i/>
          <w:iCs/>
        </w:rPr>
        <w:t xml:space="preserve"> </w:t>
      </w:r>
      <w:proofErr w:type="spellStart"/>
      <w:r w:rsidR="004F160A" w:rsidRPr="00F12ACC">
        <w:rPr>
          <w:rFonts w:ascii="Arial" w:hAnsi="Arial" w:cs="Arial"/>
          <w:i/>
          <w:iCs/>
        </w:rPr>
        <w:t>saccharivorans</w:t>
      </w:r>
      <w:proofErr w:type="spellEnd"/>
      <w:r w:rsidR="004F160A" w:rsidRPr="00F12ACC">
        <w:rPr>
          <w:rFonts w:ascii="Arial" w:hAnsi="Arial" w:cs="Arial"/>
          <w:i/>
          <w:iCs/>
        </w:rPr>
        <w:t xml:space="preserve"> </w:t>
      </w:r>
      <w:r w:rsidR="004F160A" w:rsidRPr="00F12ACC">
        <w:rPr>
          <w:rFonts w:ascii="Arial" w:hAnsi="Arial" w:cs="Arial"/>
        </w:rPr>
        <w:t>16S rRNA gene (</w:t>
      </w:r>
      <w:r w:rsidR="004F160A" w:rsidRPr="00F12ACC">
        <w:rPr>
          <w:rFonts w:ascii="Arial" w:hAnsi="Arial" w:cs="Arial"/>
          <w:i/>
          <w:iCs/>
        </w:rPr>
        <w:t>fs</w:t>
      </w:r>
      <w:r w:rsidR="004F160A" w:rsidRPr="00F12ACC">
        <w:rPr>
          <w:rFonts w:ascii="Arial" w:hAnsi="Arial" w:cs="Arial"/>
        </w:rPr>
        <w:t>) in fecal samples (c) and the tyrosine phenol lyase gene (</w:t>
      </w:r>
      <w:proofErr w:type="spellStart"/>
      <w:r w:rsidR="004F160A" w:rsidRPr="00F12ACC">
        <w:rPr>
          <w:rFonts w:ascii="Arial" w:hAnsi="Arial" w:cs="Arial"/>
          <w:i/>
          <w:iCs/>
        </w:rPr>
        <w:t>tpl</w:t>
      </w:r>
      <w:proofErr w:type="spellEnd"/>
      <w:r w:rsidR="004F160A" w:rsidRPr="00F12ACC">
        <w:rPr>
          <w:rFonts w:ascii="Arial" w:hAnsi="Arial" w:cs="Arial"/>
        </w:rPr>
        <w:t xml:space="preserve">) from </w:t>
      </w:r>
      <w:r w:rsidR="004F160A" w:rsidRPr="00F12ACC">
        <w:rPr>
          <w:rFonts w:ascii="Arial" w:hAnsi="Arial" w:cs="Arial"/>
          <w:i/>
          <w:iCs/>
        </w:rPr>
        <w:t xml:space="preserve">Fusobacterium </w:t>
      </w:r>
      <w:proofErr w:type="spellStart"/>
      <w:r w:rsidR="004F160A" w:rsidRPr="00F12ACC">
        <w:rPr>
          <w:rFonts w:ascii="Arial" w:hAnsi="Arial" w:cs="Arial"/>
          <w:i/>
          <w:iCs/>
        </w:rPr>
        <w:t>periodonticum</w:t>
      </w:r>
      <w:proofErr w:type="spellEnd"/>
      <w:r w:rsidR="004F160A" w:rsidRPr="00F12ACC">
        <w:rPr>
          <w:rFonts w:ascii="Arial" w:hAnsi="Arial" w:cs="Arial"/>
          <w:i/>
          <w:iCs/>
        </w:rPr>
        <w:t xml:space="preserve"> </w:t>
      </w:r>
      <w:r w:rsidR="004F160A" w:rsidRPr="00F12ACC">
        <w:rPr>
          <w:rFonts w:ascii="Arial" w:hAnsi="Arial" w:cs="Arial"/>
        </w:rPr>
        <w:t>in saliva samples (d), were also quantified. Data for panels (c) and (d) are shown on a log</w:t>
      </w:r>
      <w:r w:rsidR="004F160A" w:rsidRPr="00F12ACC">
        <w:rPr>
          <w:rFonts w:ascii="Cambria Math" w:hAnsi="Cambria Math" w:cs="Cambria Math"/>
        </w:rPr>
        <w:t>₁₀</w:t>
      </w:r>
      <w:r w:rsidR="004F160A" w:rsidRPr="00F12ACC">
        <w:rPr>
          <w:rFonts w:ascii="Arial" w:hAnsi="Arial" w:cs="Arial"/>
        </w:rPr>
        <w:t xml:space="preserve"> scale to facilitate visualization across groups. Statistical comparisons (Kruskal–Wallis with Dunn’s post hoc test; </w:t>
      </w:r>
      <w:r w:rsidR="004F160A" w:rsidRPr="00F12ACC">
        <w:rPr>
          <w:rFonts w:ascii="Arial" w:hAnsi="Arial" w:cs="Arial"/>
          <w:i/>
          <w:iCs/>
        </w:rPr>
        <w:t>P</w:t>
      </w:r>
      <w:r w:rsidR="004F160A" w:rsidRPr="00F12ACC">
        <w:rPr>
          <w:rFonts w:ascii="Arial" w:hAnsi="Arial" w:cs="Arial"/>
        </w:rPr>
        <w:t>-values) are indicated above the bars.</w:t>
      </w:r>
    </w:p>
    <w:p w14:paraId="474317BC" w14:textId="7CC0E0F2" w:rsidR="003F240E" w:rsidRDefault="00210B46" w:rsidP="00210B46">
      <w:pPr>
        <w:pStyle w:val="Head1"/>
        <w:spacing w:after="0"/>
        <w:jc w:val="both"/>
        <w:rPr>
          <w:rFonts w:ascii="Arial" w:hAnsi="Arial" w:cs="Arial"/>
        </w:rPr>
      </w:pPr>
      <w:r>
        <w:rPr>
          <w:rFonts w:ascii="Arial" w:hAnsi="Arial" w:cs="Arial"/>
        </w:rPr>
        <w:t>3. discussion</w:t>
      </w:r>
    </w:p>
    <w:p w14:paraId="3179AB2B" w14:textId="77777777" w:rsidR="00210B46" w:rsidRPr="00A950BE" w:rsidRDefault="00210B46" w:rsidP="00210B46">
      <w:pPr>
        <w:pStyle w:val="Head1"/>
        <w:spacing w:after="0"/>
        <w:jc w:val="both"/>
        <w:rPr>
          <w:rFonts w:ascii="Arial" w:hAnsi="Arial" w:cs="Arial"/>
        </w:rPr>
      </w:pPr>
    </w:p>
    <w:p w14:paraId="73739DC7" w14:textId="77777777" w:rsidR="00A950BE" w:rsidRPr="00A950BE" w:rsidRDefault="00A950BE" w:rsidP="00A950BE">
      <w:pPr>
        <w:pStyle w:val="Body"/>
        <w:rPr>
          <w:rFonts w:ascii="Arial" w:hAnsi="Arial" w:cs="Arial"/>
        </w:rPr>
      </w:pPr>
      <w:r w:rsidRPr="00A950BE">
        <w:rPr>
          <w:rFonts w:ascii="Arial" w:hAnsi="Arial" w:cs="Arial"/>
        </w:rPr>
        <w:t xml:space="preserve">This cross-sectional study aimed to evaluate fecal abundances of previously identified microbial gene markers as non-invasive biomarkers for colorectal diseases, specifically </w:t>
      </w:r>
      <w:r w:rsidRPr="00044970">
        <w:rPr>
          <w:rFonts w:ascii="Arial" w:hAnsi="Arial" w:cs="Arial"/>
          <w:i/>
          <w:iCs/>
        </w:rPr>
        <w:t>5ar</w:t>
      </w:r>
      <w:r w:rsidRPr="00A950BE">
        <w:rPr>
          <w:rFonts w:ascii="Arial" w:hAnsi="Arial" w:cs="Arial"/>
        </w:rPr>
        <w:t xml:space="preserve">, previously evaluated only in intestinal lavage fluid samples in relation to CRC, and </w:t>
      </w:r>
      <w:r w:rsidRPr="004701DE">
        <w:rPr>
          <w:rFonts w:ascii="Arial" w:hAnsi="Arial" w:cs="Arial"/>
          <w:i/>
          <w:iCs/>
        </w:rPr>
        <w:t>nan</w:t>
      </w:r>
      <w:r w:rsidRPr="00A950BE">
        <w:rPr>
          <w:rFonts w:ascii="Arial" w:hAnsi="Arial" w:cs="Arial"/>
        </w:rPr>
        <w:t>, previously studied regarding mucin-degrading potential in inflammatory bowel conditions. Additionally, we aimed to identify and assess novel microbial gene markers associated with CRC progression within gut and oral microbiomes. Several key features distinguish our study. First, we extended our previously proposed qPCR-based approach targeting microbial functional genes, enabling rapid and cost-effective detection without relying on NGS, thereby strengthening its potential for clinical applicability. Second, we conducted analyses of microbial biomarkers across distinct microbiome niches—gut and oral—to establish a more comprehensive microbial diagnostic framework. Third, we carefully selected study populations with comparable average ages across healthy controls, adenoma patients, and carcinoma patients, minimizing potential confounding factors related to age differences, and thus increasing the reliability of our findings.</w:t>
      </w:r>
    </w:p>
    <w:p w14:paraId="3578D594" w14:textId="77777777" w:rsidR="00A950BE" w:rsidRPr="00A950BE" w:rsidRDefault="00A950BE" w:rsidP="00A950BE">
      <w:pPr>
        <w:pStyle w:val="Body"/>
        <w:rPr>
          <w:rFonts w:ascii="Arial" w:hAnsi="Arial" w:cs="Arial"/>
        </w:rPr>
      </w:pPr>
      <w:r w:rsidRPr="00A950BE">
        <w:rPr>
          <w:rFonts w:ascii="Arial" w:hAnsi="Arial" w:cs="Arial"/>
        </w:rPr>
        <w:t>Our beta diversity analysis revealed distinct fecal microbiota compositions differentiating healthy controls from adenoma and carcinoma patients, whereas salivary microbiota differences were significant only between healthy controls and carcinoma patients. These findings indicate distinct patterns of microbial community alterations associated with colorectal tumorigenesis, highlighting progressive fecal microbiota dysbiosis occurring from early disease stages and salivary microbiota shifts predominantly at advanced stages.</w:t>
      </w:r>
    </w:p>
    <w:p w14:paraId="77A65306" w14:textId="0D0A4ED3" w:rsidR="00A950BE" w:rsidRPr="00A950BE" w:rsidRDefault="00A950BE" w:rsidP="00A950BE">
      <w:pPr>
        <w:pStyle w:val="Body"/>
        <w:rPr>
          <w:rFonts w:ascii="Arial" w:hAnsi="Arial" w:cs="Arial"/>
        </w:rPr>
      </w:pPr>
      <w:r w:rsidRPr="00A950BE">
        <w:rPr>
          <w:rFonts w:ascii="Arial" w:hAnsi="Arial" w:cs="Arial"/>
        </w:rPr>
        <w:t>Notably, fecal microbiota analysis identified significant reductions of several short-chain fatty acid (SCFA)-producing bacterial taxa—including</w:t>
      </w:r>
      <w:r w:rsidRPr="00154C21">
        <w:rPr>
          <w:rFonts w:ascii="Arial" w:hAnsi="Arial" w:cs="Arial"/>
          <w:i/>
          <w:iCs/>
        </w:rPr>
        <w:t xml:space="preserve"> F</w:t>
      </w:r>
      <w:r w:rsidR="00154C21">
        <w:rPr>
          <w:rFonts w:ascii="Arial" w:hAnsi="Arial" w:cs="Arial"/>
          <w:i/>
          <w:iCs/>
        </w:rPr>
        <w:t>.</w:t>
      </w:r>
      <w:r w:rsidRPr="00154C21">
        <w:rPr>
          <w:rFonts w:ascii="Arial" w:hAnsi="Arial" w:cs="Arial"/>
          <w:i/>
          <w:iCs/>
        </w:rPr>
        <w:t xml:space="preserve"> </w:t>
      </w:r>
      <w:proofErr w:type="spellStart"/>
      <w:r w:rsidRPr="00154C21">
        <w:rPr>
          <w:rFonts w:ascii="Arial" w:hAnsi="Arial" w:cs="Arial"/>
          <w:i/>
          <w:iCs/>
        </w:rPr>
        <w:t>saccharivorans</w:t>
      </w:r>
      <w:proofErr w:type="spellEnd"/>
      <w:r w:rsidRPr="00154C21">
        <w:rPr>
          <w:rFonts w:ascii="Arial" w:hAnsi="Arial" w:cs="Arial"/>
          <w:i/>
          <w:iCs/>
        </w:rPr>
        <w:t xml:space="preserve">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w:t>
      </w:r>
      <w:proofErr w:type="spellStart"/>
      <w:r w:rsidRPr="00154C21">
        <w:rPr>
          <w:rFonts w:ascii="Arial" w:hAnsi="Arial" w:cs="Arial"/>
          <w:i/>
          <w:iCs/>
        </w:rPr>
        <w:t>hadrus</w:t>
      </w:r>
      <w:proofErr w:type="spellEnd"/>
      <w:r w:rsidRPr="00A950BE">
        <w:rPr>
          <w:rFonts w:ascii="Arial" w:hAnsi="Arial" w:cs="Arial"/>
        </w:rPr>
        <w:t xml:space="preserve"> group, </w:t>
      </w:r>
      <w:r w:rsidRPr="00154C21">
        <w:rPr>
          <w:rFonts w:ascii="Arial" w:hAnsi="Arial" w:cs="Arial"/>
          <w:i/>
          <w:iCs/>
        </w:rPr>
        <w:t>F</w:t>
      </w:r>
      <w:r w:rsidR="00154C21">
        <w:rPr>
          <w:rFonts w:ascii="Arial" w:hAnsi="Arial" w:cs="Arial"/>
          <w:i/>
          <w:iCs/>
        </w:rPr>
        <w:t>.</w:t>
      </w:r>
      <w:r w:rsidRPr="00154C21">
        <w:rPr>
          <w:rFonts w:ascii="Arial" w:hAnsi="Arial" w:cs="Arial"/>
          <w:i/>
          <w:iCs/>
        </w:rPr>
        <w:t xml:space="preserve"> </w:t>
      </w:r>
      <w:proofErr w:type="spellStart"/>
      <w:r w:rsidRPr="00154C21">
        <w:rPr>
          <w:rFonts w:ascii="Arial" w:hAnsi="Arial" w:cs="Arial"/>
          <w:i/>
          <w:iCs/>
        </w:rPr>
        <w:t>prausnitzii</w:t>
      </w:r>
      <w:proofErr w:type="spellEnd"/>
      <w:r w:rsidRPr="00154C21">
        <w:rPr>
          <w:rFonts w:ascii="Arial" w:hAnsi="Arial" w:cs="Arial"/>
          <w:i/>
          <w:iCs/>
        </w:rPr>
        <w:t xml:space="preserve">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w:t>
      </w:r>
      <w:proofErr w:type="spellStart"/>
      <w:r w:rsidRPr="00154C21">
        <w:rPr>
          <w:rFonts w:ascii="Arial" w:hAnsi="Arial" w:cs="Arial"/>
          <w:i/>
          <w:iCs/>
        </w:rPr>
        <w:t>hallii</w:t>
      </w:r>
      <w:proofErr w:type="spellEnd"/>
      <w:r w:rsidRPr="00A950BE">
        <w:rPr>
          <w:rFonts w:ascii="Arial" w:hAnsi="Arial" w:cs="Arial"/>
        </w:rPr>
        <w:t>, and</w:t>
      </w:r>
      <w:r w:rsidRPr="00154C21">
        <w:rPr>
          <w:rFonts w:ascii="Arial" w:hAnsi="Arial" w:cs="Arial"/>
          <w:i/>
          <w:iCs/>
        </w:rPr>
        <w:t xml:space="preserve"> B</w:t>
      </w:r>
      <w:r w:rsidR="00154C21">
        <w:rPr>
          <w:rFonts w:ascii="Arial" w:hAnsi="Arial" w:cs="Arial"/>
          <w:i/>
          <w:iCs/>
        </w:rPr>
        <w:t>.</w:t>
      </w:r>
      <w:r w:rsidRPr="00154C21">
        <w:rPr>
          <w:rFonts w:ascii="Arial" w:hAnsi="Arial" w:cs="Arial"/>
          <w:i/>
          <w:iCs/>
        </w:rPr>
        <w:t xml:space="preserve"> </w:t>
      </w:r>
      <w:proofErr w:type="spellStart"/>
      <w:r w:rsidRPr="00154C21">
        <w:rPr>
          <w:rFonts w:ascii="Arial" w:hAnsi="Arial" w:cs="Arial"/>
          <w:i/>
          <w:iCs/>
        </w:rPr>
        <w:t>obeum</w:t>
      </w:r>
      <w:proofErr w:type="spellEnd"/>
      <w:r w:rsidRPr="00A950BE">
        <w:rPr>
          <w:rFonts w:ascii="Arial" w:hAnsi="Arial" w:cs="Arial"/>
        </w:rPr>
        <w:t xml:space="preserve"> group—in both adenoma and carcinoma patients. These SCFA-producing bacteria, particularly via production of butyrate, play essential roles in maintaining gut homeostasis due to their anti-inflammatory and anti-tumorigenic effects (Yang et al., 2025; Louis et al., 2014). Reduced abundances of these taxa have consistently been observed in CRC patients (Ferreira-Halder et al., 2017; </w:t>
      </w:r>
      <w:proofErr w:type="spellStart"/>
      <w:r w:rsidRPr="00A950BE">
        <w:rPr>
          <w:rFonts w:ascii="Arial" w:hAnsi="Arial" w:cs="Arial"/>
        </w:rPr>
        <w:t>Katsaounou</w:t>
      </w:r>
      <w:proofErr w:type="spellEnd"/>
      <w:r w:rsidRPr="00A950BE">
        <w:rPr>
          <w:rFonts w:ascii="Arial" w:hAnsi="Arial" w:cs="Arial"/>
        </w:rPr>
        <w:t xml:space="preserve"> et al., 2023; Song et al., 202</w:t>
      </w:r>
      <w:r w:rsidR="00343EEA">
        <w:rPr>
          <w:rFonts w:ascii="Arial" w:hAnsi="Arial" w:cs="Arial"/>
        </w:rPr>
        <w:t>4</w:t>
      </w:r>
      <w:r w:rsidRPr="00A950BE">
        <w:rPr>
          <w:rFonts w:ascii="Arial" w:hAnsi="Arial" w:cs="Arial"/>
        </w:rPr>
        <w:t>). The early reduction in these protective taxa in fecal microbiota observed from the adenoma stage emphasizes its utility for detecting initial microbiome dysbiosis during colorectal carcinogenesis.</w:t>
      </w:r>
    </w:p>
    <w:p w14:paraId="42CBF93A" w14:textId="77777777" w:rsidR="00A950BE" w:rsidRPr="00A950BE" w:rsidRDefault="00A950BE" w:rsidP="00A950BE">
      <w:pPr>
        <w:pStyle w:val="Body"/>
        <w:rPr>
          <w:rFonts w:ascii="Arial" w:hAnsi="Arial" w:cs="Arial"/>
        </w:rPr>
      </w:pPr>
      <w:r w:rsidRPr="00A950BE">
        <w:rPr>
          <w:rFonts w:ascii="Arial" w:hAnsi="Arial" w:cs="Arial"/>
        </w:rPr>
        <w:lastRenderedPageBreak/>
        <w:t xml:space="preserve">Among the microbial gene markers analyzed by qPCR, the </w:t>
      </w:r>
      <w:r w:rsidRPr="00DA4096">
        <w:rPr>
          <w:rFonts w:ascii="Arial" w:hAnsi="Arial" w:cs="Arial"/>
          <w:i/>
          <w:iCs/>
        </w:rPr>
        <w:t xml:space="preserve">5ar </w:t>
      </w:r>
      <w:r w:rsidRPr="00A950BE">
        <w:rPr>
          <w:rFonts w:ascii="Arial" w:hAnsi="Arial" w:cs="Arial"/>
        </w:rPr>
        <w:t xml:space="preserve">gene exhibited a clear stepwise decline from healthy controls to adenoma, and further to carcinoma, with a statistically significant reduction between healthy controls and carcinoma patients. This finding is consistent with prior observations in intestinal lavage fluid linking decreased </w:t>
      </w:r>
      <w:r w:rsidRPr="0071016F">
        <w:rPr>
          <w:rFonts w:ascii="Arial" w:hAnsi="Arial" w:cs="Arial"/>
          <w:i/>
          <w:iCs/>
        </w:rPr>
        <w:t xml:space="preserve">5ar </w:t>
      </w:r>
      <w:r w:rsidRPr="00A950BE">
        <w:rPr>
          <w:rFonts w:ascii="Arial" w:hAnsi="Arial" w:cs="Arial"/>
        </w:rPr>
        <w:t xml:space="preserve">abundance to CRC progression (Fujii et al., 2024). Importantly, our results extend previous findings obtained only from intestinal lavage fluid samples to non-invasive stool samples, substantially enhancing the clinical practicality of </w:t>
      </w:r>
      <w:r w:rsidRPr="0071016F">
        <w:rPr>
          <w:rFonts w:ascii="Arial" w:hAnsi="Arial" w:cs="Arial"/>
          <w:i/>
          <w:iCs/>
        </w:rPr>
        <w:t xml:space="preserve">5ar </w:t>
      </w:r>
      <w:r w:rsidRPr="00A950BE">
        <w:rPr>
          <w:rFonts w:ascii="Arial" w:hAnsi="Arial" w:cs="Arial"/>
        </w:rPr>
        <w:t>as a biomarker for CRC-associated dysbiosis.</w:t>
      </w:r>
    </w:p>
    <w:p w14:paraId="2624FD10" w14:textId="371E97BF" w:rsidR="00A950BE" w:rsidRPr="00A950BE" w:rsidRDefault="00A950BE" w:rsidP="00A950BE">
      <w:pPr>
        <w:pStyle w:val="Body"/>
        <w:rPr>
          <w:rFonts w:ascii="Arial" w:hAnsi="Arial" w:cs="Arial"/>
        </w:rPr>
      </w:pPr>
      <w:r w:rsidRPr="00A950BE">
        <w:rPr>
          <w:rFonts w:ascii="Arial" w:hAnsi="Arial" w:cs="Arial"/>
        </w:rPr>
        <w:t xml:space="preserve">The observed decrease in </w:t>
      </w:r>
      <w:r w:rsidRPr="0071016F">
        <w:rPr>
          <w:rFonts w:ascii="Arial" w:hAnsi="Arial" w:cs="Arial"/>
          <w:i/>
          <w:iCs/>
        </w:rPr>
        <w:t xml:space="preserve">nan </w:t>
      </w:r>
      <w:r w:rsidRPr="00A950BE">
        <w:rPr>
          <w:rFonts w:ascii="Arial" w:hAnsi="Arial" w:cs="Arial"/>
        </w:rPr>
        <w:t xml:space="preserve">levels in carcinoma patients presents an interesting contrast to previous reports in UC, where </w:t>
      </w:r>
      <w:r w:rsidRPr="006F1508">
        <w:rPr>
          <w:rFonts w:ascii="Arial" w:hAnsi="Arial" w:cs="Arial"/>
          <w:i/>
          <w:iCs/>
        </w:rPr>
        <w:t xml:space="preserve">nan </w:t>
      </w:r>
      <w:r w:rsidRPr="00A950BE">
        <w:rPr>
          <w:rFonts w:ascii="Arial" w:hAnsi="Arial" w:cs="Arial"/>
        </w:rPr>
        <w:t>levels are often elevated (Nagasaka et al., 2024). This discrepancy may reflect two distinct hypotheses—microbial changes as either a consequence or a cause of disease states—applicable to both CRC and UC. Under the consequence hypothesis, disease-associated mucosal changes drive alterations in microbial communities. In CRC, particularly near tumors, the mucin layer is severely depleted or absent (Song et al., 202</w:t>
      </w:r>
      <w:r w:rsidR="00343EEA">
        <w:rPr>
          <w:rFonts w:ascii="Arial" w:hAnsi="Arial" w:cs="Arial"/>
        </w:rPr>
        <w:t>4</w:t>
      </w:r>
      <w:r w:rsidRPr="00A950BE">
        <w:rPr>
          <w:rFonts w:ascii="Arial" w:hAnsi="Arial" w:cs="Arial"/>
        </w:rPr>
        <w:t xml:space="preserve">), potentially reducing nutrient availability for mucin-degrading bacteria. Conversely, UC is characterized by mucosal inflammation and mucin degradation, exposing glycan structures that serve as substrates for mucin- and sialic acid-degrading bacteria such as </w:t>
      </w:r>
      <w:r w:rsidR="00154C21" w:rsidRPr="00154C21">
        <w:rPr>
          <w:rFonts w:ascii="Arial" w:hAnsi="Arial" w:cs="Arial"/>
          <w:i/>
          <w:iCs/>
        </w:rPr>
        <w:t>M</w:t>
      </w:r>
      <w:r w:rsidRPr="00154C21">
        <w:rPr>
          <w:rFonts w:ascii="Arial" w:hAnsi="Arial" w:cs="Arial"/>
          <w:i/>
          <w:iCs/>
        </w:rPr>
        <w:t xml:space="preserve">. </w:t>
      </w:r>
      <w:proofErr w:type="spellStart"/>
      <w:r w:rsidRPr="00154C21">
        <w:rPr>
          <w:rFonts w:ascii="Arial" w:hAnsi="Arial" w:cs="Arial"/>
          <w:i/>
          <w:iCs/>
        </w:rPr>
        <w:t>gnavus</w:t>
      </w:r>
      <w:proofErr w:type="spellEnd"/>
      <w:r w:rsidRPr="00154C21">
        <w:rPr>
          <w:rFonts w:ascii="Arial" w:hAnsi="Arial" w:cs="Arial"/>
          <w:i/>
          <w:iCs/>
        </w:rPr>
        <w:t xml:space="preserve"> </w:t>
      </w:r>
      <w:r w:rsidRPr="00A950BE">
        <w:rPr>
          <w:rFonts w:ascii="Arial" w:hAnsi="Arial" w:cs="Arial"/>
        </w:rPr>
        <w:t>(Bankole et al., 2021), thereby promoting their expansion as a secondary event. Alternatively, the causal hypothesis proposes microbial changes as an initiating or exacerbating factor in disease progression. In CRC, decreased mucin-degrading bacterial populations could diminish mucosal antigen exposure and immune stimulation, potentially facilitating immune evasion by tumor cells and enhancing tumor progression (Song et al., 202</w:t>
      </w:r>
      <w:r w:rsidR="00343EEA">
        <w:rPr>
          <w:rFonts w:ascii="Arial" w:hAnsi="Arial" w:cs="Arial"/>
        </w:rPr>
        <w:t>4</w:t>
      </w:r>
      <w:r w:rsidRPr="00A950BE">
        <w:rPr>
          <w:rFonts w:ascii="Arial" w:hAnsi="Arial" w:cs="Arial"/>
        </w:rPr>
        <w:t>; Gu et al., 2023). Similarly, in UC, an initial increase of mucin-degrading bacteria possessing the</w:t>
      </w:r>
      <w:r w:rsidRPr="008256EA">
        <w:rPr>
          <w:rFonts w:ascii="Arial" w:hAnsi="Arial" w:cs="Arial"/>
          <w:i/>
          <w:iCs/>
        </w:rPr>
        <w:t xml:space="preserve"> nan </w:t>
      </w:r>
      <w:r w:rsidRPr="00A950BE">
        <w:rPr>
          <w:rFonts w:ascii="Arial" w:hAnsi="Arial" w:cs="Arial"/>
        </w:rPr>
        <w:t>gene may promote excessive mucin breakdown, disrupting the protective mucosal barrier, triggering chronic inflammation, and contributing directly to UC pathogenesis. Thus, whether microbial shifts serve as an initial cause or a downstream consequence remains to be determined for both CRC and UC. Nevertheless, these microbial functional gene profiles related to glycan metabolism likely represent valuable biomarkers of mucosal microenvironmental and immunological changes associated with intestinal diseases.</w:t>
      </w:r>
    </w:p>
    <w:p w14:paraId="28A7135D" w14:textId="5A1DD708" w:rsidR="000F7100" w:rsidRDefault="000F7100" w:rsidP="00A950BE">
      <w:pPr>
        <w:pStyle w:val="Body"/>
        <w:rPr>
          <w:rFonts w:ascii="Arial" w:hAnsi="Arial" w:cs="Arial"/>
        </w:rPr>
      </w:pPr>
      <w:r w:rsidRPr="000F7100">
        <w:rPr>
          <w:rFonts w:ascii="Arial" w:hAnsi="Arial" w:cs="Arial"/>
        </w:rPr>
        <w:t xml:space="preserve">Additionally, the abundance of </w:t>
      </w:r>
      <w:r w:rsidRPr="000F7100">
        <w:rPr>
          <w:rFonts w:ascii="Arial" w:hAnsi="Arial" w:cs="Arial"/>
          <w:i/>
          <w:iCs/>
        </w:rPr>
        <w:t>F</w:t>
      </w:r>
      <w:r>
        <w:rPr>
          <w:rFonts w:ascii="Arial" w:hAnsi="Arial" w:cs="Arial"/>
          <w:i/>
          <w:iCs/>
        </w:rPr>
        <w:t>.</w:t>
      </w:r>
      <w:r w:rsidRPr="000F7100">
        <w:rPr>
          <w:rFonts w:ascii="Arial" w:hAnsi="Arial" w:cs="Arial"/>
          <w:i/>
          <w:iCs/>
        </w:rPr>
        <w:t xml:space="preserve"> </w:t>
      </w:r>
      <w:proofErr w:type="spellStart"/>
      <w:r w:rsidRPr="000F7100">
        <w:rPr>
          <w:rFonts w:ascii="Arial" w:hAnsi="Arial" w:cs="Arial"/>
          <w:i/>
          <w:iCs/>
        </w:rPr>
        <w:t>saccharivorans</w:t>
      </w:r>
      <w:proofErr w:type="spellEnd"/>
      <w:r w:rsidRPr="000F7100">
        <w:rPr>
          <w:rFonts w:ascii="Arial" w:hAnsi="Arial" w:cs="Arial"/>
        </w:rPr>
        <w:t xml:space="preserve"> and its corresponding </w:t>
      </w:r>
      <w:r w:rsidRPr="000F7100">
        <w:rPr>
          <w:rFonts w:ascii="Arial" w:hAnsi="Arial" w:cs="Arial"/>
          <w:i/>
          <w:iCs/>
        </w:rPr>
        <w:t xml:space="preserve">fs </w:t>
      </w:r>
      <w:r w:rsidRPr="000F7100">
        <w:rPr>
          <w:rFonts w:ascii="Arial" w:hAnsi="Arial" w:cs="Arial"/>
        </w:rPr>
        <w:t xml:space="preserve">gene levels sharply decreased at the adenoma stage and remained low in carcinoma patients. </w:t>
      </w:r>
      <w:r w:rsidRPr="000F7100">
        <w:rPr>
          <w:rFonts w:ascii="Arial" w:hAnsi="Arial" w:cs="Arial"/>
          <w:i/>
          <w:iCs/>
        </w:rPr>
        <w:t xml:space="preserve">F. </w:t>
      </w:r>
      <w:proofErr w:type="spellStart"/>
      <w:r w:rsidRPr="000F7100">
        <w:rPr>
          <w:rFonts w:ascii="Arial" w:hAnsi="Arial" w:cs="Arial"/>
          <w:i/>
          <w:iCs/>
        </w:rPr>
        <w:t>saccharivorans</w:t>
      </w:r>
      <w:proofErr w:type="spellEnd"/>
      <w:r w:rsidRPr="000F7100">
        <w:rPr>
          <w:rFonts w:ascii="Arial" w:hAnsi="Arial" w:cs="Arial"/>
        </w:rPr>
        <w:t xml:space="preserve"> has been associated with anti-inflammatory immune modulation and has been reported to be reduced in ulcerative colitis (Takeshita et al., 2016). This observed depletion may therefore reflect an early loss of protective commensal functions, potentially mediated by reduced SCFA production during the initial stages of colorectal carcinogenesis, supporting the utility of </w:t>
      </w:r>
      <w:r w:rsidRPr="000F7100">
        <w:rPr>
          <w:rFonts w:ascii="Arial" w:hAnsi="Arial" w:cs="Arial"/>
          <w:i/>
          <w:iCs/>
        </w:rPr>
        <w:t xml:space="preserve">fs </w:t>
      </w:r>
      <w:r w:rsidRPr="000F7100">
        <w:rPr>
          <w:rFonts w:ascii="Arial" w:hAnsi="Arial" w:cs="Arial"/>
        </w:rPr>
        <w:t>gene abundance as a sentinel marker of microbiota disruption.</w:t>
      </w:r>
    </w:p>
    <w:p w14:paraId="3733C7F9" w14:textId="2EA26FC8" w:rsidR="00A950BE" w:rsidRPr="00A950BE" w:rsidRDefault="00A950BE" w:rsidP="00A950BE">
      <w:pPr>
        <w:pStyle w:val="Body"/>
        <w:rPr>
          <w:rFonts w:ascii="Arial" w:hAnsi="Arial" w:cs="Arial"/>
        </w:rPr>
      </w:pPr>
      <w:r w:rsidRPr="00A950BE">
        <w:rPr>
          <w:rFonts w:ascii="Arial" w:hAnsi="Arial" w:cs="Arial"/>
        </w:rPr>
        <w:t xml:space="preserve">In the salivary microbiota, </w:t>
      </w:r>
      <w:proofErr w:type="spellStart"/>
      <w:r w:rsidRPr="00A950BE">
        <w:rPr>
          <w:rFonts w:ascii="Arial" w:hAnsi="Arial" w:cs="Arial"/>
        </w:rPr>
        <w:t>dysbiotic</w:t>
      </w:r>
      <w:proofErr w:type="spellEnd"/>
      <w:r w:rsidRPr="00A950BE">
        <w:rPr>
          <w:rFonts w:ascii="Arial" w:hAnsi="Arial" w:cs="Arial"/>
        </w:rPr>
        <w:t xml:space="preserve"> changes were observed predominantly at advanced disease stages. Beta diversity metrics indicated a disrupted oral microbial ecosystem specifically in carcinoma patients. </w:t>
      </w:r>
      <w:proofErr w:type="spellStart"/>
      <w:r w:rsidRPr="00A950BE">
        <w:rPr>
          <w:rFonts w:ascii="Arial" w:hAnsi="Arial" w:cs="Arial"/>
        </w:rPr>
        <w:t>LEfSe</w:t>
      </w:r>
      <w:proofErr w:type="spellEnd"/>
      <w:r w:rsidRPr="00A950BE">
        <w:rPr>
          <w:rFonts w:ascii="Arial" w:hAnsi="Arial" w:cs="Arial"/>
        </w:rPr>
        <w:t xml:space="preserve"> analysis and Kruskal–Wallis tests followed by Dunn’s post hoc comparisons revealed a significant decrease in the relative abundance of the </w:t>
      </w:r>
      <w:r w:rsidRPr="00C51966">
        <w:rPr>
          <w:rFonts w:ascii="Arial" w:hAnsi="Arial" w:cs="Arial"/>
          <w:i/>
          <w:iCs/>
        </w:rPr>
        <w:t xml:space="preserve">F. </w:t>
      </w:r>
      <w:proofErr w:type="spellStart"/>
      <w:r w:rsidRPr="00C51966">
        <w:rPr>
          <w:rFonts w:ascii="Arial" w:hAnsi="Arial" w:cs="Arial"/>
          <w:i/>
          <w:iCs/>
        </w:rPr>
        <w:t>periodonticum</w:t>
      </w:r>
      <w:proofErr w:type="spellEnd"/>
      <w:r w:rsidRPr="00A950BE">
        <w:rPr>
          <w:rFonts w:ascii="Arial" w:hAnsi="Arial" w:cs="Arial"/>
        </w:rPr>
        <w:t xml:space="preserve"> group only in carcinoma patients. These salivary microbial shifts likely reflect inflammatory or metabolic changes in the oral environment associated with relatively advanced colorectal neoplasia. To further validate these findings, we quantified </w:t>
      </w:r>
      <w:r w:rsidRPr="00911B69">
        <w:rPr>
          <w:rFonts w:ascii="Arial" w:hAnsi="Arial" w:cs="Arial"/>
          <w:i/>
          <w:iCs/>
        </w:rPr>
        <w:t xml:space="preserve">F. </w:t>
      </w:r>
      <w:proofErr w:type="spellStart"/>
      <w:r w:rsidRPr="00911B69">
        <w:rPr>
          <w:rFonts w:ascii="Arial" w:hAnsi="Arial" w:cs="Arial"/>
          <w:i/>
          <w:iCs/>
        </w:rPr>
        <w:t>periodonticum</w:t>
      </w:r>
      <w:proofErr w:type="spellEnd"/>
      <w:r w:rsidRPr="00A950BE">
        <w:rPr>
          <w:rFonts w:ascii="Arial" w:hAnsi="Arial" w:cs="Arial"/>
        </w:rPr>
        <w:t xml:space="preserve"> in saliva using the </w:t>
      </w:r>
      <w:proofErr w:type="spellStart"/>
      <w:r w:rsidRPr="008256EA">
        <w:rPr>
          <w:rFonts w:ascii="Arial" w:hAnsi="Arial" w:cs="Arial"/>
          <w:i/>
          <w:iCs/>
        </w:rPr>
        <w:t>tpl</w:t>
      </w:r>
      <w:proofErr w:type="spellEnd"/>
      <w:r w:rsidRPr="008256EA">
        <w:rPr>
          <w:rFonts w:ascii="Arial" w:hAnsi="Arial" w:cs="Arial"/>
          <w:i/>
          <w:iCs/>
        </w:rPr>
        <w:t xml:space="preserve"> </w:t>
      </w:r>
      <w:r w:rsidRPr="00A950BE">
        <w:rPr>
          <w:rFonts w:ascii="Arial" w:hAnsi="Arial" w:cs="Arial"/>
        </w:rPr>
        <w:t xml:space="preserve">gene as a marker. The </w:t>
      </w:r>
      <w:proofErr w:type="spellStart"/>
      <w:r w:rsidRPr="00911B69">
        <w:rPr>
          <w:rFonts w:ascii="Arial" w:hAnsi="Arial" w:cs="Arial"/>
          <w:i/>
          <w:iCs/>
        </w:rPr>
        <w:t>tpl</w:t>
      </w:r>
      <w:proofErr w:type="spellEnd"/>
      <w:r w:rsidRPr="00A950BE">
        <w:rPr>
          <w:rFonts w:ascii="Arial" w:hAnsi="Arial" w:cs="Arial"/>
        </w:rPr>
        <w:t xml:space="preserve"> levels showed a significant reduction only in carcinoma patients, while no significant changes were detected at the adenoma stage compared to healthy controls. This finding suggests that measurement of the salivary </w:t>
      </w:r>
      <w:proofErr w:type="spellStart"/>
      <w:r w:rsidRPr="009B1F0A">
        <w:rPr>
          <w:rFonts w:ascii="Arial" w:hAnsi="Arial" w:cs="Arial"/>
          <w:i/>
          <w:iCs/>
        </w:rPr>
        <w:t>tpl</w:t>
      </w:r>
      <w:proofErr w:type="spellEnd"/>
      <w:r w:rsidRPr="00A950BE">
        <w:rPr>
          <w:rFonts w:ascii="Arial" w:hAnsi="Arial" w:cs="Arial"/>
        </w:rPr>
        <w:t xml:space="preserve"> gene marker could enable detection of microbial alterations associated with relatively advanced stages of colorectal cancer progression.</w:t>
      </w:r>
    </w:p>
    <w:p w14:paraId="588B5B85" w14:textId="77777777" w:rsidR="00A950BE" w:rsidRPr="00A950BE" w:rsidRDefault="00A950BE" w:rsidP="00A950BE">
      <w:pPr>
        <w:pStyle w:val="Body"/>
        <w:rPr>
          <w:rFonts w:ascii="Arial" w:hAnsi="Arial" w:cs="Arial"/>
        </w:rPr>
      </w:pPr>
      <w:r w:rsidRPr="00A950BE">
        <w:rPr>
          <w:rFonts w:ascii="Arial" w:hAnsi="Arial" w:cs="Arial"/>
          <w:i/>
          <w:iCs/>
        </w:rPr>
        <w:t xml:space="preserve">F. </w:t>
      </w:r>
      <w:proofErr w:type="spellStart"/>
      <w:r w:rsidRPr="00A950BE">
        <w:rPr>
          <w:rFonts w:ascii="Arial" w:hAnsi="Arial" w:cs="Arial"/>
          <w:i/>
          <w:iCs/>
        </w:rPr>
        <w:t>nucleatum</w:t>
      </w:r>
      <w:proofErr w:type="spellEnd"/>
      <w:r w:rsidRPr="00A950BE">
        <w:rPr>
          <w:rFonts w:ascii="Arial" w:hAnsi="Arial" w:cs="Arial"/>
          <w:i/>
          <w:iCs/>
        </w:rPr>
        <w:t xml:space="preserve"> </w:t>
      </w:r>
      <w:r w:rsidRPr="00A950BE">
        <w:rPr>
          <w:rFonts w:ascii="Arial" w:hAnsi="Arial" w:cs="Arial"/>
        </w:rPr>
        <w:t xml:space="preserve">has been widely implicated in the pathogenesis of colorectal cancer due to its ability to invade epithelial cells and modulate host immune responses. In contrast, </w:t>
      </w:r>
      <w:r w:rsidRPr="00911B69">
        <w:rPr>
          <w:rFonts w:ascii="Arial" w:hAnsi="Arial" w:cs="Arial"/>
          <w:i/>
          <w:iCs/>
        </w:rPr>
        <w:t xml:space="preserve">F. </w:t>
      </w:r>
      <w:proofErr w:type="spellStart"/>
      <w:r w:rsidRPr="00911B69">
        <w:rPr>
          <w:rFonts w:ascii="Arial" w:hAnsi="Arial" w:cs="Arial"/>
          <w:i/>
          <w:iCs/>
        </w:rPr>
        <w:t>periodonticum</w:t>
      </w:r>
      <w:proofErr w:type="spellEnd"/>
      <w:r w:rsidRPr="00911B69">
        <w:rPr>
          <w:rFonts w:ascii="Arial" w:hAnsi="Arial" w:cs="Arial"/>
          <w:i/>
          <w:iCs/>
        </w:rPr>
        <w:t xml:space="preserve"> </w:t>
      </w:r>
      <w:r w:rsidRPr="00A950BE">
        <w:rPr>
          <w:rFonts w:ascii="Arial" w:hAnsi="Arial" w:cs="Arial"/>
        </w:rPr>
        <w:t xml:space="preserve">may play a more protective role. A recent genomic study demonstrated that strains of </w:t>
      </w:r>
      <w:r w:rsidRPr="00A950BE">
        <w:rPr>
          <w:rFonts w:ascii="Arial" w:hAnsi="Arial" w:cs="Arial"/>
          <w:i/>
          <w:iCs/>
        </w:rPr>
        <w:t xml:space="preserve">F. </w:t>
      </w:r>
      <w:proofErr w:type="spellStart"/>
      <w:r w:rsidRPr="00A950BE">
        <w:rPr>
          <w:rFonts w:ascii="Arial" w:hAnsi="Arial" w:cs="Arial"/>
          <w:i/>
          <w:iCs/>
        </w:rPr>
        <w:t>periodonticum</w:t>
      </w:r>
      <w:proofErr w:type="spellEnd"/>
      <w:r w:rsidRPr="00A950BE">
        <w:rPr>
          <w:rFonts w:ascii="Arial" w:hAnsi="Arial" w:cs="Arial"/>
        </w:rPr>
        <w:t xml:space="preserve">—particularly those derived from the oral cavity—lack several key virulence genes commonly found in </w:t>
      </w:r>
      <w:r w:rsidRPr="00A950BE">
        <w:rPr>
          <w:rFonts w:ascii="Arial" w:hAnsi="Arial" w:cs="Arial"/>
          <w:i/>
          <w:iCs/>
        </w:rPr>
        <w:t xml:space="preserve">F. </w:t>
      </w:r>
      <w:proofErr w:type="spellStart"/>
      <w:r w:rsidRPr="00A950BE">
        <w:rPr>
          <w:rFonts w:ascii="Arial" w:hAnsi="Arial" w:cs="Arial"/>
          <w:i/>
          <w:iCs/>
        </w:rPr>
        <w:t>nucleatum</w:t>
      </w:r>
      <w:proofErr w:type="spellEnd"/>
      <w:r w:rsidRPr="00A950BE">
        <w:rPr>
          <w:rFonts w:ascii="Arial" w:hAnsi="Arial" w:cs="Arial"/>
          <w:i/>
          <w:iCs/>
        </w:rPr>
        <w:t>,</w:t>
      </w:r>
      <w:r w:rsidRPr="00A950BE">
        <w:rPr>
          <w:rFonts w:ascii="Arial" w:hAnsi="Arial" w:cs="Arial"/>
        </w:rPr>
        <w:t xml:space="preserve"> including </w:t>
      </w:r>
      <w:proofErr w:type="spellStart"/>
      <w:r w:rsidRPr="00A950BE">
        <w:rPr>
          <w:rFonts w:ascii="Arial" w:hAnsi="Arial" w:cs="Arial"/>
          <w:i/>
          <w:iCs/>
        </w:rPr>
        <w:t>fadA</w:t>
      </w:r>
      <w:proofErr w:type="spellEnd"/>
      <w:r w:rsidRPr="00A950BE">
        <w:rPr>
          <w:rFonts w:ascii="Arial" w:hAnsi="Arial" w:cs="Arial"/>
          <w:i/>
          <w:iCs/>
        </w:rPr>
        <w:t>, fap2,</w:t>
      </w:r>
      <w:r w:rsidRPr="00A950BE">
        <w:rPr>
          <w:rFonts w:ascii="Arial" w:hAnsi="Arial" w:cs="Arial"/>
        </w:rPr>
        <w:t xml:space="preserve"> and </w:t>
      </w:r>
      <w:proofErr w:type="spellStart"/>
      <w:r w:rsidRPr="00A950BE">
        <w:rPr>
          <w:rFonts w:ascii="Arial" w:hAnsi="Arial" w:cs="Arial"/>
          <w:i/>
          <w:iCs/>
        </w:rPr>
        <w:t>radD</w:t>
      </w:r>
      <w:proofErr w:type="spellEnd"/>
      <w:r w:rsidRPr="00A950BE">
        <w:rPr>
          <w:rFonts w:ascii="Arial" w:hAnsi="Arial" w:cs="Arial"/>
        </w:rPr>
        <w:t xml:space="preserve">, which are involved in adhesion, immune evasion, and biofilm formation. Notably, </w:t>
      </w:r>
      <w:r w:rsidRPr="00A950BE">
        <w:rPr>
          <w:rFonts w:ascii="Arial" w:hAnsi="Arial" w:cs="Arial"/>
          <w:i/>
          <w:iCs/>
        </w:rPr>
        <w:t xml:space="preserve">F. </w:t>
      </w:r>
      <w:proofErr w:type="spellStart"/>
      <w:r w:rsidRPr="00A950BE">
        <w:rPr>
          <w:rFonts w:ascii="Arial" w:hAnsi="Arial" w:cs="Arial"/>
          <w:i/>
          <w:iCs/>
        </w:rPr>
        <w:t>periodonticum</w:t>
      </w:r>
      <w:proofErr w:type="spellEnd"/>
      <w:r w:rsidRPr="00A950BE">
        <w:rPr>
          <w:rFonts w:ascii="Arial" w:hAnsi="Arial" w:cs="Arial"/>
        </w:rPr>
        <w:t xml:space="preserve"> strains were largely deficient in </w:t>
      </w:r>
      <w:proofErr w:type="spellStart"/>
      <w:r w:rsidRPr="00A950BE">
        <w:rPr>
          <w:rFonts w:ascii="Arial" w:hAnsi="Arial" w:cs="Arial"/>
          <w:i/>
          <w:iCs/>
        </w:rPr>
        <w:t>radD</w:t>
      </w:r>
      <w:proofErr w:type="spellEnd"/>
      <w:r w:rsidRPr="00A950BE">
        <w:rPr>
          <w:rFonts w:ascii="Arial" w:hAnsi="Arial" w:cs="Arial"/>
        </w:rPr>
        <w:t xml:space="preserve">, a gene critical for bacterial co-aggregation and colonization (Tran et al., 2022). These findings raise the intriguing possibility that </w:t>
      </w:r>
      <w:r w:rsidRPr="001E3EC0">
        <w:rPr>
          <w:rFonts w:ascii="Arial" w:hAnsi="Arial" w:cs="Arial"/>
          <w:i/>
          <w:iCs/>
        </w:rPr>
        <w:t xml:space="preserve">F. </w:t>
      </w:r>
      <w:proofErr w:type="spellStart"/>
      <w:r w:rsidRPr="001E3EC0">
        <w:rPr>
          <w:rFonts w:ascii="Arial" w:hAnsi="Arial" w:cs="Arial"/>
          <w:i/>
          <w:iCs/>
        </w:rPr>
        <w:t>periodonticum</w:t>
      </w:r>
      <w:proofErr w:type="spellEnd"/>
      <w:r w:rsidRPr="00A950BE">
        <w:rPr>
          <w:rFonts w:ascii="Arial" w:hAnsi="Arial" w:cs="Arial"/>
        </w:rPr>
        <w:t xml:space="preserve"> may compete with or suppress colonization by more pathogenic </w:t>
      </w:r>
      <w:r w:rsidRPr="00A950BE">
        <w:rPr>
          <w:rFonts w:ascii="Arial" w:hAnsi="Arial" w:cs="Arial"/>
          <w:i/>
          <w:iCs/>
        </w:rPr>
        <w:t xml:space="preserve">Fusobacterium </w:t>
      </w:r>
      <w:r w:rsidRPr="00A950BE">
        <w:rPr>
          <w:rFonts w:ascii="Arial" w:hAnsi="Arial" w:cs="Arial"/>
        </w:rPr>
        <w:t xml:space="preserve">species such as </w:t>
      </w:r>
      <w:r w:rsidRPr="00A950BE">
        <w:rPr>
          <w:rFonts w:ascii="Arial" w:hAnsi="Arial" w:cs="Arial"/>
          <w:i/>
          <w:iCs/>
        </w:rPr>
        <w:t xml:space="preserve">F. </w:t>
      </w:r>
      <w:proofErr w:type="spellStart"/>
      <w:r w:rsidRPr="00A950BE">
        <w:rPr>
          <w:rFonts w:ascii="Arial" w:hAnsi="Arial" w:cs="Arial"/>
          <w:i/>
          <w:iCs/>
        </w:rPr>
        <w:t>nucleatum</w:t>
      </w:r>
      <w:proofErr w:type="spellEnd"/>
      <w:r w:rsidRPr="00A950BE">
        <w:rPr>
          <w:rFonts w:ascii="Arial" w:hAnsi="Arial" w:cs="Arial"/>
        </w:rPr>
        <w:t xml:space="preserve">, thereby mitigating their tumor-promoting effects. In this context, the observed reduction of </w:t>
      </w:r>
      <w:r w:rsidRPr="00A950BE">
        <w:rPr>
          <w:rFonts w:ascii="Arial" w:hAnsi="Arial" w:cs="Arial"/>
          <w:i/>
          <w:iCs/>
        </w:rPr>
        <w:t xml:space="preserve">F. </w:t>
      </w:r>
      <w:proofErr w:type="spellStart"/>
      <w:r w:rsidRPr="00A950BE">
        <w:rPr>
          <w:rFonts w:ascii="Arial" w:hAnsi="Arial" w:cs="Arial"/>
          <w:i/>
          <w:iCs/>
        </w:rPr>
        <w:t>periodonticum</w:t>
      </w:r>
      <w:proofErr w:type="spellEnd"/>
      <w:r w:rsidRPr="00A950BE">
        <w:rPr>
          <w:rFonts w:ascii="Arial" w:hAnsi="Arial" w:cs="Arial"/>
        </w:rPr>
        <w:t xml:space="preserve"> in patients with adenoma and carcinoma could reflect a loss of microbial competition, contributing to the expansion of more virulent taxa. If so, efforts to maintain or restore </w:t>
      </w:r>
      <w:r w:rsidRPr="00A950BE">
        <w:rPr>
          <w:rFonts w:ascii="Arial" w:hAnsi="Arial" w:cs="Arial"/>
          <w:i/>
          <w:iCs/>
        </w:rPr>
        <w:t xml:space="preserve">F. </w:t>
      </w:r>
      <w:proofErr w:type="spellStart"/>
      <w:r w:rsidRPr="00A950BE">
        <w:rPr>
          <w:rFonts w:ascii="Arial" w:hAnsi="Arial" w:cs="Arial"/>
          <w:i/>
          <w:iCs/>
        </w:rPr>
        <w:t>periodonticum</w:t>
      </w:r>
      <w:proofErr w:type="spellEnd"/>
      <w:r w:rsidRPr="00A950BE">
        <w:rPr>
          <w:rFonts w:ascii="Arial" w:hAnsi="Arial" w:cs="Arial"/>
        </w:rPr>
        <w:t xml:space="preserve"> levels in the oral cavity could offer a novel, non-invasive approach to modulate CRC risk.</w:t>
      </w:r>
    </w:p>
    <w:p w14:paraId="710ECB49" w14:textId="5A19572B" w:rsidR="0031428C" w:rsidRDefault="00A950BE" w:rsidP="00A950BE">
      <w:pPr>
        <w:pStyle w:val="Body"/>
        <w:rPr>
          <w:rFonts w:ascii="Arial" w:hAnsi="Arial" w:cs="Arial"/>
        </w:rPr>
      </w:pPr>
      <w:r w:rsidRPr="00A950BE">
        <w:rPr>
          <w:rFonts w:ascii="Arial" w:hAnsi="Arial" w:cs="Arial"/>
        </w:rPr>
        <w:t>In summary, this study addressed the aims set forth in the introduction clearly and comprehensively. We identified fecal (</w:t>
      </w:r>
      <w:r w:rsidRPr="00A950BE">
        <w:rPr>
          <w:rFonts w:ascii="Arial" w:hAnsi="Arial" w:cs="Arial"/>
          <w:i/>
          <w:iCs/>
        </w:rPr>
        <w:t>5ar, nan</w:t>
      </w:r>
      <w:r w:rsidRPr="00A950BE">
        <w:rPr>
          <w:rFonts w:ascii="Arial" w:hAnsi="Arial" w:cs="Arial"/>
        </w:rPr>
        <w:t xml:space="preserve">, and </w:t>
      </w:r>
      <w:r w:rsidR="00210B46" w:rsidRPr="00210B46">
        <w:rPr>
          <w:rFonts w:ascii="Arial" w:hAnsi="Arial" w:cs="Arial"/>
          <w:i/>
          <w:iCs/>
        </w:rPr>
        <w:t>fs</w:t>
      </w:r>
      <w:r w:rsidRPr="00A950BE">
        <w:rPr>
          <w:rFonts w:ascii="Arial" w:hAnsi="Arial" w:cs="Arial"/>
        </w:rPr>
        <w:t>) and oral (</w:t>
      </w:r>
      <w:proofErr w:type="spellStart"/>
      <w:r w:rsidRPr="00A950BE">
        <w:rPr>
          <w:rFonts w:ascii="Arial" w:hAnsi="Arial" w:cs="Arial"/>
          <w:i/>
          <w:iCs/>
        </w:rPr>
        <w:t>tpl</w:t>
      </w:r>
      <w:proofErr w:type="spellEnd"/>
      <w:r w:rsidRPr="00A950BE">
        <w:rPr>
          <w:rFonts w:ascii="Arial" w:hAnsi="Arial" w:cs="Arial"/>
        </w:rPr>
        <w:t xml:space="preserve">) microbial gene markers reflecting microbial changes spanning early to late stages of colorectal cancer progression. Collectively, our findings support the feasibility of integrating microbiome-derived gene markers from multiple niches—fecal and oral—into a comprehensive, non-invasive diagnostic and preventive platform for colorectal cancer. </w:t>
      </w:r>
      <w:r w:rsidR="001E1986" w:rsidRPr="001E1986">
        <w:rPr>
          <w:rFonts w:ascii="Arial" w:hAnsi="Arial" w:cs="Arial"/>
        </w:rPr>
        <w:t xml:space="preserve">However, this study has several limitations that should be considered. First, the sample size was relatively small and participants were recruited non-consecutively at a single center (Fujita Health University Hospital), </w:t>
      </w:r>
      <w:r w:rsidR="001E1986" w:rsidRPr="001E1986">
        <w:rPr>
          <w:rFonts w:ascii="Arial" w:hAnsi="Arial" w:cs="Arial"/>
        </w:rPr>
        <w:lastRenderedPageBreak/>
        <w:t xml:space="preserve">which may have introduced selection bias and limited the generalizability of our findings. In addition, healthy controls were recruited as volunteers (participants who expressed interest), and controls did not routinely undergo colonoscopy; therefore, unmeasured differences from the source population and the presence of asymptomatic colorectal neoplasia in controls cannot be completely excluded. Second, the cross-sectional design does not allow assessment of causality or temporal dynamics of microbial changes throughout disease progression. Third, although microbial gene abundance was quantified by qPCR, biological activity (e.g., gene expression and metabolite production) was not assessed, and the physiological relevance of the observed changes remains to be confirmed. Fourth, potential confounders such as medication use, diet, and comorbidities were not systematically evaluated and may have influenced the results. </w:t>
      </w:r>
      <w:r w:rsidR="0031428C">
        <w:t xml:space="preserve">Fifth, because </w:t>
      </w:r>
      <w:proofErr w:type="spellStart"/>
      <w:r w:rsidR="0031428C">
        <w:t>LEfSe</w:t>
      </w:r>
      <w:proofErr w:type="spellEnd"/>
      <w:r w:rsidR="0031428C">
        <w:t xml:space="preserve"> involves multiple comparisons across many taxa, false-positive findings are possible. Key signatures were partly supported by targeted qPCR-based gene markers; however, independent cohort validation is still warranted.</w:t>
      </w:r>
      <w:r w:rsidR="001E1986" w:rsidRPr="001E1986">
        <w:rPr>
          <w:rFonts w:ascii="Arial" w:hAnsi="Arial" w:cs="Arial"/>
        </w:rPr>
        <w:t xml:space="preserve"> Finally, our cohort was geographically and ethnically homogeneous, which may further limit generalizability.</w:t>
      </w:r>
    </w:p>
    <w:p w14:paraId="46458DC1" w14:textId="67898B11" w:rsidR="00E053D0" w:rsidRDefault="00A950BE" w:rsidP="00E034C3">
      <w:pPr>
        <w:pStyle w:val="Body"/>
        <w:rPr>
          <w:rFonts w:ascii="Arial" w:hAnsi="Arial" w:cs="Arial"/>
        </w:rPr>
      </w:pPr>
      <w:r w:rsidRPr="00A950BE">
        <w:rPr>
          <w:rFonts w:ascii="Arial" w:hAnsi="Arial" w:cs="Arial"/>
        </w:rPr>
        <w:t>In conclusion, our findings provide new insights into microbial gene markers associated with colorectal cancer progression and highlight the potential of microbiome-based diagnostics using non-invasive samples from gut and oral microbiota. Future prospective studies are warranted to validate these microbial markers in larger and more diverse patient populations and to explore their practical utility for early CRC detection, postoperative surveillance, and monitoring of adenomatous precursor lesions. Moreover, considering the functional relevance of the identified microbial communities, future studies should evaluate targeted microbiome-modulating strategies, such as prebiotics or probiotics, designed to restore microbial homeostasis in both gut and oral niches. Such microbiome-targeted interventions could represent novel approaches to mitigate colorectal cancer risk and complement current clinical practices for cancer prevention and management.</w:t>
      </w:r>
    </w:p>
    <w:p w14:paraId="755BFBCD" w14:textId="77777777" w:rsidR="00790ADA" w:rsidRPr="00FB3A86" w:rsidRDefault="00790ADA" w:rsidP="00441B6F">
      <w:pPr>
        <w:pStyle w:val="Body"/>
        <w:spacing w:after="0"/>
        <w:rPr>
          <w:rFonts w:ascii="Arial" w:hAnsi="Arial" w:cs="Arial"/>
        </w:rPr>
      </w:pPr>
    </w:p>
    <w:p w14:paraId="64D7EDB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C87F0B" w14:textId="77777777" w:rsidR="00790ADA" w:rsidRPr="00FB3A86" w:rsidRDefault="00790ADA" w:rsidP="00441B6F">
      <w:pPr>
        <w:pStyle w:val="ConcHead"/>
        <w:spacing w:after="0"/>
        <w:jc w:val="both"/>
        <w:rPr>
          <w:rFonts w:ascii="Arial" w:hAnsi="Arial" w:cs="Arial"/>
        </w:rPr>
      </w:pPr>
    </w:p>
    <w:p w14:paraId="16C13A3A" w14:textId="59205E0D" w:rsidR="00C56ACF" w:rsidRDefault="00C56ACF" w:rsidP="00A77B70">
      <w:pPr>
        <w:pStyle w:val="Body"/>
        <w:rPr>
          <w:rFonts w:ascii="Arial" w:hAnsi="Arial" w:cs="Arial"/>
        </w:rPr>
      </w:pPr>
      <w:r w:rsidRPr="00C56ACF">
        <w:rPr>
          <w:rFonts w:ascii="Arial" w:hAnsi="Arial" w:cs="Arial"/>
        </w:rPr>
        <w:t xml:space="preserve">Our findings suggest that microbiome-derived gene markers in fecal and saliva samples could serve as non-invasive, rapid, and cost-effective biomarkers for colorectal neoplasia. Fecal markers captured microbiota disruption from the adenoma stage, whereas salivary markers predominantly reflected microbial alterations in carcinoma patients, i.e., the early and late stages of colorectal cancer progression, respectively. Integrating fecal and salivary biomarkers may therefore provide a more </w:t>
      </w:r>
      <w:r w:rsidR="00213A0B" w:rsidRPr="00213A0B">
        <w:rPr>
          <w:rFonts w:ascii="Arial" w:hAnsi="Arial" w:cs="Arial"/>
        </w:rPr>
        <w:t>comprehensive</w:t>
      </w:r>
      <w:r w:rsidRPr="00C56ACF">
        <w:rPr>
          <w:rFonts w:ascii="Arial" w:hAnsi="Arial" w:cs="Arial"/>
        </w:rPr>
        <w:t xml:space="preserve"> microbial diagnostic platform for early detection, monitoring of precursor lesions, and postoperative surveillance. Further validation in larger, independent cohorts and prospective studies is warranted.</w:t>
      </w:r>
    </w:p>
    <w:p w14:paraId="2230ACD7" w14:textId="77777777" w:rsidR="00C56ACF" w:rsidRPr="00FB3A86" w:rsidRDefault="00C56ACF" w:rsidP="00A77B70">
      <w:pPr>
        <w:pStyle w:val="Body"/>
        <w:rPr>
          <w:rFonts w:ascii="Arial" w:hAnsi="Arial" w:cs="Arial"/>
          <w:lang w:eastAsia="ja-JP"/>
        </w:rPr>
      </w:pPr>
    </w:p>
    <w:p w14:paraId="607AC773" w14:textId="77777777" w:rsidR="003706E4" w:rsidRPr="00F469F0" w:rsidRDefault="003706E4" w:rsidP="00441B6F">
      <w:pPr>
        <w:pStyle w:val="ReferHead"/>
        <w:spacing w:after="0"/>
        <w:jc w:val="both"/>
        <w:rPr>
          <w:rFonts w:ascii="Arial" w:hAnsi="Arial" w:cs="Arial"/>
          <w:b w:val="0"/>
          <w:caps w:val="0"/>
          <w:sz w:val="20"/>
          <w:u w:val="single"/>
        </w:rPr>
      </w:pPr>
    </w:p>
    <w:p w14:paraId="660473A2" w14:textId="77777777" w:rsidR="002B685A" w:rsidRDefault="002B685A" w:rsidP="00441B6F">
      <w:pPr>
        <w:pStyle w:val="ReferHead"/>
        <w:spacing w:after="0"/>
        <w:jc w:val="both"/>
        <w:rPr>
          <w:rFonts w:ascii="Arial" w:hAnsi="Arial" w:cs="Arial"/>
          <w:b w:val="0"/>
          <w:caps w:val="0"/>
          <w:sz w:val="20"/>
        </w:rPr>
      </w:pPr>
    </w:p>
    <w:p w14:paraId="53D4FC9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CEB3EE4" w14:textId="77777777" w:rsidR="002B685A" w:rsidRPr="002B685A" w:rsidRDefault="002B685A" w:rsidP="00441B6F">
      <w:pPr>
        <w:pStyle w:val="ReferHead"/>
        <w:spacing w:after="0"/>
        <w:jc w:val="both"/>
        <w:rPr>
          <w:rFonts w:ascii="Arial" w:hAnsi="Arial" w:cs="Arial"/>
          <w:bCs/>
        </w:rPr>
      </w:pPr>
    </w:p>
    <w:p w14:paraId="4FD6DE38" w14:textId="77777777" w:rsidR="008B162B" w:rsidRPr="005F1269" w:rsidRDefault="008B162B" w:rsidP="008B162B">
      <w:r w:rsidRPr="005F1269">
        <w:t>Written informed consent was obtained from all subjects involved in this study. A copy of the written consent documentation is available for review by the Editorial Office upon reasonable request.</w:t>
      </w:r>
    </w:p>
    <w:p w14:paraId="4E5FEA86" w14:textId="77777777" w:rsidR="008B162B" w:rsidRPr="00F469F0" w:rsidRDefault="008B162B" w:rsidP="00441B6F">
      <w:pPr>
        <w:pStyle w:val="ReferHead"/>
        <w:spacing w:after="0"/>
        <w:jc w:val="both"/>
        <w:rPr>
          <w:rFonts w:ascii="Arial" w:hAnsi="Arial" w:cs="Arial"/>
          <w:b w:val="0"/>
          <w:caps w:val="0"/>
          <w:sz w:val="20"/>
          <w:u w:val="single"/>
        </w:rPr>
      </w:pPr>
    </w:p>
    <w:p w14:paraId="27F15626" w14:textId="77777777" w:rsidR="001A29D8" w:rsidRDefault="001A29D8" w:rsidP="00441B6F">
      <w:pPr>
        <w:pStyle w:val="ReferHead"/>
        <w:spacing w:after="0"/>
        <w:jc w:val="both"/>
        <w:rPr>
          <w:rFonts w:ascii="Arial" w:hAnsi="Arial" w:cs="Arial"/>
          <w:b w:val="0"/>
          <w:caps w:val="0"/>
          <w:sz w:val="20"/>
        </w:rPr>
      </w:pPr>
    </w:p>
    <w:p w14:paraId="7082C273" w14:textId="77777777" w:rsidR="005C784C" w:rsidRDefault="005C784C" w:rsidP="00441B6F">
      <w:pPr>
        <w:pStyle w:val="ReferHead"/>
        <w:spacing w:after="0"/>
        <w:jc w:val="both"/>
        <w:rPr>
          <w:rFonts w:ascii="Arial" w:hAnsi="Arial" w:cs="Arial"/>
          <w:b w:val="0"/>
          <w:caps w:val="0"/>
          <w:sz w:val="20"/>
        </w:rPr>
      </w:pPr>
    </w:p>
    <w:p w14:paraId="636A9D07" w14:textId="1E190128"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C16FAED" w14:textId="77777777" w:rsidR="005C784C" w:rsidRPr="002B685A" w:rsidRDefault="005C784C" w:rsidP="00441B6F">
      <w:pPr>
        <w:pStyle w:val="ReferHead"/>
        <w:spacing w:after="0"/>
        <w:jc w:val="both"/>
        <w:rPr>
          <w:rFonts w:ascii="Arial" w:hAnsi="Arial" w:cs="Arial"/>
          <w:bCs/>
        </w:rPr>
      </w:pPr>
    </w:p>
    <w:p w14:paraId="6A6268D0" w14:textId="0D820C9D" w:rsidR="0041027F" w:rsidRDefault="001A29D8" w:rsidP="00441B6F">
      <w:pPr>
        <w:pStyle w:val="ReferHead"/>
        <w:spacing w:after="0"/>
        <w:jc w:val="both"/>
        <w:rPr>
          <w:rFonts w:ascii="Arial" w:hAnsi="Arial" w:cs="Arial"/>
          <w:b w:val="0"/>
          <w:caps w:val="0"/>
          <w:sz w:val="20"/>
        </w:rPr>
      </w:pPr>
      <w:r w:rsidRPr="008B162B">
        <w:rPr>
          <w:rFonts w:ascii="Arial" w:hAnsi="Arial" w:cs="Arial"/>
          <w:b w:val="0"/>
          <w:caps w:val="0"/>
          <w:sz w:val="20"/>
        </w:rPr>
        <w:t>All authors hereby declare that a</w:t>
      </w:r>
      <w:r w:rsidR="0041027F" w:rsidRPr="008B162B">
        <w:rPr>
          <w:rFonts w:ascii="Arial" w:hAnsi="Arial" w:cs="Arial"/>
          <w:b w:val="0"/>
          <w:caps w:val="0"/>
          <w:sz w:val="20"/>
        </w:rPr>
        <w:t xml:space="preserve">ll </w:t>
      </w:r>
      <w:r w:rsidR="00F469F0" w:rsidRPr="008B162B">
        <w:rPr>
          <w:rFonts w:ascii="Arial" w:hAnsi="Arial" w:cs="Arial"/>
          <w:b w:val="0"/>
          <w:caps w:val="0"/>
          <w:sz w:val="20"/>
        </w:rPr>
        <w:t>experiments</w:t>
      </w:r>
      <w:r w:rsidR="0041027F" w:rsidRPr="008B162B">
        <w:rPr>
          <w:rFonts w:ascii="Arial" w:hAnsi="Arial" w:cs="Arial"/>
          <w:b w:val="0"/>
          <w:caps w:val="0"/>
          <w:sz w:val="20"/>
        </w:rPr>
        <w:t xml:space="preserve"> have been examined</w:t>
      </w:r>
      <w:r w:rsidRPr="008B162B">
        <w:rPr>
          <w:rFonts w:ascii="Arial" w:hAnsi="Arial" w:cs="Arial"/>
          <w:b w:val="0"/>
          <w:caps w:val="0"/>
          <w:sz w:val="20"/>
        </w:rPr>
        <w:t xml:space="preserve"> and approved</w:t>
      </w:r>
      <w:r w:rsidR="0041027F" w:rsidRPr="008B162B">
        <w:rPr>
          <w:rFonts w:ascii="Arial" w:hAnsi="Arial" w:cs="Arial"/>
          <w:b w:val="0"/>
          <w:caps w:val="0"/>
          <w:sz w:val="20"/>
        </w:rPr>
        <w:t xml:space="preserve"> </w:t>
      </w:r>
      <w:r w:rsidR="00252BCB" w:rsidRPr="00252BCB">
        <w:rPr>
          <w:rFonts w:ascii="Arial" w:hAnsi="Arial" w:cs="Arial"/>
          <w:b w:val="0"/>
          <w:caps w:val="0"/>
          <w:sz w:val="20"/>
        </w:rPr>
        <w:t>by the Institutional Review Board of Fujita Health University (approval numbers: HM22-272 and HM23-078) and the Ethics Committee of Nagoya University of Arts and Sciences (approval number: 802)</w:t>
      </w:r>
      <w:r w:rsidR="00252BCB">
        <w:rPr>
          <w:rFonts w:ascii="Arial" w:hAnsi="Arial" w:cs="Arial"/>
          <w:b w:val="0"/>
          <w:caps w:val="0"/>
          <w:sz w:val="20"/>
        </w:rPr>
        <w:t xml:space="preserve">, </w:t>
      </w:r>
      <w:r w:rsidR="0041027F" w:rsidRPr="008B162B">
        <w:rPr>
          <w:rFonts w:ascii="Arial" w:hAnsi="Arial" w:cs="Arial"/>
          <w:b w:val="0"/>
          <w:caps w:val="0"/>
          <w:sz w:val="20"/>
        </w:rPr>
        <w:t>and have therefore been performed in accordance with the ethical standards laid down in the 1964 Declaration of Helsinki.</w:t>
      </w:r>
    </w:p>
    <w:p w14:paraId="49D5982A" w14:textId="77777777" w:rsidR="005D389B" w:rsidRDefault="005D389B" w:rsidP="00441B6F">
      <w:pPr>
        <w:pStyle w:val="ReferHead"/>
        <w:spacing w:after="0"/>
        <w:jc w:val="both"/>
        <w:rPr>
          <w:rFonts w:ascii="Arial" w:hAnsi="Arial" w:cs="Arial"/>
          <w:b w:val="0"/>
          <w:caps w:val="0"/>
          <w:sz w:val="20"/>
        </w:rPr>
      </w:pPr>
    </w:p>
    <w:p w14:paraId="3340E54C" w14:textId="77777777" w:rsidR="005D389B" w:rsidRDefault="005D389B" w:rsidP="005D389B">
      <w:r>
        <w:rPr>
          <w:rFonts w:ascii="Arial" w:hAnsi="Arial"/>
          <w:b/>
          <w:sz w:val="22"/>
        </w:rPr>
        <w:t>AVAILABILITY OF DATA AND MATERIALS</w:t>
      </w:r>
    </w:p>
    <w:p w14:paraId="5BA969CD" w14:textId="77777777" w:rsidR="005D389B" w:rsidRDefault="005D389B" w:rsidP="005D389B">
      <w:pPr>
        <w:jc w:val="both"/>
      </w:pPr>
      <w:r>
        <w:rPr>
          <w:rFonts w:ascii="Arial" w:hAnsi="Arial"/>
        </w:rPr>
        <w:t>The 16S rRNA gene sequencing datasets generated from fecal and salivary DNA samples of healthy controls and patients with colorectal tumors have been deposited in the NCBI Sequence Read Archive (SRA) under accession numbers PRJNA1286097 and PRJNA1286073, respectively. All other supporting data, code, and protocols have been provided within the article.</w:t>
      </w:r>
    </w:p>
    <w:p w14:paraId="0D4CCB79" w14:textId="77777777" w:rsidR="005D389B" w:rsidRDefault="005D389B" w:rsidP="005D389B"/>
    <w:p w14:paraId="562686F2" w14:textId="77777777" w:rsidR="005D389B" w:rsidRPr="00A67097" w:rsidRDefault="005D389B" w:rsidP="005D389B">
      <w:pPr>
        <w:jc w:val="both"/>
        <w:rPr>
          <w:b/>
          <w:sz w:val="22"/>
          <w:szCs w:val="22"/>
          <w:lang w:val="en-GB"/>
        </w:rPr>
      </w:pPr>
      <w:r w:rsidRPr="00A67097">
        <w:rPr>
          <w:b/>
          <w:sz w:val="22"/>
          <w:szCs w:val="22"/>
          <w:lang w:val="en-GB"/>
        </w:rPr>
        <w:t>Disclaimer (Artificial Intelligence)</w:t>
      </w:r>
    </w:p>
    <w:p w14:paraId="1F13CF47" w14:textId="77777777" w:rsidR="005D389B" w:rsidRPr="00A67097" w:rsidRDefault="005D389B" w:rsidP="005D389B">
      <w:pPr>
        <w:jc w:val="both"/>
        <w:rPr>
          <w:bCs/>
          <w:iCs/>
        </w:rPr>
      </w:pPr>
      <w:r w:rsidRPr="00A67097">
        <w:rPr>
          <w:bCs/>
          <w:iCs/>
        </w:rPr>
        <w:lastRenderedPageBreak/>
        <w:t xml:space="preserve">During the preparation of this work the authors used </w:t>
      </w:r>
      <w:r w:rsidRPr="00A67097">
        <w:rPr>
          <w:bCs/>
        </w:rPr>
        <w:t>ChatGPT (GPT-5.2; OpenAI, San Francisco, CA, USA)</w:t>
      </w:r>
      <w:r w:rsidRPr="00A67097">
        <w:rPr>
          <w:bCs/>
          <w:iCs/>
        </w:rPr>
        <w:t xml:space="preserve"> in order </w:t>
      </w:r>
      <w:r w:rsidRPr="00A67097">
        <w:rPr>
          <w:bCs/>
        </w:rPr>
        <w:t>to assist in translating certain sections from Japanese to English</w:t>
      </w:r>
      <w:r w:rsidRPr="00A67097">
        <w:rPr>
          <w:bCs/>
          <w:iCs/>
        </w:rPr>
        <w:t>. After using this tool, the authors reviewed and edited the content as needed and take full responsibility for the content of the published article.</w:t>
      </w:r>
    </w:p>
    <w:p w14:paraId="560396B5" w14:textId="77777777" w:rsidR="005D389B" w:rsidRDefault="005D389B" w:rsidP="005D389B"/>
    <w:p w14:paraId="62B97545" w14:textId="77777777" w:rsidR="005D389B" w:rsidRDefault="005D389B" w:rsidP="005D389B">
      <w:r>
        <w:rPr>
          <w:rFonts w:ascii="Arial" w:hAnsi="Arial"/>
          <w:b/>
          <w:sz w:val="22"/>
        </w:rPr>
        <w:t>ABBREVIATIONS</w:t>
      </w:r>
    </w:p>
    <w:p w14:paraId="7FD4B7E5" w14:textId="77777777" w:rsidR="005D389B" w:rsidRDefault="005D389B" w:rsidP="005D389B">
      <w:pPr>
        <w:jc w:val="both"/>
      </w:pPr>
      <w:r w:rsidRPr="00A45499">
        <w:rPr>
          <w:rFonts w:ascii="Arial" w:hAnsi="Arial"/>
          <w:i/>
          <w:iCs/>
        </w:rPr>
        <w:t>5ar</w:t>
      </w:r>
      <w:r>
        <w:rPr>
          <w:rFonts w:ascii="Arial" w:hAnsi="Arial"/>
        </w:rPr>
        <w:t xml:space="preserve">: 5α-reductase gene; CRC: Colorectal cancer; </w:t>
      </w:r>
      <w:r w:rsidRPr="00A45499">
        <w:rPr>
          <w:i/>
          <w:iCs/>
        </w:rPr>
        <w:t>fs</w:t>
      </w:r>
      <w:r>
        <w:rPr>
          <w:rFonts w:ascii="Arial" w:hAnsi="Arial"/>
        </w:rPr>
        <w:t xml:space="preserve">: </w:t>
      </w:r>
      <w:proofErr w:type="spellStart"/>
      <w:r w:rsidRPr="00414658">
        <w:rPr>
          <w:rFonts w:ascii="Arial" w:hAnsi="Arial"/>
          <w:i/>
          <w:iCs/>
        </w:rPr>
        <w:t>Fusicatenibacter</w:t>
      </w:r>
      <w:proofErr w:type="spellEnd"/>
      <w:r w:rsidRPr="00414658">
        <w:rPr>
          <w:rFonts w:ascii="Arial" w:hAnsi="Arial"/>
          <w:i/>
          <w:iCs/>
        </w:rPr>
        <w:t xml:space="preserve"> </w:t>
      </w:r>
      <w:proofErr w:type="spellStart"/>
      <w:r w:rsidRPr="00414658">
        <w:rPr>
          <w:rFonts w:ascii="Arial" w:hAnsi="Arial"/>
          <w:i/>
          <w:iCs/>
        </w:rPr>
        <w:t>saccharivorans</w:t>
      </w:r>
      <w:proofErr w:type="spellEnd"/>
      <w:r w:rsidRPr="00414658">
        <w:rPr>
          <w:rFonts w:ascii="Arial" w:hAnsi="Arial"/>
          <w:i/>
          <w:iCs/>
        </w:rPr>
        <w:t xml:space="preserve"> </w:t>
      </w:r>
      <w:r>
        <w:rPr>
          <w:rFonts w:ascii="Arial" w:hAnsi="Arial"/>
        </w:rPr>
        <w:t xml:space="preserve">16S rRNA gene; IBD: Inflammatory bowel diseases; </w:t>
      </w:r>
      <w:proofErr w:type="spellStart"/>
      <w:r>
        <w:rPr>
          <w:rFonts w:ascii="Arial" w:hAnsi="Arial"/>
        </w:rPr>
        <w:t>LEfSe</w:t>
      </w:r>
      <w:proofErr w:type="spellEnd"/>
      <w:r>
        <w:rPr>
          <w:rFonts w:ascii="Arial" w:hAnsi="Arial"/>
        </w:rPr>
        <w:t xml:space="preserve">: Linear discriminant analysis effect size; NCBI: National Center for Biotechnology Information; NGS: Next-generation sequencing; </w:t>
      </w:r>
      <w:proofErr w:type="spellStart"/>
      <w:r>
        <w:rPr>
          <w:rFonts w:ascii="Arial" w:hAnsi="Arial"/>
        </w:rPr>
        <w:t>PCoA</w:t>
      </w:r>
      <w:proofErr w:type="spellEnd"/>
      <w:r>
        <w:rPr>
          <w:rFonts w:ascii="Arial" w:hAnsi="Arial"/>
        </w:rPr>
        <w:t xml:space="preserve">: Principal coordinate analysis; PERMANOVA: Permutational multivariate analysis of variance; qPCR: Quantitative PCR; SCFA: Short-chain fatty acid; </w:t>
      </w:r>
      <w:proofErr w:type="spellStart"/>
      <w:r w:rsidRPr="00414658">
        <w:rPr>
          <w:rFonts w:ascii="Arial" w:hAnsi="Arial"/>
          <w:i/>
          <w:iCs/>
        </w:rPr>
        <w:t>tpl</w:t>
      </w:r>
      <w:proofErr w:type="spellEnd"/>
      <w:r>
        <w:rPr>
          <w:rFonts w:ascii="Arial" w:hAnsi="Arial"/>
        </w:rPr>
        <w:t>: Tyrosine phenol lyase gene; UC: Ulcerative colitis</w:t>
      </w:r>
    </w:p>
    <w:p w14:paraId="54B6D7E1" w14:textId="77777777" w:rsidR="005D389B" w:rsidRPr="008B162B" w:rsidRDefault="005D389B" w:rsidP="00441B6F">
      <w:pPr>
        <w:pStyle w:val="ReferHead"/>
        <w:spacing w:after="0"/>
        <w:jc w:val="both"/>
        <w:rPr>
          <w:rFonts w:ascii="Arial" w:hAnsi="Arial" w:cs="Arial"/>
          <w:b w:val="0"/>
          <w:caps w:val="0"/>
          <w:sz w:val="20"/>
        </w:rPr>
      </w:pPr>
    </w:p>
    <w:p w14:paraId="5C5BEAD9" w14:textId="77777777" w:rsidR="00860000" w:rsidRDefault="00860000" w:rsidP="00441B6F">
      <w:pPr>
        <w:pStyle w:val="ReferHead"/>
        <w:spacing w:after="0"/>
        <w:jc w:val="both"/>
        <w:rPr>
          <w:rFonts w:ascii="Arial" w:hAnsi="Arial" w:cs="Arial"/>
        </w:rPr>
      </w:pPr>
    </w:p>
    <w:p w14:paraId="4D4D674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A3F5E8" w14:textId="77777777" w:rsidR="00F01671" w:rsidRPr="00F01671" w:rsidRDefault="00F01671" w:rsidP="00F01671">
      <w:pPr>
        <w:pStyle w:val="Appendix"/>
        <w:jc w:val="both"/>
        <w:rPr>
          <w:b w:val="0"/>
          <w:caps w:val="0"/>
          <w:sz w:val="20"/>
        </w:rPr>
      </w:pPr>
      <w:r w:rsidRPr="00F01671">
        <w:rPr>
          <w:b w:val="0"/>
          <w:caps w:val="0"/>
          <w:sz w:val="20"/>
        </w:rPr>
        <w:t>Bankole E, Read E, Curtis MA, Neves JF, Garnett JA. (2021). The relationship between mucins and ulcerative colitis: a systematic review. J Clin Med, 10, 1935. https://doi.org/10.3390/jcm10091935</w:t>
      </w:r>
    </w:p>
    <w:p w14:paraId="06B6F939" w14:textId="7EE3EF4F" w:rsidR="00F01671" w:rsidRPr="00F01671" w:rsidRDefault="00F01671" w:rsidP="00F01671">
      <w:pPr>
        <w:pStyle w:val="Appendix"/>
        <w:jc w:val="both"/>
        <w:rPr>
          <w:b w:val="0"/>
          <w:caps w:val="0"/>
          <w:sz w:val="20"/>
          <w:lang w:eastAsia="ja-JP"/>
        </w:rPr>
      </w:pPr>
      <w:r w:rsidRPr="00F01671">
        <w:rPr>
          <w:b w:val="0"/>
          <w:caps w:val="0"/>
          <w:sz w:val="20"/>
        </w:rPr>
        <w:t xml:space="preserve">Ferreira-Halder CV, Faria AVS, Andrade SS. (2017). Action and function of </w:t>
      </w:r>
      <w:proofErr w:type="spellStart"/>
      <w:r w:rsidRPr="00F01671">
        <w:rPr>
          <w:b w:val="0"/>
          <w:caps w:val="0"/>
          <w:sz w:val="20"/>
        </w:rPr>
        <w:t>Faecalibacterium</w:t>
      </w:r>
      <w:proofErr w:type="spellEnd"/>
      <w:r w:rsidRPr="00F01671">
        <w:rPr>
          <w:b w:val="0"/>
          <w:caps w:val="0"/>
          <w:sz w:val="20"/>
        </w:rPr>
        <w:t xml:space="preserve"> </w:t>
      </w:r>
      <w:proofErr w:type="spellStart"/>
      <w:r w:rsidRPr="00F01671">
        <w:rPr>
          <w:b w:val="0"/>
          <w:caps w:val="0"/>
          <w:sz w:val="20"/>
        </w:rPr>
        <w:t>prausnitzii</w:t>
      </w:r>
      <w:proofErr w:type="spellEnd"/>
      <w:r w:rsidRPr="00F01671">
        <w:rPr>
          <w:b w:val="0"/>
          <w:caps w:val="0"/>
          <w:sz w:val="20"/>
        </w:rPr>
        <w:t xml:space="preserve"> in health and disease. Best </w:t>
      </w:r>
      <w:proofErr w:type="spellStart"/>
      <w:r w:rsidRPr="00F01671">
        <w:rPr>
          <w:b w:val="0"/>
          <w:caps w:val="0"/>
          <w:sz w:val="20"/>
        </w:rPr>
        <w:t>Pract</w:t>
      </w:r>
      <w:proofErr w:type="spellEnd"/>
      <w:r w:rsidRPr="00F01671">
        <w:rPr>
          <w:b w:val="0"/>
          <w:caps w:val="0"/>
          <w:sz w:val="20"/>
        </w:rPr>
        <w:t xml:space="preserve"> Res Clin Gastroenterol, 31, 643–648. https://doi.org/10.1016/j.bpg.2017.09.011</w:t>
      </w:r>
    </w:p>
    <w:p w14:paraId="38DD4202" w14:textId="3CA7F2F9" w:rsidR="00F01671" w:rsidRPr="00F01671" w:rsidRDefault="00F01671" w:rsidP="00F01671">
      <w:pPr>
        <w:pStyle w:val="Appendix"/>
        <w:jc w:val="both"/>
        <w:rPr>
          <w:b w:val="0"/>
          <w:caps w:val="0"/>
          <w:sz w:val="20"/>
          <w:lang w:eastAsia="ja-JP"/>
        </w:rPr>
      </w:pPr>
      <w:r w:rsidRPr="00F01671">
        <w:rPr>
          <w:b w:val="0"/>
          <w:caps w:val="0"/>
          <w:sz w:val="20"/>
        </w:rPr>
        <w:t>Flemer B, Warren RD, Barrett MP, Cisek K, Das A, Jeffery IB, et al. (2018). The oral microbiota in colorectal cancer is distinctive and predictive. Gut, 67, 1454–1463. https://doi.org/10.1136/gutjnl-2017-314814</w:t>
      </w:r>
    </w:p>
    <w:p w14:paraId="20B82413" w14:textId="26A5D7BD" w:rsidR="00F01671" w:rsidRPr="00F01671" w:rsidRDefault="00F01671" w:rsidP="00F01671">
      <w:pPr>
        <w:pStyle w:val="Appendix"/>
        <w:jc w:val="both"/>
        <w:rPr>
          <w:b w:val="0"/>
          <w:caps w:val="0"/>
          <w:sz w:val="20"/>
          <w:lang w:eastAsia="ja-JP"/>
        </w:rPr>
      </w:pPr>
      <w:proofErr w:type="spellStart"/>
      <w:r w:rsidRPr="00F01671">
        <w:rPr>
          <w:b w:val="0"/>
          <w:caps w:val="0"/>
          <w:sz w:val="20"/>
        </w:rPr>
        <w:t>Fujii</w:t>
      </w:r>
      <w:proofErr w:type="spellEnd"/>
      <w:r w:rsidRPr="00F01671">
        <w:rPr>
          <w:b w:val="0"/>
          <w:caps w:val="0"/>
          <w:sz w:val="20"/>
        </w:rPr>
        <w:t xml:space="preserve"> T, </w:t>
      </w:r>
      <w:proofErr w:type="spellStart"/>
      <w:r w:rsidRPr="00F01671">
        <w:rPr>
          <w:b w:val="0"/>
          <w:caps w:val="0"/>
          <w:sz w:val="20"/>
        </w:rPr>
        <w:t>Kuzuya</w:t>
      </w:r>
      <w:proofErr w:type="spellEnd"/>
      <w:r w:rsidRPr="00F01671">
        <w:rPr>
          <w:b w:val="0"/>
          <w:caps w:val="0"/>
          <w:sz w:val="20"/>
        </w:rPr>
        <w:t xml:space="preserve"> T, Kondo N, </w:t>
      </w:r>
      <w:proofErr w:type="spellStart"/>
      <w:r w:rsidRPr="00F01671">
        <w:rPr>
          <w:b w:val="0"/>
          <w:caps w:val="0"/>
          <w:sz w:val="20"/>
        </w:rPr>
        <w:t>Funasaka</w:t>
      </w:r>
      <w:proofErr w:type="spellEnd"/>
      <w:r w:rsidRPr="00F01671">
        <w:rPr>
          <w:b w:val="0"/>
          <w:caps w:val="0"/>
          <w:sz w:val="20"/>
        </w:rPr>
        <w:t xml:space="preserve"> K, Ohno E, </w:t>
      </w:r>
      <w:proofErr w:type="spellStart"/>
      <w:r w:rsidRPr="00F01671">
        <w:rPr>
          <w:b w:val="0"/>
          <w:caps w:val="0"/>
          <w:sz w:val="20"/>
        </w:rPr>
        <w:t>Hirooka</w:t>
      </w:r>
      <w:proofErr w:type="spellEnd"/>
      <w:r w:rsidRPr="00F01671">
        <w:rPr>
          <w:b w:val="0"/>
          <w:caps w:val="0"/>
          <w:sz w:val="20"/>
        </w:rPr>
        <w:t xml:space="preserve"> Y, et al. (2024). Altered intestinal Streptococcus </w:t>
      </w:r>
      <w:proofErr w:type="spellStart"/>
      <w:r w:rsidRPr="00F01671">
        <w:rPr>
          <w:b w:val="0"/>
          <w:caps w:val="0"/>
          <w:sz w:val="20"/>
        </w:rPr>
        <w:t>anginosus</w:t>
      </w:r>
      <w:proofErr w:type="spellEnd"/>
      <w:r w:rsidRPr="00F01671">
        <w:rPr>
          <w:b w:val="0"/>
          <w:caps w:val="0"/>
          <w:sz w:val="20"/>
        </w:rPr>
        <w:t xml:space="preserve"> and 5α-reductase gene levels in patients with hepatocellular carcinoma and elevated Bacteroides </w:t>
      </w:r>
      <w:proofErr w:type="spellStart"/>
      <w:r w:rsidRPr="00F01671">
        <w:rPr>
          <w:b w:val="0"/>
          <w:caps w:val="0"/>
          <w:sz w:val="20"/>
        </w:rPr>
        <w:t>stercoris</w:t>
      </w:r>
      <w:proofErr w:type="spellEnd"/>
      <w:r w:rsidRPr="00F01671">
        <w:rPr>
          <w:b w:val="0"/>
          <w:caps w:val="0"/>
          <w:sz w:val="20"/>
        </w:rPr>
        <w:t xml:space="preserve"> in </w:t>
      </w:r>
      <w:proofErr w:type="spellStart"/>
      <w:r w:rsidRPr="00F01671">
        <w:rPr>
          <w:b w:val="0"/>
          <w:caps w:val="0"/>
          <w:sz w:val="20"/>
        </w:rPr>
        <w:t>atezolizumab</w:t>
      </w:r>
      <w:proofErr w:type="spellEnd"/>
      <w:r w:rsidRPr="00F01671">
        <w:rPr>
          <w:b w:val="0"/>
          <w:caps w:val="0"/>
          <w:sz w:val="20"/>
        </w:rPr>
        <w:t>/bevacizumab non-responders. J Med Microbiol, 73, 001878. https://doi.org/10.1099/jmm.0.001878</w:t>
      </w:r>
    </w:p>
    <w:p w14:paraId="3E583369" w14:textId="1062B4F8" w:rsidR="00F01671" w:rsidRPr="00F01671" w:rsidRDefault="00F01671" w:rsidP="00F01671">
      <w:pPr>
        <w:pStyle w:val="Appendix"/>
        <w:jc w:val="both"/>
        <w:rPr>
          <w:b w:val="0"/>
          <w:caps w:val="0"/>
          <w:sz w:val="20"/>
          <w:lang w:eastAsia="ja-JP"/>
        </w:rPr>
      </w:pPr>
      <w:r w:rsidRPr="00F01671">
        <w:rPr>
          <w:b w:val="0"/>
          <w:caps w:val="0"/>
          <w:sz w:val="20"/>
        </w:rPr>
        <w:t xml:space="preserve">Fujii T, Nakagawa Y, </w:t>
      </w:r>
      <w:proofErr w:type="spellStart"/>
      <w:r w:rsidRPr="00F01671">
        <w:rPr>
          <w:b w:val="0"/>
          <w:caps w:val="0"/>
          <w:sz w:val="20"/>
        </w:rPr>
        <w:t>Funasaka</w:t>
      </w:r>
      <w:proofErr w:type="spellEnd"/>
      <w:r w:rsidRPr="00F01671">
        <w:rPr>
          <w:b w:val="0"/>
          <w:caps w:val="0"/>
          <w:sz w:val="20"/>
        </w:rPr>
        <w:t xml:space="preserve"> K, </w:t>
      </w:r>
      <w:proofErr w:type="spellStart"/>
      <w:r w:rsidRPr="00F01671">
        <w:rPr>
          <w:b w:val="0"/>
          <w:caps w:val="0"/>
          <w:sz w:val="20"/>
        </w:rPr>
        <w:t>Hirooka</w:t>
      </w:r>
      <w:proofErr w:type="spellEnd"/>
      <w:r w:rsidRPr="00F01671">
        <w:rPr>
          <w:b w:val="0"/>
          <w:caps w:val="0"/>
          <w:sz w:val="20"/>
        </w:rPr>
        <w:t xml:space="preserve"> Y, </w:t>
      </w:r>
      <w:proofErr w:type="spellStart"/>
      <w:r w:rsidRPr="00F01671">
        <w:rPr>
          <w:b w:val="0"/>
          <w:caps w:val="0"/>
          <w:sz w:val="20"/>
        </w:rPr>
        <w:t>Tochio</w:t>
      </w:r>
      <w:proofErr w:type="spellEnd"/>
      <w:r w:rsidRPr="00F01671">
        <w:rPr>
          <w:b w:val="0"/>
          <w:caps w:val="0"/>
          <w:sz w:val="20"/>
        </w:rPr>
        <w:t xml:space="preserve"> T. (2024). Levels of 5α-reductase gene in intestinal lavage fluid decrease with progression of colorectal cancer. J Med Microbiol, 73, 001834. https://doi.org/10.1099/jmm.0.001834</w:t>
      </w:r>
    </w:p>
    <w:p w14:paraId="4F355141" w14:textId="2191E29D" w:rsidR="00F01671" w:rsidRPr="00F01671" w:rsidRDefault="00F01671" w:rsidP="00F01671">
      <w:pPr>
        <w:pStyle w:val="Appendix"/>
        <w:jc w:val="both"/>
        <w:rPr>
          <w:b w:val="0"/>
          <w:caps w:val="0"/>
          <w:sz w:val="20"/>
          <w:lang w:eastAsia="ja-JP"/>
        </w:rPr>
      </w:pPr>
      <w:r w:rsidRPr="00F01671">
        <w:rPr>
          <w:b w:val="0"/>
          <w:caps w:val="0"/>
          <w:sz w:val="20"/>
        </w:rPr>
        <w:t xml:space="preserve">Fukuda K, Takahashi S, </w:t>
      </w:r>
      <w:proofErr w:type="spellStart"/>
      <w:r w:rsidRPr="00F01671">
        <w:rPr>
          <w:b w:val="0"/>
          <w:caps w:val="0"/>
          <w:sz w:val="20"/>
        </w:rPr>
        <w:t>Okutome</w:t>
      </w:r>
      <w:proofErr w:type="spellEnd"/>
      <w:r w:rsidRPr="00F01671">
        <w:rPr>
          <w:b w:val="0"/>
          <w:caps w:val="0"/>
          <w:sz w:val="20"/>
        </w:rPr>
        <w:t xml:space="preserve"> T. (2022). Clinical relevance of sequencing </w:t>
      </w:r>
      <w:proofErr w:type="spellStart"/>
      <w:r w:rsidRPr="00F01671">
        <w:rPr>
          <w:b w:val="0"/>
          <w:caps w:val="0"/>
          <w:sz w:val="20"/>
        </w:rPr>
        <w:t>faecal</w:t>
      </w:r>
      <w:proofErr w:type="spellEnd"/>
      <w:r w:rsidRPr="00F01671">
        <w:rPr>
          <w:b w:val="0"/>
          <w:caps w:val="0"/>
          <w:sz w:val="20"/>
        </w:rPr>
        <w:t xml:space="preserve"> microbiota in ulcerative colitis patients, consanguineous and non-consanguineous relatives. Res Square. https://doi.org/10.21203/rs.3.rs-1640143/v1</w:t>
      </w:r>
    </w:p>
    <w:p w14:paraId="4B2CD361" w14:textId="2EF493A1" w:rsidR="00F01671" w:rsidRPr="00F01671" w:rsidRDefault="00F01671" w:rsidP="00F01671">
      <w:pPr>
        <w:pStyle w:val="Appendix"/>
        <w:jc w:val="both"/>
        <w:rPr>
          <w:b w:val="0"/>
          <w:caps w:val="0"/>
          <w:sz w:val="20"/>
          <w:lang w:eastAsia="ja-JP"/>
        </w:rPr>
      </w:pPr>
      <w:proofErr w:type="spellStart"/>
      <w:r w:rsidRPr="00F01671">
        <w:rPr>
          <w:b w:val="0"/>
          <w:caps w:val="0"/>
          <w:sz w:val="20"/>
        </w:rPr>
        <w:t>Furet</w:t>
      </w:r>
      <w:proofErr w:type="spellEnd"/>
      <w:r w:rsidRPr="00F01671">
        <w:rPr>
          <w:b w:val="0"/>
          <w:caps w:val="0"/>
          <w:sz w:val="20"/>
        </w:rPr>
        <w:t xml:space="preserve"> JP, </w:t>
      </w:r>
      <w:proofErr w:type="spellStart"/>
      <w:r w:rsidRPr="00F01671">
        <w:rPr>
          <w:b w:val="0"/>
          <w:caps w:val="0"/>
          <w:sz w:val="20"/>
        </w:rPr>
        <w:t>Firmesse</w:t>
      </w:r>
      <w:proofErr w:type="spellEnd"/>
      <w:r w:rsidRPr="00F01671">
        <w:rPr>
          <w:b w:val="0"/>
          <w:caps w:val="0"/>
          <w:sz w:val="20"/>
        </w:rPr>
        <w:t xml:space="preserve"> O, </w:t>
      </w:r>
      <w:proofErr w:type="spellStart"/>
      <w:r w:rsidRPr="00F01671">
        <w:rPr>
          <w:b w:val="0"/>
          <w:caps w:val="0"/>
          <w:sz w:val="20"/>
        </w:rPr>
        <w:t>Gourmelon</w:t>
      </w:r>
      <w:proofErr w:type="spellEnd"/>
      <w:r w:rsidRPr="00F01671">
        <w:rPr>
          <w:b w:val="0"/>
          <w:caps w:val="0"/>
          <w:sz w:val="20"/>
        </w:rPr>
        <w:t xml:space="preserve"> M, </w:t>
      </w:r>
      <w:proofErr w:type="spellStart"/>
      <w:r w:rsidRPr="00F01671">
        <w:rPr>
          <w:b w:val="0"/>
          <w:caps w:val="0"/>
          <w:sz w:val="20"/>
        </w:rPr>
        <w:t>Bridonneau</w:t>
      </w:r>
      <w:proofErr w:type="spellEnd"/>
      <w:r w:rsidRPr="00F01671">
        <w:rPr>
          <w:b w:val="0"/>
          <w:caps w:val="0"/>
          <w:sz w:val="20"/>
        </w:rPr>
        <w:t xml:space="preserve"> C, Tap J, </w:t>
      </w:r>
      <w:proofErr w:type="spellStart"/>
      <w:r w:rsidRPr="00F01671">
        <w:rPr>
          <w:b w:val="0"/>
          <w:caps w:val="0"/>
          <w:sz w:val="20"/>
        </w:rPr>
        <w:t>Mondot</w:t>
      </w:r>
      <w:proofErr w:type="spellEnd"/>
      <w:r w:rsidRPr="00F01671">
        <w:rPr>
          <w:b w:val="0"/>
          <w:caps w:val="0"/>
          <w:sz w:val="20"/>
        </w:rPr>
        <w:t xml:space="preserve"> S, et al. (2009). Comparative assessment of human and farm animal </w:t>
      </w:r>
      <w:proofErr w:type="spellStart"/>
      <w:r w:rsidRPr="00F01671">
        <w:rPr>
          <w:b w:val="0"/>
          <w:caps w:val="0"/>
          <w:sz w:val="20"/>
        </w:rPr>
        <w:t>faecal</w:t>
      </w:r>
      <w:proofErr w:type="spellEnd"/>
      <w:r w:rsidRPr="00F01671">
        <w:rPr>
          <w:b w:val="0"/>
          <w:caps w:val="0"/>
          <w:sz w:val="20"/>
        </w:rPr>
        <w:t xml:space="preserve"> microbiota using real-time quantitative PCR. FEMS Microbiol </w:t>
      </w:r>
      <w:proofErr w:type="spellStart"/>
      <w:r w:rsidRPr="00F01671">
        <w:rPr>
          <w:b w:val="0"/>
          <w:caps w:val="0"/>
          <w:sz w:val="20"/>
        </w:rPr>
        <w:t>Ecol</w:t>
      </w:r>
      <w:proofErr w:type="spellEnd"/>
      <w:r w:rsidRPr="00F01671">
        <w:rPr>
          <w:b w:val="0"/>
          <w:caps w:val="0"/>
          <w:sz w:val="20"/>
        </w:rPr>
        <w:t>, 68, 351–362. https://doi.org/10.1111/j.1574-6941.2009.00671.x</w:t>
      </w:r>
    </w:p>
    <w:p w14:paraId="0FC471E8" w14:textId="56396278" w:rsidR="00F01671" w:rsidRPr="00F01671" w:rsidRDefault="00F01671" w:rsidP="00F01671">
      <w:pPr>
        <w:pStyle w:val="Appendix"/>
        <w:jc w:val="both"/>
        <w:rPr>
          <w:b w:val="0"/>
          <w:caps w:val="0"/>
          <w:sz w:val="20"/>
          <w:lang w:eastAsia="ja-JP"/>
        </w:rPr>
      </w:pPr>
      <w:r w:rsidRPr="00F01671">
        <w:rPr>
          <w:b w:val="0"/>
          <w:caps w:val="0"/>
          <w:sz w:val="20"/>
        </w:rPr>
        <w:t>Gu M, Yin WX, Zhang J, Yin JF, Tang XF, Ling J, et al. (2023). Role of gut microbiota and bacterial metabolites in mucins of colorectal cancer. Front Cell Infect Microbiol, 13, 1119992. https://doi.org/10.3389/fcimb.2023.1119992</w:t>
      </w:r>
    </w:p>
    <w:p w14:paraId="3F798F9D" w14:textId="0A7EA9AF" w:rsidR="00F01671" w:rsidRPr="00F01671" w:rsidRDefault="00F01671" w:rsidP="00F01671">
      <w:pPr>
        <w:pStyle w:val="Appendix"/>
        <w:jc w:val="both"/>
        <w:rPr>
          <w:b w:val="0"/>
          <w:caps w:val="0"/>
          <w:sz w:val="20"/>
          <w:lang w:eastAsia="ja-JP"/>
        </w:rPr>
      </w:pPr>
      <w:r w:rsidRPr="00F01671">
        <w:rPr>
          <w:b w:val="0"/>
          <w:caps w:val="0"/>
          <w:sz w:val="20"/>
        </w:rPr>
        <w:t>Helmink BA, Khan MAW, Hermann A, Gopalakrishnan V, Wargo JA. (2019). The microbiome, cancer, and cancer therapy. Nat Med, 25, 377–388. https://doi.org/10.1038/s41591-019-0377-7</w:t>
      </w:r>
    </w:p>
    <w:p w14:paraId="0D994C70" w14:textId="10D2761F" w:rsidR="004C13C2" w:rsidRPr="00F01671" w:rsidRDefault="004C13C2" w:rsidP="00F01671">
      <w:pPr>
        <w:pStyle w:val="Appendix"/>
        <w:jc w:val="both"/>
        <w:rPr>
          <w:b w:val="0"/>
          <w:caps w:val="0"/>
          <w:sz w:val="20"/>
          <w:lang w:eastAsia="ja-JP"/>
        </w:rPr>
      </w:pPr>
      <w:r w:rsidRPr="004C13C2">
        <w:rPr>
          <w:b w:val="0"/>
          <w:caps w:val="0"/>
          <w:sz w:val="20"/>
          <w:lang w:eastAsia="ja-JP"/>
        </w:rPr>
        <w:t xml:space="preserve">Jia W, Xie G, Jia W. (2018). Bile acid–microbiota crosstalk in gastrointestinal inflammation and carcinogenesis. Nat Rev Gastroenterol Hepatol, 15, 111–128. </w:t>
      </w:r>
      <w:hyperlink r:id="rId18" w:tgtFrame="_blank" w:history="1">
        <w:r w:rsidRPr="004C13C2">
          <w:rPr>
            <w:rStyle w:val="Hyperlink"/>
            <w:b w:val="0"/>
            <w:caps w:val="0"/>
            <w:color w:val="000000" w:themeColor="text1"/>
            <w:sz w:val="20"/>
            <w:u w:val="none"/>
            <w:lang w:eastAsia="ja-JP"/>
          </w:rPr>
          <w:t>https://doi.org/10.1038/nrgastro.2017.119</w:t>
        </w:r>
      </w:hyperlink>
    </w:p>
    <w:p w14:paraId="1178946F" w14:textId="46225BB9" w:rsidR="00F01671" w:rsidRPr="00F01671" w:rsidRDefault="00F01671" w:rsidP="00F01671">
      <w:pPr>
        <w:pStyle w:val="Appendix"/>
        <w:jc w:val="both"/>
        <w:rPr>
          <w:b w:val="0"/>
          <w:caps w:val="0"/>
          <w:sz w:val="20"/>
          <w:lang w:eastAsia="ja-JP"/>
        </w:rPr>
      </w:pPr>
      <w:r w:rsidRPr="00F01671">
        <w:rPr>
          <w:b w:val="0"/>
          <w:caps w:val="0"/>
          <w:sz w:val="20"/>
        </w:rPr>
        <w:t xml:space="preserve">Japanese Society for Cancer of the Colon and Rectum. (2018). Japanese Classification of Colorectal, Appendiceal, and Anal Carcinoma (9th ed.). Tokyo: Kanehara </w:t>
      </w:r>
      <w:proofErr w:type="spellStart"/>
      <w:r w:rsidRPr="00F01671">
        <w:rPr>
          <w:b w:val="0"/>
          <w:caps w:val="0"/>
          <w:sz w:val="20"/>
        </w:rPr>
        <w:t>Shuppan</w:t>
      </w:r>
      <w:proofErr w:type="spellEnd"/>
      <w:r w:rsidRPr="00F01671">
        <w:rPr>
          <w:b w:val="0"/>
          <w:caps w:val="0"/>
          <w:sz w:val="20"/>
        </w:rPr>
        <w:t>.</w:t>
      </w:r>
    </w:p>
    <w:p w14:paraId="7AB7843E" w14:textId="74060C3C" w:rsidR="00F01671" w:rsidRPr="00F01671" w:rsidRDefault="00F01671" w:rsidP="00F01671">
      <w:pPr>
        <w:pStyle w:val="Appendix"/>
        <w:jc w:val="both"/>
        <w:rPr>
          <w:b w:val="0"/>
          <w:caps w:val="0"/>
          <w:sz w:val="20"/>
          <w:lang w:eastAsia="ja-JP"/>
        </w:rPr>
      </w:pPr>
      <w:proofErr w:type="spellStart"/>
      <w:r w:rsidRPr="00F01671">
        <w:rPr>
          <w:b w:val="0"/>
          <w:caps w:val="0"/>
          <w:sz w:val="20"/>
        </w:rPr>
        <w:t>Katsaounou</w:t>
      </w:r>
      <w:proofErr w:type="spellEnd"/>
      <w:r w:rsidRPr="00F01671">
        <w:rPr>
          <w:b w:val="0"/>
          <w:caps w:val="0"/>
          <w:sz w:val="20"/>
        </w:rPr>
        <w:t xml:space="preserve"> K, </w:t>
      </w:r>
      <w:proofErr w:type="spellStart"/>
      <w:r w:rsidRPr="00F01671">
        <w:rPr>
          <w:b w:val="0"/>
          <w:caps w:val="0"/>
          <w:sz w:val="20"/>
        </w:rPr>
        <w:t>Yiannakou</w:t>
      </w:r>
      <w:proofErr w:type="spellEnd"/>
      <w:r w:rsidRPr="00F01671">
        <w:rPr>
          <w:b w:val="0"/>
          <w:caps w:val="0"/>
          <w:sz w:val="20"/>
        </w:rPr>
        <w:t xml:space="preserve"> D, Nikolaou E, Brown C, </w:t>
      </w:r>
      <w:proofErr w:type="spellStart"/>
      <w:r w:rsidRPr="00F01671">
        <w:rPr>
          <w:b w:val="0"/>
          <w:caps w:val="0"/>
          <w:sz w:val="20"/>
        </w:rPr>
        <w:t>Vogazianos</w:t>
      </w:r>
      <w:proofErr w:type="spellEnd"/>
      <w:r w:rsidRPr="00F01671">
        <w:rPr>
          <w:b w:val="0"/>
          <w:caps w:val="0"/>
          <w:sz w:val="20"/>
        </w:rPr>
        <w:t xml:space="preserve"> P, </w:t>
      </w:r>
      <w:proofErr w:type="spellStart"/>
      <w:r w:rsidRPr="00F01671">
        <w:rPr>
          <w:b w:val="0"/>
          <w:caps w:val="0"/>
          <w:sz w:val="20"/>
        </w:rPr>
        <w:t>Aristodimou</w:t>
      </w:r>
      <w:proofErr w:type="spellEnd"/>
      <w:r w:rsidRPr="00F01671">
        <w:rPr>
          <w:b w:val="0"/>
          <w:caps w:val="0"/>
          <w:sz w:val="20"/>
        </w:rPr>
        <w:t xml:space="preserve"> A, et al. (2023). Fecal microbiota and associated volatile organic compounds distinguishing no-adenoma from high-risk colon adenoma adults. Metabolites, 13, 819. https://doi.org/10.3390/metabo13070819</w:t>
      </w:r>
    </w:p>
    <w:p w14:paraId="11BD0EDC" w14:textId="249C2658" w:rsidR="00F01671" w:rsidRPr="00F01671" w:rsidRDefault="00F01671" w:rsidP="00F01671">
      <w:pPr>
        <w:pStyle w:val="Appendix"/>
        <w:jc w:val="both"/>
        <w:rPr>
          <w:b w:val="0"/>
          <w:caps w:val="0"/>
          <w:sz w:val="20"/>
          <w:lang w:eastAsia="ja-JP"/>
        </w:rPr>
      </w:pPr>
      <w:proofErr w:type="spellStart"/>
      <w:r w:rsidRPr="00F01671">
        <w:rPr>
          <w:b w:val="0"/>
          <w:caps w:val="0"/>
          <w:sz w:val="20"/>
        </w:rPr>
        <w:t>Kurakawa</w:t>
      </w:r>
      <w:proofErr w:type="spellEnd"/>
      <w:r w:rsidRPr="00F01671">
        <w:rPr>
          <w:b w:val="0"/>
          <w:caps w:val="0"/>
          <w:sz w:val="20"/>
        </w:rPr>
        <w:t xml:space="preserve"> T, Ogata K, Matsuda K, Tsuji H, Kubota H, Takada T, et al. (2016). Correction: Diversity of intestinal Clostridium </w:t>
      </w:r>
      <w:proofErr w:type="spellStart"/>
      <w:r w:rsidRPr="00F01671">
        <w:rPr>
          <w:b w:val="0"/>
          <w:caps w:val="0"/>
          <w:sz w:val="20"/>
        </w:rPr>
        <w:t>coccoides</w:t>
      </w:r>
      <w:proofErr w:type="spellEnd"/>
      <w:r w:rsidRPr="00F01671">
        <w:rPr>
          <w:b w:val="0"/>
          <w:caps w:val="0"/>
          <w:sz w:val="20"/>
        </w:rPr>
        <w:t xml:space="preserve"> group in the Japanese population, as demonstrated by reverse transcription-quantitative PCR. </w:t>
      </w:r>
      <w:proofErr w:type="spellStart"/>
      <w:r w:rsidRPr="00F01671">
        <w:rPr>
          <w:b w:val="0"/>
          <w:caps w:val="0"/>
          <w:sz w:val="20"/>
        </w:rPr>
        <w:t>PLoS</w:t>
      </w:r>
      <w:proofErr w:type="spellEnd"/>
      <w:r w:rsidRPr="00F01671">
        <w:rPr>
          <w:b w:val="0"/>
          <w:caps w:val="0"/>
          <w:sz w:val="20"/>
        </w:rPr>
        <w:t xml:space="preserve"> One, 11, e0152753. https://doi.org/10.1371/journal.pone.0152753</w:t>
      </w:r>
    </w:p>
    <w:p w14:paraId="33430A18" w14:textId="4B6E4578" w:rsidR="00F01671" w:rsidRPr="00F01671" w:rsidRDefault="00F01671" w:rsidP="00F01671">
      <w:pPr>
        <w:pStyle w:val="Appendix"/>
        <w:jc w:val="both"/>
        <w:rPr>
          <w:b w:val="0"/>
          <w:caps w:val="0"/>
          <w:sz w:val="20"/>
          <w:lang w:eastAsia="ja-JP"/>
        </w:rPr>
      </w:pPr>
      <w:r w:rsidRPr="00F01671">
        <w:rPr>
          <w:b w:val="0"/>
          <w:caps w:val="0"/>
          <w:sz w:val="20"/>
        </w:rPr>
        <w:t>Louis P, Hold GL, Flint HJ. (2014). The gut microbiota, bacterial metabolites and colorectal cancer. Nat Rev Microbiol, 12, 661–672. https://doi.org/10.1038/nrmicro3344</w:t>
      </w:r>
    </w:p>
    <w:p w14:paraId="10B135CD" w14:textId="01A56AF3" w:rsidR="00F01671" w:rsidRPr="00F01671" w:rsidRDefault="00F01671" w:rsidP="00F01671">
      <w:pPr>
        <w:pStyle w:val="Appendix"/>
        <w:jc w:val="both"/>
        <w:rPr>
          <w:b w:val="0"/>
          <w:caps w:val="0"/>
          <w:sz w:val="20"/>
          <w:lang w:eastAsia="ja-JP"/>
        </w:rPr>
      </w:pPr>
      <w:r w:rsidRPr="00F01671">
        <w:rPr>
          <w:b w:val="0"/>
          <w:caps w:val="0"/>
          <w:sz w:val="20"/>
        </w:rPr>
        <w:t xml:space="preserve">Nagasaka M, Fujii T, Kamano T, </w:t>
      </w:r>
      <w:proofErr w:type="spellStart"/>
      <w:r w:rsidRPr="00F01671">
        <w:rPr>
          <w:b w:val="0"/>
          <w:caps w:val="0"/>
          <w:sz w:val="20"/>
        </w:rPr>
        <w:t>Mihara</w:t>
      </w:r>
      <w:proofErr w:type="spellEnd"/>
      <w:r w:rsidRPr="00F01671">
        <w:rPr>
          <w:b w:val="0"/>
          <w:caps w:val="0"/>
          <w:sz w:val="20"/>
        </w:rPr>
        <w:t xml:space="preserve"> S, </w:t>
      </w:r>
      <w:proofErr w:type="spellStart"/>
      <w:r w:rsidRPr="00F01671">
        <w:rPr>
          <w:b w:val="0"/>
          <w:caps w:val="0"/>
          <w:sz w:val="20"/>
        </w:rPr>
        <w:t>Funasaka</w:t>
      </w:r>
      <w:proofErr w:type="spellEnd"/>
      <w:r w:rsidRPr="00F01671">
        <w:rPr>
          <w:b w:val="0"/>
          <w:caps w:val="0"/>
          <w:sz w:val="20"/>
        </w:rPr>
        <w:t xml:space="preserve"> K, Ohno E, et al. (2024). Assessment of risk for immune and psychiatric disorders using qPCR-based monitoring of the nan gene in gut microbiota: a non-invasive approach. Microbiol Res J Int, 34, 107–119. https://doi.org/10.9734/mrji/2024/v34i111503</w:t>
      </w:r>
    </w:p>
    <w:p w14:paraId="69F3CBB8" w14:textId="03DBCE53" w:rsidR="00F01671" w:rsidRPr="00F01671" w:rsidRDefault="00F01671" w:rsidP="00F01671">
      <w:pPr>
        <w:pStyle w:val="Appendix"/>
        <w:jc w:val="both"/>
        <w:rPr>
          <w:b w:val="0"/>
          <w:caps w:val="0"/>
          <w:sz w:val="20"/>
          <w:lang w:eastAsia="ja-JP"/>
        </w:rPr>
      </w:pPr>
      <w:r w:rsidRPr="00F01671">
        <w:rPr>
          <w:b w:val="0"/>
          <w:caps w:val="0"/>
          <w:sz w:val="20"/>
        </w:rPr>
        <w:t xml:space="preserve">Sato Y, </w:t>
      </w:r>
      <w:proofErr w:type="spellStart"/>
      <w:r w:rsidRPr="00F01671">
        <w:rPr>
          <w:b w:val="0"/>
          <w:caps w:val="0"/>
          <w:sz w:val="20"/>
        </w:rPr>
        <w:t>Atarashi</w:t>
      </w:r>
      <w:proofErr w:type="spellEnd"/>
      <w:r w:rsidRPr="00F01671">
        <w:rPr>
          <w:b w:val="0"/>
          <w:caps w:val="0"/>
          <w:sz w:val="20"/>
        </w:rPr>
        <w:t xml:space="preserve"> K, </w:t>
      </w:r>
      <w:proofErr w:type="spellStart"/>
      <w:r w:rsidRPr="00F01671">
        <w:rPr>
          <w:b w:val="0"/>
          <w:caps w:val="0"/>
          <w:sz w:val="20"/>
        </w:rPr>
        <w:t>Plichta</w:t>
      </w:r>
      <w:proofErr w:type="spellEnd"/>
      <w:r w:rsidRPr="00F01671">
        <w:rPr>
          <w:b w:val="0"/>
          <w:caps w:val="0"/>
          <w:sz w:val="20"/>
        </w:rPr>
        <w:t xml:space="preserve"> DR, Arai Y, </w:t>
      </w:r>
      <w:proofErr w:type="spellStart"/>
      <w:r w:rsidRPr="00F01671">
        <w:rPr>
          <w:b w:val="0"/>
          <w:caps w:val="0"/>
          <w:sz w:val="20"/>
        </w:rPr>
        <w:t>Sasajima</w:t>
      </w:r>
      <w:proofErr w:type="spellEnd"/>
      <w:r w:rsidRPr="00F01671">
        <w:rPr>
          <w:b w:val="0"/>
          <w:caps w:val="0"/>
          <w:sz w:val="20"/>
        </w:rPr>
        <w:t xml:space="preserve"> S, Kearney SM, et al. (2021). Novel bile acid biosynthetic pathways are enriched in the microbiome of centenarians. Nature, 599, 458–464. https://doi.org/10.1038/s41586-021-03832-5</w:t>
      </w:r>
    </w:p>
    <w:p w14:paraId="1C9799B2" w14:textId="16308B37" w:rsidR="00F01671" w:rsidRPr="00F01671" w:rsidRDefault="00F01671" w:rsidP="00F01671">
      <w:pPr>
        <w:pStyle w:val="Appendix"/>
        <w:jc w:val="both"/>
        <w:rPr>
          <w:b w:val="0"/>
          <w:caps w:val="0"/>
          <w:sz w:val="20"/>
          <w:lang w:eastAsia="ja-JP"/>
        </w:rPr>
      </w:pPr>
      <w:r w:rsidRPr="00F01671">
        <w:rPr>
          <w:b w:val="0"/>
          <w:caps w:val="0"/>
          <w:sz w:val="20"/>
        </w:rPr>
        <w:t>Schmitt M, Greten FR. (2021). The inflammatory pathogenesis of colorectal cancer. Nat Rev Immunol, 21, 653–667. https://doi.org/10.1038/s41577-021-00534-x</w:t>
      </w:r>
    </w:p>
    <w:p w14:paraId="57FAE7F9" w14:textId="03C32766" w:rsidR="00F01671" w:rsidRPr="00F01671" w:rsidRDefault="00F01671" w:rsidP="00F01671">
      <w:pPr>
        <w:pStyle w:val="Appendix"/>
        <w:jc w:val="both"/>
        <w:rPr>
          <w:b w:val="0"/>
          <w:caps w:val="0"/>
          <w:sz w:val="20"/>
          <w:lang w:eastAsia="ja-JP"/>
        </w:rPr>
      </w:pPr>
      <w:r w:rsidRPr="00F01671">
        <w:rPr>
          <w:b w:val="0"/>
          <w:caps w:val="0"/>
          <w:sz w:val="20"/>
        </w:rPr>
        <w:lastRenderedPageBreak/>
        <w:t>Shi L, Jin L, Huang W. (2023). Bile acids, intestinal barrier dysfunction, and related diseases. Cells, 12, 1888. https://doi.org/10.3390/cells12141888</w:t>
      </w:r>
    </w:p>
    <w:p w14:paraId="176B5E0B" w14:textId="69D7C838" w:rsidR="00F01671" w:rsidRPr="00F01671" w:rsidRDefault="00F01671" w:rsidP="00F01671">
      <w:pPr>
        <w:pStyle w:val="Appendix"/>
        <w:jc w:val="both"/>
        <w:rPr>
          <w:b w:val="0"/>
          <w:caps w:val="0"/>
          <w:sz w:val="20"/>
          <w:lang w:eastAsia="ja-JP"/>
        </w:rPr>
      </w:pPr>
      <w:r w:rsidRPr="00F01671">
        <w:rPr>
          <w:b w:val="0"/>
          <w:caps w:val="0"/>
          <w:sz w:val="20"/>
        </w:rPr>
        <w:t>Song CH, Kim N, Nam RH, Choi SI, Jang JY, Kim EH, et al. (2024). The possible preventative role of lactate- and butyrate-producing bacteria in colorectal carcinogenesis. Gut Liver, 18, 654–666. https://doi.org/10.5009/gnl230385</w:t>
      </w:r>
    </w:p>
    <w:p w14:paraId="5CBC39EB" w14:textId="16176D87" w:rsidR="00F01671" w:rsidRPr="00F01671" w:rsidRDefault="00F01671" w:rsidP="00F01671">
      <w:pPr>
        <w:pStyle w:val="Appendix"/>
        <w:jc w:val="both"/>
        <w:rPr>
          <w:b w:val="0"/>
          <w:caps w:val="0"/>
          <w:sz w:val="20"/>
          <w:lang w:eastAsia="ja-JP"/>
        </w:rPr>
      </w:pPr>
      <w:r w:rsidRPr="00F01671">
        <w:rPr>
          <w:b w:val="0"/>
          <w:caps w:val="0"/>
          <w:sz w:val="20"/>
        </w:rPr>
        <w:t xml:space="preserve">Takahashi S, Tomita J, Nishioka K, Hisada T, Nishijima M. (2014). Development of a prokaryotic universal primer for simultaneous analysis of Bacteria and Archaea using next-generation sequencing. </w:t>
      </w:r>
      <w:proofErr w:type="spellStart"/>
      <w:r w:rsidRPr="00F01671">
        <w:rPr>
          <w:b w:val="0"/>
          <w:caps w:val="0"/>
          <w:sz w:val="20"/>
        </w:rPr>
        <w:t>PLoS</w:t>
      </w:r>
      <w:proofErr w:type="spellEnd"/>
      <w:r w:rsidRPr="00F01671">
        <w:rPr>
          <w:b w:val="0"/>
          <w:caps w:val="0"/>
          <w:sz w:val="20"/>
        </w:rPr>
        <w:t xml:space="preserve"> One, 9, e105592. https://doi.org/10.1371/journal.pone.0105592</w:t>
      </w:r>
    </w:p>
    <w:p w14:paraId="6BBDCDFA" w14:textId="0D28EF7E" w:rsidR="00F01671" w:rsidRPr="00F01671" w:rsidRDefault="00F01671" w:rsidP="00F01671">
      <w:pPr>
        <w:pStyle w:val="Appendix"/>
        <w:jc w:val="both"/>
        <w:rPr>
          <w:b w:val="0"/>
          <w:caps w:val="0"/>
          <w:sz w:val="20"/>
          <w:lang w:eastAsia="ja-JP"/>
        </w:rPr>
      </w:pPr>
      <w:r w:rsidRPr="00F01671">
        <w:rPr>
          <w:b w:val="0"/>
          <w:caps w:val="0"/>
          <w:sz w:val="20"/>
        </w:rPr>
        <w:t xml:space="preserve">Takeshita K, Mizuno S, </w:t>
      </w:r>
      <w:proofErr w:type="spellStart"/>
      <w:r w:rsidRPr="00F01671">
        <w:rPr>
          <w:b w:val="0"/>
          <w:caps w:val="0"/>
          <w:sz w:val="20"/>
        </w:rPr>
        <w:t>Mikami</w:t>
      </w:r>
      <w:proofErr w:type="spellEnd"/>
      <w:r w:rsidRPr="00F01671">
        <w:rPr>
          <w:b w:val="0"/>
          <w:caps w:val="0"/>
          <w:sz w:val="20"/>
        </w:rPr>
        <w:t xml:space="preserve"> Y, </w:t>
      </w:r>
      <w:proofErr w:type="spellStart"/>
      <w:r w:rsidRPr="00F01671">
        <w:rPr>
          <w:b w:val="0"/>
          <w:caps w:val="0"/>
          <w:sz w:val="20"/>
        </w:rPr>
        <w:t>Sujino</w:t>
      </w:r>
      <w:proofErr w:type="spellEnd"/>
      <w:r w:rsidRPr="00F01671">
        <w:rPr>
          <w:b w:val="0"/>
          <w:caps w:val="0"/>
          <w:sz w:val="20"/>
        </w:rPr>
        <w:t xml:space="preserve"> T, </w:t>
      </w:r>
      <w:proofErr w:type="spellStart"/>
      <w:r w:rsidRPr="00F01671">
        <w:rPr>
          <w:b w:val="0"/>
          <w:caps w:val="0"/>
          <w:sz w:val="20"/>
        </w:rPr>
        <w:t>Saigusa</w:t>
      </w:r>
      <w:proofErr w:type="spellEnd"/>
      <w:r w:rsidRPr="00F01671">
        <w:rPr>
          <w:b w:val="0"/>
          <w:caps w:val="0"/>
          <w:sz w:val="20"/>
        </w:rPr>
        <w:t xml:space="preserve"> K, Matsuoka K, et al. (2016). A single species of Clostridium </w:t>
      </w:r>
      <w:proofErr w:type="spellStart"/>
      <w:r w:rsidRPr="00F01671">
        <w:rPr>
          <w:b w:val="0"/>
          <w:caps w:val="0"/>
          <w:sz w:val="20"/>
        </w:rPr>
        <w:t>subcluster</w:t>
      </w:r>
      <w:proofErr w:type="spellEnd"/>
      <w:r w:rsidRPr="00F01671">
        <w:rPr>
          <w:b w:val="0"/>
          <w:caps w:val="0"/>
          <w:sz w:val="20"/>
        </w:rPr>
        <w:t xml:space="preserve"> </w:t>
      </w:r>
      <w:proofErr w:type="spellStart"/>
      <w:r w:rsidRPr="00F01671">
        <w:rPr>
          <w:b w:val="0"/>
          <w:caps w:val="0"/>
          <w:sz w:val="20"/>
        </w:rPr>
        <w:t>XIVa</w:t>
      </w:r>
      <w:proofErr w:type="spellEnd"/>
      <w:r w:rsidRPr="00F01671">
        <w:rPr>
          <w:b w:val="0"/>
          <w:caps w:val="0"/>
          <w:sz w:val="20"/>
        </w:rPr>
        <w:t xml:space="preserve"> decreased in ulcerative colitis patients. </w:t>
      </w:r>
      <w:proofErr w:type="spellStart"/>
      <w:r w:rsidRPr="00F01671">
        <w:rPr>
          <w:b w:val="0"/>
          <w:caps w:val="0"/>
          <w:sz w:val="20"/>
        </w:rPr>
        <w:t>Inflamm</w:t>
      </w:r>
      <w:proofErr w:type="spellEnd"/>
      <w:r w:rsidRPr="00F01671">
        <w:rPr>
          <w:b w:val="0"/>
          <w:caps w:val="0"/>
          <w:sz w:val="20"/>
        </w:rPr>
        <w:t xml:space="preserve"> Bowel Dis, 22(12), 2802–2810. https://doi.org/10.1097/MIB.0000000000000972</w:t>
      </w:r>
    </w:p>
    <w:p w14:paraId="2121D955" w14:textId="62079367" w:rsidR="00F01671" w:rsidRPr="00F01671" w:rsidRDefault="00F01671" w:rsidP="00F01671">
      <w:pPr>
        <w:pStyle w:val="Appendix"/>
        <w:jc w:val="both"/>
        <w:rPr>
          <w:b w:val="0"/>
          <w:caps w:val="0"/>
          <w:sz w:val="20"/>
          <w:lang w:eastAsia="ja-JP"/>
        </w:rPr>
      </w:pPr>
      <w:r w:rsidRPr="00F01671">
        <w:rPr>
          <w:b w:val="0"/>
          <w:caps w:val="0"/>
          <w:sz w:val="20"/>
        </w:rPr>
        <w:t xml:space="preserve">Tran HNH, Thu TNH, Nguyen PH, Vo CN, Doan KV, Minh CNN, et al. (2022). Mucosal microbiomes and Fusobacterium genomics in Vietnamese colorectal cancer patients. </w:t>
      </w:r>
      <w:proofErr w:type="spellStart"/>
      <w:r w:rsidRPr="00F01671">
        <w:rPr>
          <w:b w:val="0"/>
          <w:caps w:val="0"/>
          <w:sz w:val="20"/>
        </w:rPr>
        <w:t>bioRxiv</w:t>
      </w:r>
      <w:proofErr w:type="spellEnd"/>
      <w:r w:rsidRPr="00F01671">
        <w:rPr>
          <w:b w:val="0"/>
          <w:caps w:val="0"/>
          <w:sz w:val="20"/>
        </w:rPr>
        <w:t>. https://doi.org/10.1101/2022.02.25.481918</w:t>
      </w:r>
    </w:p>
    <w:p w14:paraId="22F13806" w14:textId="6FACF1F3" w:rsidR="00F01671" w:rsidRPr="00F01671" w:rsidRDefault="00F01671" w:rsidP="00F01671">
      <w:pPr>
        <w:pStyle w:val="Appendix"/>
        <w:jc w:val="both"/>
        <w:rPr>
          <w:b w:val="0"/>
          <w:caps w:val="0"/>
          <w:sz w:val="20"/>
          <w:lang w:eastAsia="ja-JP"/>
        </w:rPr>
      </w:pPr>
      <w:r w:rsidRPr="00F01671">
        <w:rPr>
          <w:b w:val="0"/>
          <w:caps w:val="0"/>
          <w:sz w:val="20"/>
        </w:rPr>
        <w:t>Wong SH, Yu J. (2019). Gut microbiota in colorectal cancer: mechanisms of action and clinical applications. Nat Rev Gastroenterol Hepatol, 16, 690–704. https://doi.org/10.1038/s41575-019-0209-8</w:t>
      </w:r>
    </w:p>
    <w:p w14:paraId="44FEE3DF" w14:textId="49DF6DA7" w:rsidR="00F01671" w:rsidRPr="00F01671" w:rsidRDefault="00F01671" w:rsidP="00F01671">
      <w:pPr>
        <w:pStyle w:val="Appendix"/>
        <w:jc w:val="both"/>
        <w:rPr>
          <w:b w:val="0"/>
          <w:caps w:val="0"/>
          <w:sz w:val="20"/>
          <w:lang w:eastAsia="ja-JP"/>
        </w:rPr>
      </w:pPr>
      <w:r w:rsidRPr="00F01671">
        <w:rPr>
          <w:b w:val="0"/>
          <w:caps w:val="0"/>
          <w:sz w:val="20"/>
        </w:rPr>
        <w:t xml:space="preserve">Yang SF, Chen XC, Pan YJ. (2025). Microbiota-derived metabolites in tumorigenesis: mechanistic insights and therapeutic implications. Front </w:t>
      </w:r>
      <w:proofErr w:type="spellStart"/>
      <w:r w:rsidRPr="00F01671">
        <w:rPr>
          <w:b w:val="0"/>
          <w:caps w:val="0"/>
          <w:sz w:val="20"/>
        </w:rPr>
        <w:t>Pharmacol</w:t>
      </w:r>
      <w:proofErr w:type="spellEnd"/>
      <w:r w:rsidRPr="00F01671">
        <w:rPr>
          <w:b w:val="0"/>
          <w:caps w:val="0"/>
          <w:sz w:val="20"/>
        </w:rPr>
        <w:t>, 16, 1598009. https://doi.org/10.3389/fphar.2025.1598009</w:t>
      </w:r>
    </w:p>
    <w:p w14:paraId="4D43592A" w14:textId="0178B81C" w:rsidR="00B01FCD" w:rsidRPr="00FB3A86" w:rsidRDefault="00F01671" w:rsidP="00F01671">
      <w:pPr>
        <w:pStyle w:val="Appendix"/>
        <w:spacing w:after="0"/>
        <w:jc w:val="both"/>
        <w:rPr>
          <w:rFonts w:ascii="Arial" w:hAnsi="Arial" w:cs="Arial"/>
          <w:b w:val="0"/>
        </w:rPr>
      </w:pPr>
      <w:r w:rsidRPr="00F01671">
        <w:rPr>
          <w:b w:val="0"/>
          <w:caps w:val="0"/>
          <w:sz w:val="20"/>
        </w:rPr>
        <w:t xml:space="preserve">Yoon SH, Ha SM, Kwon S, Lim J, Kim Y, Seo H, et al. (2017). Introducing </w:t>
      </w:r>
      <w:proofErr w:type="spellStart"/>
      <w:r w:rsidRPr="00F01671">
        <w:rPr>
          <w:b w:val="0"/>
          <w:caps w:val="0"/>
          <w:sz w:val="20"/>
        </w:rPr>
        <w:t>EzBioCloud</w:t>
      </w:r>
      <w:proofErr w:type="spellEnd"/>
      <w:r w:rsidRPr="00F01671">
        <w:rPr>
          <w:b w:val="0"/>
          <w:caps w:val="0"/>
          <w:sz w:val="20"/>
        </w:rPr>
        <w:t xml:space="preserve">: a taxonomically united database of 16S rRNA gene sequences and whole-genome assemblies. Int J Syst </w:t>
      </w:r>
      <w:proofErr w:type="spellStart"/>
      <w:r w:rsidRPr="00F01671">
        <w:rPr>
          <w:b w:val="0"/>
          <w:caps w:val="0"/>
          <w:sz w:val="20"/>
        </w:rPr>
        <w:t>Evol</w:t>
      </w:r>
      <w:proofErr w:type="spellEnd"/>
      <w:r w:rsidRPr="00F01671">
        <w:rPr>
          <w:b w:val="0"/>
          <w:caps w:val="0"/>
          <w:sz w:val="20"/>
        </w:rPr>
        <w:t xml:space="preserve"> Microbiol, 67, 1613–1617. https://doi.org/10.1099/ijsem.0.001755</w:t>
      </w:r>
    </w:p>
    <w:sectPr w:rsidR="00B01FCD" w:rsidRPr="00FB3A86" w:rsidSect="00FA192E">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54A7C" w14:textId="77777777" w:rsidR="00D57BB8" w:rsidRDefault="00D57BB8" w:rsidP="00C37E61">
      <w:r>
        <w:separator/>
      </w:r>
    </w:p>
  </w:endnote>
  <w:endnote w:type="continuationSeparator" w:id="0">
    <w:p w14:paraId="7BBBF395" w14:textId="77777777" w:rsidR="00D57BB8" w:rsidRDefault="00D57BB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94E8" w14:textId="77777777" w:rsidR="00FA192E" w:rsidRDefault="00FA1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DE12" w14:textId="77777777" w:rsidR="00FA192E" w:rsidRDefault="00FA1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E72FD" w14:textId="6DAD62D5" w:rsidR="00754C9A" w:rsidRPr="00621A81" w:rsidRDefault="00754C9A" w:rsidP="00621A8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6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ED0D2" w14:textId="77777777" w:rsidR="00D57BB8" w:rsidRDefault="00D57BB8" w:rsidP="00C37E61">
      <w:r>
        <w:separator/>
      </w:r>
    </w:p>
  </w:footnote>
  <w:footnote w:type="continuationSeparator" w:id="0">
    <w:p w14:paraId="45B29D4A" w14:textId="77777777" w:rsidR="00D57BB8" w:rsidRDefault="00D57BB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2523" w14:textId="2A4F8659" w:rsidR="00FA192E" w:rsidRDefault="00FA192E">
    <w:pPr>
      <w:pStyle w:val="Header"/>
    </w:pPr>
    <w:r>
      <w:rPr>
        <w:noProof/>
      </w:rPr>
      <w:pict w14:anchorId="630DF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F82E" w14:textId="2CF139D9" w:rsidR="00FA192E" w:rsidRDefault="00FA192E">
    <w:pPr>
      <w:pStyle w:val="Header"/>
    </w:pPr>
    <w:r>
      <w:rPr>
        <w:noProof/>
      </w:rPr>
      <w:pict w14:anchorId="61B9B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76AA" w14:textId="7444E3E4" w:rsidR="00296529" w:rsidRPr="00296529" w:rsidRDefault="00FA192E" w:rsidP="00296529">
    <w:pPr>
      <w:ind w:left="2160"/>
      <w:jc w:val="center"/>
      <w:rPr>
        <w:rFonts w:ascii="Times New Roman" w:eastAsia="Calibri" w:hAnsi="Times New Roman"/>
        <w:i/>
        <w:sz w:val="18"/>
        <w:szCs w:val="22"/>
      </w:rPr>
    </w:pPr>
    <w:r>
      <w:rPr>
        <w:noProof/>
      </w:rPr>
      <w:pict w14:anchorId="4DBD5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48611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66C31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5711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41E59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12A7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A36B5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7D22" w14:textId="3C841B1D" w:rsidR="00FA192E" w:rsidRDefault="00FA192E">
    <w:pPr>
      <w:pStyle w:val="Header"/>
    </w:pPr>
    <w:r>
      <w:rPr>
        <w:noProof/>
      </w:rPr>
      <w:pict w14:anchorId="1BB9A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8B57" w14:textId="66935772" w:rsidR="00FA192E" w:rsidRDefault="00FA192E">
    <w:pPr>
      <w:pStyle w:val="Header"/>
    </w:pPr>
    <w:r>
      <w:rPr>
        <w:noProof/>
      </w:rPr>
      <w:pict w14:anchorId="10B0B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A1787" w14:textId="45960F94" w:rsidR="00FA192E" w:rsidRDefault="00FA192E">
    <w:pPr>
      <w:pStyle w:val="Header"/>
    </w:pPr>
    <w:r>
      <w:rPr>
        <w:noProof/>
      </w:rPr>
      <w:pict w14:anchorId="074A3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B7E"/>
    <w:rsid w:val="00005F0C"/>
    <w:rsid w:val="00011328"/>
    <w:rsid w:val="000113EC"/>
    <w:rsid w:val="000240FF"/>
    <w:rsid w:val="00030174"/>
    <w:rsid w:val="00036032"/>
    <w:rsid w:val="00044970"/>
    <w:rsid w:val="0004579C"/>
    <w:rsid w:val="00050545"/>
    <w:rsid w:val="00052FF1"/>
    <w:rsid w:val="00054FDA"/>
    <w:rsid w:val="000831B9"/>
    <w:rsid w:val="00093AB2"/>
    <w:rsid w:val="000A47FA"/>
    <w:rsid w:val="000A65D3"/>
    <w:rsid w:val="000B0785"/>
    <w:rsid w:val="000B1E33"/>
    <w:rsid w:val="000B349C"/>
    <w:rsid w:val="000C345A"/>
    <w:rsid w:val="000D04CD"/>
    <w:rsid w:val="000D3859"/>
    <w:rsid w:val="000D689F"/>
    <w:rsid w:val="000E7B7B"/>
    <w:rsid w:val="000E7D62"/>
    <w:rsid w:val="000F345F"/>
    <w:rsid w:val="000F7100"/>
    <w:rsid w:val="00103357"/>
    <w:rsid w:val="00103527"/>
    <w:rsid w:val="001060AD"/>
    <w:rsid w:val="00123C9F"/>
    <w:rsid w:val="00126190"/>
    <w:rsid w:val="00130F17"/>
    <w:rsid w:val="001320BF"/>
    <w:rsid w:val="00145613"/>
    <w:rsid w:val="0014600E"/>
    <w:rsid w:val="0015104D"/>
    <w:rsid w:val="001537ED"/>
    <w:rsid w:val="001548AA"/>
    <w:rsid w:val="00154C21"/>
    <w:rsid w:val="00163BC4"/>
    <w:rsid w:val="00191062"/>
    <w:rsid w:val="00192B72"/>
    <w:rsid w:val="00197E39"/>
    <w:rsid w:val="001A000E"/>
    <w:rsid w:val="001A29D8"/>
    <w:rsid w:val="001A5CAA"/>
    <w:rsid w:val="001B0427"/>
    <w:rsid w:val="001B12B2"/>
    <w:rsid w:val="001B58A7"/>
    <w:rsid w:val="001C66E0"/>
    <w:rsid w:val="001D3A51"/>
    <w:rsid w:val="001D4D55"/>
    <w:rsid w:val="001E10D2"/>
    <w:rsid w:val="001E1986"/>
    <w:rsid w:val="001E22B1"/>
    <w:rsid w:val="001E25B4"/>
    <w:rsid w:val="001E3EC0"/>
    <w:rsid w:val="001E44FE"/>
    <w:rsid w:val="001F031C"/>
    <w:rsid w:val="001F066F"/>
    <w:rsid w:val="00200595"/>
    <w:rsid w:val="00204835"/>
    <w:rsid w:val="00210B46"/>
    <w:rsid w:val="00210F0E"/>
    <w:rsid w:val="00213A0B"/>
    <w:rsid w:val="00231920"/>
    <w:rsid w:val="0023195C"/>
    <w:rsid w:val="00237F70"/>
    <w:rsid w:val="0024282C"/>
    <w:rsid w:val="00245F8A"/>
    <w:rsid w:val="002460DC"/>
    <w:rsid w:val="00250985"/>
    <w:rsid w:val="00252BCB"/>
    <w:rsid w:val="002556F6"/>
    <w:rsid w:val="00262D4C"/>
    <w:rsid w:val="00272BFC"/>
    <w:rsid w:val="00283105"/>
    <w:rsid w:val="00284C4C"/>
    <w:rsid w:val="00287E68"/>
    <w:rsid w:val="002908E7"/>
    <w:rsid w:val="00291BB9"/>
    <w:rsid w:val="00296529"/>
    <w:rsid w:val="00297CA1"/>
    <w:rsid w:val="002B27FB"/>
    <w:rsid w:val="002B685A"/>
    <w:rsid w:val="002C57D2"/>
    <w:rsid w:val="002C6901"/>
    <w:rsid w:val="002E0189"/>
    <w:rsid w:val="002E0D56"/>
    <w:rsid w:val="00301AF1"/>
    <w:rsid w:val="0031428C"/>
    <w:rsid w:val="00315186"/>
    <w:rsid w:val="00325F75"/>
    <w:rsid w:val="0033343E"/>
    <w:rsid w:val="003355D5"/>
    <w:rsid w:val="00337A59"/>
    <w:rsid w:val="00343EEA"/>
    <w:rsid w:val="003512C2"/>
    <w:rsid w:val="00354074"/>
    <w:rsid w:val="0036740E"/>
    <w:rsid w:val="0036772C"/>
    <w:rsid w:val="003706E4"/>
    <w:rsid w:val="00371FB6"/>
    <w:rsid w:val="003763C1"/>
    <w:rsid w:val="00376BBE"/>
    <w:rsid w:val="0039224F"/>
    <w:rsid w:val="003A43A4"/>
    <w:rsid w:val="003A7E18"/>
    <w:rsid w:val="003B2A70"/>
    <w:rsid w:val="003C4C86"/>
    <w:rsid w:val="003C6258"/>
    <w:rsid w:val="003D7058"/>
    <w:rsid w:val="003E2904"/>
    <w:rsid w:val="003E5A59"/>
    <w:rsid w:val="003E684B"/>
    <w:rsid w:val="003F240E"/>
    <w:rsid w:val="00401927"/>
    <w:rsid w:val="0040427E"/>
    <w:rsid w:val="0041027F"/>
    <w:rsid w:val="00412475"/>
    <w:rsid w:val="00414658"/>
    <w:rsid w:val="00417B1B"/>
    <w:rsid w:val="00423789"/>
    <w:rsid w:val="00440F43"/>
    <w:rsid w:val="00441B6F"/>
    <w:rsid w:val="00446019"/>
    <w:rsid w:val="00446221"/>
    <w:rsid w:val="00450E62"/>
    <w:rsid w:val="004539DB"/>
    <w:rsid w:val="00466198"/>
    <w:rsid w:val="004701DE"/>
    <w:rsid w:val="00471A80"/>
    <w:rsid w:val="004764C2"/>
    <w:rsid w:val="00482F98"/>
    <w:rsid w:val="00487F80"/>
    <w:rsid w:val="004A1276"/>
    <w:rsid w:val="004A1E06"/>
    <w:rsid w:val="004B52D1"/>
    <w:rsid w:val="004C13C2"/>
    <w:rsid w:val="004D305E"/>
    <w:rsid w:val="004D4277"/>
    <w:rsid w:val="004D7D07"/>
    <w:rsid w:val="004E3243"/>
    <w:rsid w:val="004F160A"/>
    <w:rsid w:val="004F3C7E"/>
    <w:rsid w:val="00502516"/>
    <w:rsid w:val="00505F06"/>
    <w:rsid w:val="00506828"/>
    <w:rsid w:val="0053056E"/>
    <w:rsid w:val="00554FDA"/>
    <w:rsid w:val="00572C8E"/>
    <w:rsid w:val="00584168"/>
    <w:rsid w:val="005A21C2"/>
    <w:rsid w:val="005B0927"/>
    <w:rsid w:val="005B709E"/>
    <w:rsid w:val="005C1E24"/>
    <w:rsid w:val="005C3915"/>
    <w:rsid w:val="005C784C"/>
    <w:rsid w:val="005C7CB0"/>
    <w:rsid w:val="005D17F6"/>
    <w:rsid w:val="005D389B"/>
    <w:rsid w:val="005E501E"/>
    <w:rsid w:val="005E5539"/>
    <w:rsid w:val="005E6E90"/>
    <w:rsid w:val="005F4BBB"/>
    <w:rsid w:val="006015D3"/>
    <w:rsid w:val="00602BF5"/>
    <w:rsid w:val="006121C3"/>
    <w:rsid w:val="00617FDD"/>
    <w:rsid w:val="00620C5E"/>
    <w:rsid w:val="00621A81"/>
    <w:rsid w:val="00623C30"/>
    <w:rsid w:val="00626B02"/>
    <w:rsid w:val="00633614"/>
    <w:rsid w:val="00633F68"/>
    <w:rsid w:val="00636EB2"/>
    <w:rsid w:val="006375B8"/>
    <w:rsid w:val="00646644"/>
    <w:rsid w:val="00653DDC"/>
    <w:rsid w:val="0066510A"/>
    <w:rsid w:val="00673F9F"/>
    <w:rsid w:val="00686953"/>
    <w:rsid w:val="00687DEA"/>
    <w:rsid w:val="00687E67"/>
    <w:rsid w:val="00690798"/>
    <w:rsid w:val="006967F7"/>
    <w:rsid w:val="006973FF"/>
    <w:rsid w:val="006A250C"/>
    <w:rsid w:val="006B0EF8"/>
    <w:rsid w:val="006B136D"/>
    <w:rsid w:val="006B21D3"/>
    <w:rsid w:val="006B57D0"/>
    <w:rsid w:val="006D30FF"/>
    <w:rsid w:val="006D59D1"/>
    <w:rsid w:val="006D6940"/>
    <w:rsid w:val="006F06B5"/>
    <w:rsid w:val="006F11EC"/>
    <w:rsid w:val="006F1508"/>
    <w:rsid w:val="006F287E"/>
    <w:rsid w:val="0070082C"/>
    <w:rsid w:val="007046C8"/>
    <w:rsid w:val="0071016F"/>
    <w:rsid w:val="007145C7"/>
    <w:rsid w:val="00733CF8"/>
    <w:rsid w:val="007369E6"/>
    <w:rsid w:val="00746E59"/>
    <w:rsid w:val="00754C9A"/>
    <w:rsid w:val="0075599A"/>
    <w:rsid w:val="00761D52"/>
    <w:rsid w:val="007628C6"/>
    <w:rsid w:val="00766104"/>
    <w:rsid w:val="00770583"/>
    <w:rsid w:val="0077749E"/>
    <w:rsid w:val="00781504"/>
    <w:rsid w:val="00790ADA"/>
    <w:rsid w:val="00793CDE"/>
    <w:rsid w:val="00795CA0"/>
    <w:rsid w:val="007A33DA"/>
    <w:rsid w:val="007A57EE"/>
    <w:rsid w:val="007B267B"/>
    <w:rsid w:val="007C665B"/>
    <w:rsid w:val="007D2288"/>
    <w:rsid w:val="007D49E6"/>
    <w:rsid w:val="007E088F"/>
    <w:rsid w:val="007E3862"/>
    <w:rsid w:val="007F5615"/>
    <w:rsid w:val="007F7B32"/>
    <w:rsid w:val="0080448F"/>
    <w:rsid w:val="00804BC2"/>
    <w:rsid w:val="008131D5"/>
    <w:rsid w:val="0081431A"/>
    <w:rsid w:val="00821E76"/>
    <w:rsid w:val="008256EA"/>
    <w:rsid w:val="0083216F"/>
    <w:rsid w:val="00832E70"/>
    <w:rsid w:val="008554CA"/>
    <w:rsid w:val="00860000"/>
    <w:rsid w:val="00863BD3"/>
    <w:rsid w:val="008641ED"/>
    <w:rsid w:val="00866D66"/>
    <w:rsid w:val="008671C6"/>
    <w:rsid w:val="00870B59"/>
    <w:rsid w:val="008754D7"/>
    <w:rsid w:val="00875803"/>
    <w:rsid w:val="00891041"/>
    <w:rsid w:val="008920F5"/>
    <w:rsid w:val="008B162B"/>
    <w:rsid w:val="008B2067"/>
    <w:rsid w:val="008B459E"/>
    <w:rsid w:val="008C1917"/>
    <w:rsid w:val="008C4490"/>
    <w:rsid w:val="008E13AE"/>
    <w:rsid w:val="008E1506"/>
    <w:rsid w:val="008E710C"/>
    <w:rsid w:val="008F5D01"/>
    <w:rsid w:val="008F69D6"/>
    <w:rsid w:val="00902823"/>
    <w:rsid w:val="009068F3"/>
    <w:rsid w:val="00911B69"/>
    <w:rsid w:val="00911ED1"/>
    <w:rsid w:val="00913235"/>
    <w:rsid w:val="00914AF9"/>
    <w:rsid w:val="00915CA6"/>
    <w:rsid w:val="00926B14"/>
    <w:rsid w:val="00927834"/>
    <w:rsid w:val="00940549"/>
    <w:rsid w:val="009449C4"/>
    <w:rsid w:val="009500A6"/>
    <w:rsid w:val="009577CD"/>
    <w:rsid w:val="00957C18"/>
    <w:rsid w:val="009659BA"/>
    <w:rsid w:val="00972B38"/>
    <w:rsid w:val="00980FF2"/>
    <w:rsid w:val="00981169"/>
    <w:rsid w:val="00981DC5"/>
    <w:rsid w:val="00983040"/>
    <w:rsid w:val="00992DFE"/>
    <w:rsid w:val="009B1F0A"/>
    <w:rsid w:val="009B3FB9"/>
    <w:rsid w:val="009B745A"/>
    <w:rsid w:val="009B7D65"/>
    <w:rsid w:val="009C0B61"/>
    <w:rsid w:val="009C2465"/>
    <w:rsid w:val="009C4224"/>
    <w:rsid w:val="009C6315"/>
    <w:rsid w:val="009D1170"/>
    <w:rsid w:val="009D35A0"/>
    <w:rsid w:val="009D5846"/>
    <w:rsid w:val="009D7EB7"/>
    <w:rsid w:val="009E048A"/>
    <w:rsid w:val="009E08E9"/>
    <w:rsid w:val="009E3DB9"/>
    <w:rsid w:val="009E6E35"/>
    <w:rsid w:val="009F0EDA"/>
    <w:rsid w:val="00A02872"/>
    <w:rsid w:val="00A03B96"/>
    <w:rsid w:val="00A05B19"/>
    <w:rsid w:val="00A1134E"/>
    <w:rsid w:val="00A24E7E"/>
    <w:rsid w:val="00A258C3"/>
    <w:rsid w:val="00A347C0"/>
    <w:rsid w:val="00A4159F"/>
    <w:rsid w:val="00A51431"/>
    <w:rsid w:val="00A539AD"/>
    <w:rsid w:val="00A55683"/>
    <w:rsid w:val="00A607E7"/>
    <w:rsid w:val="00A66479"/>
    <w:rsid w:val="00A72F89"/>
    <w:rsid w:val="00A762A5"/>
    <w:rsid w:val="00A77B70"/>
    <w:rsid w:val="00A82597"/>
    <w:rsid w:val="00A94063"/>
    <w:rsid w:val="00A950BE"/>
    <w:rsid w:val="00AA6219"/>
    <w:rsid w:val="00AA74E0"/>
    <w:rsid w:val="00AB1EAA"/>
    <w:rsid w:val="00AB5C2D"/>
    <w:rsid w:val="00AB703F"/>
    <w:rsid w:val="00AC15FF"/>
    <w:rsid w:val="00AC6BB8"/>
    <w:rsid w:val="00AE008F"/>
    <w:rsid w:val="00B01FCD"/>
    <w:rsid w:val="00B1776C"/>
    <w:rsid w:val="00B204E3"/>
    <w:rsid w:val="00B22CB7"/>
    <w:rsid w:val="00B37C45"/>
    <w:rsid w:val="00B465B4"/>
    <w:rsid w:val="00B52583"/>
    <w:rsid w:val="00B52896"/>
    <w:rsid w:val="00B6095B"/>
    <w:rsid w:val="00B91CF4"/>
    <w:rsid w:val="00B95236"/>
    <w:rsid w:val="00B96BD9"/>
    <w:rsid w:val="00B96CC4"/>
    <w:rsid w:val="00BA1B01"/>
    <w:rsid w:val="00BA1B82"/>
    <w:rsid w:val="00BA2641"/>
    <w:rsid w:val="00BB37AA"/>
    <w:rsid w:val="00BC34FF"/>
    <w:rsid w:val="00BC53A0"/>
    <w:rsid w:val="00BE62AD"/>
    <w:rsid w:val="00BF121F"/>
    <w:rsid w:val="00BF1F80"/>
    <w:rsid w:val="00C04B74"/>
    <w:rsid w:val="00C152E4"/>
    <w:rsid w:val="00C166EF"/>
    <w:rsid w:val="00C17EB0"/>
    <w:rsid w:val="00C213E6"/>
    <w:rsid w:val="00C27F5F"/>
    <w:rsid w:val="00C30A0F"/>
    <w:rsid w:val="00C33F71"/>
    <w:rsid w:val="00C37E61"/>
    <w:rsid w:val="00C51966"/>
    <w:rsid w:val="00C56ACF"/>
    <w:rsid w:val="00C7014F"/>
    <w:rsid w:val="00C70F1B"/>
    <w:rsid w:val="00C71A47"/>
    <w:rsid w:val="00C7464C"/>
    <w:rsid w:val="00C769B9"/>
    <w:rsid w:val="00C773F5"/>
    <w:rsid w:val="00C85588"/>
    <w:rsid w:val="00C94BD0"/>
    <w:rsid w:val="00CB6D11"/>
    <w:rsid w:val="00CC3BBD"/>
    <w:rsid w:val="00CD6755"/>
    <w:rsid w:val="00CD6856"/>
    <w:rsid w:val="00CE0089"/>
    <w:rsid w:val="00CE793C"/>
    <w:rsid w:val="00CF193C"/>
    <w:rsid w:val="00CF2291"/>
    <w:rsid w:val="00CF3922"/>
    <w:rsid w:val="00D15B88"/>
    <w:rsid w:val="00D173F1"/>
    <w:rsid w:val="00D3202F"/>
    <w:rsid w:val="00D44DB3"/>
    <w:rsid w:val="00D4579D"/>
    <w:rsid w:val="00D47C4D"/>
    <w:rsid w:val="00D57BB8"/>
    <w:rsid w:val="00D74CB0"/>
    <w:rsid w:val="00D8295D"/>
    <w:rsid w:val="00DA145F"/>
    <w:rsid w:val="00DA4096"/>
    <w:rsid w:val="00DA7EE6"/>
    <w:rsid w:val="00DC2A65"/>
    <w:rsid w:val="00DE15F0"/>
    <w:rsid w:val="00DE2A88"/>
    <w:rsid w:val="00DE5663"/>
    <w:rsid w:val="00DE78AA"/>
    <w:rsid w:val="00E034C3"/>
    <w:rsid w:val="00E053D0"/>
    <w:rsid w:val="00E12C64"/>
    <w:rsid w:val="00E15994"/>
    <w:rsid w:val="00E16402"/>
    <w:rsid w:val="00E21913"/>
    <w:rsid w:val="00E27D22"/>
    <w:rsid w:val="00E3114E"/>
    <w:rsid w:val="00E31A70"/>
    <w:rsid w:val="00E35B02"/>
    <w:rsid w:val="00E436A6"/>
    <w:rsid w:val="00E45D2B"/>
    <w:rsid w:val="00E61678"/>
    <w:rsid w:val="00E66496"/>
    <w:rsid w:val="00E66B35"/>
    <w:rsid w:val="00E66E10"/>
    <w:rsid w:val="00E769F6"/>
    <w:rsid w:val="00E8407C"/>
    <w:rsid w:val="00E84F3C"/>
    <w:rsid w:val="00E8679C"/>
    <w:rsid w:val="00EA012C"/>
    <w:rsid w:val="00EB2D83"/>
    <w:rsid w:val="00EC6A55"/>
    <w:rsid w:val="00ED0288"/>
    <w:rsid w:val="00EE2271"/>
    <w:rsid w:val="00EE52CB"/>
    <w:rsid w:val="00EF36E6"/>
    <w:rsid w:val="00EF5209"/>
    <w:rsid w:val="00EF581D"/>
    <w:rsid w:val="00EF7FD8"/>
    <w:rsid w:val="00F01671"/>
    <w:rsid w:val="00F06F59"/>
    <w:rsid w:val="00F12ACC"/>
    <w:rsid w:val="00F17988"/>
    <w:rsid w:val="00F418C6"/>
    <w:rsid w:val="00F469F0"/>
    <w:rsid w:val="00F53273"/>
    <w:rsid w:val="00F70C20"/>
    <w:rsid w:val="00F73CD0"/>
    <w:rsid w:val="00F755E4"/>
    <w:rsid w:val="00F77D02"/>
    <w:rsid w:val="00F92EBA"/>
    <w:rsid w:val="00F93C22"/>
    <w:rsid w:val="00FA192E"/>
    <w:rsid w:val="00FB2443"/>
    <w:rsid w:val="00FB3A86"/>
    <w:rsid w:val="00FD36C8"/>
    <w:rsid w:val="00FD3F70"/>
    <w:rsid w:val="00FD5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E6E90"/>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5E6E9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38/nrgastro.2017.119"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0DD6C-AAB6-4A41-A6C5-67F7A3CD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232</TotalTime>
  <Pages>13</Pages>
  <Words>6599</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44131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217</cp:revision>
  <cp:lastPrinted>1999-07-06T11:00:00Z</cp:lastPrinted>
  <dcterms:created xsi:type="dcterms:W3CDTF">2014-10-25T14:34:00Z</dcterms:created>
  <dcterms:modified xsi:type="dcterms:W3CDTF">2026-03-12T10:19:00Z</dcterms:modified>
</cp:coreProperties>
</file>