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0CA" w:rsidRPr="002C32F7" w:rsidRDefault="00115F1F" w:rsidP="00D930CA">
      <w:pPr>
        <w:jc w:val="both"/>
        <w:rPr>
          <w:rFonts w:ascii="Times New Roman" w:hAnsi="Times New Roman" w:cs="Times New Roman"/>
          <w:b/>
          <w:sz w:val="24"/>
          <w:szCs w:val="24"/>
        </w:rPr>
      </w:pPr>
      <w:r>
        <w:rPr>
          <w:rFonts w:ascii="Times New Roman" w:hAnsi="Times New Roman" w:cs="Times New Roman"/>
          <w:b/>
          <w:sz w:val="24"/>
          <w:szCs w:val="24"/>
        </w:rPr>
        <w:t>GENOTYPIC DETECTION OF BLA</w:t>
      </w:r>
      <w:r w:rsidR="00D930CA">
        <w:rPr>
          <w:rFonts w:ascii="Times New Roman" w:hAnsi="Times New Roman" w:cs="Times New Roman"/>
          <w:b/>
          <w:sz w:val="24"/>
          <w:szCs w:val="24"/>
        </w:rPr>
        <w:t xml:space="preserve">CTXM, NDM AND KPC </w:t>
      </w:r>
      <w:r>
        <w:rPr>
          <w:rFonts w:ascii="Times New Roman" w:hAnsi="Times New Roman" w:cs="Times New Roman"/>
          <w:b/>
          <w:sz w:val="24"/>
          <w:szCs w:val="24"/>
        </w:rPr>
        <w:t xml:space="preserve">GENES FROM ISOLATED </w:t>
      </w:r>
      <w:r w:rsidR="00D930CA" w:rsidRPr="002C32F7">
        <w:rPr>
          <w:rFonts w:ascii="Times New Roman" w:hAnsi="Times New Roman" w:cs="Times New Roman"/>
          <w:b/>
          <w:i/>
          <w:iCs/>
          <w:sz w:val="24"/>
          <w:szCs w:val="24"/>
        </w:rPr>
        <w:t>KLEBSIELLA PNEUMONIAE</w:t>
      </w:r>
      <w:r w:rsidR="00D930CA" w:rsidRPr="002C32F7">
        <w:rPr>
          <w:rFonts w:ascii="Times New Roman" w:hAnsi="Times New Roman" w:cs="Times New Roman"/>
          <w:b/>
          <w:sz w:val="24"/>
          <w:szCs w:val="24"/>
        </w:rPr>
        <w:t xml:space="preserve"> IN DIABETIC FOOT WOUND</w:t>
      </w:r>
      <w:r>
        <w:rPr>
          <w:rFonts w:ascii="Times New Roman" w:hAnsi="Times New Roman" w:cs="Times New Roman"/>
          <w:b/>
          <w:sz w:val="24"/>
          <w:szCs w:val="24"/>
        </w:rPr>
        <w:t xml:space="preserve">S </w:t>
      </w:r>
      <w:r w:rsidR="00D930CA" w:rsidRPr="002C32F7">
        <w:rPr>
          <w:rFonts w:ascii="Times New Roman" w:hAnsi="Times New Roman" w:cs="Times New Roman"/>
          <w:b/>
          <w:sz w:val="24"/>
          <w:szCs w:val="24"/>
        </w:rPr>
        <w:t>IN BENUE STATE, NIGERIA</w:t>
      </w:r>
    </w:p>
    <w:p w:rsidR="00D930CA" w:rsidRDefault="00D930CA" w:rsidP="00D930CA">
      <w:pPr>
        <w:rPr>
          <w:rFonts w:ascii="Times New Roman" w:hAnsi="Times New Roman" w:cs="Times New Roman"/>
          <w:b/>
          <w:sz w:val="24"/>
          <w:szCs w:val="24"/>
        </w:rPr>
      </w:pPr>
    </w:p>
    <w:p w:rsidR="00F82ED9" w:rsidRPr="00877B1F" w:rsidRDefault="00F82ED9" w:rsidP="00D930CA">
      <w:pPr>
        <w:rPr>
          <w:rFonts w:ascii="Times New Roman" w:hAnsi="Times New Roman" w:cs="Times New Roman"/>
          <w:b/>
          <w:sz w:val="24"/>
          <w:szCs w:val="24"/>
        </w:rPr>
      </w:pPr>
      <w:bookmarkStart w:id="0" w:name="_GoBack"/>
      <w:bookmarkEnd w:id="0"/>
    </w:p>
    <w:p w:rsidR="00D137B0" w:rsidRPr="00865A28" w:rsidRDefault="00D137B0" w:rsidP="00D137B0">
      <w:pPr>
        <w:spacing w:after="0" w:line="480" w:lineRule="auto"/>
        <w:jc w:val="both"/>
        <w:rPr>
          <w:rFonts w:ascii="Times New Roman" w:hAnsi="Times New Roman" w:cs="Times New Roman"/>
          <w:b/>
          <w:sz w:val="24"/>
          <w:szCs w:val="24"/>
        </w:rPr>
      </w:pPr>
      <w:r w:rsidRPr="00865A28">
        <w:rPr>
          <w:rFonts w:ascii="Times New Roman" w:hAnsi="Times New Roman" w:cs="Times New Roman"/>
          <w:b/>
          <w:sz w:val="24"/>
          <w:szCs w:val="24"/>
        </w:rPr>
        <w:t>ABSTRACT</w:t>
      </w:r>
    </w:p>
    <w:p w:rsidR="00865A28" w:rsidRDefault="00865A28" w:rsidP="00865A28">
      <w:pPr>
        <w:spacing w:before="100" w:beforeAutospacing="1" w:after="100" w:afterAutospacing="1" w:line="240" w:lineRule="auto"/>
        <w:jc w:val="both"/>
        <w:rPr>
          <w:rFonts w:ascii="Times New Roman" w:eastAsia="Times New Roman" w:hAnsi="Times New Roman" w:cs="Times New Roman"/>
          <w:sz w:val="24"/>
          <w:szCs w:val="24"/>
          <w:lang w:val="en-US"/>
        </w:rPr>
      </w:pPr>
      <w:r w:rsidRPr="00865A28">
        <w:rPr>
          <w:rFonts w:ascii="Times New Roman" w:eastAsia="Times New Roman" w:hAnsi="Times New Roman" w:cs="Times New Roman"/>
          <w:sz w:val="24"/>
          <w:szCs w:val="24"/>
          <w:lang w:val="en-US"/>
        </w:rPr>
        <w:t xml:space="preserve">Diabetic foot wounds (DFWs) represent one of the most serious complications of diabetes mellitus and are frequently associated with bacterial infections that complicate treatment and increase the risk of amputation. Among the bacterial pathogens implicated in these infections, </w:t>
      </w:r>
      <w:r w:rsidRPr="00865A28">
        <w:rPr>
          <w:rFonts w:ascii="Times New Roman" w:eastAsia="Times New Roman" w:hAnsi="Times New Roman" w:cs="Times New Roman"/>
          <w:i/>
          <w:iCs/>
          <w:sz w:val="24"/>
          <w:szCs w:val="24"/>
          <w:lang w:val="en-US"/>
        </w:rPr>
        <w:t>Klebsiella pneumoniae</w:t>
      </w:r>
      <w:r w:rsidRPr="00865A28">
        <w:rPr>
          <w:rFonts w:ascii="Times New Roman" w:eastAsia="Times New Roman" w:hAnsi="Times New Roman" w:cs="Times New Roman"/>
          <w:sz w:val="24"/>
          <w:szCs w:val="24"/>
          <w:lang w:val="en-US"/>
        </w:rPr>
        <w:t xml:space="preserve"> has emerged as a major opportunistic pathogen due to its increasing multidrug resistance and ability to acquire virulence determinants. This study investigated the molecular characteristics and antimicrobial resistance determinants of </w:t>
      </w:r>
      <w:r w:rsidRPr="00865A28">
        <w:rPr>
          <w:rFonts w:ascii="Times New Roman" w:eastAsia="Times New Roman" w:hAnsi="Times New Roman" w:cs="Times New Roman"/>
          <w:i/>
          <w:iCs/>
          <w:sz w:val="24"/>
          <w:szCs w:val="24"/>
          <w:lang w:val="en-US"/>
        </w:rPr>
        <w:t>Klebsiella pneumoniae</w:t>
      </w:r>
      <w:r w:rsidRPr="00865A28">
        <w:rPr>
          <w:rFonts w:ascii="Times New Roman" w:eastAsia="Times New Roman" w:hAnsi="Times New Roman" w:cs="Times New Roman"/>
          <w:sz w:val="24"/>
          <w:szCs w:val="24"/>
          <w:lang w:val="en-US"/>
        </w:rPr>
        <w:t xml:space="preserve"> isolated from diabetic foot wounds in selected tertiary health facilities in Benue State, Nigeria. A total of 57 </w:t>
      </w:r>
      <w:r w:rsidRPr="00865A28">
        <w:rPr>
          <w:rFonts w:ascii="Times New Roman" w:eastAsia="Times New Roman" w:hAnsi="Times New Roman" w:cs="Times New Roman"/>
          <w:i/>
          <w:iCs/>
          <w:sz w:val="24"/>
          <w:szCs w:val="24"/>
          <w:lang w:val="en-US"/>
        </w:rPr>
        <w:t>K. pneumoniae</w:t>
      </w:r>
      <w:r w:rsidRPr="00865A28">
        <w:rPr>
          <w:rFonts w:ascii="Times New Roman" w:eastAsia="Times New Roman" w:hAnsi="Times New Roman" w:cs="Times New Roman"/>
          <w:sz w:val="24"/>
          <w:szCs w:val="24"/>
          <w:lang w:val="en-US"/>
        </w:rPr>
        <w:t xml:space="preserve"> isolates were subjected to phenotypic screening for extended-spectrum β-lactamase (ESBL) production using the double-disc synergy test and confirmatory combination disk method. Molecular detection of resistance genes including </w:t>
      </w:r>
      <w:proofErr w:type="spellStart"/>
      <w:r w:rsidRPr="00865A28">
        <w:rPr>
          <w:rFonts w:ascii="Times New Roman" w:eastAsia="Times New Roman" w:hAnsi="Times New Roman" w:cs="Times New Roman"/>
          <w:bCs/>
          <w:sz w:val="24"/>
          <w:szCs w:val="24"/>
          <w:lang w:val="en-US"/>
        </w:rPr>
        <w:t>blaCTX</w:t>
      </w:r>
      <w:proofErr w:type="spellEnd"/>
      <w:r w:rsidRPr="00865A28">
        <w:rPr>
          <w:rFonts w:ascii="Times New Roman" w:eastAsia="Times New Roman" w:hAnsi="Times New Roman" w:cs="Times New Roman"/>
          <w:bCs/>
          <w:sz w:val="24"/>
          <w:szCs w:val="24"/>
          <w:lang w:val="en-US"/>
        </w:rPr>
        <w:t>-M</w:t>
      </w:r>
      <w:r w:rsidRPr="00865A28">
        <w:rPr>
          <w:rFonts w:ascii="Times New Roman" w:eastAsia="Times New Roman" w:hAnsi="Times New Roman" w:cs="Times New Roman"/>
          <w:sz w:val="24"/>
          <w:szCs w:val="24"/>
          <w:lang w:val="en-US"/>
        </w:rPr>
        <w:t xml:space="preserve">, </w:t>
      </w:r>
      <w:proofErr w:type="spellStart"/>
      <w:r w:rsidRPr="00865A28">
        <w:rPr>
          <w:rFonts w:ascii="Times New Roman" w:eastAsia="Times New Roman" w:hAnsi="Times New Roman" w:cs="Times New Roman"/>
          <w:bCs/>
          <w:sz w:val="24"/>
          <w:szCs w:val="24"/>
          <w:lang w:val="en-US"/>
        </w:rPr>
        <w:t>blaNDM</w:t>
      </w:r>
      <w:proofErr w:type="spellEnd"/>
      <w:r w:rsidRPr="00865A28">
        <w:rPr>
          <w:rFonts w:ascii="Times New Roman" w:eastAsia="Times New Roman" w:hAnsi="Times New Roman" w:cs="Times New Roman"/>
          <w:sz w:val="24"/>
          <w:szCs w:val="24"/>
          <w:lang w:val="en-US"/>
        </w:rPr>
        <w:t xml:space="preserve">, and </w:t>
      </w:r>
      <w:proofErr w:type="spellStart"/>
      <w:r w:rsidRPr="00865A28">
        <w:rPr>
          <w:rFonts w:ascii="Times New Roman" w:eastAsia="Times New Roman" w:hAnsi="Times New Roman" w:cs="Times New Roman"/>
          <w:bCs/>
          <w:sz w:val="24"/>
          <w:szCs w:val="24"/>
          <w:lang w:val="en-US"/>
        </w:rPr>
        <w:t>blaKPC</w:t>
      </w:r>
      <w:proofErr w:type="spellEnd"/>
      <w:r w:rsidRPr="00865A28">
        <w:rPr>
          <w:rFonts w:ascii="Times New Roman" w:eastAsia="Times New Roman" w:hAnsi="Times New Roman" w:cs="Times New Roman"/>
          <w:sz w:val="24"/>
          <w:szCs w:val="24"/>
          <w:lang w:val="en-US"/>
        </w:rPr>
        <w:t xml:space="preserve"> was performed using polymerase chain reaction (PCR). The results showed that 12 (21.1%) isolates were ESBL producers while 45 (78.9%) were non-producers. The distribution of ESBL isolates across the three senatorial zones showed that Zone B had the highest prevalence (58.3%), followed by Zone A (25.0%) and Zone C (16.7%). Molecular analysis revealed the presence of the </w:t>
      </w:r>
      <w:proofErr w:type="spellStart"/>
      <w:r w:rsidRPr="00865A28">
        <w:rPr>
          <w:rFonts w:ascii="Times New Roman" w:eastAsia="Times New Roman" w:hAnsi="Times New Roman" w:cs="Times New Roman"/>
          <w:bCs/>
          <w:sz w:val="24"/>
          <w:szCs w:val="24"/>
          <w:lang w:val="en-US"/>
        </w:rPr>
        <w:t>blaCTX</w:t>
      </w:r>
      <w:proofErr w:type="spellEnd"/>
      <w:r w:rsidRPr="00865A28">
        <w:rPr>
          <w:rFonts w:ascii="Times New Roman" w:eastAsia="Times New Roman" w:hAnsi="Times New Roman" w:cs="Times New Roman"/>
          <w:bCs/>
          <w:sz w:val="24"/>
          <w:szCs w:val="24"/>
          <w:lang w:val="en-US"/>
        </w:rPr>
        <w:t>-M gene</w:t>
      </w:r>
      <w:r w:rsidRPr="00865A28">
        <w:rPr>
          <w:rFonts w:ascii="Times New Roman" w:eastAsia="Times New Roman" w:hAnsi="Times New Roman" w:cs="Times New Roman"/>
          <w:sz w:val="24"/>
          <w:szCs w:val="24"/>
          <w:lang w:val="en-US"/>
        </w:rPr>
        <w:t xml:space="preserve">, confirming ESBL production in several isolates, while the </w:t>
      </w:r>
      <w:r w:rsidRPr="00865A28">
        <w:rPr>
          <w:rFonts w:ascii="Times New Roman" w:eastAsia="Times New Roman" w:hAnsi="Times New Roman" w:cs="Times New Roman"/>
          <w:bCs/>
          <w:sz w:val="24"/>
          <w:szCs w:val="24"/>
          <w:lang w:val="en-US"/>
        </w:rPr>
        <w:t>NDM gene</w:t>
      </w:r>
      <w:r w:rsidRPr="00865A28">
        <w:rPr>
          <w:rFonts w:ascii="Times New Roman" w:eastAsia="Times New Roman" w:hAnsi="Times New Roman" w:cs="Times New Roman"/>
          <w:sz w:val="24"/>
          <w:szCs w:val="24"/>
          <w:lang w:val="en-US"/>
        </w:rPr>
        <w:t xml:space="preserve"> was detected in two isolates. No isolates were found to carry the </w:t>
      </w:r>
      <w:r w:rsidRPr="00865A28">
        <w:rPr>
          <w:rFonts w:ascii="Times New Roman" w:eastAsia="Times New Roman" w:hAnsi="Times New Roman" w:cs="Times New Roman"/>
          <w:bCs/>
          <w:sz w:val="24"/>
          <w:szCs w:val="24"/>
          <w:lang w:val="en-US"/>
        </w:rPr>
        <w:t>KPC gene</w:t>
      </w:r>
      <w:r w:rsidRPr="00865A28">
        <w:rPr>
          <w:rFonts w:ascii="Times New Roman" w:eastAsia="Times New Roman" w:hAnsi="Times New Roman" w:cs="Times New Roman"/>
          <w:sz w:val="24"/>
          <w:szCs w:val="24"/>
          <w:lang w:val="en-US"/>
        </w:rPr>
        <w:t xml:space="preserve">. The findings highlight the growing burden of ESBL-producing </w:t>
      </w:r>
      <w:r w:rsidRPr="00865A28">
        <w:rPr>
          <w:rFonts w:ascii="Times New Roman" w:eastAsia="Times New Roman" w:hAnsi="Times New Roman" w:cs="Times New Roman"/>
          <w:i/>
          <w:iCs/>
          <w:sz w:val="24"/>
          <w:szCs w:val="24"/>
          <w:lang w:val="en-US"/>
        </w:rPr>
        <w:t>K. pneumoniae</w:t>
      </w:r>
      <w:r w:rsidRPr="00865A28">
        <w:rPr>
          <w:rFonts w:ascii="Times New Roman" w:eastAsia="Times New Roman" w:hAnsi="Times New Roman" w:cs="Times New Roman"/>
          <w:sz w:val="24"/>
          <w:szCs w:val="24"/>
          <w:lang w:val="en-US"/>
        </w:rPr>
        <w:t xml:space="preserve"> in diabetic foot infections and underscore the need for continuous molecular surveillance, antimicrobial stewardship, and improved infection control strategies in healthcare facilities in Nigeria.</w:t>
      </w:r>
    </w:p>
    <w:p w:rsidR="00C46B92" w:rsidRPr="00865A28" w:rsidRDefault="00C46B92" w:rsidP="00865A28">
      <w:pPr>
        <w:spacing w:before="100" w:beforeAutospacing="1" w:after="100" w:afterAutospacing="1" w:line="24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b/>
          <w:sz w:val="24"/>
          <w:szCs w:val="24"/>
          <w:lang w:val="en-US"/>
        </w:rPr>
        <w:t>Keywords</w:t>
      </w:r>
      <w:r>
        <w:rPr>
          <w:rFonts w:ascii="Times New Roman" w:eastAsia="Times New Roman" w:hAnsi="Times New Roman" w:cs="Times New Roman"/>
          <w:sz w:val="24"/>
          <w:szCs w:val="24"/>
          <w:lang w:val="en-US"/>
        </w:rPr>
        <w:t xml:space="preserve">: </w:t>
      </w:r>
      <w:r w:rsidRPr="00C46B92">
        <w:rPr>
          <w:rFonts w:ascii="Times New Roman" w:hAnsi="Times New Roman" w:cs="Times New Roman"/>
          <w:sz w:val="24"/>
          <w:szCs w:val="24"/>
        </w:rPr>
        <w:t xml:space="preserve">ESBL, </w:t>
      </w:r>
      <w:proofErr w:type="spellStart"/>
      <w:r w:rsidRPr="00C46B92">
        <w:rPr>
          <w:rFonts w:ascii="Times New Roman" w:hAnsi="Times New Roman" w:cs="Times New Roman"/>
          <w:sz w:val="24"/>
          <w:szCs w:val="24"/>
        </w:rPr>
        <w:t>blaCTX</w:t>
      </w:r>
      <w:proofErr w:type="spellEnd"/>
      <w:r w:rsidRPr="00C46B92">
        <w:rPr>
          <w:rFonts w:ascii="Times New Roman" w:hAnsi="Times New Roman" w:cs="Times New Roman"/>
          <w:sz w:val="24"/>
          <w:szCs w:val="24"/>
        </w:rPr>
        <w:t xml:space="preserve">-M, </w:t>
      </w:r>
      <w:proofErr w:type="spellStart"/>
      <w:r w:rsidRPr="00C46B92">
        <w:rPr>
          <w:rFonts w:ascii="Times New Roman" w:hAnsi="Times New Roman" w:cs="Times New Roman"/>
          <w:sz w:val="24"/>
          <w:szCs w:val="24"/>
        </w:rPr>
        <w:t>blaNDM</w:t>
      </w:r>
      <w:proofErr w:type="spellEnd"/>
      <w:r w:rsidRPr="00C46B92">
        <w:rPr>
          <w:rFonts w:ascii="Times New Roman" w:hAnsi="Times New Roman" w:cs="Times New Roman"/>
          <w:sz w:val="24"/>
          <w:szCs w:val="24"/>
        </w:rPr>
        <w:t>, Molecular Detection, PCR, Antimi</w:t>
      </w:r>
      <w:r>
        <w:rPr>
          <w:rFonts w:ascii="Times New Roman" w:hAnsi="Times New Roman" w:cs="Times New Roman"/>
          <w:sz w:val="24"/>
          <w:szCs w:val="24"/>
        </w:rPr>
        <w:t>crobial Resistance.</w:t>
      </w:r>
    </w:p>
    <w:p w:rsidR="00D137B0" w:rsidRDefault="00D137B0" w:rsidP="004F2488">
      <w:pPr>
        <w:spacing w:after="0" w:line="480" w:lineRule="auto"/>
        <w:jc w:val="both"/>
        <w:rPr>
          <w:rFonts w:ascii="Times New Roman" w:hAnsi="Times New Roman" w:cs="Times New Roman"/>
          <w:sz w:val="24"/>
          <w:szCs w:val="24"/>
        </w:rPr>
      </w:pPr>
    </w:p>
    <w:p w:rsidR="004F2488" w:rsidRPr="00102108" w:rsidRDefault="004F2488" w:rsidP="004F2488">
      <w:pPr>
        <w:pStyle w:val="ListParagraph"/>
        <w:numPr>
          <w:ilvl w:val="0"/>
          <w:numId w:val="1"/>
        </w:numPr>
        <w:spacing w:after="0" w:line="480" w:lineRule="auto"/>
        <w:jc w:val="both"/>
        <w:rPr>
          <w:rFonts w:ascii="Times New Roman" w:hAnsi="Times New Roman" w:cs="Times New Roman"/>
          <w:b/>
          <w:sz w:val="24"/>
          <w:szCs w:val="24"/>
        </w:rPr>
      </w:pPr>
      <w:r w:rsidRPr="00102108">
        <w:rPr>
          <w:rFonts w:ascii="Times New Roman" w:hAnsi="Times New Roman" w:cs="Times New Roman"/>
          <w:b/>
          <w:sz w:val="24"/>
          <w:szCs w:val="24"/>
        </w:rPr>
        <w:t>INTRODUCTION</w:t>
      </w:r>
    </w:p>
    <w:p w:rsidR="004F2488" w:rsidRDefault="004F2488" w:rsidP="004F2488">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Molecular identification methods, such as polymerase chain reaction (PCR) and sequencing of conserved genetic markers like the 16S rRNA gene or species-specific genes (e.g., </w:t>
      </w:r>
      <w:proofErr w:type="spellStart"/>
      <w:r w:rsidRPr="00CE069D">
        <w:rPr>
          <w:rFonts w:ascii="Times New Roman" w:hAnsi="Times New Roman" w:cs="Times New Roman"/>
          <w:sz w:val="24"/>
          <w:szCs w:val="24"/>
        </w:rPr>
        <w:t>rpoB</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ureD</w:t>
      </w:r>
      <w:proofErr w:type="spellEnd"/>
      <w:r w:rsidRPr="00CE069D">
        <w:rPr>
          <w:rFonts w:ascii="Times New Roman" w:hAnsi="Times New Roman" w:cs="Times New Roman"/>
          <w:sz w:val="24"/>
          <w:szCs w:val="24"/>
        </w:rPr>
        <w:t xml:space="preserve">), have become the gold standards for detecting </w:t>
      </w:r>
      <w:r w:rsidRPr="004F2488">
        <w:rPr>
          <w:rFonts w:ascii="Times New Roman" w:hAnsi="Times New Roman" w:cs="Times New Roman"/>
          <w:i/>
          <w:sz w:val="24"/>
          <w:szCs w:val="24"/>
        </w:rPr>
        <w:t>K. pneumoniae</w:t>
      </w:r>
      <w:r w:rsidRPr="00CE069D">
        <w:rPr>
          <w:rFonts w:ascii="Times New Roman" w:hAnsi="Times New Roman" w:cs="Times New Roman"/>
          <w:sz w:val="24"/>
          <w:szCs w:val="24"/>
        </w:rPr>
        <w:t xml:space="preserve"> with high specificity and sensitivity (Chen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2023). These techniques overcome the limitations of traditional culture-based methods, which are often time-consuming, less sensitive, and prone to misidentification. </w:t>
      </w:r>
      <w:r w:rsidRPr="00CE069D">
        <w:rPr>
          <w:rFonts w:ascii="Times New Roman" w:hAnsi="Times New Roman" w:cs="Times New Roman"/>
          <w:sz w:val="24"/>
          <w:szCs w:val="24"/>
        </w:rPr>
        <w:lastRenderedPageBreak/>
        <w:t>Molecular characterization also enables the detection of virulence genes and antimicrobial resistance determinants, offering valuable information for clinical management and infection control (</w:t>
      </w:r>
      <w:proofErr w:type="spellStart"/>
      <w:r w:rsidRPr="00CE069D">
        <w:rPr>
          <w:rFonts w:ascii="Times New Roman" w:hAnsi="Times New Roman" w:cs="Times New Roman"/>
          <w:sz w:val="24"/>
          <w:szCs w:val="24"/>
        </w:rPr>
        <w:t>Peirano</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Pitout</w:t>
      </w:r>
      <w:proofErr w:type="spellEnd"/>
      <w:r w:rsidRPr="00CE069D">
        <w:rPr>
          <w:rFonts w:ascii="Times New Roman" w:hAnsi="Times New Roman" w:cs="Times New Roman"/>
          <w:sz w:val="24"/>
          <w:szCs w:val="24"/>
        </w:rPr>
        <w:t>, 2022).</w:t>
      </w:r>
    </w:p>
    <w:p w:rsidR="00C46B92" w:rsidRPr="00EF00A2" w:rsidRDefault="00C46B92" w:rsidP="00EF00A2">
      <w:pPr>
        <w:spacing w:before="100" w:beforeAutospacing="1" w:after="100" w:afterAutospacing="1" w:line="480" w:lineRule="auto"/>
        <w:jc w:val="both"/>
        <w:rPr>
          <w:rFonts w:ascii="Times New Roman" w:eastAsia="Times New Roman" w:hAnsi="Times New Roman" w:cs="Times New Roman"/>
          <w:sz w:val="24"/>
          <w:szCs w:val="24"/>
          <w:lang w:val="en-US"/>
        </w:rPr>
      </w:pPr>
      <w:r w:rsidRPr="00EF00A2">
        <w:rPr>
          <w:rFonts w:ascii="Times New Roman" w:eastAsia="Times New Roman" w:hAnsi="Times New Roman" w:cs="Times New Roman"/>
          <w:sz w:val="24"/>
          <w:szCs w:val="24"/>
          <w:lang w:val="en-US"/>
        </w:rPr>
        <w:t xml:space="preserve">Nigeria is currently experiencing an increasing prevalence of diabetes mellitus alongside a growing burden of antimicrobial resistance. In many healthcare facilities across the country, antimicrobial stewardship programs are still developing, and the misuse or overuse of antibiotics remains a significant challenge. These factors create favorable conditions for the emergence and spread of multidrug-resistant bacterial pathogens, including ESBL-producing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(Ayeni et al., 2025).</w:t>
      </w:r>
    </w:p>
    <w:p w:rsidR="00C46B92" w:rsidRPr="00EF00A2" w:rsidRDefault="00C46B92" w:rsidP="00EF00A2">
      <w:pPr>
        <w:spacing w:before="100" w:beforeAutospacing="1" w:after="100" w:afterAutospacing="1" w:line="480" w:lineRule="auto"/>
        <w:jc w:val="both"/>
        <w:rPr>
          <w:rFonts w:ascii="Times New Roman" w:eastAsia="Times New Roman" w:hAnsi="Times New Roman" w:cs="Times New Roman"/>
          <w:sz w:val="24"/>
          <w:szCs w:val="24"/>
          <w:lang w:val="en-US"/>
        </w:rPr>
      </w:pPr>
      <w:r w:rsidRPr="00EF00A2">
        <w:rPr>
          <w:rFonts w:ascii="Times New Roman" w:eastAsia="Times New Roman" w:hAnsi="Times New Roman" w:cs="Times New Roman"/>
          <w:sz w:val="24"/>
          <w:szCs w:val="24"/>
          <w:lang w:val="en-US"/>
        </w:rPr>
        <w:t xml:space="preserve">Despite the clinical importance of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in diabetic foot infections, molecular epidemiological data from Nigeria remain limited, particularly at the regional level. Benue State hosts several tertiary health facilities that manage a large number of diabetic patients presenting with foot complications. However, routine microbial surveillance in these facilities is often based on conventional culture techniques, and molecular characterization of pathogens is rarely performed.</w:t>
      </w:r>
    </w:p>
    <w:p w:rsidR="00C46B92" w:rsidRPr="00EF00A2" w:rsidRDefault="00C46B92" w:rsidP="00EF00A2">
      <w:pPr>
        <w:spacing w:before="100" w:beforeAutospacing="1" w:after="100" w:afterAutospacing="1" w:line="480" w:lineRule="auto"/>
        <w:jc w:val="both"/>
        <w:rPr>
          <w:rFonts w:ascii="Times New Roman" w:hAnsi="Times New Roman" w:cs="Times New Roman"/>
          <w:sz w:val="24"/>
          <w:szCs w:val="24"/>
        </w:rPr>
      </w:pPr>
      <w:r w:rsidRPr="00EF00A2">
        <w:rPr>
          <w:rFonts w:ascii="Times New Roman" w:eastAsia="Times New Roman" w:hAnsi="Times New Roman" w:cs="Times New Roman"/>
          <w:sz w:val="24"/>
          <w:szCs w:val="24"/>
          <w:lang w:val="en-US"/>
        </w:rPr>
        <w:t xml:space="preserve">Therefore, conducting a molecular investigation of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isolates from diabetic foot wounds in tertiary health facilities in Benue State is essential for understanding the prevalence of ESBL-producing strains and the distribution of important antimicrobial resistance genes such as </w:t>
      </w:r>
      <w:proofErr w:type="spellStart"/>
      <w:r w:rsidRPr="00EF00A2">
        <w:rPr>
          <w:rFonts w:ascii="Times New Roman" w:eastAsia="Times New Roman" w:hAnsi="Times New Roman" w:cs="Times New Roman"/>
          <w:bCs/>
          <w:sz w:val="24"/>
          <w:szCs w:val="24"/>
          <w:lang w:val="en-US"/>
        </w:rPr>
        <w:t>blaCTX</w:t>
      </w:r>
      <w:proofErr w:type="spellEnd"/>
      <w:r w:rsidRPr="00EF00A2">
        <w:rPr>
          <w:rFonts w:ascii="Times New Roman" w:eastAsia="Times New Roman" w:hAnsi="Times New Roman" w:cs="Times New Roman"/>
          <w:bCs/>
          <w:sz w:val="24"/>
          <w:szCs w:val="24"/>
          <w:lang w:val="en-US"/>
        </w:rPr>
        <w:t>-M</w:t>
      </w:r>
      <w:r w:rsidRPr="00EF00A2">
        <w:rPr>
          <w:rFonts w:ascii="Times New Roman" w:eastAsia="Times New Roman" w:hAnsi="Times New Roman" w:cs="Times New Roman"/>
          <w:sz w:val="24"/>
          <w:szCs w:val="24"/>
          <w:lang w:val="en-US"/>
        </w:rPr>
        <w:t xml:space="preserve">, </w:t>
      </w:r>
      <w:proofErr w:type="spellStart"/>
      <w:r w:rsidRPr="00EF00A2">
        <w:rPr>
          <w:rFonts w:ascii="Times New Roman" w:eastAsia="Times New Roman" w:hAnsi="Times New Roman" w:cs="Times New Roman"/>
          <w:bCs/>
          <w:sz w:val="24"/>
          <w:szCs w:val="24"/>
          <w:lang w:val="en-US"/>
        </w:rPr>
        <w:t>blaNDM</w:t>
      </w:r>
      <w:proofErr w:type="spellEnd"/>
      <w:r w:rsidRPr="00EF00A2">
        <w:rPr>
          <w:rFonts w:ascii="Times New Roman" w:eastAsia="Times New Roman" w:hAnsi="Times New Roman" w:cs="Times New Roman"/>
          <w:sz w:val="24"/>
          <w:szCs w:val="24"/>
          <w:lang w:val="en-US"/>
        </w:rPr>
        <w:t xml:space="preserve">, and </w:t>
      </w:r>
      <w:proofErr w:type="spellStart"/>
      <w:r w:rsidRPr="00EF00A2">
        <w:rPr>
          <w:rFonts w:ascii="Times New Roman" w:eastAsia="Times New Roman" w:hAnsi="Times New Roman" w:cs="Times New Roman"/>
          <w:bCs/>
          <w:sz w:val="24"/>
          <w:szCs w:val="24"/>
          <w:lang w:val="en-US"/>
        </w:rPr>
        <w:t>blaKPC</w:t>
      </w:r>
      <w:proofErr w:type="spellEnd"/>
      <w:r w:rsidRPr="00EF00A2">
        <w:rPr>
          <w:rFonts w:ascii="Times New Roman" w:eastAsia="Times New Roman" w:hAnsi="Times New Roman" w:cs="Times New Roman"/>
          <w:sz w:val="24"/>
          <w:szCs w:val="24"/>
          <w:lang w:val="en-US"/>
        </w:rPr>
        <w:t>. Such information will help improve diagnostic accuracy, guide appropriate antibiotic therapy, and contribute to the development of effective infection control strategies aimed at reducing the burden of multidrug-resistant infections among diabetic patients.</w:t>
      </w:r>
      <w:r w:rsidR="00EF00A2" w:rsidRPr="00EF00A2">
        <w:rPr>
          <w:rFonts w:ascii="Times New Roman" w:eastAsia="Times New Roman" w:hAnsi="Times New Roman" w:cs="Times New Roman"/>
          <w:sz w:val="24"/>
          <w:szCs w:val="24"/>
          <w:lang w:val="en-US"/>
        </w:rPr>
        <w:t xml:space="preserve"> </w:t>
      </w:r>
    </w:p>
    <w:p w:rsidR="004F2488" w:rsidRPr="004F2488" w:rsidRDefault="004F2488" w:rsidP="00102108">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MATERIALS AND METHODS</w:t>
      </w:r>
    </w:p>
    <w:p w:rsidR="004F2488" w:rsidRPr="00CE069D" w:rsidRDefault="004F2488" w:rsidP="004F2488">
      <w:pPr>
        <w:autoSpaceDE w:val="0"/>
        <w:autoSpaceDN w:val="0"/>
        <w:adjustRightInd w:val="0"/>
        <w:spacing w:after="0" w:line="480" w:lineRule="auto"/>
        <w:jc w:val="both"/>
        <w:rPr>
          <w:rFonts w:ascii="Times New Roman" w:hAnsi="Times New Roman" w:cs="Times New Roman"/>
          <w:sz w:val="24"/>
          <w:szCs w:val="24"/>
        </w:rPr>
      </w:pPr>
      <w:r w:rsidRPr="00CE069D">
        <w:rPr>
          <w:rFonts w:ascii="Times New Roman" w:hAnsi="Times New Roman" w:cs="Times New Roman"/>
          <w:b/>
          <w:sz w:val="24"/>
          <w:szCs w:val="24"/>
        </w:rPr>
        <w:t>Detection of Extended spectrum beta-lactamases (ESBLs)</w:t>
      </w:r>
    </w:p>
    <w:p w:rsidR="004F2488" w:rsidRPr="004F2488" w:rsidRDefault="004F2488" w:rsidP="004F2488">
      <w:pPr>
        <w:spacing w:line="480" w:lineRule="auto"/>
        <w:jc w:val="both"/>
        <w:rPr>
          <w:rFonts w:ascii="Times New Roman" w:hAnsi="Times New Roman" w:cs="Times New Roman"/>
          <w:sz w:val="24"/>
          <w:szCs w:val="24"/>
        </w:rPr>
      </w:pPr>
      <w:r w:rsidRPr="004F2488">
        <w:rPr>
          <w:rFonts w:ascii="Times New Roman" w:hAnsi="Times New Roman" w:cs="Times New Roman"/>
          <w:sz w:val="24"/>
          <w:szCs w:val="24"/>
        </w:rPr>
        <w:t>Double Disc Synergy Test</w:t>
      </w:r>
      <w:r>
        <w:rPr>
          <w:rFonts w:ascii="Times New Roman" w:hAnsi="Times New Roman" w:cs="Times New Roman"/>
          <w:sz w:val="24"/>
          <w:szCs w:val="24"/>
        </w:rPr>
        <w:t xml:space="preserve"> was used to detect </w:t>
      </w:r>
      <w:r w:rsidRPr="00CE069D">
        <w:rPr>
          <w:rFonts w:ascii="Times New Roman" w:hAnsi="Times New Roman" w:cs="Times New Roman"/>
          <w:i/>
          <w:iCs/>
          <w:sz w:val="24"/>
          <w:szCs w:val="24"/>
        </w:rPr>
        <w:t xml:space="preserve">K. </w:t>
      </w:r>
      <w:proofErr w:type="gramStart"/>
      <w:r w:rsidRPr="00CE069D">
        <w:rPr>
          <w:rFonts w:ascii="Times New Roman" w:hAnsi="Times New Roman" w:cs="Times New Roman"/>
          <w:i/>
          <w:iCs/>
          <w:sz w:val="24"/>
          <w:szCs w:val="24"/>
        </w:rPr>
        <w:t>pneumoniae</w:t>
      </w:r>
      <w:r w:rsidR="00D26D35">
        <w:rPr>
          <w:rFonts w:ascii="Times New Roman" w:eastAsia="Times New Roman" w:hAnsi="Times New Roman" w:cs="Times New Roman"/>
          <w:sz w:val="24"/>
          <w:szCs w:val="24"/>
        </w:rPr>
        <w:t xml:space="preserve"> .</w:t>
      </w:r>
      <w:proofErr w:type="gramEnd"/>
      <w:r w:rsidRPr="00CE069D">
        <w:rPr>
          <w:rFonts w:ascii="Times New Roman" w:eastAsia="Times New Roman" w:hAnsi="Times New Roman" w:cs="Times New Roman"/>
          <w:sz w:val="24"/>
          <w:szCs w:val="24"/>
        </w:rPr>
        <w:t xml:space="preserve"> </w:t>
      </w:r>
      <w:r w:rsidR="00D26D35" w:rsidRPr="00CE069D">
        <w:rPr>
          <w:rFonts w:ascii="Times New Roman" w:hAnsi="Times New Roman" w:cs="Times New Roman"/>
          <w:i/>
          <w:iCs/>
          <w:sz w:val="24"/>
          <w:szCs w:val="24"/>
        </w:rPr>
        <w:t>K. pneumoniae</w:t>
      </w:r>
      <w:r w:rsidR="00D26D35" w:rsidRPr="00CE069D">
        <w:rPr>
          <w:rFonts w:ascii="Times New Roman" w:eastAsia="Times New Roman" w:hAnsi="Times New Roman" w:cs="Times New Roman"/>
          <w:sz w:val="24"/>
          <w:szCs w:val="24"/>
        </w:rPr>
        <w:t xml:space="preserve"> isolates </w:t>
      </w:r>
      <w:r w:rsidRPr="00CE069D">
        <w:rPr>
          <w:rFonts w:ascii="Times New Roman" w:eastAsia="Times New Roman" w:hAnsi="Times New Roman" w:cs="Times New Roman"/>
          <w:sz w:val="24"/>
          <w:szCs w:val="24"/>
        </w:rPr>
        <w:t>were spread onto a Muller-Hinton agar plate. The antibiotic discs used were Ceftriaxone (30 µg), Cefotaxime (30 µg), Ceftazidime (30 µg), and Amoxicillin/Clavulanic acid (20/10 µg). The three antibiotics were placed at distances of 30 mm from the clavulanate disc that was placed in the middle of the plate. After 24 hours of incubation, an enhanced zone of inhibition between either of the cephalosporin antibiotics or the amoxicillin/clavulanic acid disc occurred, and the test was considered positive. This indicated synergistic activity with clavulanic acid and the presence of an ESBL.</w:t>
      </w:r>
    </w:p>
    <w:p w:rsidR="004F2488" w:rsidRPr="00CE069D" w:rsidRDefault="004F2488" w:rsidP="004F2488">
      <w:pPr>
        <w:spacing w:line="240" w:lineRule="auto"/>
        <w:jc w:val="both"/>
        <w:rPr>
          <w:rFonts w:ascii="Times New Roman" w:hAnsi="Times New Roman" w:cs="Times New Roman"/>
          <w:b/>
          <w:sz w:val="24"/>
          <w:szCs w:val="24"/>
        </w:rPr>
      </w:pPr>
      <w:r w:rsidRPr="00CE069D">
        <w:rPr>
          <w:rFonts w:ascii="Times New Roman" w:hAnsi="Times New Roman" w:cs="Times New Roman"/>
          <w:b/>
          <w:sz w:val="24"/>
          <w:szCs w:val="24"/>
        </w:rPr>
        <w:t xml:space="preserve">Phenotypic </w:t>
      </w:r>
      <w:r w:rsidR="00D26D35">
        <w:rPr>
          <w:rFonts w:ascii="Times New Roman" w:hAnsi="Times New Roman" w:cs="Times New Roman"/>
          <w:b/>
          <w:sz w:val="24"/>
          <w:szCs w:val="24"/>
        </w:rPr>
        <w:t xml:space="preserve">Confirmatory </w:t>
      </w:r>
    </w:p>
    <w:p w:rsidR="004F2488" w:rsidRPr="004F2488" w:rsidRDefault="004F2488" w:rsidP="004F2488">
      <w:pPr>
        <w:spacing w:line="480" w:lineRule="auto"/>
        <w:jc w:val="both"/>
        <w:rPr>
          <w:rFonts w:ascii="Times New Roman" w:hAnsi="Times New Roman" w:cs="Times New Roman"/>
          <w:b/>
          <w:sz w:val="24"/>
          <w:szCs w:val="24"/>
        </w:rPr>
      </w:pPr>
      <w:r w:rsidRPr="00CE069D">
        <w:rPr>
          <w:rFonts w:ascii="Times New Roman" w:hAnsi="Times New Roman" w:cs="Times New Roman"/>
          <w:sz w:val="24"/>
          <w:szCs w:val="24"/>
        </w:rPr>
        <w:t xml:space="preserve">Ceftazidime (30 µg) disk was used alone and in combination with Clavulanic acid (30 µg/10µg) for phenotypic confirmation of the presence of ESBLs. The antibiotics were placed within 20mm of the surface of the plate and incubated for 24 hours at 37°C. The </w:t>
      </w:r>
      <w:r w:rsidRPr="00CE069D">
        <w:rPr>
          <w:rStyle w:val="Emphasis"/>
          <w:rFonts w:ascii="Times New Roman" w:hAnsi="Times New Roman" w:cs="Times New Roman"/>
          <w:sz w:val="24"/>
          <w:szCs w:val="24"/>
        </w:rPr>
        <w:t>K. pneumoniae</w:t>
      </w:r>
      <w:r w:rsidRPr="00CE069D">
        <w:rPr>
          <w:rFonts w:ascii="Times New Roman" w:hAnsi="Times New Roman" w:cs="Times New Roman"/>
          <w:sz w:val="24"/>
          <w:szCs w:val="24"/>
        </w:rPr>
        <w:t xml:space="preserve"> were considered ESBL producers due to a ≥ 5 mm increase in zone diameter for either of the Ceftazidime discs or their respective Ceftazidime/Clavulanate discs.</w:t>
      </w:r>
    </w:p>
    <w:p w:rsidR="004F2488" w:rsidRPr="00CE069D" w:rsidRDefault="004F2488" w:rsidP="004F2488">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DNA Extraction</w:t>
      </w:r>
    </w:p>
    <w:p w:rsidR="004F2488" w:rsidRPr="00A275AB"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Genomic DNA was extracted from overnight bacterial cultures using the boiling method. Briefly, 2-3 colonies were suspended in 200 µL of sterile distilled water and heated at 95 °C for 10 minutes, followed by centrifugation at 13,000 rpm for 5 minutes. The supernatant containing DNA was stored at -20 °C until use.</w:t>
      </w:r>
    </w:p>
    <w:p w:rsidR="004F2488" w:rsidRPr="00CE069D" w:rsidRDefault="004F2488" w:rsidP="004F2488">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Polymerase Chain Reaction (PCR) for Species Confirmation</w:t>
      </w:r>
    </w:p>
    <w:p w:rsidR="004F2488" w:rsidRPr="00CE069D"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lastRenderedPageBreak/>
        <w:t xml:space="preserve">Molecular confirmation of </w:t>
      </w:r>
      <w:r w:rsidRPr="00CE069D">
        <w:rPr>
          <w:rFonts w:ascii="Times New Roman" w:eastAsia="Times New Roman" w:hAnsi="Times New Roman" w:cs="Times New Roman"/>
          <w:i/>
          <w:iCs/>
          <w:sz w:val="24"/>
          <w:szCs w:val="24"/>
        </w:rPr>
        <w:t>K. pneumoniae</w:t>
      </w:r>
      <w:r w:rsidRPr="00CE069D">
        <w:rPr>
          <w:rFonts w:ascii="Times New Roman" w:eastAsia="Times New Roman" w:hAnsi="Times New Roman" w:cs="Times New Roman"/>
          <w:sz w:val="24"/>
          <w:szCs w:val="24"/>
        </w:rPr>
        <w:t xml:space="preserve"> was carried out using PCR targeting </w:t>
      </w:r>
      <w:proofErr w:type="spellStart"/>
      <w:r w:rsidRPr="00CE069D">
        <w:rPr>
          <w:rFonts w:ascii="Times New Roman" w:eastAsia="Times New Roman" w:hAnsi="Times New Roman" w:cs="Times New Roman"/>
          <w:i/>
          <w:iCs/>
          <w:sz w:val="24"/>
          <w:szCs w:val="24"/>
        </w:rPr>
        <w:t>rpoB</w:t>
      </w:r>
      <w:proofErr w:type="spellEnd"/>
      <w:r w:rsidRPr="00CE069D">
        <w:rPr>
          <w:rFonts w:ascii="Times New Roman" w:eastAsia="Times New Roman" w:hAnsi="Times New Roman" w:cs="Times New Roman"/>
          <w:sz w:val="24"/>
          <w:szCs w:val="24"/>
        </w:rPr>
        <w:t xml:space="preserve"> genes. The PCR reactions were performed in 25 µL volumes containing 12.5 µL of Master Mix, 1 µL each of forward and reverse primers, 2 µL of DNA template, and 8.5 µL of nuclease-free water. Thermocycling conditions were optimized for each primer set based on manufacturer protocols.</w:t>
      </w:r>
    </w:p>
    <w:p w:rsidR="004F2488" w:rsidRPr="00CE069D"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PCR products were electrophoresed on 1.5 % agarose gel stained with ethidium bromide and v</w:t>
      </w:r>
      <w:r>
        <w:rPr>
          <w:rFonts w:ascii="Times New Roman" w:eastAsia="Times New Roman" w:hAnsi="Times New Roman" w:cs="Times New Roman"/>
          <w:sz w:val="24"/>
          <w:szCs w:val="24"/>
        </w:rPr>
        <w:t xml:space="preserve">isualized under UV illumination </w:t>
      </w:r>
      <w:r w:rsidRPr="00CE069D">
        <w:rPr>
          <w:rFonts w:ascii="Times New Roman" w:eastAsia="Times New Roman" w:hAnsi="Times New Roman" w:cs="Times New Roman"/>
          <w:sz w:val="24"/>
          <w:szCs w:val="24"/>
        </w:rPr>
        <w:t>(</w:t>
      </w:r>
      <w:proofErr w:type="spellStart"/>
      <w:r w:rsidRPr="00CE069D">
        <w:rPr>
          <w:rFonts w:ascii="Times New Roman" w:eastAsia="Times New Roman" w:hAnsi="Times New Roman" w:cs="Times New Roman"/>
          <w:sz w:val="24"/>
          <w:szCs w:val="24"/>
        </w:rPr>
        <w:t>Peirano</w:t>
      </w:r>
      <w:proofErr w:type="spellEnd"/>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sz w:val="24"/>
          <w:szCs w:val="24"/>
        </w:rPr>
        <w:t>Pitout</w:t>
      </w:r>
      <w:proofErr w:type="spellEnd"/>
      <w:r w:rsidRPr="00CE069D">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rsidR="004F2488" w:rsidRPr="00CE069D" w:rsidRDefault="004F2488" w:rsidP="00D26D3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Detection of Antibiotic Resistance Genes</w:t>
      </w:r>
    </w:p>
    <w:p w:rsidR="004F2488"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PCR assays were used to detect selected resistance genes including </w:t>
      </w:r>
      <w:proofErr w:type="spellStart"/>
      <w:r w:rsidRPr="00B22BE3">
        <w:rPr>
          <w:rFonts w:ascii="Times New Roman" w:eastAsia="Times New Roman" w:hAnsi="Times New Roman" w:cs="Times New Roman"/>
          <w:i/>
          <w:iCs/>
          <w:sz w:val="24"/>
          <w:szCs w:val="24"/>
        </w:rPr>
        <w:t>blaCTX</w:t>
      </w:r>
      <w:proofErr w:type="spellEnd"/>
      <w:r w:rsidRPr="00B22BE3">
        <w:rPr>
          <w:rFonts w:ascii="Times New Roman" w:eastAsia="Times New Roman" w:hAnsi="Times New Roman" w:cs="Times New Roman"/>
          <w:i/>
          <w:iCs/>
          <w:sz w:val="24"/>
          <w:szCs w:val="24"/>
        </w:rPr>
        <w:t>-M,</w:t>
      </w:r>
      <w:r w:rsidRPr="00CE069D">
        <w:rPr>
          <w:rFonts w:ascii="Times New Roman" w:eastAsia="Times New Roman" w:hAnsi="Times New Roman" w:cs="Times New Roman"/>
          <w:sz w:val="24"/>
          <w:szCs w:val="24"/>
        </w:rPr>
        <w:t xml:space="preserve"> </w:t>
      </w:r>
      <w:proofErr w:type="spellStart"/>
      <w:r w:rsidRPr="00B22BE3">
        <w:rPr>
          <w:rFonts w:ascii="Times New Roman" w:eastAsia="Times New Roman" w:hAnsi="Times New Roman" w:cs="Times New Roman"/>
          <w:i/>
          <w:iCs/>
          <w:sz w:val="24"/>
          <w:szCs w:val="24"/>
        </w:rPr>
        <w:t>blaKPC</w:t>
      </w:r>
      <w:proofErr w:type="spellEnd"/>
      <w:r w:rsidRPr="00B22BE3">
        <w:rPr>
          <w:rFonts w:ascii="Times New Roman" w:eastAsia="Times New Roman" w:hAnsi="Times New Roman" w:cs="Times New Roman"/>
          <w:i/>
          <w:iCs/>
          <w:sz w:val="24"/>
          <w:szCs w:val="24"/>
        </w:rPr>
        <w:t>,</w:t>
      </w:r>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i/>
          <w:iCs/>
          <w:sz w:val="24"/>
          <w:szCs w:val="24"/>
        </w:rPr>
        <w:t>blaNDM</w:t>
      </w:r>
      <w:proofErr w:type="spellEnd"/>
      <w:r w:rsidRPr="00CE069D">
        <w:rPr>
          <w:rFonts w:ascii="Times New Roman" w:eastAsia="Times New Roman" w:hAnsi="Times New Roman" w:cs="Times New Roman"/>
          <w:sz w:val="24"/>
          <w:szCs w:val="24"/>
        </w:rPr>
        <w:t>. Primer sequences and PCR conditions were adopted from previously validated protocols (</w:t>
      </w:r>
      <w:proofErr w:type="spellStart"/>
      <w:r w:rsidRPr="00CE069D">
        <w:rPr>
          <w:rFonts w:ascii="Times New Roman" w:eastAsia="Times New Roman" w:hAnsi="Times New Roman" w:cs="Times New Roman"/>
          <w:sz w:val="24"/>
          <w:szCs w:val="24"/>
        </w:rPr>
        <w:t>Peirano</w:t>
      </w:r>
      <w:proofErr w:type="spellEnd"/>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sz w:val="24"/>
          <w:szCs w:val="24"/>
        </w:rPr>
        <w:t>Pitout</w:t>
      </w:r>
      <w:proofErr w:type="spellEnd"/>
      <w:r w:rsidRPr="00CE069D">
        <w:rPr>
          <w:rFonts w:ascii="Times New Roman" w:eastAsia="Times New Roman" w:hAnsi="Times New Roman" w:cs="Times New Roman"/>
          <w:sz w:val="24"/>
          <w:szCs w:val="24"/>
        </w:rPr>
        <w:t>, 2022; Logan and Weinstein, 2023). Positive and negative controls were included in all reactions.</w:t>
      </w:r>
    </w:p>
    <w:p w:rsidR="00A275AB" w:rsidRPr="007E0A8D" w:rsidRDefault="00A275AB" w:rsidP="00EF00A2">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sz w:val="24"/>
          <w:szCs w:val="24"/>
        </w:rPr>
      </w:pPr>
      <w:r w:rsidRPr="007E0A8D">
        <w:rPr>
          <w:rFonts w:ascii="Times New Roman" w:eastAsia="Times New Roman" w:hAnsi="Times New Roman" w:cs="Times New Roman"/>
          <w:b/>
          <w:sz w:val="24"/>
          <w:szCs w:val="24"/>
        </w:rPr>
        <w:t>RESULTS</w:t>
      </w:r>
    </w:p>
    <w:p w:rsidR="00865A28" w:rsidRPr="00BD0F31" w:rsidRDefault="004F2488" w:rsidP="00865A28">
      <w:pPr>
        <w:spacing w:after="0" w:line="480" w:lineRule="auto"/>
        <w:jc w:val="both"/>
        <w:rPr>
          <w:rFonts w:ascii="Times New Roman" w:hAnsi="Times New Roman" w:cs="Times New Roman"/>
          <w:b/>
          <w:bCs/>
          <w:sz w:val="24"/>
          <w:szCs w:val="24"/>
        </w:rPr>
      </w:pPr>
      <w:proofErr w:type="gramStart"/>
      <w:r w:rsidRPr="00CE069D">
        <w:rPr>
          <w:rFonts w:ascii="Times New Roman" w:eastAsia="Times New Roman" w:hAnsi="Times New Roman" w:cs="Times New Roman"/>
          <w:sz w:val="24"/>
          <w:szCs w:val="24"/>
        </w:rPr>
        <w:t>.</w:t>
      </w:r>
      <w:r w:rsidR="00865A28" w:rsidRPr="00BD0F31">
        <w:rPr>
          <w:rFonts w:ascii="Times New Roman" w:hAnsi="Times New Roman" w:cs="Times New Roman"/>
          <w:b/>
          <w:bCs/>
          <w:sz w:val="24"/>
          <w:szCs w:val="24"/>
        </w:rPr>
        <w:t>Phenotypic</w:t>
      </w:r>
      <w:proofErr w:type="gramEnd"/>
      <w:r w:rsidR="00865A28" w:rsidRPr="00BD0F31">
        <w:rPr>
          <w:rFonts w:ascii="Times New Roman" w:hAnsi="Times New Roman" w:cs="Times New Roman"/>
          <w:b/>
          <w:bCs/>
          <w:sz w:val="24"/>
          <w:szCs w:val="24"/>
        </w:rPr>
        <w:t xml:space="preserve"> Detection of ESβL-Producing Isolates</w:t>
      </w:r>
    </w:p>
    <w:p w:rsidR="00865A28" w:rsidRDefault="00865A28" w:rsidP="00865A28">
      <w:pPr>
        <w:spacing w:after="0" w:line="480" w:lineRule="auto"/>
        <w:jc w:val="both"/>
        <w:rPr>
          <w:rFonts w:ascii="Times New Roman" w:hAnsi="Times New Roman" w:cs="Times New Roman"/>
          <w:sz w:val="24"/>
          <w:szCs w:val="24"/>
        </w:rPr>
      </w:pPr>
      <w:r w:rsidRPr="00BD0F31">
        <w:rPr>
          <w:rFonts w:ascii="Times New Roman" w:hAnsi="Times New Roman" w:cs="Times New Roman"/>
          <w:sz w:val="24"/>
          <w:szCs w:val="24"/>
        </w:rPr>
        <w:t>Phenotypic confirmation of extended-spectrum β-lactamase (ESβL) production using the ceftazidime and ceftazidime–clavulanic acid combination disk test showed that 12 out of the 57 isolates (21.1 %) were ESβL producers, while 45 isolates (78</w:t>
      </w:r>
      <w:r>
        <w:rPr>
          <w:rFonts w:ascii="Times New Roman" w:hAnsi="Times New Roman" w:cs="Times New Roman"/>
          <w:sz w:val="24"/>
          <w:szCs w:val="24"/>
        </w:rPr>
        <w:t>.9%) were non-producers as shown in table 1</w:t>
      </w:r>
      <w:r w:rsidRPr="00BD0F31">
        <w:rPr>
          <w:rFonts w:ascii="Times New Roman" w:hAnsi="Times New Roman" w:cs="Times New Roman"/>
          <w:sz w:val="24"/>
          <w:szCs w:val="24"/>
        </w:rPr>
        <w:t>.</w:t>
      </w:r>
    </w:p>
    <w:p w:rsidR="00EF00A2" w:rsidRPr="00CE069D" w:rsidRDefault="00EF00A2" w:rsidP="00865A28">
      <w:pPr>
        <w:spacing w:after="0" w:line="480" w:lineRule="auto"/>
        <w:jc w:val="both"/>
        <w:rPr>
          <w:rFonts w:ascii="Times New Roman" w:hAnsi="Times New Roman" w:cs="Times New Roman"/>
          <w:sz w:val="24"/>
          <w:szCs w:val="24"/>
        </w:rPr>
      </w:pPr>
    </w:p>
    <w:p w:rsidR="003E54A3" w:rsidRPr="003E54A3" w:rsidRDefault="003E54A3" w:rsidP="00865A28">
      <w:pPr>
        <w:spacing w:after="0" w:line="480" w:lineRule="auto"/>
        <w:jc w:val="both"/>
        <w:rPr>
          <w:rFonts w:ascii="Times New Roman" w:hAnsi="Times New Roman" w:cs="Times New Roman"/>
          <w:b/>
          <w:sz w:val="24"/>
          <w:szCs w:val="24"/>
        </w:rPr>
      </w:pPr>
      <w:r w:rsidRPr="003E54A3">
        <w:rPr>
          <w:rFonts w:ascii="Times New Roman" w:hAnsi="Times New Roman" w:cs="Times New Roman"/>
          <w:b/>
          <w:sz w:val="24"/>
          <w:szCs w:val="24"/>
        </w:rPr>
        <w:t>Distribution of ESBL Across the Three Senatorial Zones</w:t>
      </w:r>
    </w:p>
    <w:p w:rsidR="00865A28" w:rsidRPr="003E54A3" w:rsidRDefault="003E54A3" w:rsidP="00865A28">
      <w:pPr>
        <w:spacing w:after="0" w:line="480" w:lineRule="auto"/>
        <w:jc w:val="both"/>
        <w:rPr>
          <w:rFonts w:ascii="Times New Roman" w:hAnsi="Times New Roman" w:cs="Times New Roman"/>
          <w:b/>
          <w:bCs/>
          <w:sz w:val="24"/>
          <w:szCs w:val="24"/>
        </w:rPr>
      </w:pPr>
      <w:r w:rsidRPr="003E54A3">
        <w:rPr>
          <w:rFonts w:ascii="Times New Roman" w:hAnsi="Times New Roman" w:cs="Times New Roman"/>
          <w:sz w:val="24"/>
          <w:szCs w:val="24"/>
        </w:rPr>
        <w:t xml:space="preserve">Distribution of Extended Spectrum Beta-Lactamase (ESBL) producing isolates across the three senatorial zones. A total of 12 ESBL-producing isolates were identified in the study. Zone B </w:t>
      </w:r>
      <w:r w:rsidRPr="003E54A3">
        <w:rPr>
          <w:rFonts w:ascii="Times New Roman" w:hAnsi="Times New Roman" w:cs="Times New Roman"/>
          <w:sz w:val="24"/>
          <w:szCs w:val="24"/>
        </w:rPr>
        <w:lastRenderedPageBreak/>
        <w:t>recorded the highest number of ESBL isolates, with 7 cases (58.3%). Zone A had 3 cases (25.0%). Zone C recorded the lowest number, with 2 cases (16.7%) as shown in table 2.</w:t>
      </w:r>
    </w:p>
    <w:p w:rsidR="00865A28" w:rsidRPr="00CE069D" w:rsidRDefault="00865A28" w:rsidP="00865A28">
      <w:pPr>
        <w:spacing w:after="0" w:line="480" w:lineRule="auto"/>
        <w:jc w:val="both"/>
        <w:rPr>
          <w:rFonts w:ascii="Times New Roman" w:hAnsi="Times New Roman"/>
          <w:b/>
          <w:bCs/>
          <w:sz w:val="24"/>
          <w:szCs w:val="24"/>
        </w:rPr>
      </w:pPr>
      <w:r w:rsidRPr="00CE069D">
        <w:rPr>
          <w:rFonts w:ascii="Times New Roman" w:hAnsi="Times New Roman"/>
          <w:b/>
          <w:bCs/>
          <w:sz w:val="24"/>
          <w:szCs w:val="24"/>
        </w:rPr>
        <w:t xml:space="preserve">Agarose Gel Electrophoresis of PCR Products </w:t>
      </w:r>
    </w:p>
    <w:p w:rsidR="00865A28" w:rsidRPr="00CE069D" w:rsidRDefault="00865A28" w:rsidP="00865A28">
      <w:pPr>
        <w:spacing w:after="0" w:line="480" w:lineRule="auto"/>
        <w:jc w:val="both"/>
        <w:rPr>
          <w:rFonts w:ascii="Times New Roman" w:hAnsi="Times New Roman"/>
          <w:sz w:val="24"/>
          <w:szCs w:val="24"/>
        </w:rPr>
      </w:pPr>
      <w:r>
        <w:rPr>
          <w:rFonts w:ascii="Times New Roman" w:hAnsi="Times New Roman"/>
          <w:sz w:val="24"/>
          <w:szCs w:val="24"/>
        </w:rPr>
        <w:t xml:space="preserve">The image </w:t>
      </w:r>
      <w:r w:rsidRPr="00CE069D">
        <w:rPr>
          <w:rFonts w:ascii="Times New Roman" w:hAnsi="Times New Roman"/>
          <w:sz w:val="24"/>
          <w:szCs w:val="24"/>
        </w:rPr>
        <w:t>displays the results of an agarose gel electrophoresis used to separate DNA fragments by size. M lane contains a DNA marker (ladder) with fragments of known base pair (bp) lengths, used to estimate the size of DNA fragments in other lanes. The marker shows bands at 3000, 2000, 1500, 1000, 600, 500, and 200 bp. The negative control lane designated as -</w:t>
      </w:r>
      <w:proofErr w:type="spellStart"/>
      <w:r>
        <w:rPr>
          <w:rFonts w:ascii="Times New Roman" w:hAnsi="Times New Roman"/>
          <w:sz w:val="24"/>
          <w:szCs w:val="24"/>
        </w:rPr>
        <w:t>ve</w:t>
      </w:r>
      <w:proofErr w:type="spellEnd"/>
      <w:r>
        <w:rPr>
          <w:rFonts w:ascii="Times New Roman" w:hAnsi="Times New Roman"/>
          <w:sz w:val="24"/>
          <w:szCs w:val="24"/>
        </w:rPr>
        <w:t xml:space="preserve"> showed no DNA bands.</w:t>
      </w:r>
      <w:r w:rsidRPr="00CE069D">
        <w:rPr>
          <w:rFonts w:ascii="Times New Roman" w:hAnsi="Times New Roman"/>
          <w:sz w:val="24"/>
          <w:szCs w:val="24"/>
        </w:rPr>
        <w:t xml:space="preserve"> The positive control lane (+</w:t>
      </w:r>
      <w:proofErr w:type="spellStart"/>
      <w:r w:rsidRPr="00CE069D">
        <w:rPr>
          <w:rFonts w:ascii="Times New Roman" w:hAnsi="Times New Roman"/>
          <w:sz w:val="24"/>
          <w:szCs w:val="24"/>
        </w:rPr>
        <w:t>ve</w:t>
      </w:r>
      <w:proofErr w:type="spellEnd"/>
      <w:r w:rsidRPr="00CE069D">
        <w:rPr>
          <w:rFonts w:ascii="Times New Roman" w:hAnsi="Times New Roman"/>
          <w:sz w:val="24"/>
          <w:szCs w:val="24"/>
        </w:rPr>
        <w:t xml:space="preserve">), showed a band at approximately 593 bp, confirming the amplification of the target gene. </w:t>
      </w:r>
    </w:p>
    <w:p w:rsidR="00D26D35" w:rsidRPr="00CE069D" w:rsidRDefault="00D26D35" w:rsidP="004F2488">
      <w:pPr>
        <w:spacing w:before="100" w:beforeAutospacing="1" w:after="100" w:afterAutospacing="1" w:line="480" w:lineRule="auto"/>
        <w:jc w:val="both"/>
        <w:rPr>
          <w:rFonts w:ascii="Times New Roman" w:eastAsia="Times New Roman" w:hAnsi="Times New Roman" w:cs="Times New Roman"/>
          <w:sz w:val="24"/>
          <w:szCs w:val="24"/>
        </w:rPr>
      </w:pPr>
    </w:p>
    <w:p w:rsidR="00D26D35" w:rsidRPr="00CE069D" w:rsidRDefault="00D26D35" w:rsidP="00D26D35">
      <w:pPr>
        <w:pageBreakBefore/>
        <w:autoSpaceDE w:val="0"/>
        <w:autoSpaceDN w:val="0"/>
        <w:adjustRightInd w:val="0"/>
        <w:spacing w:after="0" w:line="480" w:lineRule="auto"/>
        <w:jc w:val="both"/>
        <w:rPr>
          <w:rFonts w:ascii="Times New Roman" w:hAnsi="Times New Roman" w:cs="Times New Roman"/>
          <w:b/>
          <w:sz w:val="24"/>
          <w:szCs w:val="24"/>
        </w:rPr>
      </w:pPr>
      <w:r w:rsidRPr="00CE069D">
        <w:rPr>
          <w:rFonts w:ascii="Times New Roman" w:hAnsi="Times New Roman" w:cs="Times New Roman"/>
          <w:b/>
          <w:sz w:val="24"/>
          <w:szCs w:val="24"/>
        </w:rPr>
        <w:lastRenderedPageBreak/>
        <w:t>Table 1: Phenotypic confirmation of</w:t>
      </w:r>
      <w:r w:rsidRPr="00CE069D">
        <w:rPr>
          <w:rFonts w:ascii="Times New Roman" w:hAnsi="Times New Roman" w:cs="Times New Roman"/>
          <w:sz w:val="24"/>
          <w:szCs w:val="24"/>
        </w:rPr>
        <w:t xml:space="preserve"> </w:t>
      </w:r>
      <w:r w:rsidRPr="00CE069D">
        <w:rPr>
          <w:rFonts w:ascii="Times New Roman" w:hAnsi="Times New Roman" w:cs="Times New Roman"/>
          <w:b/>
          <w:sz w:val="24"/>
          <w:szCs w:val="24"/>
        </w:rPr>
        <w:t>ESβ</w:t>
      </w:r>
      <w:r w:rsidRPr="00CE069D">
        <w:rPr>
          <w:rFonts w:ascii="Times New Roman" w:hAnsi="Times New Roman" w:cs="Times New Roman"/>
          <w:sz w:val="24"/>
          <w:szCs w:val="24"/>
        </w:rPr>
        <w:t>L</w:t>
      </w:r>
      <w:r w:rsidRPr="00CE069D">
        <w:rPr>
          <w:rFonts w:ascii="Times New Roman" w:hAnsi="Times New Roman" w:cs="Times New Roman"/>
          <w:b/>
          <w:sz w:val="24"/>
          <w:szCs w:val="24"/>
        </w:rPr>
        <w:t xml:space="preserve"> </w:t>
      </w:r>
      <w:r w:rsidRPr="00CE069D">
        <w:rPr>
          <w:rFonts w:ascii="Times New Roman" w:hAnsi="Times New Roman" w:cs="Times New Roman"/>
          <w:b/>
          <w:i/>
          <w:iCs/>
          <w:sz w:val="24"/>
          <w:szCs w:val="24"/>
        </w:rPr>
        <w:t>K. pneumoniae</w:t>
      </w:r>
      <w:r w:rsidRPr="00CE069D">
        <w:rPr>
          <w:rFonts w:ascii="Times New Roman" w:hAnsi="Times New Roman" w:cs="Times New Roman"/>
          <w:b/>
          <w:sz w:val="24"/>
          <w:szCs w:val="24"/>
        </w:rPr>
        <w:t xml:space="preserve"> producers</w:t>
      </w:r>
    </w:p>
    <w:tbl>
      <w:tblPr>
        <w:tblpPr w:leftFromText="180" w:rightFromText="180" w:vertAnchor="text" w:tblpX="142" w:tblpY="1"/>
        <w:tblOverlap w:val="never"/>
        <w:tblW w:w="9911"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899"/>
        <w:gridCol w:w="6"/>
        <w:gridCol w:w="6"/>
      </w:tblGrid>
      <w:tr w:rsidR="00D26D35" w:rsidRPr="00CE069D" w:rsidTr="004F12D4">
        <w:trPr>
          <w:trHeight w:val="912"/>
        </w:trPr>
        <w:tc>
          <w:tcPr>
            <w:tcW w:w="9899" w:type="dxa"/>
          </w:tcPr>
          <w:tbl>
            <w:tblPr>
              <w:tblW w:w="9898" w:type="dxa"/>
              <w:tblCellMar>
                <w:left w:w="0" w:type="dxa"/>
                <w:right w:w="0" w:type="dxa"/>
              </w:tblCellMar>
              <w:tblLook w:val="0420" w:firstRow="1" w:lastRow="0" w:firstColumn="0" w:lastColumn="0" w:noHBand="0" w:noVBand="1"/>
            </w:tblPr>
            <w:tblGrid>
              <w:gridCol w:w="3299"/>
              <w:gridCol w:w="3299"/>
              <w:gridCol w:w="3300"/>
            </w:tblGrid>
            <w:tr w:rsidR="00D26D35" w:rsidRPr="00486DF4" w:rsidTr="004F12D4">
              <w:trPr>
                <w:trHeight w:val="458"/>
              </w:trPr>
              <w:tc>
                <w:tcPr>
                  <w:tcW w:w="3299"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b/>
                      <w:bCs/>
                      <w:sz w:val="24"/>
                      <w:szCs w:val="24"/>
                    </w:rPr>
                    <w:t>Antibiotic</w:t>
                  </w:r>
                </w:p>
              </w:tc>
              <w:tc>
                <w:tcPr>
                  <w:tcW w:w="6599" w:type="dxa"/>
                  <w:gridSpan w:val="2"/>
                  <w:tcBorders>
                    <w:top w:val="single" w:sz="8" w:space="0" w:color="000000"/>
                    <w:left w:val="nil"/>
                    <w:bottom w:val="single" w:sz="8" w:space="0" w:color="000000"/>
                    <w:right w:val="nil"/>
                  </w:tcBorders>
                  <w:tcMar>
                    <w:top w:w="15" w:type="dxa"/>
                    <w:left w:w="180" w:type="dxa"/>
                    <w:bottom w:w="0" w:type="dxa"/>
                    <w:right w:w="180" w:type="dxa"/>
                  </w:tcMar>
                  <w:hideMark/>
                </w:tcPr>
                <w:p w:rsidR="00D26D35" w:rsidRPr="00486DF4" w:rsidRDefault="00D26D35" w:rsidP="000A0454">
                  <w:pPr>
                    <w:framePr w:hSpace="180" w:wrap="around" w:vAnchor="text" w:hAnchor="text" w:x="142" w:y="1"/>
                    <w:spacing w:line="240" w:lineRule="auto"/>
                    <w:suppressOverlap/>
                    <w:jc w:val="both"/>
                    <w:rPr>
                      <w:rFonts w:ascii="Times New Roman" w:hAnsi="Times New Roman" w:cs="Times New Roman"/>
                      <w:b/>
                      <w:bCs/>
                      <w:sz w:val="24"/>
                      <w:szCs w:val="24"/>
                      <w:lang/>
                    </w:rPr>
                  </w:pPr>
                  <w:r w:rsidRPr="00486DF4">
                    <w:rPr>
                      <w:rFonts w:ascii="Times New Roman" w:hAnsi="Times New Roman" w:cs="Times New Roman"/>
                      <w:sz w:val="24"/>
                      <w:szCs w:val="24"/>
                    </w:rPr>
                    <w:t xml:space="preserve">        </w:t>
                  </w:r>
                  <w:r w:rsidRPr="00486DF4">
                    <w:rPr>
                      <w:rFonts w:ascii="Times New Roman" w:hAnsi="Times New Roman" w:cs="Times New Roman"/>
                      <w:b/>
                      <w:bCs/>
                      <w:i/>
                      <w:iCs/>
                      <w:sz w:val="24"/>
                      <w:szCs w:val="24"/>
                    </w:rPr>
                    <w:t xml:space="preserve">K. pneumoniae </w:t>
                  </w:r>
                  <w:r w:rsidRPr="00486DF4">
                    <w:rPr>
                      <w:rFonts w:ascii="Times New Roman" w:hAnsi="Times New Roman" w:cs="Times New Roman"/>
                      <w:b/>
                      <w:bCs/>
                      <w:sz w:val="24"/>
                      <w:szCs w:val="24"/>
                    </w:rPr>
                    <w:t>isolates n=57</w:t>
                  </w:r>
                </w:p>
              </w:tc>
            </w:tr>
            <w:tr w:rsidR="00D26D35" w:rsidRPr="00486DF4" w:rsidTr="004F12D4">
              <w:trPr>
                <w:trHeight w:val="892"/>
              </w:trPr>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p>
              </w:tc>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ESβL producers (%)</w:t>
                  </w:r>
                </w:p>
              </w:tc>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Non ESβL producers (%)</w:t>
                  </w:r>
                </w:p>
              </w:tc>
            </w:tr>
            <w:tr w:rsidR="00D26D35" w:rsidRPr="00486DF4" w:rsidTr="004F12D4">
              <w:trPr>
                <w:trHeight w:val="1148"/>
              </w:trPr>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 xml:space="preserve">Ceftazidime (30 </w:t>
                  </w:r>
                  <w:proofErr w:type="spellStart"/>
                  <w:r w:rsidRPr="00486DF4">
                    <w:rPr>
                      <w:rFonts w:ascii="Times New Roman" w:hAnsi="Times New Roman" w:cs="Times New Roman"/>
                      <w:sz w:val="24"/>
                      <w:szCs w:val="24"/>
                    </w:rPr>
                    <w:t>μg</w:t>
                  </w:r>
                  <w:proofErr w:type="spellEnd"/>
                  <w:r w:rsidRPr="00486DF4">
                    <w:rPr>
                      <w:rFonts w:ascii="Times New Roman" w:hAnsi="Times New Roman" w:cs="Times New Roman"/>
                      <w:sz w:val="24"/>
                      <w:szCs w:val="24"/>
                    </w:rPr>
                    <w:t>)</w:t>
                  </w: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p>
              </w:tc>
            </w:tr>
            <w:tr w:rsidR="00D26D35" w:rsidRPr="00486DF4" w:rsidTr="004F12D4">
              <w:trPr>
                <w:trHeight w:val="885"/>
              </w:trPr>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lang w:val="en-US"/>
                    </w:rPr>
                    <w:t>+</w:t>
                  </w: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p>
              </w:tc>
            </w:tr>
            <w:tr w:rsidR="00D26D35" w:rsidRPr="00486DF4" w:rsidTr="004F12D4">
              <w:trPr>
                <w:trHeight w:val="843"/>
              </w:trPr>
              <w:tc>
                <w:tcPr>
                  <w:tcW w:w="3299" w:type="dxa"/>
                  <w:tcBorders>
                    <w:top w:val="nil"/>
                    <w:left w:val="nil"/>
                    <w:bottom w:val="single" w:sz="8" w:space="0" w:color="000000"/>
                    <w:right w:val="nil"/>
                  </w:tcBorders>
                  <w:tcMar>
                    <w:top w:w="15" w:type="dxa"/>
                    <w:left w:w="180" w:type="dxa"/>
                    <w:bottom w:w="0" w:type="dxa"/>
                    <w:right w:w="180"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 xml:space="preserve">Ceftazidime/clavulanic </w:t>
                  </w:r>
                </w:p>
              </w:tc>
              <w:tc>
                <w:tcPr>
                  <w:tcW w:w="3299"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12(21.1)</w:t>
                  </w:r>
                </w:p>
              </w:tc>
              <w:tc>
                <w:tcPr>
                  <w:tcW w:w="3299"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lang/>
                    </w:rPr>
                  </w:pPr>
                  <w:r w:rsidRPr="00486DF4">
                    <w:rPr>
                      <w:rFonts w:ascii="Times New Roman" w:hAnsi="Times New Roman" w:cs="Times New Roman"/>
                      <w:sz w:val="24"/>
                      <w:szCs w:val="24"/>
                    </w:rPr>
                    <w:t>45(78.9)</w:t>
                  </w:r>
                </w:p>
              </w:tc>
            </w:tr>
          </w:tbl>
          <w:p w:rsidR="00D26D35" w:rsidRPr="00CE069D" w:rsidRDefault="00D26D35" w:rsidP="000A0454">
            <w:pPr>
              <w:spacing w:line="240" w:lineRule="auto"/>
              <w:jc w:val="both"/>
              <w:rPr>
                <w:rFonts w:ascii="Times New Roman" w:hAnsi="Times New Roman" w:cs="Times New Roman"/>
                <w:sz w:val="24"/>
                <w:szCs w:val="24"/>
              </w:rPr>
            </w:pPr>
          </w:p>
        </w:tc>
        <w:tc>
          <w:tcPr>
            <w:tcW w:w="6" w:type="dxa"/>
          </w:tcPr>
          <w:p w:rsidR="00D26D35" w:rsidRPr="00CE069D" w:rsidRDefault="00D26D35" w:rsidP="000A0454">
            <w:pPr>
              <w:spacing w:line="240" w:lineRule="auto"/>
              <w:jc w:val="both"/>
              <w:rPr>
                <w:rFonts w:ascii="Times New Roman" w:hAnsi="Times New Roman" w:cs="Times New Roman"/>
                <w:sz w:val="24"/>
                <w:szCs w:val="24"/>
              </w:rPr>
            </w:pPr>
          </w:p>
        </w:tc>
        <w:tc>
          <w:tcPr>
            <w:tcW w:w="6" w:type="dxa"/>
          </w:tcPr>
          <w:p w:rsidR="00D26D35" w:rsidRPr="00CE069D" w:rsidRDefault="00D26D35" w:rsidP="000A0454">
            <w:pPr>
              <w:spacing w:line="240" w:lineRule="auto"/>
              <w:jc w:val="both"/>
              <w:rPr>
                <w:rFonts w:ascii="Times New Roman" w:hAnsi="Times New Roman" w:cs="Times New Roman"/>
                <w:sz w:val="24"/>
                <w:szCs w:val="24"/>
              </w:rPr>
            </w:pPr>
          </w:p>
        </w:tc>
      </w:tr>
    </w:tbl>
    <w:p w:rsidR="00E24097" w:rsidRPr="002D2495" w:rsidRDefault="00E24097" w:rsidP="00E24097">
      <w:pPr>
        <w:spacing w:after="0" w:line="480" w:lineRule="auto"/>
        <w:jc w:val="both"/>
        <w:rPr>
          <w:rFonts w:ascii="Times New Roman" w:hAnsi="Times New Roman"/>
          <w:b/>
          <w:bCs/>
          <w:sz w:val="24"/>
          <w:szCs w:val="24"/>
          <w:lang/>
        </w:rPr>
      </w:pPr>
      <w:r>
        <w:rPr>
          <w:rFonts w:ascii="Times New Roman" w:hAnsi="Times New Roman"/>
          <w:b/>
          <w:bCs/>
          <w:sz w:val="24"/>
          <w:szCs w:val="24"/>
          <w:lang w:val="el-GR"/>
        </w:rPr>
        <w:t>χ² = 19.12</w:t>
      </w:r>
    </w:p>
    <w:p w:rsidR="00D26D35" w:rsidRDefault="00D26D35" w:rsidP="00D26D35">
      <w:pPr>
        <w:spacing w:line="480" w:lineRule="auto"/>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P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spacing w:line="480" w:lineRule="auto"/>
        <w:jc w:val="both"/>
        <w:rPr>
          <w:rFonts w:ascii="Times New Roman" w:hAnsi="Times New Roman" w:cs="Times New Roman"/>
          <w:bCs/>
          <w:sz w:val="24"/>
          <w:szCs w:val="24"/>
          <w:lang w:val="en-US"/>
        </w:rPr>
      </w:pPr>
      <w:r>
        <w:rPr>
          <w:rFonts w:ascii="Times New Roman" w:hAnsi="Times New Roman" w:cs="Times New Roman"/>
          <w:b/>
          <w:bCs/>
          <w:sz w:val="24"/>
          <w:szCs w:val="24"/>
        </w:rPr>
        <w:lastRenderedPageBreak/>
        <w:t>Table 2</w:t>
      </w:r>
      <w:r w:rsidRPr="00486DF4">
        <w:rPr>
          <w:rFonts w:ascii="Times New Roman" w:hAnsi="Times New Roman" w:cs="Times New Roman"/>
          <w:b/>
          <w:bCs/>
          <w:sz w:val="24"/>
          <w:szCs w:val="24"/>
        </w:rPr>
        <w:t>: Distribution of ESBL</w:t>
      </w:r>
      <w:r w:rsidRPr="00486DF4">
        <w:rPr>
          <w:rFonts w:ascii="Times New Roman" w:hAnsi="Times New Roman" w:cs="Times New Roman"/>
          <w:bCs/>
          <w:sz w:val="24"/>
          <w:szCs w:val="24"/>
        </w:rPr>
        <w:t xml:space="preserve"> </w:t>
      </w:r>
      <w:r w:rsidRPr="00486DF4">
        <w:rPr>
          <w:rFonts w:ascii="Times New Roman" w:hAnsi="Times New Roman" w:cs="Times New Roman"/>
          <w:b/>
          <w:bCs/>
          <w:sz w:val="24"/>
          <w:szCs w:val="24"/>
        </w:rPr>
        <w:t>across the Three Senatorial Zones.</w:t>
      </w:r>
    </w:p>
    <w:tbl>
      <w:tblPr>
        <w:tblW w:w="9720" w:type="dxa"/>
        <w:tblCellMar>
          <w:left w:w="0" w:type="dxa"/>
          <w:right w:w="0" w:type="dxa"/>
        </w:tblCellMar>
        <w:tblLook w:val="0420" w:firstRow="1" w:lastRow="0" w:firstColumn="0" w:lastColumn="0" w:noHBand="0" w:noVBand="1"/>
      </w:tblPr>
      <w:tblGrid>
        <w:gridCol w:w="3360"/>
        <w:gridCol w:w="3700"/>
        <w:gridCol w:w="2660"/>
      </w:tblGrid>
      <w:tr w:rsidR="00D26D35" w:rsidRPr="00486DF4" w:rsidTr="000A0454">
        <w:trPr>
          <w:trHeight w:val="180"/>
        </w:trPr>
        <w:tc>
          <w:tcPr>
            <w:tcW w:w="3360"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bCs/>
                <w:sz w:val="24"/>
                <w:szCs w:val="24"/>
                <w:lang/>
              </w:rPr>
            </w:pPr>
            <w:r w:rsidRPr="00486DF4">
              <w:rPr>
                <w:rFonts w:ascii="Times New Roman" w:hAnsi="Times New Roman" w:cs="Times New Roman"/>
                <w:b/>
                <w:bCs/>
                <w:sz w:val="24"/>
                <w:szCs w:val="24"/>
              </w:rPr>
              <w:t>Zones</w:t>
            </w:r>
          </w:p>
        </w:tc>
        <w:tc>
          <w:tcPr>
            <w:tcW w:w="3700"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bCs/>
                <w:sz w:val="24"/>
                <w:szCs w:val="24"/>
                <w:lang/>
              </w:rPr>
            </w:pPr>
            <w:r w:rsidRPr="00486DF4">
              <w:rPr>
                <w:rFonts w:ascii="Times New Roman" w:hAnsi="Times New Roman" w:cs="Times New Roman"/>
                <w:b/>
                <w:bCs/>
                <w:sz w:val="24"/>
                <w:szCs w:val="24"/>
              </w:rPr>
              <w:t>NO of ESBL</w:t>
            </w:r>
          </w:p>
        </w:tc>
        <w:tc>
          <w:tcPr>
            <w:tcW w:w="2660" w:type="dxa"/>
            <w:tcBorders>
              <w:top w:val="single" w:sz="8" w:space="0" w:color="000000"/>
              <w:left w:val="nil"/>
              <w:bottom w:val="single" w:sz="8" w:space="0" w:color="000000"/>
              <w:right w:val="nil"/>
            </w:tcBorders>
            <w:tcMar>
              <w:top w:w="15" w:type="dxa"/>
              <w:left w:w="108" w:type="dxa"/>
              <w:bottom w:w="0" w:type="dxa"/>
              <w:right w:w="108" w:type="dxa"/>
            </w:tcMar>
            <w:hideMark/>
          </w:tcPr>
          <w:p w:rsidR="00D26D35" w:rsidRPr="00486DF4" w:rsidRDefault="00D26D35" w:rsidP="000A0454">
            <w:pPr>
              <w:spacing w:line="480" w:lineRule="auto"/>
              <w:jc w:val="both"/>
              <w:rPr>
                <w:rFonts w:ascii="Times New Roman" w:hAnsi="Times New Roman" w:cs="Times New Roman"/>
                <w:bCs/>
                <w:sz w:val="24"/>
                <w:szCs w:val="24"/>
                <w:lang/>
              </w:rPr>
            </w:pPr>
            <w:r w:rsidRPr="00486DF4">
              <w:rPr>
                <w:rFonts w:ascii="Times New Roman" w:hAnsi="Times New Roman" w:cs="Times New Roman"/>
                <w:b/>
                <w:bCs/>
                <w:sz w:val="24"/>
                <w:szCs w:val="24"/>
              </w:rPr>
              <w:t>(%)</w:t>
            </w:r>
          </w:p>
        </w:tc>
      </w:tr>
      <w:tr w:rsidR="00D26D35" w:rsidRPr="00486DF4" w:rsidTr="000A0454">
        <w:trPr>
          <w:trHeight w:val="960"/>
        </w:trPr>
        <w:tc>
          <w:tcPr>
            <w:tcW w:w="336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 xml:space="preserve"> A</w:t>
            </w:r>
          </w:p>
        </w:tc>
        <w:tc>
          <w:tcPr>
            <w:tcW w:w="370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3</w:t>
            </w:r>
          </w:p>
        </w:tc>
        <w:tc>
          <w:tcPr>
            <w:tcW w:w="266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25.0</w:t>
            </w:r>
          </w:p>
        </w:tc>
      </w:tr>
      <w:tr w:rsidR="00D26D35" w:rsidRPr="00486DF4" w:rsidTr="000A0454">
        <w:trPr>
          <w:trHeight w:val="960"/>
        </w:trPr>
        <w:tc>
          <w:tcPr>
            <w:tcW w:w="3360" w:type="dxa"/>
            <w:tcBorders>
              <w:top w:val="nil"/>
              <w:left w:val="nil"/>
              <w:bottom w:val="nil"/>
              <w:right w:val="nil"/>
            </w:tcBorders>
            <w:tcMar>
              <w:top w:w="15" w:type="dxa"/>
              <w:left w:w="108" w:type="dxa"/>
              <w:bottom w:w="0" w:type="dxa"/>
              <w:right w:w="108"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B</w:t>
            </w:r>
          </w:p>
        </w:tc>
        <w:tc>
          <w:tcPr>
            <w:tcW w:w="370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7</w:t>
            </w:r>
          </w:p>
        </w:tc>
        <w:tc>
          <w:tcPr>
            <w:tcW w:w="26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lang w:val="en-US"/>
              </w:rPr>
              <w:t>58.3</w:t>
            </w:r>
          </w:p>
        </w:tc>
      </w:tr>
      <w:tr w:rsidR="00D26D35" w:rsidRPr="00486DF4" w:rsidTr="000A0454">
        <w:trPr>
          <w:trHeight w:val="960"/>
        </w:trPr>
        <w:tc>
          <w:tcPr>
            <w:tcW w:w="33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C</w:t>
            </w:r>
          </w:p>
        </w:tc>
        <w:tc>
          <w:tcPr>
            <w:tcW w:w="370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2</w:t>
            </w:r>
          </w:p>
        </w:tc>
        <w:tc>
          <w:tcPr>
            <w:tcW w:w="26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rPr>
              <w:t>16.7</w:t>
            </w:r>
          </w:p>
        </w:tc>
      </w:tr>
      <w:tr w:rsidR="00D26D35" w:rsidRPr="00486DF4" w:rsidTr="000A0454">
        <w:trPr>
          <w:trHeight w:val="18"/>
        </w:trPr>
        <w:tc>
          <w:tcPr>
            <w:tcW w:w="336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lang w:val="en-US"/>
              </w:rPr>
              <w:t>Total</w:t>
            </w:r>
          </w:p>
        </w:tc>
        <w:tc>
          <w:tcPr>
            <w:tcW w:w="370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lang w:val="en-US"/>
              </w:rPr>
              <w:t>12</w:t>
            </w:r>
          </w:p>
        </w:tc>
        <w:tc>
          <w:tcPr>
            <w:tcW w:w="266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lang/>
              </w:rPr>
            </w:pPr>
            <w:r w:rsidRPr="00486DF4">
              <w:rPr>
                <w:rFonts w:ascii="Times New Roman" w:hAnsi="Times New Roman" w:cs="Times New Roman"/>
                <w:sz w:val="24"/>
                <w:szCs w:val="24"/>
                <w:lang w:val="en-US"/>
              </w:rPr>
              <w:t>100</w:t>
            </w:r>
          </w:p>
        </w:tc>
      </w:tr>
    </w:tbl>
    <w:p w:rsidR="00D26D35" w:rsidRPr="00486DF4" w:rsidRDefault="00E24097" w:rsidP="00D26D35">
      <w:pPr>
        <w:spacing w:line="480" w:lineRule="auto"/>
        <w:jc w:val="both"/>
        <w:rPr>
          <w:rFonts w:ascii="Times New Roman" w:hAnsi="Times New Roman" w:cs="Times New Roman"/>
          <w:bCs/>
          <w:sz w:val="24"/>
          <w:szCs w:val="24"/>
          <w:lang/>
        </w:rPr>
      </w:pPr>
      <w:r>
        <w:rPr>
          <w:rFonts w:ascii="Times New Roman" w:hAnsi="Times New Roman" w:cs="Times New Roman"/>
          <w:bCs/>
          <w:sz w:val="24"/>
          <w:szCs w:val="24"/>
          <w:lang w:val="el-GR"/>
        </w:rPr>
        <w:t>χ² = 3.50</w:t>
      </w:r>
    </w:p>
    <w:p w:rsidR="00D26D35" w:rsidRPr="00CE069D" w:rsidRDefault="00D26D35" w:rsidP="00D26D35">
      <w:pPr>
        <w:pStyle w:val="NormalWeb"/>
        <w:rPr>
          <w:lang w:val="en-GB"/>
        </w:rPr>
      </w:pPr>
    </w:p>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4F2488" w:rsidRDefault="004F2488" w:rsidP="00D26D35">
      <w:pPr>
        <w:pageBreakBefore/>
        <w:autoSpaceDE w:val="0"/>
        <w:autoSpaceDN w:val="0"/>
        <w:adjustRightInd w:val="0"/>
        <w:spacing w:after="0" w:line="480" w:lineRule="auto"/>
        <w:jc w:val="both"/>
      </w:pPr>
    </w:p>
    <w:p w:rsidR="00E24097" w:rsidRPr="00CE069D" w:rsidRDefault="00E24097" w:rsidP="00E24097">
      <w:pPr>
        <w:rPr>
          <w:rFonts w:ascii="Times New Roman" w:hAnsi="Times New Roman"/>
          <w:sz w:val="24"/>
          <w:szCs w:val="24"/>
        </w:rPr>
      </w:pPr>
      <w:r w:rsidRPr="00CE069D">
        <w:rPr>
          <w:rFonts w:ascii="Times New Roman" w:hAnsi="Times New Roman"/>
          <w:sz w:val="24"/>
          <w:szCs w:val="24"/>
        </w:rPr>
        <w:br w:type="page"/>
      </w:r>
    </w:p>
    <w:p w:rsidR="00E24097" w:rsidRPr="00CE069D" w:rsidRDefault="00E24097" w:rsidP="00E24097">
      <w:pPr>
        <w:spacing w:after="0" w:line="480" w:lineRule="auto"/>
        <w:jc w:val="both"/>
        <w:rPr>
          <w:rFonts w:ascii="Times New Roman" w:hAnsi="Times New Roman"/>
          <w:sz w:val="24"/>
          <w:szCs w:val="24"/>
        </w:rPr>
      </w:pPr>
    </w:p>
    <w:p w:rsidR="003E54A3" w:rsidRDefault="00E24097" w:rsidP="00E24097">
      <w:pPr>
        <w:spacing w:after="0" w:line="480" w:lineRule="auto"/>
        <w:jc w:val="both"/>
        <w:rPr>
          <w:rFonts w:ascii="Times New Roman" w:hAnsi="Times New Roman"/>
          <w:sz w:val="24"/>
          <w:szCs w:val="24"/>
        </w:rPr>
      </w:pPr>
      <w:r w:rsidRPr="00CE069D">
        <w:rPr>
          <w:rFonts w:ascii="Times New Roman" w:hAnsi="Times New Roman"/>
          <w:sz w:val="24"/>
          <w:szCs w:val="24"/>
        </w:rPr>
        <w:t xml:space="preserve"> </w:t>
      </w:r>
      <w:r w:rsidRPr="00CE069D">
        <w:rPr>
          <w:noProof/>
          <w:lang w:val="en-US"/>
        </w:rPr>
        <w:drawing>
          <wp:inline distT="0" distB="0" distL="0" distR="0" wp14:anchorId="25A8035C" wp14:editId="39959AB8">
            <wp:extent cx="5105400" cy="1704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1704975"/>
                    </a:xfrm>
                    <a:prstGeom prst="rect">
                      <a:avLst/>
                    </a:prstGeom>
                    <a:noFill/>
                    <a:ln>
                      <a:noFill/>
                    </a:ln>
                  </pic:spPr>
                </pic:pic>
              </a:graphicData>
            </a:graphic>
          </wp:inline>
        </w:drawing>
      </w:r>
    </w:p>
    <w:p w:rsidR="00E24097" w:rsidRPr="00CE069D" w:rsidRDefault="003E54A3" w:rsidP="00E24097">
      <w:pPr>
        <w:spacing w:after="0" w:line="480" w:lineRule="auto"/>
        <w:jc w:val="both"/>
        <w:rPr>
          <w:rFonts w:ascii="Times New Roman" w:hAnsi="Times New Roman"/>
          <w:sz w:val="24"/>
          <w:szCs w:val="24"/>
        </w:rPr>
      </w:pPr>
      <w:r>
        <w:rPr>
          <w:rFonts w:ascii="Times New Roman" w:hAnsi="Times New Roman"/>
          <w:sz w:val="24"/>
          <w:szCs w:val="24"/>
        </w:rPr>
        <w:t xml:space="preserve">Plate 1: </w:t>
      </w:r>
      <w:r w:rsidR="00E24097" w:rsidRPr="00CE069D">
        <w:rPr>
          <w:rFonts w:ascii="Times New Roman" w:hAnsi="Times New Roman"/>
          <w:sz w:val="24"/>
          <w:szCs w:val="24"/>
        </w:rPr>
        <w:t xml:space="preserve">Agarose gel electrophoresis of PCR products for the </w:t>
      </w:r>
      <w:proofErr w:type="spellStart"/>
      <w:r w:rsidR="00E24097" w:rsidRPr="00CE069D">
        <w:rPr>
          <w:rFonts w:ascii="Times New Roman" w:hAnsi="Times New Roman"/>
          <w:i/>
          <w:iCs/>
          <w:sz w:val="24"/>
          <w:szCs w:val="24"/>
        </w:rPr>
        <w:t>Blactxm</w:t>
      </w:r>
      <w:proofErr w:type="spellEnd"/>
      <w:r w:rsidR="00E24097" w:rsidRPr="00CE069D">
        <w:rPr>
          <w:rFonts w:ascii="Times New Roman" w:hAnsi="Times New Roman"/>
          <w:sz w:val="24"/>
          <w:szCs w:val="24"/>
        </w:rPr>
        <w:t xml:space="preserve"> gene (593 bp). M = Maker, -</w:t>
      </w:r>
      <w:proofErr w:type="spellStart"/>
      <w:r w:rsidR="00E24097" w:rsidRPr="00CE069D">
        <w:rPr>
          <w:rFonts w:ascii="Times New Roman" w:hAnsi="Times New Roman"/>
          <w:sz w:val="24"/>
          <w:szCs w:val="24"/>
        </w:rPr>
        <w:t>ve</w:t>
      </w:r>
      <w:proofErr w:type="spellEnd"/>
      <w:r w:rsidR="00E24097" w:rsidRPr="00CE069D">
        <w:rPr>
          <w:rFonts w:ascii="Times New Roman" w:hAnsi="Times New Roman"/>
          <w:sz w:val="24"/>
          <w:szCs w:val="24"/>
        </w:rPr>
        <w:t xml:space="preserve"> = Negative control, +</w:t>
      </w:r>
      <w:proofErr w:type="spellStart"/>
      <w:r w:rsidR="00E24097" w:rsidRPr="00CE069D">
        <w:rPr>
          <w:rFonts w:ascii="Times New Roman" w:hAnsi="Times New Roman"/>
          <w:sz w:val="24"/>
          <w:szCs w:val="24"/>
        </w:rPr>
        <w:t>ve</w:t>
      </w:r>
      <w:proofErr w:type="spellEnd"/>
      <w:r w:rsidR="00E24097" w:rsidRPr="00CE069D">
        <w:rPr>
          <w:rFonts w:ascii="Times New Roman" w:hAnsi="Times New Roman"/>
          <w:sz w:val="24"/>
          <w:szCs w:val="24"/>
        </w:rPr>
        <w:t xml:space="preserve"> = Positive control</w:t>
      </w:r>
    </w:p>
    <w:p w:rsidR="00E24097" w:rsidRPr="00CE069D" w:rsidRDefault="00E24097" w:rsidP="00E24097">
      <w:pPr>
        <w:rPr>
          <w:rFonts w:ascii="Times New Roman" w:hAnsi="Times New Roman"/>
          <w:sz w:val="24"/>
          <w:szCs w:val="24"/>
        </w:rPr>
      </w:pPr>
      <w:r w:rsidRPr="00CE069D">
        <w:rPr>
          <w:rFonts w:ascii="Times New Roman" w:hAnsi="Times New Roman"/>
          <w:sz w:val="24"/>
          <w:szCs w:val="24"/>
        </w:rPr>
        <w:br w:type="page"/>
      </w:r>
    </w:p>
    <w:p w:rsidR="00E24097" w:rsidRPr="00CE069D" w:rsidRDefault="00E24097" w:rsidP="00E24097">
      <w:pPr>
        <w:spacing w:after="0" w:line="480" w:lineRule="auto"/>
        <w:jc w:val="both"/>
        <w:rPr>
          <w:rFonts w:ascii="Times New Roman" w:hAnsi="Times New Roman"/>
          <w:sz w:val="24"/>
          <w:szCs w:val="24"/>
        </w:rPr>
      </w:pPr>
    </w:p>
    <w:p w:rsidR="00E24097" w:rsidRPr="00CE069D" w:rsidRDefault="00E24097" w:rsidP="00E24097">
      <w:pPr>
        <w:rPr>
          <w:rFonts w:ascii="Times New Roman" w:hAnsi="Times New Roman"/>
          <w:sz w:val="24"/>
          <w:szCs w:val="24"/>
        </w:rPr>
      </w:pPr>
    </w:p>
    <w:p w:rsidR="00E24097" w:rsidRPr="00CE069D" w:rsidRDefault="00E24097" w:rsidP="00E24097">
      <w:pPr>
        <w:spacing w:after="0" w:line="480" w:lineRule="auto"/>
        <w:jc w:val="both"/>
        <w:rPr>
          <w:rFonts w:ascii="Times New Roman" w:hAnsi="Times New Roman"/>
          <w:sz w:val="24"/>
          <w:szCs w:val="24"/>
        </w:rPr>
      </w:pPr>
      <w:r w:rsidRPr="00CE069D">
        <w:rPr>
          <w:noProof/>
          <w:lang w:val="en-US"/>
        </w:rPr>
        <w:drawing>
          <wp:inline distT="0" distB="0" distL="0" distR="0" wp14:anchorId="2E20916C" wp14:editId="3277A7C3">
            <wp:extent cx="5943600" cy="27209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0975"/>
                    </a:xfrm>
                    <a:prstGeom prst="rect">
                      <a:avLst/>
                    </a:prstGeom>
                    <a:noFill/>
                    <a:ln>
                      <a:noFill/>
                    </a:ln>
                  </pic:spPr>
                </pic:pic>
              </a:graphicData>
            </a:graphic>
          </wp:inline>
        </w:drawing>
      </w:r>
      <w:r w:rsidR="003E54A3">
        <w:rPr>
          <w:rFonts w:ascii="Times New Roman" w:hAnsi="Times New Roman"/>
          <w:sz w:val="24"/>
          <w:szCs w:val="24"/>
        </w:rPr>
        <w:t xml:space="preserve">Plate 2: </w:t>
      </w:r>
      <w:r w:rsidRPr="00CE069D">
        <w:rPr>
          <w:rFonts w:ascii="Times New Roman" w:hAnsi="Times New Roman"/>
          <w:sz w:val="24"/>
          <w:szCs w:val="24"/>
        </w:rPr>
        <w:t xml:space="preserve">Agarose gel electrophoresis showing the amplification of the </w:t>
      </w:r>
      <w:proofErr w:type="spellStart"/>
      <w:r w:rsidRPr="00CE069D">
        <w:rPr>
          <w:rFonts w:ascii="Times New Roman" w:hAnsi="Times New Roman"/>
          <w:i/>
          <w:iCs/>
          <w:sz w:val="24"/>
          <w:szCs w:val="24"/>
        </w:rPr>
        <w:t>ndm</w:t>
      </w:r>
      <w:proofErr w:type="spellEnd"/>
      <w:r w:rsidRPr="00CE069D">
        <w:rPr>
          <w:rFonts w:ascii="Times New Roman" w:hAnsi="Times New Roman"/>
          <w:sz w:val="24"/>
          <w:szCs w:val="24"/>
        </w:rPr>
        <w:t xml:space="preserve"> gene (550 bp).</w:t>
      </w:r>
      <w:r w:rsidR="004F12D4">
        <w:rPr>
          <w:rFonts w:ascii="Times New Roman" w:hAnsi="Times New Roman"/>
          <w:sz w:val="24"/>
          <w:szCs w:val="24"/>
        </w:rPr>
        <w:t xml:space="preserve"> </w:t>
      </w:r>
      <w:r w:rsidRPr="00CE069D">
        <w:rPr>
          <w:rFonts w:ascii="Times New Roman" w:hAnsi="Times New Roman"/>
          <w:sz w:val="24"/>
          <w:szCs w:val="24"/>
        </w:rPr>
        <w:t xml:space="preserve">This figure displays the results of a polymerase chain reaction (PCR) to detect the </w:t>
      </w:r>
      <w:proofErr w:type="spellStart"/>
      <w:r w:rsidRPr="00CE069D">
        <w:rPr>
          <w:rFonts w:ascii="Times New Roman" w:hAnsi="Times New Roman"/>
          <w:i/>
          <w:iCs/>
          <w:sz w:val="24"/>
          <w:szCs w:val="24"/>
        </w:rPr>
        <w:t>ndm</w:t>
      </w:r>
      <w:proofErr w:type="spellEnd"/>
      <w:r w:rsidRPr="00CE069D">
        <w:rPr>
          <w:rFonts w:ascii="Times New Roman" w:hAnsi="Times New Roman"/>
          <w:sz w:val="24"/>
          <w:szCs w:val="24"/>
        </w:rPr>
        <w:t xml:space="preserve"> gene. </w:t>
      </w:r>
    </w:p>
    <w:p w:rsidR="00D137B0" w:rsidRDefault="00E24097" w:rsidP="00D137B0">
      <w:pPr>
        <w:spacing w:after="0" w:line="480" w:lineRule="auto"/>
        <w:jc w:val="both"/>
        <w:rPr>
          <w:rFonts w:ascii="Times New Roman" w:hAnsi="Times New Roman"/>
          <w:sz w:val="24"/>
          <w:szCs w:val="24"/>
        </w:rPr>
      </w:pPr>
      <w:r w:rsidRPr="00CE069D">
        <w:rPr>
          <w:rFonts w:ascii="Times New Roman" w:hAnsi="Times New Roman"/>
          <w:sz w:val="24"/>
          <w:szCs w:val="24"/>
        </w:rPr>
        <w:br w:type="page"/>
      </w:r>
    </w:p>
    <w:p w:rsidR="00D137B0" w:rsidRDefault="00D137B0" w:rsidP="00D137B0">
      <w:pPr>
        <w:spacing w:after="0" w:line="480" w:lineRule="auto"/>
        <w:jc w:val="both"/>
        <w:rPr>
          <w:rFonts w:ascii="Times New Roman" w:hAnsi="Times New Roman"/>
          <w:sz w:val="24"/>
          <w:szCs w:val="24"/>
        </w:rPr>
      </w:pPr>
      <w:r w:rsidRPr="00551161">
        <w:rPr>
          <w:rFonts w:ascii="Times New Roman" w:hAnsi="Times New Roman"/>
          <w:noProof/>
          <w:sz w:val="24"/>
          <w:szCs w:val="24"/>
          <w:lang w:val="en-US"/>
        </w:rPr>
        <w:lastRenderedPageBreak/>
        <w:drawing>
          <wp:inline distT="0" distB="0" distL="0" distR="0" wp14:anchorId="6D893FDE" wp14:editId="45641CC3">
            <wp:extent cx="5943600" cy="2880360"/>
            <wp:effectExtent l="0" t="0" r="0" b="0"/>
            <wp:docPr id="4" name="Picture 5">
              <a:extLst xmlns:a="http://schemas.openxmlformats.org/drawingml/2006/main">
                <a:ext uri="{FF2B5EF4-FFF2-40B4-BE49-F238E27FC236}">
                  <a16:creationId xmlns:a16="http://schemas.microsoft.com/office/drawing/2014/main" id="{4F1E581C-8909-BFE2-B98B-35126F026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F1E581C-8909-BFE2-B98B-35126F026D8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880360"/>
                    </a:xfrm>
                    <a:prstGeom prst="rect">
                      <a:avLst/>
                    </a:prstGeom>
                  </pic:spPr>
                </pic:pic>
              </a:graphicData>
            </a:graphic>
          </wp:inline>
        </w:drawing>
      </w:r>
    </w:p>
    <w:p w:rsidR="00D137B0" w:rsidRPr="00551161" w:rsidRDefault="003E54A3" w:rsidP="00D137B0">
      <w:pPr>
        <w:spacing w:after="0" w:line="480" w:lineRule="auto"/>
        <w:jc w:val="both"/>
        <w:rPr>
          <w:rFonts w:ascii="Times New Roman" w:hAnsi="Times New Roman"/>
          <w:sz w:val="24"/>
          <w:szCs w:val="24"/>
          <w:lang/>
        </w:rPr>
      </w:pPr>
      <w:r>
        <w:rPr>
          <w:rFonts w:ascii="Times New Roman" w:hAnsi="Times New Roman"/>
          <w:sz w:val="24"/>
          <w:szCs w:val="24"/>
        </w:rPr>
        <w:t xml:space="preserve">Plate 3: </w:t>
      </w:r>
      <w:r w:rsidR="00D137B0" w:rsidRPr="00551161">
        <w:rPr>
          <w:rFonts w:ascii="Times New Roman" w:hAnsi="Times New Roman"/>
          <w:sz w:val="24"/>
          <w:szCs w:val="24"/>
        </w:rPr>
        <w:t xml:space="preserve">Agarose gel electrophoresis showing the absence of </w:t>
      </w:r>
      <w:r w:rsidR="00D137B0" w:rsidRPr="00551161">
        <w:rPr>
          <w:rFonts w:ascii="Times New Roman" w:hAnsi="Times New Roman"/>
          <w:i/>
          <w:iCs/>
          <w:sz w:val="24"/>
          <w:szCs w:val="24"/>
        </w:rPr>
        <w:t>kpc</w:t>
      </w:r>
      <w:r w:rsidR="00D137B0" w:rsidRPr="00551161">
        <w:rPr>
          <w:rFonts w:ascii="Times New Roman" w:hAnsi="Times New Roman"/>
          <w:sz w:val="24"/>
          <w:szCs w:val="24"/>
        </w:rPr>
        <w:t xml:space="preserve"> gene.  Lane M is a 100 bp DNA ladder. Lane +</w:t>
      </w:r>
      <w:proofErr w:type="spellStart"/>
      <w:r w:rsidR="00D137B0" w:rsidRPr="00551161">
        <w:rPr>
          <w:rFonts w:ascii="Times New Roman" w:hAnsi="Times New Roman"/>
          <w:sz w:val="24"/>
          <w:szCs w:val="24"/>
        </w:rPr>
        <w:t>ve</w:t>
      </w:r>
      <w:proofErr w:type="spellEnd"/>
      <w:r w:rsidR="00D137B0" w:rsidRPr="00551161">
        <w:rPr>
          <w:rFonts w:ascii="Times New Roman" w:hAnsi="Times New Roman"/>
          <w:sz w:val="24"/>
          <w:szCs w:val="24"/>
        </w:rPr>
        <w:t xml:space="preserve"> and -</w:t>
      </w:r>
      <w:proofErr w:type="spellStart"/>
      <w:r w:rsidR="00D137B0" w:rsidRPr="00551161">
        <w:rPr>
          <w:rFonts w:ascii="Times New Roman" w:hAnsi="Times New Roman"/>
          <w:sz w:val="24"/>
          <w:szCs w:val="24"/>
        </w:rPr>
        <w:t>ve</w:t>
      </w:r>
      <w:proofErr w:type="spellEnd"/>
      <w:r w:rsidR="00D137B0" w:rsidRPr="00551161">
        <w:rPr>
          <w:rFonts w:ascii="Times New Roman" w:hAnsi="Times New Roman"/>
          <w:sz w:val="24"/>
          <w:szCs w:val="24"/>
        </w:rPr>
        <w:t xml:space="preserve"> represent the positive and negative controls, respectively. Lanes 1-12 contain the tested samples.</w:t>
      </w:r>
    </w:p>
    <w:p w:rsidR="00D137B0" w:rsidRDefault="00D137B0" w:rsidP="00D137B0">
      <w:pPr>
        <w:spacing w:after="0" w:line="480" w:lineRule="auto"/>
        <w:jc w:val="both"/>
        <w:rPr>
          <w:rFonts w:ascii="Times New Roman" w:hAnsi="Times New Roman"/>
          <w:sz w:val="24"/>
          <w:szCs w:val="24"/>
        </w:rPr>
      </w:pPr>
    </w:p>
    <w:p w:rsidR="00D137B0" w:rsidRDefault="00D137B0" w:rsidP="00D137B0">
      <w:pPr>
        <w:spacing w:after="0" w:line="480" w:lineRule="auto"/>
        <w:jc w:val="both"/>
        <w:rPr>
          <w:rFonts w:ascii="Times New Roman" w:hAnsi="Times New Roman"/>
          <w:sz w:val="24"/>
          <w:szCs w:val="24"/>
        </w:rPr>
      </w:pPr>
    </w:p>
    <w:p w:rsidR="00E24097" w:rsidRPr="003E54A3" w:rsidRDefault="00D930CA" w:rsidP="003E54A3">
      <w:pPr>
        <w:pStyle w:val="ListParagraph"/>
        <w:numPr>
          <w:ilvl w:val="0"/>
          <w:numId w:val="2"/>
        </w:numPr>
        <w:spacing w:after="0" w:line="240" w:lineRule="auto"/>
        <w:jc w:val="both"/>
        <w:rPr>
          <w:rFonts w:ascii="Times New Roman" w:hAnsi="Times New Roman"/>
          <w:b/>
          <w:sz w:val="24"/>
          <w:szCs w:val="24"/>
        </w:rPr>
      </w:pPr>
      <w:r w:rsidRPr="003E54A3">
        <w:rPr>
          <w:rFonts w:ascii="Times New Roman" w:hAnsi="Times New Roman"/>
          <w:b/>
          <w:sz w:val="24"/>
          <w:szCs w:val="24"/>
        </w:rPr>
        <w:t>DISCUSSION</w:t>
      </w:r>
    </w:p>
    <w:p w:rsidR="00D930CA" w:rsidRPr="001A19B1" w:rsidRDefault="00D930CA" w:rsidP="001A19B1">
      <w:pPr>
        <w:spacing w:after="0" w:line="240" w:lineRule="auto"/>
        <w:jc w:val="both"/>
        <w:rPr>
          <w:rFonts w:ascii="Times New Roman" w:hAnsi="Times New Roman" w:cs="Times New Roman"/>
          <w:b/>
          <w:sz w:val="24"/>
          <w:szCs w:val="24"/>
        </w:rPr>
      </w:pPr>
    </w:p>
    <w:p w:rsidR="000A0454" w:rsidRPr="000A0454" w:rsidRDefault="000A0454" w:rsidP="000A0454">
      <w:pPr>
        <w:spacing w:after="0" w:line="480" w:lineRule="auto"/>
        <w:jc w:val="both"/>
        <w:rPr>
          <w:rFonts w:ascii="Times New Roman" w:eastAsia="Times New Roman" w:hAnsi="Times New Roman" w:cs="Times New Roman"/>
          <w:sz w:val="24"/>
          <w:szCs w:val="24"/>
          <w:lang w:val="en-US"/>
        </w:rPr>
      </w:pPr>
      <w:r w:rsidRPr="000A0454">
        <w:rPr>
          <w:rFonts w:ascii="Times New Roman" w:eastAsia="Times New Roman" w:hAnsi="Times New Roman" w:cs="Times New Roman"/>
          <w:sz w:val="24"/>
          <w:szCs w:val="24"/>
          <w:lang w:val="en-US"/>
        </w:rPr>
        <w:t xml:space="preserve">The current study examined the molecular and phenotypic traits of </w:t>
      </w:r>
      <w:r w:rsidRPr="000A0454">
        <w:rPr>
          <w:rFonts w:ascii="Times New Roman" w:eastAsia="Times New Roman" w:hAnsi="Times New Roman" w:cs="Times New Roman"/>
          <w:i/>
          <w:sz w:val="24"/>
          <w:szCs w:val="24"/>
          <w:lang w:val="en-US"/>
        </w:rPr>
        <w:t>Klebsiella pneumoniae</w:t>
      </w:r>
      <w:r w:rsidRPr="000A0454">
        <w:rPr>
          <w:rFonts w:ascii="Times New Roman" w:eastAsia="Times New Roman" w:hAnsi="Times New Roman" w:cs="Times New Roman"/>
          <w:sz w:val="24"/>
          <w:szCs w:val="24"/>
          <w:lang w:val="en-US"/>
        </w:rPr>
        <w:t xml:space="preserve"> isolates from diabetic foot wounds in a few Benue State tertiary medical facilities. The results showed that 21.1% of the isolates produced ESBL, suggesting a significant level of antibiotic resistance in the bacterial community linked to diabetic wound infections. This incidence is in line with data from other developing nations where chronic wound infections have been linked to an increasing number of ESBL-producing Enterobacteriaceae isolates (Bush and Bradford, 2020).</w:t>
      </w:r>
    </w:p>
    <w:p w:rsidR="000A0454" w:rsidRDefault="000A0454" w:rsidP="000A0454">
      <w:pPr>
        <w:spacing w:after="0" w:line="480" w:lineRule="auto"/>
        <w:jc w:val="both"/>
        <w:rPr>
          <w:rFonts w:ascii="Times New Roman" w:hAnsi="Times New Roman" w:cs="Times New Roman"/>
          <w:sz w:val="24"/>
          <w:szCs w:val="24"/>
        </w:rPr>
      </w:pPr>
    </w:p>
    <w:p w:rsidR="00D930CA" w:rsidRPr="00CE069D" w:rsidRDefault="00D930CA" w:rsidP="00D930CA">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w:t>
      </w:r>
      <w:proofErr w:type="spellStart"/>
      <w:r w:rsidRPr="00CE069D">
        <w:rPr>
          <w:rFonts w:ascii="Times New Roman" w:hAnsi="Times New Roman" w:cs="Times New Roman"/>
          <w:i/>
          <w:iCs/>
          <w:sz w:val="24"/>
          <w:szCs w:val="24"/>
        </w:rPr>
        <w:t>blaCTX</w:t>
      </w:r>
      <w:proofErr w:type="spellEnd"/>
      <w:r w:rsidRPr="00CE069D">
        <w:rPr>
          <w:rFonts w:ascii="Times New Roman" w:hAnsi="Times New Roman" w:cs="Times New Roman"/>
          <w:i/>
          <w:iCs/>
          <w:sz w:val="24"/>
          <w:szCs w:val="24"/>
        </w:rPr>
        <w:t>-M</w:t>
      </w:r>
      <w:r>
        <w:rPr>
          <w:rFonts w:ascii="Times New Roman" w:hAnsi="Times New Roman" w:cs="Times New Roman"/>
          <w:sz w:val="24"/>
          <w:szCs w:val="24"/>
        </w:rPr>
        <w:t xml:space="preserve"> gene</w:t>
      </w:r>
      <w:r w:rsidRPr="00CE069D">
        <w:rPr>
          <w:rFonts w:ascii="Times New Roman" w:hAnsi="Times New Roman" w:cs="Times New Roman"/>
          <w:sz w:val="24"/>
          <w:szCs w:val="24"/>
        </w:rPr>
        <w:t xml:space="preserve"> </w:t>
      </w:r>
      <w:r>
        <w:rPr>
          <w:rFonts w:ascii="Times New Roman" w:hAnsi="Times New Roman" w:cs="Times New Roman"/>
          <w:sz w:val="24"/>
          <w:szCs w:val="24"/>
        </w:rPr>
        <w:t xml:space="preserve">detected in several isolates </w:t>
      </w:r>
      <w:r w:rsidRPr="00CE069D">
        <w:rPr>
          <w:rFonts w:ascii="Times New Roman" w:hAnsi="Times New Roman" w:cs="Times New Roman"/>
          <w:sz w:val="24"/>
          <w:szCs w:val="24"/>
        </w:rPr>
        <w:t xml:space="preserve">is epidemiologically important because CTX-M enzymes represent the most globally widespread family of extended-spectrum β-lactamases </w:t>
      </w:r>
      <w:r w:rsidRPr="00CE069D">
        <w:rPr>
          <w:rFonts w:ascii="Times New Roman" w:hAnsi="Times New Roman" w:cs="Times New Roman"/>
          <w:sz w:val="24"/>
          <w:szCs w:val="24"/>
        </w:rPr>
        <w:lastRenderedPageBreak/>
        <w:t>(ESBLs). Their presence confirms the phenotypic ESBL results and suggests that a significant proportion of the isolates carry mobile genetic elements capable of conferring high-level resistance to third-generation cephalosporins. From an epidemiological standpoint, this indicates ongoing selection pressure in the clinical environment and the potential for horizontal transfer of ESBL determinants among Enterobacteriaceae circulating within hospital settings (</w:t>
      </w:r>
      <w:proofErr w:type="spellStart"/>
      <w:r w:rsidRPr="00CE069D">
        <w:rPr>
          <w:rFonts w:ascii="Times New Roman" w:hAnsi="Times New Roman" w:cs="Times New Roman"/>
          <w:sz w:val="24"/>
          <w:szCs w:val="24"/>
        </w:rPr>
        <w:t>Ezeh</w:t>
      </w:r>
      <w:proofErr w:type="spellEnd"/>
      <w:r w:rsidRPr="00CE069D">
        <w:rPr>
          <w:rFonts w:ascii="Times New Roman" w:hAnsi="Times New Roman" w:cs="Times New Roman"/>
          <w:sz w:val="24"/>
          <w:szCs w:val="24"/>
        </w:rPr>
        <w:t xml:space="preserve">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2024; Ayeni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2025).</w:t>
      </w:r>
    </w:p>
    <w:p w:rsidR="00D930CA" w:rsidRDefault="00D930CA" w:rsidP="00D930CA">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Notably, only two isolates (lanes 6 and 8) carried the </w:t>
      </w:r>
      <w:proofErr w:type="spellStart"/>
      <w:r w:rsidRPr="00CE069D">
        <w:rPr>
          <w:rFonts w:ascii="Times New Roman" w:hAnsi="Times New Roman" w:cs="Times New Roman"/>
          <w:i/>
          <w:iCs/>
          <w:sz w:val="24"/>
          <w:szCs w:val="24"/>
        </w:rPr>
        <w:t>ndm</w:t>
      </w:r>
      <w:proofErr w:type="spellEnd"/>
      <w:r w:rsidRPr="00CE069D">
        <w:rPr>
          <w:rFonts w:ascii="Times New Roman" w:hAnsi="Times New Roman" w:cs="Times New Roman"/>
          <w:sz w:val="24"/>
          <w:szCs w:val="24"/>
        </w:rPr>
        <w:t xml:space="preserve"> gene, which encodes New Delhi </w:t>
      </w:r>
      <w:proofErr w:type="spellStart"/>
      <w:r w:rsidRPr="00CE069D">
        <w:rPr>
          <w:rFonts w:ascii="Times New Roman" w:hAnsi="Times New Roman" w:cs="Times New Roman"/>
          <w:sz w:val="24"/>
          <w:szCs w:val="24"/>
        </w:rPr>
        <w:t>metallo</w:t>
      </w:r>
      <w:proofErr w:type="spellEnd"/>
      <w:r w:rsidRPr="00CE069D">
        <w:rPr>
          <w:rFonts w:ascii="Times New Roman" w:hAnsi="Times New Roman" w:cs="Times New Roman"/>
          <w:sz w:val="24"/>
          <w:szCs w:val="24"/>
        </w:rPr>
        <w:t xml:space="preserve">-β-lactamase. Although the prevalence was low, the detection of even a small number of </w:t>
      </w:r>
      <w:r w:rsidRPr="00CE069D">
        <w:rPr>
          <w:rFonts w:ascii="Times New Roman" w:hAnsi="Times New Roman" w:cs="Times New Roman"/>
          <w:i/>
          <w:iCs/>
          <w:sz w:val="24"/>
          <w:szCs w:val="24"/>
        </w:rPr>
        <w:t>NDM</w:t>
      </w:r>
      <w:r w:rsidRPr="00CE069D">
        <w:rPr>
          <w:rFonts w:ascii="Times New Roman" w:hAnsi="Times New Roman" w:cs="Times New Roman"/>
          <w:sz w:val="24"/>
          <w:szCs w:val="24"/>
        </w:rPr>
        <w:t xml:space="preserve">-positive strains has serious implications. </w:t>
      </w:r>
      <w:r w:rsidRPr="00CE069D">
        <w:rPr>
          <w:rFonts w:ascii="Times New Roman" w:hAnsi="Times New Roman" w:cs="Times New Roman"/>
          <w:i/>
          <w:iCs/>
          <w:sz w:val="24"/>
          <w:szCs w:val="24"/>
        </w:rPr>
        <w:t>NDM</w:t>
      </w:r>
      <w:r w:rsidRPr="00CE069D">
        <w:rPr>
          <w:rFonts w:ascii="Times New Roman" w:hAnsi="Times New Roman" w:cs="Times New Roman"/>
          <w:sz w:val="24"/>
          <w:szCs w:val="24"/>
        </w:rPr>
        <w:t xml:space="preserve">-producing bacteria are associated with rapid dissemination, substantial treatment failure, and outbreaks in healthcare facilities. Their presence may indicate early infiltration of </w:t>
      </w:r>
      <w:proofErr w:type="spellStart"/>
      <w:r w:rsidRPr="00CE069D">
        <w:rPr>
          <w:rFonts w:ascii="Times New Roman" w:hAnsi="Times New Roman" w:cs="Times New Roman"/>
          <w:sz w:val="24"/>
          <w:szCs w:val="24"/>
        </w:rPr>
        <w:t>carbapenemase</w:t>
      </w:r>
      <w:proofErr w:type="spellEnd"/>
      <w:r w:rsidRPr="00CE069D">
        <w:rPr>
          <w:rFonts w:ascii="Times New Roman" w:hAnsi="Times New Roman" w:cs="Times New Roman"/>
          <w:sz w:val="24"/>
          <w:szCs w:val="24"/>
        </w:rPr>
        <w:t xml:space="preserve"> producers into the local microbial population, creating an epidemiological warning signal requiring urgent surveillance and containment efforts (Chukwu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2022).</w:t>
      </w:r>
    </w:p>
    <w:p w:rsidR="00C46B92" w:rsidRPr="00C46B92" w:rsidRDefault="00C46B92" w:rsidP="000A0454">
      <w:pPr>
        <w:spacing w:before="100" w:beforeAutospacing="1" w:after="100" w:afterAutospacing="1" w:line="48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Interestingly, the </w:t>
      </w:r>
      <w:r w:rsidRPr="00C46B92">
        <w:rPr>
          <w:rFonts w:ascii="Times New Roman" w:eastAsia="Times New Roman" w:hAnsi="Times New Roman" w:cs="Times New Roman"/>
          <w:bCs/>
          <w:sz w:val="24"/>
          <w:szCs w:val="24"/>
          <w:lang w:val="en-US"/>
        </w:rPr>
        <w:t>KPC gene was not detected</w:t>
      </w:r>
      <w:r w:rsidRPr="00C46B92">
        <w:rPr>
          <w:rFonts w:ascii="Times New Roman" w:eastAsia="Times New Roman" w:hAnsi="Times New Roman" w:cs="Times New Roman"/>
          <w:sz w:val="24"/>
          <w:szCs w:val="24"/>
          <w:lang w:val="en-US"/>
        </w:rPr>
        <w:t xml:space="preserve"> in any of the isolates. This observation suggests that KPC-mediated carbapenem resistance may not yet be widespread in the study area. Similar findings have been reported in some regions of sub-Saharan Africa where NDM and other </w:t>
      </w:r>
      <w:proofErr w:type="spellStart"/>
      <w:r w:rsidRPr="00C46B92">
        <w:rPr>
          <w:rFonts w:ascii="Times New Roman" w:eastAsia="Times New Roman" w:hAnsi="Times New Roman" w:cs="Times New Roman"/>
          <w:sz w:val="24"/>
          <w:szCs w:val="24"/>
          <w:lang w:val="en-US"/>
        </w:rPr>
        <w:t>metallo</w:t>
      </w:r>
      <w:proofErr w:type="spellEnd"/>
      <w:r w:rsidRPr="00C46B92">
        <w:rPr>
          <w:rFonts w:ascii="Times New Roman" w:eastAsia="Times New Roman" w:hAnsi="Times New Roman" w:cs="Times New Roman"/>
          <w:sz w:val="24"/>
          <w:szCs w:val="24"/>
          <w:lang w:val="en-US"/>
        </w:rPr>
        <w:t xml:space="preserve">-β-lactamases appear to be more prevalent than KPC enzymes (Chukwu </w:t>
      </w:r>
      <w:r w:rsidRPr="00C46B92">
        <w:rPr>
          <w:rFonts w:ascii="Times New Roman" w:eastAsia="Times New Roman" w:hAnsi="Times New Roman" w:cs="Times New Roman"/>
          <w:i/>
          <w:sz w:val="24"/>
          <w:szCs w:val="24"/>
          <w:lang w:val="en-US"/>
        </w:rPr>
        <w:t>et al.,</w:t>
      </w:r>
      <w:r w:rsidRPr="00C46B92">
        <w:rPr>
          <w:rFonts w:ascii="Times New Roman" w:eastAsia="Times New Roman" w:hAnsi="Times New Roman" w:cs="Times New Roman"/>
          <w:sz w:val="24"/>
          <w:szCs w:val="24"/>
          <w:lang w:val="en-US"/>
        </w:rPr>
        <w:t xml:space="preserve"> 2022). Nevertheless, continuous monitoring remains essential to detect the possible introduction of KPC-producing strains into the local bacterial population.</w:t>
      </w:r>
    </w:p>
    <w:p w:rsidR="000A0454" w:rsidRPr="000A0454" w:rsidRDefault="006A6319" w:rsidP="000A0454">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val="en-US"/>
        </w:rPr>
      </w:pPr>
      <w:r w:rsidRPr="000A0454">
        <w:rPr>
          <w:rFonts w:ascii="Times New Roman" w:hAnsi="Times New Roman" w:cs="Times New Roman"/>
          <w:sz w:val="24"/>
          <w:szCs w:val="24"/>
        </w:rPr>
        <w:t xml:space="preserve">Overall, the findings of this study highlight the growing importance of molecular diagnostic techniques in the surveillance of antimicrobial resistance. Molecular detection provides rapid and accurate identification of resistance genes, enabling clinicians to make more informed decisions </w:t>
      </w:r>
      <w:r w:rsidRPr="000A0454">
        <w:rPr>
          <w:rFonts w:ascii="Times New Roman" w:hAnsi="Times New Roman" w:cs="Times New Roman"/>
          <w:sz w:val="24"/>
          <w:szCs w:val="24"/>
        </w:rPr>
        <w:lastRenderedPageBreak/>
        <w:t>regarding antimicrobial therapy. The results also emphasize the need for strengthened antimicrobial stewardship programs, routine molecular surveillance, and improved infection control practices in healthcare facilities.</w:t>
      </w:r>
      <w:r w:rsidR="000A0454" w:rsidRPr="000A0454">
        <w:rPr>
          <w:rFonts w:ascii="Times New Roman" w:eastAsia="Times New Roman" w:hAnsi="Times New Roman" w:cs="Times New Roman"/>
          <w:b/>
          <w:bCs/>
          <w:kern w:val="36"/>
          <w:sz w:val="24"/>
          <w:szCs w:val="24"/>
          <w:lang w:val="en-US"/>
        </w:rPr>
        <w:t xml:space="preserve"> </w:t>
      </w:r>
    </w:p>
    <w:p w:rsidR="000A0454" w:rsidRPr="000A0454" w:rsidRDefault="000A0454" w:rsidP="00102108">
      <w:pPr>
        <w:pStyle w:val="ListParagraph"/>
        <w:numPr>
          <w:ilvl w:val="0"/>
          <w:numId w:val="2"/>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0A0454">
        <w:rPr>
          <w:rFonts w:ascii="Times New Roman" w:eastAsia="Times New Roman" w:hAnsi="Times New Roman" w:cs="Times New Roman"/>
          <w:b/>
          <w:bCs/>
          <w:kern w:val="36"/>
          <w:sz w:val="24"/>
          <w:szCs w:val="24"/>
          <w:lang w:val="en-US"/>
        </w:rPr>
        <w:t>CONCLUSION</w:t>
      </w:r>
    </w:p>
    <w:p w:rsidR="00E24097" w:rsidRPr="00885EFE" w:rsidRDefault="000A0454" w:rsidP="00885EFE">
      <w:pPr>
        <w:spacing w:before="100" w:beforeAutospacing="1" w:after="100" w:afterAutospacing="1" w:line="48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This study demonstrated the presence of extended-spectrum β-lactamase producing </w:t>
      </w:r>
      <w:r w:rsidRPr="00C46B92">
        <w:rPr>
          <w:rFonts w:ascii="Times New Roman" w:eastAsia="Times New Roman" w:hAnsi="Times New Roman" w:cs="Times New Roman"/>
          <w:i/>
          <w:iCs/>
          <w:sz w:val="24"/>
          <w:szCs w:val="24"/>
          <w:lang w:val="en-US"/>
        </w:rPr>
        <w:t>Klebsiella pneumoniae</w:t>
      </w:r>
      <w:r w:rsidRPr="00C46B92">
        <w:rPr>
          <w:rFonts w:ascii="Times New Roman" w:eastAsia="Times New Roman" w:hAnsi="Times New Roman" w:cs="Times New Roman"/>
          <w:sz w:val="24"/>
          <w:szCs w:val="24"/>
          <w:lang w:val="en-US"/>
        </w:rPr>
        <w:t xml:space="preserve"> among isolates obtained from diabetic foot wounds in tertiary health facilities in Benue State. The detection of ESBL production in 21.1% of the isolates indicates a considerable level of antimicrobial resistance among the bacterial population associated with diabetic wound infections. Molecular analysis confirmed the presence of the </w:t>
      </w:r>
      <w:proofErr w:type="spellStart"/>
      <w:r w:rsidRPr="00C46B92">
        <w:rPr>
          <w:rFonts w:ascii="Times New Roman" w:eastAsia="Times New Roman" w:hAnsi="Times New Roman" w:cs="Times New Roman"/>
          <w:bCs/>
          <w:sz w:val="24"/>
          <w:szCs w:val="24"/>
          <w:lang w:val="en-US"/>
        </w:rPr>
        <w:t>blaCTX</w:t>
      </w:r>
      <w:proofErr w:type="spellEnd"/>
      <w:r w:rsidRPr="00C46B92">
        <w:rPr>
          <w:rFonts w:ascii="Times New Roman" w:eastAsia="Times New Roman" w:hAnsi="Times New Roman" w:cs="Times New Roman"/>
          <w:bCs/>
          <w:sz w:val="24"/>
          <w:szCs w:val="24"/>
          <w:lang w:val="en-US"/>
        </w:rPr>
        <w:t>-M gene</w:t>
      </w:r>
      <w:r w:rsidRPr="00C46B92">
        <w:rPr>
          <w:rFonts w:ascii="Times New Roman" w:eastAsia="Times New Roman" w:hAnsi="Times New Roman" w:cs="Times New Roman"/>
          <w:sz w:val="24"/>
          <w:szCs w:val="24"/>
          <w:lang w:val="en-US"/>
        </w:rPr>
        <w:t xml:space="preserve"> in several isolates, while the </w:t>
      </w:r>
      <w:r w:rsidRPr="00C46B92">
        <w:rPr>
          <w:rFonts w:ascii="Times New Roman" w:eastAsia="Times New Roman" w:hAnsi="Times New Roman" w:cs="Times New Roman"/>
          <w:bCs/>
          <w:sz w:val="24"/>
          <w:szCs w:val="24"/>
          <w:lang w:val="en-US"/>
        </w:rPr>
        <w:t>NDM gene</w:t>
      </w:r>
      <w:r w:rsidRPr="00C46B92">
        <w:rPr>
          <w:rFonts w:ascii="Times New Roman" w:eastAsia="Times New Roman" w:hAnsi="Times New Roman" w:cs="Times New Roman"/>
          <w:sz w:val="24"/>
          <w:szCs w:val="24"/>
          <w:lang w:val="en-US"/>
        </w:rPr>
        <w:t xml:space="preserve"> was detected in a small number of samples, indicating the potential emergence of carbapenem-resistant strains. The absence of the </w:t>
      </w:r>
      <w:r w:rsidRPr="00C46B92">
        <w:rPr>
          <w:rFonts w:ascii="Times New Roman" w:eastAsia="Times New Roman" w:hAnsi="Times New Roman" w:cs="Times New Roman"/>
          <w:bCs/>
          <w:sz w:val="24"/>
          <w:szCs w:val="24"/>
          <w:lang w:val="en-US"/>
        </w:rPr>
        <w:t>KPC gene</w:t>
      </w:r>
      <w:r w:rsidRPr="00C46B92">
        <w:rPr>
          <w:rFonts w:ascii="Times New Roman" w:eastAsia="Times New Roman" w:hAnsi="Times New Roman" w:cs="Times New Roman"/>
          <w:sz w:val="24"/>
          <w:szCs w:val="24"/>
          <w:lang w:val="en-US"/>
        </w:rPr>
        <w:t xml:space="preserve"> suggests that KPC-mediated resistance may not yet be widespread in the study area.</w:t>
      </w:r>
    </w:p>
    <w:p w:rsidR="00C46B92" w:rsidRPr="00C46B92" w:rsidRDefault="00C46B92" w:rsidP="00C46B92">
      <w:pPr>
        <w:spacing w:before="100" w:beforeAutospacing="1" w:after="100" w:afterAutospacing="1" w:line="240" w:lineRule="auto"/>
        <w:outlineLvl w:val="0"/>
        <w:rPr>
          <w:rFonts w:ascii="Times New Roman" w:eastAsia="Times New Roman" w:hAnsi="Times New Roman" w:cs="Times New Roman"/>
          <w:b/>
          <w:bCs/>
          <w:kern w:val="36"/>
          <w:sz w:val="24"/>
          <w:szCs w:val="24"/>
          <w:lang w:val="en-US"/>
        </w:rPr>
      </w:pPr>
      <w:r w:rsidRPr="00C46B92">
        <w:rPr>
          <w:rFonts w:ascii="Times New Roman" w:eastAsia="Times New Roman" w:hAnsi="Times New Roman" w:cs="Times New Roman"/>
          <w:b/>
          <w:bCs/>
          <w:kern w:val="36"/>
          <w:sz w:val="24"/>
          <w:szCs w:val="24"/>
          <w:lang w:val="en-US"/>
        </w:rPr>
        <w:t>REFERENCES</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Armstrong, D.G., Boulton, A.J.M. and Bus, S.A. (2020). Diabetic foot ulcers and their recurrence. </w:t>
      </w:r>
      <w:r w:rsidRPr="00C46B92">
        <w:rPr>
          <w:rFonts w:ascii="Times New Roman" w:eastAsia="Times New Roman" w:hAnsi="Times New Roman" w:cs="Times New Roman"/>
          <w:i/>
          <w:iCs/>
          <w:sz w:val="24"/>
          <w:szCs w:val="24"/>
          <w:lang w:val="en-US"/>
        </w:rPr>
        <w:t>New England Journal of Medicine</w:t>
      </w:r>
      <w:r w:rsidRPr="00C46B92">
        <w:rPr>
          <w:rFonts w:ascii="Times New Roman" w:eastAsia="Times New Roman" w:hAnsi="Times New Roman" w:cs="Times New Roman"/>
          <w:sz w:val="24"/>
          <w:szCs w:val="24"/>
          <w:lang w:val="en-US"/>
        </w:rPr>
        <w:t>, 376(24), 2367–2375.</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Ayeni, F.A., </w:t>
      </w:r>
      <w:proofErr w:type="spellStart"/>
      <w:r w:rsidRPr="00C46B92">
        <w:rPr>
          <w:rFonts w:ascii="Times New Roman" w:eastAsia="Times New Roman" w:hAnsi="Times New Roman" w:cs="Times New Roman"/>
          <w:sz w:val="24"/>
          <w:szCs w:val="24"/>
          <w:lang w:val="en-US"/>
        </w:rPr>
        <w:t>Ezeh</w:t>
      </w:r>
      <w:proofErr w:type="spellEnd"/>
      <w:r w:rsidRPr="00C46B92">
        <w:rPr>
          <w:rFonts w:ascii="Times New Roman" w:eastAsia="Times New Roman" w:hAnsi="Times New Roman" w:cs="Times New Roman"/>
          <w:sz w:val="24"/>
          <w:szCs w:val="24"/>
          <w:lang w:val="en-US"/>
        </w:rPr>
        <w:t xml:space="preserve">, A.I. and Yusuf, I. (2025). Antimicrobial resistance patterns among Enterobacteriaceae in Nigerian hospitals. </w:t>
      </w:r>
      <w:r w:rsidRPr="00C46B92">
        <w:rPr>
          <w:rFonts w:ascii="Times New Roman" w:eastAsia="Times New Roman" w:hAnsi="Times New Roman" w:cs="Times New Roman"/>
          <w:i/>
          <w:iCs/>
          <w:sz w:val="24"/>
          <w:szCs w:val="24"/>
          <w:lang w:val="en-US"/>
        </w:rPr>
        <w:t>African Journal of Clinical Microbiology</w:t>
      </w:r>
      <w:r w:rsidRPr="00C46B92">
        <w:rPr>
          <w:rFonts w:ascii="Times New Roman" w:eastAsia="Times New Roman" w:hAnsi="Times New Roman" w:cs="Times New Roman"/>
          <w:sz w:val="24"/>
          <w:szCs w:val="24"/>
          <w:lang w:val="en-US"/>
        </w:rPr>
        <w:t>, 26(2), 85–95.</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Bush, K. and Bradford, P.A. (2020). Epidemiology of β-lactamase-producing pathogens. </w:t>
      </w:r>
      <w:r w:rsidRPr="00C46B92">
        <w:rPr>
          <w:rFonts w:ascii="Times New Roman" w:eastAsia="Times New Roman" w:hAnsi="Times New Roman" w:cs="Times New Roman"/>
          <w:i/>
          <w:iCs/>
          <w:sz w:val="24"/>
          <w:szCs w:val="24"/>
          <w:lang w:val="en-US"/>
        </w:rPr>
        <w:t>Clinical Microbiology Reviews</w:t>
      </w:r>
      <w:r w:rsidRPr="00C46B92">
        <w:rPr>
          <w:rFonts w:ascii="Times New Roman" w:eastAsia="Times New Roman" w:hAnsi="Times New Roman" w:cs="Times New Roman"/>
          <w:sz w:val="24"/>
          <w:szCs w:val="24"/>
          <w:lang w:val="en-US"/>
        </w:rPr>
        <w:t>, 33(2), e00047-19.</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Chen, X., Zhang, W. and Li, Y. (2023). Molecular identification and characterization of </w:t>
      </w:r>
      <w:r w:rsidRPr="00C46B92">
        <w:rPr>
          <w:rFonts w:ascii="Times New Roman" w:eastAsia="Times New Roman" w:hAnsi="Times New Roman" w:cs="Times New Roman"/>
          <w:i/>
          <w:sz w:val="24"/>
          <w:szCs w:val="24"/>
          <w:lang w:val="en-US"/>
        </w:rPr>
        <w:t>Klebsiella pneumoniae</w:t>
      </w:r>
      <w:r w:rsidRPr="00C46B92">
        <w:rPr>
          <w:rFonts w:ascii="Times New Roman" w:eastAsia="Times New Roman" w:hAnsi="Times New Roman" w:cs="Times New Roman"/>
          <w:sz w:val="24"/>
          <w:szCs w:val="24"/>
          <w:lang w:val="en-US"/>
        </w:rPr>
        <w:t xml:space="preserve"> using </w:t>
      </w:r>
      <w:proofErr w:type="spellStart"/>
      <w:r w:rsidRPr="00C46B92">
        <w:rPr>
          <w:rFonts w:ascii="Times New Roman" w:eastAsia="Times New Roman" w:hAnsi="Times New Roman" w:cs="Times New Roman"/>
          <w:sz w:val="24"/>
          <w:szCs w:val="24"/>
          <w:lang w:val="en-US"/>
        </w:rPr>
        <w:t>rpoB</w:t>
      </w:r>
      <w:proofErr w:type="spellEnd"/>
      <w:r w:rsidRPr="00C46B92">
        <w:rPr>
          <w:rFonts w:ascii="Times New Roman" w:eastAsia="Times New Roman" w:hAnsi="Times New Roman" w:cs="Times New Roman"/>
          <w:sz w:val="24"/>
          <w:szCs w:val="24"/>
          <w:lang w:val="en-US"/>
        </w:rPr>
        <w:t xml:space="preserve"> gene sequencing. </w:t>
      </w:r>
      <w:r w:rsidRPr="00C46B92">
        <w:rPr>
          <w:rFonts w:ascii="Times New Roman" w:eastAsia="Times New Roman" w:hAnsi="Times New Roman" w:cs="Times New Roman"/>
          <w:i/>
          <w:iCs/>
          <w:sz w:val="24"/>
          <w:szCs w:val="24"/>
          <w:lang w:val="en-US"/>
        </w:rPr>
        <w:t>Journal of Clinical Microbiology</w:t>
      </w:r>
      <w:r w:rsidRPr="00C46B92">
        <w:rPr>
          <w:rFonts w:ascii="Times New Roman" w:eastAsia="Times New Roman" w:hAnsi="Times New Roman" w:cs="Times New Roman"/>
          <w:sz w:val="24"/>
          <w:szCs w:val="24"/>
          <w:lang w:val="en-US"/>
        </w:rPr>
        <w:t>, 61(4), e01562-22.</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Chukwu, M.O., </w:t>
      </w:r>
      <w:proofErr w:type="spellStart"/>
      <w:r w:rsidRPr="00C46B92">
        <w:rPr>
          <w:rFonts w:ascii="Times New Roman" w:eastAsia="Times New Roman" w:hAnsi="Times New Roman" w:cs="Times New Roman"/>
          <w:sz w:val="24"/>
          <w:szCs w:val="24"/>
          <w:lang w:val="en-US"/>
        </w:rPr>
        <w:t>Nworie</w:t>
      </w:r>
      <w:proofErr w:type="spellEnd"/>
      <w:r w:rsidRPr="00C46B92">
        <w:rPr>
          <w:rFonts w:ascii="Times New Roman" w:eastAsia="Times New Roman" w:hAnsi="Times New Roman" w:cs="Times New Roman"/>
          <w:sz w:val="24"/>
          <w:szCs w:val="24"/>
          <w:lang w:val="en-US"/>
        </w:rPr>
        <w:t xml:space="preserve">, O. and </w:t>
      </w:r>
      <w:proofErr w:type="spellStart"/>
      <w:r w:rsidRPr="00C46B92">
        <w:rPr>
          <w:rFonts w:ascii="Times New Roman" w:eastAsia="Times New Roman" w:hAnsi="Times New Roman" w:cs="Times New Roman"/>
          <w:sz w:val="24"/>
          <w:szCs w:val="24"/>
          <w:lang w:val="en-US"/>
        </w:rPr>
        <w:t>Okechukwu</w:t>
      </w:r>
      <w:proofErr w:type="spellEnd"/>
      <w:r w:rsidRPr="00C46B92">
        <w:rPr>
          <w:rFonts w:ascii="Times New Roman" w:eastAsia="Times New Roman" w:hAnsi="Times New Roman" w:cs="Times New Roman"/>
          <w:sz w:val="24"/>
          <w:szCs w:val="24"/>
          <w:lang w:val="en-US"/>
        </w:rPr>
        <w:t xml:space="preserve">, O. (2022). Carbapenem-resistant Enterobacteriaceae in sub-Saharan Africa: epidemiology and public health implications. </w:t>
      </w:r>
      <w:r w:rsidRPr="00C46B92">
        <w:rPr>
          <w:rFonts w:ascii="Times New Roman" w:eastAsia="Times New Roman" w:hAnsi="Times New Roman" w:cs="Times New Roman"/>
          <w:i/>
          <w:iCs/>
          <w:sz w:val="24"/>
          <w:szCs w:val="24"/>
          <w:lang w:val="en-US"/>
        </w:rPr>
        <w:t>Infectious Diseases Reports</w:t>
      </w:r>
      <w:r w:rsidRPr="00C46B92">
        <w:rPr>
          <w:rFonts w:ascii="Times New Roman" w:eastAsia="Times New Roman" w:hAnsi="Times New Roman" w:cs="Times New Roman"/>
          <w:sz w:val="24"/>
          <w:szCs w:val="24"/>
          <w:lang w:val="en-US"/>
        </w:rPr>
        <w:t>, 14(3), 365–374.</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lastRenderedPageBreak/>
        <w:t xml:space="preserve">Lipsky, B.A., </w:t>
      </w:r>
      <w:proofErr w:type="spellStart"/>
      <w:r w:rsidRPr="00C46B92">
        <w:rPr>
          <w:rFonts w:ascii="Times New Roman" w:eastAsia="Times New Roman" w:hAnsi="Times New Roman" w:cs="Times New Roman"/>
          <w:sz w:val="24"/>
          <w:szCs w:val="24"/>
          <w:lang w:val="en-US"/>
        </w:rPr>
        <w:t>Senneville</w:t>
      </w:r>
      <w:proofErr w:type="spellEnd"/>
      <w:r w:rsidRPr="00C46B92">
        <w:rPr>
          <w:rFonts w:ascii="Times New Roman" w:eastAsia="Times New Roman" w:hAnsi="Times New Roman" w:cs="Times New Roman"/>
          <w:sz w:val="24"/>
          <w:szCs w:val="24"/>
          <w:lang w:val="en-US"/>
        </w:rPr>
        <w:t xml:space="preserve">, E., Abbas, Z.G., et al. (2020). Guidelines on the diagnosis and treatment of diabetic foot infections. </w:t>
      </w:r>
      <w:r w:rsidRPr="00C46B92">
        <w:rPr>
          <w:rFonts w:ascii="Times New Roman" w:eastAsia="Times New Roman" w:hAnsi="Times New Roman" w:cs="Times New Roman"/>
          <w:i/>
          <w:iCs/>
          <w:sz w:val="24"/>
          <w:szCs w:val="24"/>
          <w:lang w:val="en-US"/>
        </w:rPr>
        <w:t>International Working Group on the Diabetic Foot</w:t>
      </w:r>
      <w:r w:rsidRPr="00C46B92">
        <w:rPr>
          <w:rFonts w:ascii="Times New Roman" w:eastAsia="Times New Roman" w:hAnsi="Times New Roman" w:cs="Times New Roman"/>
          <w:sz w:val="24"/>
          <w:szCs w:val="24"/>
          <w:lang w:val="en-US"/>
        </w:rPr>
        <w:t>, 1–42.</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Logan, L.K. and Weinstein, R.A. (2023). The epidemiology of carbapenem-resistant Enterobacteriaceae. </w:t>
      </w:r>
      <w:r w:rsidRPr="00C46B92">
        <w:rPr>
          <w:rFonts w:ascii="Times New Roman" w:eastAsia="Times New Roman" w:hAnsi="Times New Roman" w:cs="Times New Roman"/>
          <w:i/>
          <w:iCs/>
          <w:sz w:val="24"/>
          <w:szCs w:val="24"/>
          <w:lang w:val="en-US"/>
        </w:rPr>
        <w:t>Clinical Infectious Diseases</w:t>
      </w:r>
      <w:r w:rsidRPr="00C46B92">
        <w:rPr>
          <w:rFonts w:ascii="Times New Roman" w:eastAsia="Times New Roman" w:hAnsi="Times New Roman" w:cs="Times New Roman"/>
          <w:sz w:val="24"/>
          <w:szCs w:val="24"/>
          <w:lang w:val="en-US"/>
        </w:rPr>
        <w:t>, 76(3), 483–490.</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46B92">
        <w:rPr>
          <w:rFonts w:ascii="Times New Roman" w:eastAsia="Times New Roman" w:hAnsi="Times New Roman" w:cs="Times New Roman"/>
          <w:sz w:val="24"/>
          <w:szCs w:val="24"/>
          <w:lang w:val="en-US"/>
        </w:rPr>
        <w:t>Paczosa</w:t>
      </w:r>
      <w:proofErr w:type="spellEnd"/>
      <w:r w:rsidRPr="00C46B92">
        <w:rPr>
          <w:rFonts w:ascii="Times New Roman" w:eastAsia="Times New Roman" w:hAnsi="Times New Roman" w:cs="Times New Roman"/>
          <w:sz w:val="24"/>
          <w:szCs w:val="24"/>
          <w:lang w:val="en-US"/>
        </w:rPr>
        <w:t xml:space="preserve">, M.K. and </w:t>
      </w:r>
      <w:proofErr w:type="spellStart"/>
      <w:r w:rsidRPr="00C46B92">
        <w:rPr>
          <w:rFonts w:ascii="Times New Roman" w:eastAsia="Times New Roman" w:hAnsi="Times New Roman" w:cs="Times New Roman"/>
          <w:sz w:val="24"/>
          <w:szCs w:val="24"/>
          <w:lang w:val="en-US"/>
        </w:rPr>
        <w:t>Mecsas</w:t>
      </w:r>
      <w:proofErr w:type="spellEnd"/>
      <w:r w:rsidRPr="00C46B92">
        <w:rPr>
          <w:rFonts w:ascii="Times New Roman" w:eastAsia="Times New Roman" w:hAnsi="Times New Roman" w:cs="Times New Roman"/>
          <w:sz w:val="24"/>
          <w:szCs w:val="24"/>
          <w:lang w:val="en-US"/>
        </w:rPr>
        <w:t xml:space="preserve">, J. (2016). Klebsiella pneumoniae: Going on the offense with a strong defense. </w:t>
      </w:r>
      <w:r w:rsidRPr="00C46B92">
        <w:rPr>
          <w:rFonts w:ascii="Times New Roman" w:eastAsia="Times New Roman" w:hAnsi="Times New Roman" w:cs="Times New Roman"/>
          <w:i/>
          <w:iCs/>
          <w:sz w:val="24"/>
          <w:szCs w:val="24"/>
          <w:lang w:val="en-US"/>
        </w:rPr>
        <w:t>Microbiology and Molecular Biology Reviews</w:t>
      </w:r>
      <w:r w:rsidRPr="00C46B92">
        <w:rPr>
          <w:rFonts w:ascii="Times New Roman" w:eastAsia="Times New Roman" w:hAnsi="Times New Roman" w:cs="Times New Roman"/>
          <w:sz w:val="24"/>
          <w:szCs w:val="24"/>
          <w:lang w:val="en-US"/>
        </w:rPr>
        <w:t>, 80(3), 629–661.</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46B92">
        <w:rPr>
          <w:rFonts w:ascii="Times New Roman" w:eastAsia="Times New Roman" w:hAnsi="Times New Roman" w:cs="Times New Roman"/>
          <w:sz w:val="24"/>
          <w:szCs w:val="24"/>
          <w:lang w:val="en-US"/>
        </w:rPr>
        <w:t>Peirano</w:t>
      </w:r>
      <w:proofErr w:type="spellEnd"/>
      <w:r w:rsidRPr="00C46B92">
        <w:rPr>
          <w:rFonts w:ascii="Times New Roman" w:eastAsia="Times New Roman" w:hAnsi="Times New Roman" w:cs="Times New Roman"/>
          <w:sz w:val="24"/>
          <w:szCs w:val="24"/>
          <w:lang w:val="en-US"/>
        </w:rPr>
        <w:t xml:space="preserve">, G. and </w:t>
      </w:r>
      <w:proofErr w:type="spellStart"/>
      <w:r w:rsidRPr="00C46B92">
        <w:rPr>
          <w:rFonts w:ascii="Times New Roman" w:eastAsia="Times New Roman" w:hAnsi="Times New Roman" w:cs="Times New Roman"/>
          <w:sz w:val="24"/>
          <w:szCs w:val="24"/>
          <w:lang w:val="en-US"/>
        </w:rPr>
        <w:t>Pitout</w:t>
      </w:r>
      <w:proofErr w:type="spellEnd"/>
      <w:r w:rsidRPr="00C46B92">
        <w:rPr>
          <w:rFonts w:ascii="Times New Roman" w:eastAsia="Times New Roman" w:hAnsi="Times New Roman" w:cs="Times New Roman"/>
          <w:sz w:val="24"/>
          <w:szCs w:val="24"/>
          <w:lang w:val="en-US"/>
        </w:rPr>
        <w:t xml:space="preserve">, J.D.D. (2022). Extended-spectrum β-lactamase-producing Enterobacteriaceae: update on molecular epidemiology and treatment options. </w:t>
      </w:r>
      <w:r w:rsidRPr="00C46B92">
        <w:rPr>
          <w:rFonts w:ascii="Times New Roman" w:eastAsia="Times New Roman" w:hAnsi="Times New Roman" w:cs="Times New Roman"/>
          <w:i/>
          <w:iCs/>
          <w:sz w:val="24"/>
          <w:szCs w:val="24"/>
          <w:lang w:val="en-US"/>
        </w:rPr>
        <w:t>Drugs</w:t>
      </w:r>
      <w:r w:rsidRPr="00C46B92">
        <w:rPr>
          <w:rFonts w:ascii="Times New Roman" w:eastAsia="Times New Roman" w:hAnsi="Times New Roman" w:cs="Times New Roman"/>
          <w:sz w:val="24"/>
          <w:szCs w:val="24"/>
          <w:lang w:val="en-US"/>
        </w:rPr>
        <w:t>, 82, 1353–1370.</w:t>
      </w:r>
    </w:p>
    <w:p w:rsidR="00C46B92" w:rsidRPr="00C46B92" w:rsidRDefault="00C46B92" w:rsidP="00C46B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46B92">
        <w:rPr>
          <w:rFonts w:ascii="Times New Roman" w:eastAsia="Times New Roman" w:hAnsi="Times New Roman" w:cs="Times New Roman"/>
          <w:sz w:val="24"/>
          <w:szCs w:val="24"/>
          <w:lang w:val="en-US"/>
        </w:rPr>
        <w:t>Podschun</w:t>
      </w:r>
      <w:proofErr w:type="spellEnd"/>
      <w:r w:rsidRPr="00C46B92">
        <w:rPr>
          <w:rFonts w:ascii="Times New Roman" w:eastAsia="Times New Roman" w:hAnsi="Times New Roman" w:cs="Times New Roman"/>
          <w:sz w:val="24"/>
          <w:szCs w:val="24"/>
          <w:lang w:val="en-US"/>
        </w:rPr>
        <w:t xml:space="preserve">, R. and Ullmann, U. (1998). Klebsiella spp. as nosocomial pathogens: epidemiology, taxonomy, typing methods, and pathogenicity factors. </w:t>
      </w:r>
      <w:r w:rsidRPr="00C46B92">
        <w:rPr>
          <w:rFonts w:ascii="Times New Roman" w:eastAsia="Times New Roman" w:hAnsi="Times New Roman" w:cs="Times New Roman"/>
          <w:i/>
          <w:iCs/>
          <w:sz w:val="24"/>
          <w:szCs w:val="24"/>
          <w:lang w:val="en-US"/>
        </w:rPr>
        <w:t>Clinical Microbiology Reviews</w:t>
      </w:r>
      <w:r w:rsidRPr="00C46B92">
        <w:rPr>
          <w:rFonts w:ascii="Times New Roman" w:eastAsia="Times New Roman" w:hAnsi="Times New Roman" w:cs="Times New Roman"/>
          <w:sz w:val="24"/>
          <w:szCs w:val="24"/>
          <w:lang w:val="en-US"/>
        </w:rPr>
        <w:t>, 11(4), 589–603.</w:t>
      </w: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Pr="00CE069D" w:rsidRDefault="00E24097" w:rsidP="00E24097">
      <w:pPr>
        <w:rPr>
          <w:rFonts w:ascii="Times New Roman" w:hAnsi="Times New Roman" w:cs="Times New Roman"/>
          <w:b/>
          <w:bCs/>
          <w:kern w:val="2"/>
          <w:sz w:val="24"/>
          <w:szCs w:val="24"/>
          <w:lang w:val="en-US"/>
          <w14:ligatures w14:val="standardContextual"/>
        </w:rPr>
      </w:pPr>
      <w:r w:rsidRPr="00CE069D">
        <w:rPr>
          <w:rFonts w:ascii="Times New Roman" w:hAnsi="Times New Roman" w:cs="Times New Roman"/>
          <w:b/>
          <w:bCs/>
          <w:kern w:val="2"/>
          <w:sz w:val="24"/>
          <w:szCs w:val="24"/>
          <w:lang w:val="en-US"/>
          <w14:ligatures w14:val="standardContextual"/>
        </w:rPr>
        <w:br w:type="page"/>
      </w:r>
    </w:p>
    <w:p w:rsidR="00E24097" w:rsidRPr="00CE069D" w:rsidRDefault="00E24097" w:rsidP="00E24097">
      <w:pPr>
        <w:spacing w:after="0" w:line="480" w:lineRule="auto"/>
        <w:jc w:val="both"/>
        <w:rPr>
          <w:rFonts w:ascii="Times New Roman" w:hAnsi="Times New Roman"/>
          <w:sz w:val="24"/>
          <w:szCs w:val="24"/>
        </w:rPr>
      </w:pPr>
    </w:p>
    <w:p w:rsidR="00E24097" w:rsidRDefault="00E24097" w:rsidP="00E24097">
      <w:pPr>
        <w:pageBreakBefore/>
        <w:autoSpaceDE w:val="0"/>
        <w:autoSpaceDN w:val="0"/>
        <w:adjustRightInd w:val="0"/>
        <w:spacing w:after="0" w:line="480" w:lineRule="auto"/>
        <w:jc w:val="both"/>
      </w:pPr>
    </w:p>
    <w:sectPr w:rsidR="00E240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93" w:rsidRDefault="00646C93" w:rsidP="00F82ED9">
      <w:pPr>
        <w:spacing w:after="0" w:line="240" w:lineRule="auto"/>
      </w:pPr>
      <w:r>
        <w:separator/>
      </w:r>
    </w:p>
  </w:endnote>
  <w:endnote w:type="continuationSeparator" w:id="0">
    <w:p w:rsidR="00646C93" w:rsidRDefault="00646C93" w:rsidP="00F8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93" w:rsidRDefault="00646C93" w:rsidP="00F82ED9">
      <w:pPr>
        <w:spacing w:after="0" w:line="240" w:lineRule="auto"/>
      </w:pPr>
      <w:r>
        <w:separator/>
      </w:r>
    </w:p>
  </w:footnote>
  <w:footnote w:type="continuationSeparator" w:id="0">
    <w:p w:rsidR="00646C93" w:rsidRDefault="00646C93" w:rsidP="00F8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527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527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D9" w:rsidRDefault="00F82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527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3E4C"/>
    <w:multiLevelType w:val="hybridMultilevel"/>
    <w:tmpl w:val="C7C694C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1875"/>
    <w:multiLevelType w:val="hybridMultilevel"/>
    <w:tmpl w:val="1416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88"/>
    <w:rsid w:val="000A0454"/>
    <w:rsid w:val="00102108"/>
    <w:rsid w:val="00115F1F"/>
    <w:rsid w:val="00160ED8"/>
    <w:rsid w:val="001A19B1"/>
    <w:rsid w:val="003E54A3"/>
    <w:rsid w:val="004F12D4"/>
    <w:rsid w:val="004F2488"/>
    <w:rsid w:val="00646C93"/>
    <w:rsid w:val="006A6319"/>
    <w:rsid w:val="007E0A8D"/>
    <w:rsid w:val="00865A28"/>
    <w:rsid w:val="00885EFE"/>
    <w:rsid w:val="00A275AB"/>
    <w:rsid w:val="00A6245F"/>
    <w:rsid w:val="00C46B92"/>
    <w:rsid w:val="00D137B0"/>
    <w:rsid w:val="00D26D35"/>
    <w:rsid w:val="00D930CA"/>
    <w:rsid w:val="00E24097"/>
    <w:rsid w:val="00EF00A2"/>
    <w:rsid w:val="00F8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46D7F"/>
  <w15:chartTrackingRefBased/>
  <w15:docId w15:val="{FC1528C0-67EF-4F73-8CED-D3B2091C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4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488"/>
    <w:pPr>
      <w:ind w:left="720"/>
      <w:contextualSpacing/>
    </w:pPr>
  </w:style>
  <w:style w:type="character" w:styleId="Emphasis">
    <w:name w:val="Emphasis"/>
    <w:basedOn w:val="DefaultParagraphFont"/>
    <w:uiPriority w:val="20"/>
    <w:qFormat/>
    <w:rsid w:val="004F2488"/>
    <w:rPr>
      <w:i/>
      <w:iCs/>
    </w:rPr>
  </w:style>
  <w:style w:type="table" w:styleId="PlainTable2">
    <w:name w:val="Plain Table 2"/>
    <w:basedOn w:val="TableNormal"/>
    <w:uiPriority w:val="42"/>
    <w:rsid w:val="00D26D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26D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6D35"/>
    <w:rPr>
      <w:sz w:val="16"/>
      <w:szCs w:val="16"/>
    </w:rPr>
  </w:style>
  <w:style w:type="paragraph" w:styleId="CommentText">
    <w:name w:val="annotation text"/>
    <w:basedOn w:val="Normal"/>
    <w:link w:val="CommentTextChar"/>
    <w:uiPriority w:val="99"/>
    <w:unhideWhenUsed/>
    <w:rsid w:val="00D26D35"/>
    <w:pPr>
      <w:spacing w:line="240" w:lineRule="auto"/>
    </w:pPr>
    <w:rPr>
      <w:sz w:val="20"/>
      <w:szCs w:val="20"/>
    </w:rPr>
  </w:style>
  <w:style w:type="character" w:customStyle="1" w:styleId="CommentTextChar">
    <w:name w:val="Comment Text Char"/>
    <w:basedOn w:val="DefaultParagraphFont"/>
    <w:link w:val="CommentText"/>
    <w:uiPriority w:val="99"/>
    <w:rsid w:val="00D26D35"/>
    <w:rPr>
      <w:sz w:val="20"/>
      <w:szCs w:val="20"/>
      <w:lang w:val="en-GB"/>
    </w:rPr>
  </w:style>
  <w:style w:type="paragraph" w:styleId="BalloonText">
    <w:name w:val="Balloon Text"/>
    <w:basedOn w:val="Normal"/>
    <w:link w:val="BalloonTextChar"/>
    <w:uiPriority w:val="99"/>
    <w:semiHidden/>
    <w:unhideWhenUsed/>
    <w:rsid w:val="00D26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D35"/>
    <w:rPr>
      <w:rFonts w:ascii="Segoe UI" w:hAnsi="Segoe UI" w:cs="Segoe UI"/>
      <w:sz w:val="18"/>
      <w:szCs w:val="18"/>
      <w:lang w:val="en-GB"/>
    </w:rPr>
  </w:style>
  <w:style w:type="paragraph" w:styleId="Header">
    <w:name w:val="header"/>
    <w:basedOn w:val="Normal"/>
    <w:link w:val="HeaderChar"/>
    <w:uiPriority w:val="99"/>
    <w:unhideWhenUsed/>
    <w:rsid w:val="00F8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D9"/>
    <w:rPr>
      <w:lang w:val="en-GB"/>
    </w:rPr>
  </w:style>
  <w:style w:type="paragraph" w:styleId="Footer">
    <w:name w:val="footer"/>
    <w:basedOn w:val="Normal"/>
    <w:link w:val="FooterChar"/>
    <w:uiPriority w:val="99"/>
    <w:unhideWhenUsed/>
    <w:rsid w:val="00F8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E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81972">
      <w:bodyDiv w:val="1"/>
      <w:marLeft w:val="0"/>
      <w:marRight w:val="0"/>
      <w:marTop w:val="0"/>
      <w:marBottom w:val="0"/>
      <w:divBdr>
        <w:top w:val="none" w:sz="0" w:space="0" w:color="auto"/>
        <w:left w:val="none" w:sz="0" w:space="0" w:color="auto"/>
        <w:bottom w:val="none" w:sz="0" w:space="0" w:color="auto"/>
        <w:right w:val="none" w:sz="0" w:space="0" w:color="auto"/>
      </w:divBdr>
    </w:div>
    <w:div w:id="852038952">
      <w:bodyDiv w:val="1"/>
      <w:marLeft w:val="0"/>
      <w:marRight w:val="0"/>
      <w:marTop w:val="0"/>
      <w:marBottom w:val="0"/>
      <w:divBdr>
        <w:top w:val="none" w:sz="0" w:space="0" w:color="auto"/>
        <w:left w:val="none" w:sz="0" w:space="0" w:color="auto"/>
        <w:bottom w:val="none" w:sz="0" w:space="0" w:color="auto"/>
        <w:right w:val="none" w:sz="0" w:space="0" w:color="auto"/>
      </w:divBdr>
    </w:div>
    <w:div w:id="1677225072">
      <w:bodyDiv w:val="1"/>
      <w:marLeft w:val="0"/>
      <w:marRight w:val="0"/>
      <w:marTop w:val="0"/>
      <w:marBottom w:val="0"/>
      <w:divBdr>
        <w:top w:val="none" w:sz="0" w:space="0" w:color="auto"/>
        <w:left w:val="none" w:sz="0" w:space="0" w:color="auto"/>
        <w:bottom w:val="none" w:sz="0" w:space="0" w:color="auto"/>
        <w:right w:val="none" w:sz="0" w:space="0" w:color="auto"/>
      </w:divBdr>
      <w:divsChild>
        <w:div w:id="1829442047">
          <w:marLeft w:val="0"/>
          <w:marRight w:val="0"/>
          <w:marTop w:val="0"/>
          <w:marBottom w:val="0"/>
          <w:divBdr>
            <w:top w:val="none" w:sz="0" w:space="0" w:color="auto"/>
            <w:left w:val="none" w:sz="0" w:space="0" w:color="auto"/>
            <w:bottom w:val="none" w:sz="0" w:space="0" w:color="auto"/>
            <w:right w:val="none" w:sz="0" w:space="0" w:color="auto"/>
          </w:divBdr>
          <w:divsChild>
            <w:div w:id="121776277">
              <w:marLeft w:val="0"/>
              <w:marRight w:val="0"/>
              <w:marTop w:val="0"/>
              <w:marBottom w:val="0"/>
              <w:divBdr>
                <w:top w:val="none" w:sz="0" w:space="0" w:color="auto"/>
                <w:left w:val="none" w:sz="0" w:space="0" w:color="auto"/>
                <w:bottom w:val="none" w:sz="0" w:space="0" w:color="auto"/>
                <w:right w:val="none" w:sz="0" w:space="0" w:color="auto"/>
              </w:divBdr>
              <w:divsChild>
                <w:div w:id="136920058">
                  <w:marLeft w:val="0"/>
                  <w:marRight w:val="0"/>
                  <w:marTop w:val="0"/>
                  <w:marBottom w:val="0"/>
                  <w:divBdr>
                    <w:top w:val="none" w:sz="0" w:space="0" w:color="auto"/>
                    <w:left w:val="none" w:sz="0" w:space="0" w:color="auto"/>
                    <w:bottom w:val="none" w:sz="0" w:space="0" w:color="auto"/>
                    <w:right w:val="none" w:sz="0" w:space="0" w:color="auto"/>
                  </w:divBdr>
                  <w:divsChild>
                    <w:div w:id="1924484909">
                      <w:marLeft w:val="0"/>
                      <w:marRight w:val="0"/>
                      <w:marTop w:val="0"/>
                      <w:marBottom w:val="0"/>
                      <w:divBdr>
                        <w:top w:val="none" w:sz="0" w:space="0" w:color="auto"/>
                        <w:left w:val="none" w:sz="0" w:space="0" w:color="auto"/>
                        <w:bottom w:val="none" w:sz="0" w:space="0" w:color="auto"/>
                        <w:right w:val="none" w:sz="0" w:space="0" w:color="auto"/>
                      </w:divBdr>
                      <w:divsChild>
                        <w:div w:id="342753893">
                          <w:marLeft w:val="0"/>
                          <w:marRight w:val="0"/>
                          <w:marTop w:val="0"/>
                          <w:marBottom w:val="0"/>
                          <w:divBdr>
                            <w:top w:val="none" w:sz="0" w:space="0" w:color="auto"/>
                            <w:left w:val="none" w:sz="0" w:space="0" w:color="auto"/>
                            <w:bottom w:val="none" w:sz="0" w:space="0" w:color="auto"/>
                            <w:right w:val="none" w:sz="0" w:space="0" w:color="auto"/>
                          </w:divBdr>
                          <w:divsChild>
                            <w:div w:id="756441779">
                              <w:marLeft w:val="0"/>
                              <w:marRight w:val="0"/>
                              <w:marTop w:val="0"/>
                              <w:marBottom w:val="0"/>
                              <w:divBdr>
                                <w:top w:val="none" w:sz="0" w:space="0" w:color="auto"/>
                                <w:left w:val="none" w:sz="0" w:space="0" w:color="auto"/>
                                <w:bottom w:val="none" w:sz="0" w:space="0" w:color="auto"/>
                                <w:right w:val="none" w:sz="0" w:space="0" w:color="auto"/>
                              </w:divBdr>
                              <w:divsChild>
                                <w:div w:id="978608389">
                                  <w:marLeft w:val="0"/>
                                  <w:marRight w:val="0"/>
                                  <w:marTop w:val="0"/>
                                  <w:marBottom w:val="0"/>
                                  <w:divBdr>
                                    <w:top w:val="none" w:sz="0" w:space="0" w:color="auto"/>
                                    <w:left w:val="none" w:sz="0" w:space="0" w:color="auto"/>
                                    <w:bottom w:val="none" w:sz="0" w:space="0" w:color="auto"/>
                                    <w:right w:val="none" w:sz="0" w:space="0" w:color="auto"/>
                                  </w:divBdr>
                                  <w:divsChild>
                                    <w:div w:id="1856995292">
                                      <w:marLeft w:val="0"/>
                                      <w:marRight w:val="0"/>
                                      <w:marTop w:val="0"/>
                                      <w:marBottom w:val="0"/>
                                      <w:divBdr>
                                        <w:top w:val="none" w:sz="0" w:space="0" w:color="auto"/>
                                        <w:left w:val="none" w:sz="0" w:space="0" w:color="auto"/>
                                        <w:bottom w:val="none" w:sz="0" w:space="0" w:color="auto"/>
                                        <w:right w:val="none" w:sz="0" w:space="0" w:color="auto"/>
                                      </w:divBdr>
                                      <w:divsChild>
                                        <w:div w:id="399180311">
                                          <w:marLeft w:val="0"/>
                                          <w:marRight w:val="0"/>
                                          <w:marTop w:val="0"/>
                                          <w:marBottom w:val="0"/>
                                          <w:divBdr>
                                            <w:top w:val="none" w:sz="0" w:space="0" w:color="auto"/>
                                            <w:left w:val="none" w:sz="0" w:space="0" w:color="auto"/>
                                            <w:bottom w:val="none" w:sz="0" w:space="0" w:color="auto"/>
                                            <w:right w:val="none" w:sz="0" w:space="0" w:color="auto"/>
                                          </w:divBdr>
                                          <w:divsChild>
                                            <w:div w:id="1190677803">
                                              <w:marLeft w:val="0"/>
                                              <w:marRight w:val="0"/>
                                              <w:marTop w:val="0"/>
                                              <w:marBottom w:val="0"/>
                                              <w:divBdr>
                                                <w:top w:val="none" w:sz="0" w:space="0" w:color="auto"/>
                                                <w:left w:val="none" w:sz="0" w:space="0" w:color="auto"/>
                                                <w:bottom w:val="none" w:sz="0" w:space="0" w:color="auto"/>
                                                <w:right w:val="none" w:sz="0" w:space="0" w:color="auto"/>
                                              </w:divBdr>
                                              <w:divsChild>
                                                <w:div w:id="2069570768">
                                                  <w:marLeft w:val="0"/>
                                                  <w:marRight w:val="0"/>
                                                  <w:marTop w:val="0"/>
                                                  <w:marBottom w:val="0"/>
                                                  <w:divBdr>
                                                    <w:top w:val="none" w:sz="0" w:space="0" w:color="auto"/>
                                                    <w:left w:val="none" w:sz="0" w:space="0" w:color="auto"/>
                                                    <w:bottom w:val="none" w:sz="0" w:space="0" w:color="auto"/>
                                                    <w:right w:val="none" w:sz="0" w:space="0" w:color="auto"/>
                                                  </w:divBdr>
                                                  <w:divsChild>
                                                    <w:div w:id="1204292108">
                                                      <w:marLeft w:val="0"/>
                                                      <w:marRight w:val="0"/>
                                                      <w:marTop w:val="0"/>
                                                      <w:marBottom w:val="0"/>
                                                      <w:divBdr>
                                                        <w:top w:val="none" w:sz="0" w:space="0" w:color="auto"/>
                                                        <w:left w:val="none" w:sz="0" w:space="0" w:color="auto"/>
                                                        <w:bottom w:val="none" w:sz="0" w:space="0" w:color="auto"/>
                                                        <w:right w:val="none" w:sz="0" w:space="0" w:color="auto"/>
                                                      </w:divBdr>
                                                      <w:divsChild>
                                                        <w:div w:id="551430282">
                                                          <w:marLeft w:val="0"/>
                                                          <w:marRight w:val="0"/>
                                                          <w:marTop w:val="0"/>
                                                          <w:marBottom w:val="0"/>
                                                          <w:divBdr>
                                                            <w:top w:val="none" w:sz="0" w:space="0" w:color="auto"/>
                                                            <w:left w:val="none" w:sz="0" w:space="0" w:color="auto"/>
                                                            <w:bottom w:val="none" w:sz="0" w:space="0" w:color="auto"/>
                                                            <w:right w:val="none" w:sz="0" w:space="0" w:color="auto"/>
                                                          </w:divBdr>
                                                          <w:divsChild>
                                                            <w:div w:id="1557816862">
                                                              <w:marLeft w:val="0"/>
                                                              <w:marRight w:val="0"/>
                                                              <w:marTop w:val="0"/>
                                                              <w:marBottom w:val="0"/>
                                                              <w:divBdr>
                                                                <w:top w:val="none" w:sz="0" w:space="0" w:color="auto"/>
                                                                <w:left w:val="none" w:sz="0" w:space="0" w:color="auto"/>
                                                                <w:bottom w:val="none" w:sz="0" w:space="0" w:color="auto"/>
                                                                <w:right w:val="none" w:sz="0" w:space="0" w:color="auto"/>
                                                              </w:divBdr>
                                                              <w:divsChild>
                                                                <w:div w:id="1802962340">
                                                                  <w:marLeft w:val="0"/>
                                                                  <w:marRight w:val="0"/>
                                                                  <w:marTop w:val="0"/>
                                                                  <w:marBottom w:val="0"/>
                                                                  <w:divBdr>
                                                                    <w:top w:val="none" w:sz="0" w:space="0" w:color="auto"/>
                                                                    <w:left w:val="none" w:sz="0" w:space="0" w:color="auto"/>
                                                                    <w:bottom w:val="none" w:sz="0" w:space="0" w:color="auto"/>
                                                                    <w:right w:val="none" w:sz="0" w:space="0" w:color="auto"/>
                                                                  </w:divBdr>
                                                                  <w:divsChild>
                                                                    <w:div w:id="21046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393672">
                                          <w:marLeft w:val="0"/>
                                          <w:marRight w:val="0"/>
                                          <w:marTop w:val="0"/>
                                          <w:marBottom w:val="0"/>
                                          <w:divBdr>
                                            <w:top w:val="none" w:sz="0" w:space="0" w:color="auto"/>
                                            <w:left w:val="none" w:sz="0" w:space="0" w:color="auto"/>
                                            <w:bottom w:val="none" w:sz="0" w:space="0" w:color="auto"/>
                                            <w:right w:val="none" w:sz="0" w:space="0" w:color="auto"/>
                                          </w:divBdr>
                                          <w:divsChild>
                                            <w:div w:id="1948460675">
                                              <w:marLeft w:val="0"/>
                                              <w:marRight w:val="0"/>
                                              <w:marTop w:val="0"/>
                                              <w:marBottom w:val="0"/>
                                              <w:divBdr>
                                                <w:top w:val="none" w:sz="0" w:space="0" w:color="auto"/>
                                                <w:left w:val="none" w:sz="0" w:space="0" w:color="auto"/>
                                                <w:bottom w:val="none" w:sz="0" w:space="0" w:color="auto"/>
                                                <w:right w:val="none" w:sz="0" w:space="0" w:color="auto"/>
                                              </w:divBdr>
                                              <w:divsChild>
                                                <w:div w:id="2015067111">
                                                  <w:marLeft w:val="0"/>
                                                  <w:marRight w:val="0"/>
                                                  <w:marTop w:val="0"/>
                                                  <w:marBottom w:val="0"/>
                                                  <w:divBdr>
                                                    <w:top w:val="none" w:sz="0" w:space="0" w:color="auto"/>
                                                    <w:left w:val="none" w:sz="0" w:space="0" w:color="auto"/>
                                                    <w:bottom w:val="none" w:sz="0" w:space="0" w:color="auto"/>
                                                    <w:right w:val="none" w:sz="0" w:space="0" w:color="auto"/>
                                                  </w:divBdr>
                                                  <w:divsChild>
                                                    <w:div w:id="23019237">
                                                      <w:marLeft w:val="0"/>
                                                      <w:marRight w:val="0"/>
                                                      <w:marTop w:val="0"/>
                                                      <w:marBottom w:val="0"/>
                                                      <w:divBdr>
                                                        <w:top w:val="none" w:sz="0" w:space="0" w:color="auto"/>
                                                        <w:left w:val="none" w:sz="0" w:space="0" w:color="auto"/>
                                                        <w:bottom w:val="none" w:sz="0" w:space="0" w:color="auto"/>
                                                        <w:right w:val="none" w:sz="0" w:space="0" w:color="auto"/>
                                                      </w:divBdr>
                                                      <w:divsChild>
                                                        <w:div w:id="95291059">
                                                          <w:marLeft w:val="0"/>
                                                          <w:marRight w:val="0"/>
                                                          <w:marTop w:val="0"/>
                                                          <w:marBottom w:val="0"/>
                                                          <w:divBdr>
                                                            <w:top w:val="none" w:sz="0" w:space="0" w:color="auto"/>
                                                            <w:left w:val="none" w:sz="0" w:space="0" w:color="auto"/>
                                                            <w:bottom w:val="none" w:sz="0" w:space="0" w:color="auto"/>
                                                            <w:right w:val="none" w:sz="0" w:space="0" w:color="auto"/>
                                                          </w:divBdr>
                                                          <w:divsChild>
                                                            <w:div w:id="1105078492">
                                                              <w:marLeft w:val="0"/>
                                                              <w:marRight w:val="0"/>
                                                              <w:marTop w:val="0"/>
                                                              <w:marBottom w:val="0"/>
                                                              <w:divBdr>
                                                                <w:top w:val="none" w:sz="0" w:space="0" w:color="auto"/>
                                                                <w:left w:val="none" w:sz="0" w:space="0" w:color="auto"/>
                                                                <w:bottom w:val="none" w:sz="0" w:space="0" w:color="auto"/>
                                                                <w:right w:val="none" w:sz="0" w:space="0" w:color="auto"/>
                                                              </w:divBdr>
                                                              <w:divsChild>
                                                                <w:div w:id="1618172549">
                                                                  <w:marLeft w:val="0"/>
                                                                  <w:marRight w:val="0"/>
                                                                  <w:marTop w:val="0"/>
                                                                  <w:marBottom w:val="0"/>
                                                                  <w:divBdr>
                                                                    <w:top w:val="none" w:sz="0" w:space="0" w:color="auto"/>
                                                                    <w:left w:val="none" w:sz="0" w:space="0" w:color="auto"/>
                                                                    <w:bottom w:val="none" w:sz="0" w:space="0" w:color="auto"/>
                                                                    <w:right w:val="none" w:sz="0" w:space="0" w:color="auto"/>
                                                                  </w:divBdr>
                                                                  <w:divsChild>
                                                                    <w:div w:id="466171019">
                                                                      <w:marLeft w:val="0"/>
                                                                      <w:marRight w:val="0"/>
                                                                      <w:marTop w:val="0"/>
                                                                      <w:marBottom w:val="0"/>
                                                                      <w:divBdr>
                                                                        <w:top w:val="none" w:sz="0" w:space="0" w:color="auto"/>
                                                                        <w:left w:val="none" w:sz="0" w:space="0" w:color="auto"/>
                                                                        <w:bottom w:val="none" w:sz="0" w:space="0" w:color="auto"/>
                                                                        <w:right w:val="none" w:sz="0" w:space="0" w:color="auto"/>
                                                                      </w:divBdr>
                                                                      <w:divsChild>
                                                                        <w:div w:id="1418943055">
                                                                          <w:marLeft w:val="0"/>
                                                                          <w:marRight w:val="0"/>
                                                                          <w:marTop w:val="0"/>
                                                                          <w:marBottom w:val="0"/>
                                                                          <w:divBdr>
                                                                            <w:top w:val="none" w:sz="0" w:space="0" w:color="auto"/>
                                                                            <w:left w:val="none" w:sz="0" w:space="0" w:color="auto"/>
                                                                            <w:bottom w:val="none" w:sz="0" w:space="0" w:color="auto"/>
                                                                            <w:right w:val="none" w:sz="0" w:space="0" w:color="auto"/>
                                                                          </w:divBdr>
                                                                          <w:divsChild>
                                                                            <w:div w:id="1528713167">
                                                                              <w:marLeft w:val="0"/>
                                                                              <w:marRight w:val="0"/>
                                                                              <w:marTop w:val="0"/>
                                                                              <w:marBottom w:val="0"/>
                                                                              <w:divBdr>
                                                                                <w:top w:val="none" w:sz="0" w:space="0" w:color="auto"/>
                                                                                <w:left w:val="none" w:sz="0" w:space="0" w:color="auto"/>
                                                                                <w:bottom w:val="none" w:sz="0" w:space="0" w:color="auto"/>
                                                                                <w:right w:val="none" w:sz="0" w:space="0" w:color="auto"/>
                                                                              </w:divBdr>
                                                                              <w:divsChild>
                                                                                <w:div w:id="565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2026-03-05T22:17:00Z</dcterms:created>
  <dcterms:modified xsi:type="dcterms:W3CDTF">2026-03-11T12:40:00Z</dcterms:modified>
</cp:coreProperties>
</file>