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 xml:space="preserve">Carbapenems Retain High </w:t>
      </w:r>
      <w:r w:rsidR="00B84300" w:rsidRPr="00B06380">
        <w:rPr>
          <w:rFonts w:ascii="Times New Roman" w:eastAsia="Times New Roman" w:hAnsi="Times New Roman" w:cs="Times New Roman"/>
          <w:b/>
          <w:bCs/>
          <w:i/>
          <w:color w:val="000000" w:themeColor="text1"/>
          <w:kern w:val="36"/>
          <w:sz w:val="24"/>
          <w:szCs w:val="24"/>
        </w:rPr>
        <w:t>in</w:t>
      </w:r>
      <w:r w:rsidRPr="00B06380">
        <w:rPr>
          <w:rFonts w:ascii="Times New Roman" w:eastAsia="Times New Roman" w:hAnsi="Times New Roman" w:cs="Times New Roman"/>
          <w:b/>
          <w:bCs/>
          <w:i/>
          <w:color w:val="000000" w:themeColor="text1"/>
          <w:kern w:val="36"/>
          <w:sz w:val="24"/>
          <w:szCs w:val="24"/>
        </w:rPr>
        <w:t xml:space="preserve"> Vitro</w:t>
      </w:r>
      <w:r w:rsidRPr="00CC1F50">
        <w:rPr>
          <w:rFonts w:ascii="Times New Roman" w:eastAsia="Times New Roman" w:hAnsi="Times New Roman" w:cs="Times New Roman"/>
          <w:b/>
          <w:bCs/>
          <w:color w:val="000000" w:themeColor="text1"/>
          <w:kern w:val="36"/>
          <w:sz w:val="24"/>
          <w:szCs w:val="24"/>
        </w:rPr>
        <w:t xml:space="preserve"> Activity </w:t>
      </w:r>
      <w:r w:rsidR="00B84300" w:rsidRPr="00CC1F50">
        <w:rPr>
          <w:rFonts w:ascii="Times New Roman" w:eastAsia="Times New Roman" w:hAnsi="Times New Roman" w:cs="Times New Roman"/>
          <w:b/>
          <w:bCs/>
          <w:color w:val="000000" w:themeColor="text1"/>
          <w:kern w:val="36"/>
          <w:sz w:val="24"/>
          <w:szCs w:val="24"/>
        </w:rPr>
        <w:t>against</w:t>
      </w:r>
      <w:r w:rsidRPr="00CC1F50">
        <w:rPr>
          <w:rFonts w:ascii="Times New Roman" w:eastAsia="Times New Roman" w:hAnsi="Times New Roman" w:cs="Times New Roman"/>
          <w:b/>
          <w:bCs/>
          <w:color w:val="000000" w:themeColor="text1"/>
          <w:kern w:val="36"/>
          <w:sz w:val="24"/>
          <w:szCs w:val="24"/>
        </w:rPr>
        <w:t xml:space="preserve"> Clinical Bacterial Isolates in a Nigerian Tertiary Hospital: Implications for Antimicrobial Stewardship in a Resource-Limited Setting</w:t>
      </w:r>
    </w:p>
    <w:p w:rsidR="00B03677" w:rsidRDefault="00B03677"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Abstract</w:t>
      </w:r>
    </w:p>
    <w:p w:rsidR="00CB164D" w:rsidRPr="00CC1F50" w:rsidRDefault="00255230" w:rsidP="00CC1F5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Background</w:t>
      </w:r>
    </w:p>
    <w:p w:rsidR="00FF35D4" w:rsidRPr="00CC1F50" w:rsidRDefault="00FF35D4" w:rsidP="00CC1F5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hAnsi="Times New Roman" w:cs="Times New Roman"/>
          <w:color w:val="000000" w:themeColor="text1"/>
          <w:sz w:val="24"/>
          <w:szCs w:val="24"/>
        </w:rPr>
        <w:t xml:space="preserve">Antimicrobial resistance (AMR) represents a major and rapidly escalating global public health threat, undermining decades of progress in the treatment of infectious diseases. The emergence and spread of resistant bacterial strains have significantly reduced the effectiveness of commonly used antibiotics, leading to prolonged hospital stays, increased healthcare costs, treatment failures, and higher morbidity and mortality rates. This burden is disproportionately severe in low- and middle-income countries, where challenges such as over-the-counter access to antibiotics, inappropriate prescribing practices, self-medication, substandard drug quality, weak regulatory frameworks, and inadequate infection prevention measures contribute to the acceleration of resistance. In addition, limited laboratory infrastructure and poor antimicrobial surveillance systems hinder </w:t>
      </w:r>
      <w:r w:rsidR="00B06380">
        <w:rPr>
          <w:rFonts w:ascii="Times New Roman" w:hAnsi="Times New Roman" w:cs="Times New Roman"/>
          <w:color w:val="000000" w:themeColor="text1"/>
          <w:sz w:val="24"/>
          <w:szCs w:val="24"/>
        </w:rPr>
        <w:t xml:space="preserve">the </w:t>
      </w:r>
      <w:r w:rsidRPr="00CC1F50">
        <w:rPr>
          <w:rFonts w:ascii="Times New Roman" w:hAnsi="Times New Roman" w:cs="Times New Roman"/>
          <w:color w:val="000000" w:themeColor="text1"/>
          <w:sz w:val="24"/>
          <w:szCs w:val="24"/>
        </w:rPr>
        <w:t>timely detection and monitoring of resistance patterns. The absence of reliable and up-to-date local susceptibility data often results in empirical treatment that may be inappropriate or ineffective, further driving resistance. Therefore, continuous monitoring of antimicrobial susceptibility profiles at the local and regional levels is essential to inform evidence-based empirical therapy, strengthen antimicrobial stewardship programs, guide policy formulation, and ultimately improve patient outcomes.</w:t>
      </w:r>
    </w:p>
    <w:p w:rsidR="00255230" w:rsidRPr="00CC1F50" w:rsidRDefault="00255230" w:rsidP="00CC1F5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Objective</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To determine the in vitro antimicrobial susceptibility patterns of bacterial isolates recovered from clinical specimens in a Nigerian tertiary hospital and to evaluate the relative effectiveness of quinolones, cephalosporins, and carbapenems.</w:t>
      </w:r>
    </w:p>
    <w:p w:rsidR="0035201A" w:rsidRPr="00CC1F50" w:rsidRDefault="00255230" w:rsidP="00CC1F5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Methods</w:t>
      </w:r>
    </w:p>
    <w:p w:rsidR="00FF35D4" w:rsidRPr="00CC1F50" w:rsidRDefault="00FF35D4" w:rsidP="00CC1F5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color w:val="000000" w:themeColor="text1"/>
          <w:sz w:val="24"/>
          <w:szCs w:val="24"/>
        </w:rPr>
        <w:t>A laboratory-based cross-sectional study was conducted over a defined study period using 100 non-duplicate bacterial isolates recovered from routine clinical specimens processed at a tertiary healthcare facility in Southern Nigeria. The specimens were obtained from patients presenting with various clinical infections and included samples such as urine, high vaginal swabs, wound swabs, sputum, and blood, depending on clinical indication. Only the first isolate per patient was included to avoid duplication and ensure representativeness of the data. All samples were processed in the medical microbiology laboratory under standard operating procedures.</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Primary isolation was carried out on appropriate culture media, including blood agar, MacConkey agar, and chocolate agar where indicated, followed by incubation under suitable atmospheric and temperature conditions. Bacterial identification was performed using conventional microbiological methods, including assessment of colony morphology, Gram staining </w:t>
      </w:r>
      <w:r w:rsidRPr="00CC1F50">
        <w:rPr>
          <w:rFonts w:ascii="Times New Roman" w:eastAsia="Times New Roman" w:hAnsi="Times New Roman" w:cs="Times New Roman"/>
          <w:color w:val="000000" w:themeColor="text1"/>
          <w:sz w:val="24"/>
          <w:szCs w:val="24"/>
        </w:rPr>
        <w:lastRenderedPageBreak/>
        <w:t>characteristics, and a battery of biochemical tests</w:t>
      </w:r>
      <w:r w:rsidR="00520D6F" w:rsidRPr="00CC1F50">
        <w:rPr>
          <w:rFonts w:ascii="Times New Roman" w:eastAsia="Times New Roman" w:hAnsi="Times New Roman" w:cs="Times New Roman"/>
          <w:color w:val="000000" w:themeColor="text1"/>
          <w:sz w:val="24"/>
          <w:szCs w:val="24"/>
        </w:rPr>
        <w:t>,</w:t>
      </w:r>
      <w:r w:rsidRPr="00CC1F50">
        <w:rPr>
          <w:rFonts w:ascii="Times New Roman" w:eastAsia="Times New Roman" w:hAnsi="Times New Roman" w:cs="Times New Roman"/>
          <w:color w:val="000000" w:themeColor="text1"/>
          <w:sz w:val="24"/>
          <w:szCs w:val="24"/>
        </w:rPr>
        <w:t xml:space="preserve"> such as catalase, coagulase,</w:t>
      </w:r>
      <w:r w:rsidR="000D1679" w:rsidRPr="00CC1F50">
        <w:rPr>
          <w:rFonts w:ascii="Times New Roman" w:eastAsia="Times New Roman" w:hAnsi="Times New Roman" w:cs="Times New Roman"/>
          <w:color w:val="000000" w:themeColor="text1"/>
          <w:sz w:val="24"/>
          <w:szCs w:val="24"/>
        </w:rPr>
        <w:t xml:space="preserve"> oxidase, indole, citrate </w:t>
      </w:r>
      <w:proofErr w:type="spellStart"/>
      <w:r w:rsidR="000D1679" w:rsidRPr="00CC1F50">
        <w:rPr>
          <w:rFonts w:ascii="Times New Roman" w:eastAsia="Times New Roman" w:hAnsi="Times New Roman" w:cs="Times New Roman"/>
          <w:color w:val="000000" w:themeColor="text1"/>
          <w:sz w:val="24"/>
          <w:szCs w:val="24"/>
        </w:rPr>
        <w:t>utilis</w:t>
      </w:r>
      <w:r w:rsidRPr="00CC1F50">
        <w:rPr>
          <w:rFonts w:ascii="Times New Roman" w:eastAsia="Times New Roman" w:hAnsi="Times New Roman" w:cs="Times New Roman"/>
          <w:color w:val="000000" w:themeColor="text1"/>
          <w:sz w:val="24"/>
          <w:szCs w:val="24"/>
        </w:rPr>
        <w:t>ation</w:t>
      </w:r>
      <w:proofErr w:type="spellEnd"/>
      <w:r w:rsidRPr="00CC1F50">
        <w:rPr>
          <w:rFonts w:ascii="Times New Roman" w:eastAsia="Times New Roman" w:hAnsi="Times New Roman" w:cs="Times New Roman"/>
          <w:color w:val="000000" w:themeColor="text1"/>
          <w:sz w:val="24"/>
          <w:szCs w:val="24"/>
        </w:rPr>
        <w:t xml:space="preserve">, urease, and triple sugar iron reactions, as appropriate for each </w:t>
      </w:r>
      <w:r w:rsidR="0056750C" w:rsidRPr="00CC1F50">
        <w:rPr>
          <w:rFonts w:ascii="Times New Roman" w:eastAsia="Times New Roman" w:hAnsi="Times New Roman" w:cs="Times New Roman"/>
          <w:color w:val="000000" w:themeColor="text1"/>
          <w:sz w:val="24"/>
          <w:szCs w:val="24"/>
        </w:rPr>
        <w:t>bacterium</w:t>
      </w:r>
      <w:r w:rsidRPr="00CC1F50">
        <w:rPr>
          <w:rFonts w:ascii="Times New Roman" w:eastAsia="Times New Roman" w:hAnsi="Times New Roman" w:cs="Times New Roman"/>
          <w:color w:val="000000" w:themeColor="text1"/>
          <w:sz w:val="24"/>
          <w:szCs w:val="24"/>
        </w:rPr>
        <w:t>.</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Antimicrobial susceptibility testing was performed using the Kirby–Bauer disc diffusion technique on</w:t>
      </w:r>
      <w:r w:rsidR="009D73EE" w:rsidRPr="00CC1F50">
        <w:rPr>
          <w:rFonts w:ascii="Times New Roman" w:eastAsia="Times New Roman" w:hAnsi="Times New Roman" w:cs="Times New Roman"/>
          <w:color w:val="000000" w:themeColor="text1"/>
          <w:sz w:val="24"/>
          <w:szCs w:val="24"/>
        </w:rPr>
        <w:t xml:space="preserve"> Mueller–Hinton agar. </w:t>
      </w:r>
      <w:proofErr w:type="spellStart"/>
      <w:r w:rsidR="009D73EE" w:rsidRPr="00CC1F50">
        <w:rPr>
          <w:rFonts w:ascii="Times New Roman" w:eastAsia="Times New Roman" w:hAnsi="Times New Roman" w:cs="Times New Roman"/>
          <w:color w:val="000000" w:themeColor="text1"/>
          <w:sz w:val="24"/>
          <w:szCs w:val="24"/>
        </w:rPr>
        <w:t>Standardis</w:t>
      </w:r>
      <w:r w:rsidRPr="00CC1F50">
        <w:rPr>
          <w:rFonts w:ascii="Times New Roman" w:eastAsia="Times New Roman" w:hAnsi="Times New Roman" w:cs="Times New Roman"/>
          <w:color w:val="000000" w:themeColor="text1"/>
          <w:sz w:val="24"/>
          <w:szCs w:val="24"/>
        </w:rPr>
        <w:t>ed</w:t>
      </w:r>
      <w:proofErr w:type="spellEnd"/>
      <w:r w:rsidRPr="00CC1F50">
        <w:rPr>
          <w:rFonts w:ascii="Times New Roman" w:eastAsia="Times New Roman" w:hAnsi="Times New Roman" w:cs="Times New Roman"/>
          <w:color w:val="000000" w:themeColor="text1"/>
          <w:sz w:val="24"/>
          <w:szCs w:val="24"/>
        </w:rPr>
        <w:t xml:space="preserve"> </w:t>
      </w:r>
      <w:proofErr w:type="spellStart"/>
      <w:r w:rsidRPr="00CC1F50">
        <w:rPr>
          <w:rFonts w:ascii="Times New Roman" w:eastAsia="Times New Roman" w:hAnsi="Times New Roman" w:cs="Times New Roman"/>
          <w:color w:val="000000" w:themeColor="text1"/>
          <w:sz w:val="24"/>
          <w:szCs w:val="24"/>
        </w:rPr>
        <w:t>inocula</w:t>
      </w:r>
      <w:proofErr w:type="spellEnd"/>
      <w:r w:rsidRPr="00CC1F50">
        <w:rPr>
          <w:rFonts w:ascii="Times New Roman" w:eastAsia="Times New Roman" w:hAnsi="Times New Roman" w:cs="Times New Roman"/>
          <w:color w:val="000000" w:themeColor="text1"/>
          <w:sz w:val="24"/>
          <w:szCs w:val="24"/>
        </w:rPr>
        <w:t xml:space="preserve"> equivalent to 0.5 McFarland turbidity standard were prepared and evenly inoculated onto the agar surface before placement of antibiotic discs. Plates were incubated aerobically at 35–37°C for 18–24 hours, after which zones of inhibition were measured in </w:t>
      </w:r>
      <w:proofErr w:type="spellStart"/>
      <w:r w:rsidRPr="00CC1F50">
        <w:rPr>
          <w:rFonts w:ascii="Times New Roman" w:eastAsia="Times New Roman" w:hAnsi="Times New Roman" w:cs="Times New Roman"/>
          <w:color w:val="000000" w:themeColor="text1"/>
          <w:sz w:val="24"/>
          <w:szCs w:val="24"/>
        </w:rPr>
        <w:t>millimetres</w:t>
      </w:r>
      <w:proofErr w:type="spellEnd"/>
      <w:r w:rsidRPr="00CC1F50">
        <w:rPr>
          <w:rFonts w:ascii="Times New Roman" w:eastAsia="Times New Roman" w:hAnsi="Times New Roman" w:cs="Times New Roman"/>
          <w:color w:val="000000" w:themeColor="text1"/>
          <w:sz w:val="24"/>
          <w:szCs w:val="24"/>
        </w:rPr>
        <w:t>. The results were interpreted as susceptible, intermediate, or resistant in accordance with the Clinical and Laboratory Standards Institute (CLSI) guidelines (CLSI, 2020). Quality control procedures were ensured using standard reference strains to validate test performance and the reliability of results.</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b/>
          <w:bCs/>
          <w:color w:val="000000" w:themeColor="text1"/>
          <w:sz w:val="24"/>
          <w:szCs w:val="24"/>
        </w:rPr>
        <w:t>Results</w:t>
      </w:r>
      <w:r w:rsidRPr="00CC1F50">
        <w:rPr>
          <w:rFonts w:ascii="Times New Roman" w:eastAsia="Times New Roman" w:hAnsi="Times New Roman" w:cs="Times New Roman"/>
          <w:color w:val="000000" w:themeColor="text1"/>
          <w:sz w:val="24"/>
          <w:szCs w:val="24"/>
        </w:rPr>
        <w:br/>
        <w:t xml:space="preserve">Among the 100 bacterial isolates </w:t>
      </w:r>
      <w:proofErr w:type="spellStart"/>
      <w:r w:rsidRPr="00CC1F50">
        <w:rPr>
          <w:rFonts w:ascii="Times New Roman" w:eastAsia="Times New Roman" w:hAnsi="Times New Roman" w:cs="Times New Roman"/>
          <w:color w:val="000000" w:themeColor="text1"/>
          <w:sz w:val="24"/>
          <w:szCs w:val="24"/>
        </w:rPr>
        <w:t>analysed</w:t>
      </w:r>
      <w:proofErr w:type="spellEnd"/>
      <w:r w:rsidRPr="00CC1F50">
        <w:rPr>
          <w:rFonts w:ascii="Times New Roman" w:eastAsia="Times New Roman" w:hAnsi="Times New Roman" w:cs="Times New Roman"/>
          <w:color w:val="000000" w:themeColor="text1"/>
          <w:sz w:val="24"/>
          <w:szCs w:val="24"/>
        </w:rPr>
        <w:t xml:space="preserve"> in this study, </w:t>
      </w:r>
      <w:r w:rsidRPr="00CC1F50">
        <w:rPr>
          <w:rFonts w:ascii="Times New Roman" w:eastAsia="Times New Roman" w:hAnsi="Times New Roman" w:cs="Times New Roman"/>
          <w:bCs/>
          <w:i/>
          <w:color w:val="000000" w:themeColor="text1"/>
          <w:sz w:val="24"/>
          <w:szCs w:val="24"/>
        </w:rPr>
        <w:t>Staphylococcus species</w:t>
      </w:r>
      <w:r w:rsidRPr="00CC1F50">
        <w:rPr>
          <w:rFonts w:ascii="Times New Roman" w:eastAsia="Times New Roman" w:hAnsi="Times New Roman" w:cs="Times New Roman"/>
          <w:color w:val="000000" w:themeColor="text1"/>
          <w:sz w:val="24"/>
          <w:szCs w:val="24"/>
        </w:rPr>
        <w:t xml:space="preserve"> we</w:t>
      </w:r>
      <w:r w:rsidR="002125F4" w:rsidRPr="00CC1F50">
        <w:rPr>
          <w:rFonts w:ascii="Times New Roman" w:eastAsia="Times New Roman" w:hAnsi="Times New Roman" w:cs="Times New Roman"/>
          <w:color w:val="000000" w:themeColor="text1"/>
          <w:sz w:val="24"/>
          <w:szCs w:val="24"/>
        </w:rPr>
        <w:t>re the most commonly recovered bacteria</w:t>
      </w:r>
      <w:r w:rsidRPr="00CC1F50">
        <w:rPr>
          <w:rFonts w:ascii="Times New Roman" w:eastAsia="Times New Roman" w:hAnsi="Times New Roman" w:cs="Times New Roman"/>
          <w:color w:val="000000" w:themeColor="text1"/>
          <w:sz w:val="24"/>
          <w:szCs w:val="24"/>
        </w:rPr>
        <w:t>, accounting for 41</w:t>
      </w:r>
      <w:r w:rsidR="00931ADF"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of all isolates, highlighting their predominance in the clinical infections sampled. The next most frequently identified bacteria included </w:t>
      </w:r>
      <w:r w:rsidRPr="00CC1F50">
        <w:rPr>
          <w:rFonts w:ascii="Times New Roman" w:eastAsia="Times New Roman" w:hAnsi="Times New Roman" w:cs="Times New Roman"/>
          <w:bCs/>
          <w:i/>
          <w:color w:val="000000" w:themeColor="text1"/>
          <w:sz w:val="24"/>
          <w:szCs w:val="24"/>
        </w:rPr>
        <w:t>Klebsiella species</w:t>
      </w:r>
      <w:r w:rsidRPr="00CC1F50">
        <w:rPr>
          <w:rFonts w:ascii="Times New Roman" w:eastAsia="Times New Roman" w:hAnsi="Times New Roman" w:cs="Times New Roman"/>
          <w:i/>
          <w:color w:val="000000" w:themeColor="text1"/>
          <w:sz w:val="24"/>
          <w:szCs w:val="24"/>
        </w:rPr>
        <w:t xml:space="preserve"> </w:t>
      </w:r>
      <w:r w:rsidRPr="00CC1F50">
        <w:rPr>
          <w:rFonts w:ascii="Times New Roman" w:eastAsia="Times New Roman" w:hAnsi="Times New Roman" w:cs="Times New Roman"/>
          <w:color w:val="000000" w:themeColor="text1"/>
          <w:sz w:val="24"/>
          <w:szCs w:val="24"/>
        </w:rPr>
        <w:t>at 15</w:t>
      </w:r>
      <w:r w:rsidR="00931ADF"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bCs/>
          <w:i/>
          <w:color w:val="000000" w:themeColor="text1"/>
          <w:sz w:val="24"/>
          <w:szCs w:val="24"/>
        </w:rPr>
        <w:t>Escherichia coli</w:t>
      </w:r>
      <w:r w:rsidRPr="00CC1F50">
        <w:rPr>
          <w:rFonts w:ascii="Times New Roman" w:eastAsia="Times New Roman" w:hAnsi="Times New Roman" w:cs="Times New Roman"/>
          <w:color w:val="000000" w:themeColor="text1"/>
          <w:sz w:val="24"/>
          <w:szCs w:val="24"/>
        </w:rPr>
        <w:t xml:space="preserve"> at 14</w:t>
      </w:r>
      <w:r w:rsidR="00931ADF"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and </w:t>
      </w:r>
      <w:r w:rsidRPr="00CC1F50">
        <w:rPr>
          <w:rFonts w:ascii="Times New Roman" w:eastAsia="Times New Roman" w:hAnsi="Times New Roman" w:cs="Times New Roman"/>
          <w:bCs/>
          <w:i/>
          <w:color w:val="000000" w:themeColor="text1"/>
          <w:sz w:val="24"/>
          <w:szCs w:val="24"/>
        </w:rPr>
        <w:t>Streptococcus species</w:t>
      </w:r>
      <w:r w:rsidRPr="00CC1F50">
        <w:rPr>
          <w:rFonts w:ascii="Times New Roman" w:eastAsia="Times New Roman" w:hAnsi="Times New Roman" w:cs="Times New Roman"/>
          <w:color w:val="000000" w:themeColor="text1"/>
          <w:sz w:val="24"/>
          <w:szCs w:val="24"/>
        </w:rPr>
        <w:t xml:space="preserve"> at 13</w:t>
      </w:r>
      <w:r w:rsidR="00931ADF"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indicating a significant contribution of both Gram-negative and Gram-positive pathogens to the infection burden. </w:t>
      </w:r>
      <w:r w:rsidRPr="00CC1F50">
        <w:rPr>
          <w:rFonts w:ascii="Times New Roman" w:eastAsia="Times New Roman" w:hAnsi="Times New Roman" w:cs="Times New Roman"/>
          <w:bCs/>
          <w:i/>
          <w:color w:val="000000" w:themeColor="text1"/>
          <w:sz w:val="24"/>
          <w:szCs w:val="24"/>
        </w:rPr>
        <w:t>Pseudomonas species</w:t>
      </w:r>
      <w:r w:rsidRPr="00CC1F50">
        <w:rPr>
          <w:rFonts w:ascii="Times New Roman" w:eastAsia="Times New Roman" w:hAnsi="Times New Roman" w:cs="Times New Roman"/>
          <w:i/>
          <w:color w:val="000000" w:themeColor="text1"/>
          <w:sz w:val="24"/>
          <w:szCs w:val="24"/>
        </w:rPr>
        <w:t xml:space="preserve"> </w:t>
      </w:r>
      <w:r w:rsidRPr="00CC1F50">
        <w:rPr>
          <w:rFonts w:ascii="Times New Roman" w:eastAsia="Times New Roman" w:hAnsi="Times New Roman" w:cs="Times New Roman"/>
          <w:color w:val="000000" w:themeColor="text1"/>
          <w:sz w:val="24"/>
          <w:szCs w:val="24"/>
        </w:rPr>
        <w:t>represented 12</w:t>
      </w:r>
      <w:r w:rsidR="00931ADF"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of isolates, while </w:t>
      </w:r>
      <w:r w:rsidRPr="00CC1F50">
        <w:rPr>
          <w:rFonts w:ascii="Times New Roman" w:eastAsia="Times New Roman" w:hAnsi="Times New Roman" w:cs="Times New Roman"/>
          <w:bCs/>
          <w:i/>
          <w:color w:val="000000" w:themeColor="text1"/>
          <w:sz w:val="24"/>
          <w:szCs w:val="24"/>
        </w:rPr>
        <w:t>Proteus species</w:t>
      </w:r>
      <w:r w:rsidRPr="00CC1F50">
        <w:rPr>
          <w:rFonts w:ascii="Times New Roman" w:eastAsia="Times New Roman" w:hAnsi="Times New Roman" w:cs="Times New Roman"/>
          <w:color w:val="000000" w:themeColor="text1"/>
          <w:sz w:val="24"/>
          <w:szCs w:val="24"/>
        </w:rPr>
        <w:t xml:space="preserve"> were the least frequently isolated, comprising only 5</w:t>
      </w:r>
      <w:r w:rsidR="00931ADF"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of the total bacterial population.</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Analysis of antimicrobial susceptibility patterns revealed that </w:t>
      </w:r>
      <w:r w:rsidRPr="00CC1F50">
        <w:rPr>
          <w:rFonts w:ascii="Times New Roman" w:eastAsia="Times New Roman" w:hAnsi="Times New Roman" w:cs="Times New Roman"/>
          <w:bCs/>
          <w:color w:val="000000" w:themeColor="text1"/>
          <w:sz w:val="24"/>
          <w:szCs w:val="24"/>
        </w:rPr>
        <w:t>ertapenem</w:t>
      </w:r>
      <w:r w:rsidRPr="00CC1F50">
        <w:rPr>
          <w:rFonts w:ascii="Times New Roman" w:eastAsia="Times New Roman" w:hAnsi="Times New Roman" w:cs="Times New Roman"/>
          <w:color w:val="000000" w:themeColor="text1"/>
          <w:sz w:val="24"/>
          <w:szCs w:val="24"/>
        </w:rPr>
        <w:t xml:space="preserve"> exhibited the highest overall efficacy against the bacterial isolates, with a susceptibility rate of 99</w:t>
      </w:r>
      <w:r w:rsidR="00931ADF"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demonstrating its potent activity across both Gram-positive and Gram-negative </w:t>
      </w:r>
      <w:r w:rsidR="00931ADF" w:rsidRPr="00CC1F50">
        <w:rPr>
          <w:rFonts w:ascii="Times New Roman" w:eastAsia="Times New Roman" w:hAnsi="Times New Roman" w:cs="Times New Roman"/>
          <w:color w:val="000000" w:themeColor="text1"/>
          <w:sz w:val="24"/>
          <w:szCs w:val="24"/>
        </w:rPr>
        <w:t>bacteria</w:t>
      </w:r>
      <w:r w:rsidRPr="00CC1F50">
        <w:rPr>
          <w:rFonts w:ascii="Times New Roman" w:eastAsia="Times New Roman" w:hAnsi="Times New Roman" w:cs="Times New Roman"/>
          <w:color w:val="000000" w:themeColor="text1"/>
          <w:sz w:val="24"/>
          <w:szCs w:val="24"/>
        </w:rPr>
        <w:t xml:space="preserve">. This was followed by </w:t>
      </w:r>
      <w:r w:rsidRPr="00CC1F50">
        <w:rPr>
          <w:rFonts w:ascii="Times New Roman" w:eastAsia="Times New Roman" w:hAnsi="Times New Roman" w:cs="Times New Roman"/>
          <w:bCs/>
          <w:color w:val="000000" w:themeColor="text1"/>
          <w:sz w:val="24"/>
          <w:szCs w:val="24"/>
        </w:rPr>
        <w:t>ciprofloxacin</w:t>
      </w:r>
      <w:r w:rsidRPr="00CC1F50">
        <w:rPr>
          <w:rFonts w:ascii="Times New Roman" w:eastAsia="Times New Roman" w:hAnsi="Times New Roman" w:cs="Times New Roman"/>
          <w:color w:val="000000" w:themeColor="text1"/>
          <w:sz w:val="24"/>
          <w:szCs w:val="24"/>
        </w:rPr>
        <w:t>, which showed moderate susceptibility at 75</w:t>
      </w:r>
      <w:r w:rsidR="00A23E36"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suggesting it remains a reasonably effective treatment option for many infections. In contrast, substantially lower susceptibility rates were observed for commonly used </w:t>
      </w:r>
      <w:r w:rsidRPr="00CC1F50">
        <w:rPr>
          <w:rFonts w:ascii="Times New Roman" w:eastAsia="Times New Roman" w:hAnsi="Times New Roman" w:cs="Times New Roman"/>
          <w:bCs/>
          <w:color w:val="000000" w:themeColor="text1"/>
          <w:sz w:val="24"/>
          <w:szCs w:val="24"/>
        </w:rPr>
        <w:t>cephalosporin antibiotics</w:t>
      </w:r>
      <w:r w:rsidRPr="00CC1F50">
        <w:rPr>
          <w:rFonts w:ascii="Times New Roman" w:eastAsia="Times New Roman" w:hAnsi="Times New Roman" w:cs="Times New Roman"/>
          <w:color w:val="000000" w:themeColor="text1"/>
          <w:sz w:val="24"/>
          <w:szCs w:val="24"/>
        </w:rPr>
        <w:t xml:space="preserve">. Specifically, </w:t>
      </w:r>
      <w:r w:rsidRPr="00CC1F50">
        <w:rPr>
          <w:rFonts w:ascii="Times New Roman" w:eastAsia="Times New Roman" w:hAnsi="Times New Roman" w:cs="Times New Roman"/>
          <w:bCs/>
          <w:color w:val="000000" w:themeColor="text1"/>
          <w:sz w:val="24"/>
          <w:szCs w:val="24"/>
        </w:rPr>
        <w:t>cephalexin</w:t>
      </w:r>
      <w:r w:rsidRPr="00CC1F50">
        <w:rPr>
          <w:rFonts w:ascii="Times New Roman" w:eastAsia="Times New Roman" w:hAnsi="Times New Roman" w:cs="Times New Roman"/>
          <w:color w:val="000000" w:themeColor="text1"/>
          <w:sz w:val="24"/>
          <w:szCs w:val="24"/>
        </w:rPr>
        <w:t xml:space="preserve"> demonstrated only 36</w:t>
      </w:r>
      <w:r w:rsidR="00A23E36"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susceptibility, </w:t>
      </w:r>
      <w:r w:rsidRPr="00CC1F50">
        <w:rPr>
          <w:rFonts w:ascii="Times New Roman" w:eastAsia="Times New Roman" w:hAnsi="Times New Roman" w:cs="Times New Roman"/>
          <w:bCs/>
          <w:color w:val="000000" w:themeColor="text1"/>
          <w:sz w:val="24"/>
          <w:szCs w:val="24"/>
        </w:rPr>
        <w:t>cefuroxime</w:t>
      </w:r>
      <w:r w:rsidRPr="00CC1F50">
        <w:rPr>
          <w:rFonts w:ascii="Times New Roman" w:eastAsia="Times New Roman" w:hAnsi="Times New Roman" w:cs="Times New Roman"/>
          <w:color w:val="000000" w:themeColor="text1"/>
          <w:sz w:val="24"/>
          <w:szCs w:val="24"/>
        </w:rPr>
        <w:t xml:space="preserve"> 21</w:t>
      </w:r>
      <w:r w:rsidR="00A23E36"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xml:space="preserve">%, and </w:t>
      </w:r>
      <w:r w:rsidRPr="00CC1F50">
        <w:rPr>
          <w:rFonts w:ascii="Times New Roman" w:eastAsia="Times New Roman" w:hAnsi="Times New Roman" w:cs="Times New Roman"/>
          <w:bCs/>
          <w:color w:val="000000" w:themeColor="text1"/>
          <w:sz w:val="24"/>
          <w:szCs w:val="24"/>
        </w:rPr>
        <w:t>cefepime</w:t>
      </w:r>
      <w:r w:rsidRPr="00CC1F50">
        <w:rPr>
          <w:rFonts w:ascii="Times New Roman" w:eastAsia="Times New Roman" w:hAnsi="Times New Roman" w:cs="Times New Roman"/>
          <w:color w:val="000000" w:themeColor="text1"/>
          <w:sz w:val="24"/>
          <w:szCs w:val="24"/>
        </w:rPr>
        <w:t xml:space="preserve"> a mere 10</w:t>
      </w:r>
      <w:r w:rsidR="00A23E36"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 indicating a high prevalence of resistance to this antibiotic class among the isolates tested. These findings underscore the growing challenge of empiric therapy with cephalosporins and highlight the need for targeted antibiotic selection based on local susceptibility data.</w:t>
      </w:r>
    </w:p>
    <w:p w:rsidR="00255230" w:rsidRPr="00CC1F50" w:rsidRDefault="00255230" w:rsidP="00CC1F50">
      <w:pPr>
        <w:spacing w:before="100" w:beforeAutospacing="1" w:after="100" w:afterAutospacing="1" w:line="240" w:lineRule="auto"/>
        <w:jc w:val="both"/>
        <w:outlineLvl w:val="2"/>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Conclusion</w:t>
      </w:r>
    </w:p>
    <w:p w:rsidR="00FF35D4" w:rsidRPr="00CC1F50" w:rsidRDefault="00FF35D4" w:rsidP="00CC1F50">
      <w:pPr>
        <w:spacing w:before="100" w:beforeAutospacing="1" w:after="100" w:afterAutospacing="1" w:line="240" w:lineRule="auto"/>
        <w:jc w:val="both"/>
        <w:outlineLvl w:val="1"/>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The findings of this study indicate that </w:t>
      </w:r>
      <w:r w:rsidRPr="00CC1F50">
        <w:rPr>
          <w:rStyle w:val="Strong"/>
          <w:rFonts w:ascii="Times New Roman" w:hAnsi="Times New Roman" w:cs="Times New Roman"/>
          <w:b w:val="0"/>
          <w:color w:val="000000" w:themeColor="text1"/>
          <w:sz w:val="24"/>
          <w:szCs w:val="24"/>
        </w:rPr>
        <w:t>carbapenem</w:t>
      </w:r>
      <w:r w:rsidR="007B5F2F" w:rsidRPr="00CC1F50">
        <w:rPr>
          <w:rStyle w:val="Strong"/>
          <w:rFonts w:ascii="Times New Roman" w:hAnsi="Times New Roman" w:cs="Times New Roman"/>
          <w:b w:val="0"/>
          <w:color w:val="000000" w:themeColor="text1"/>
          <w:sz w:val="24"/>
          <w:szCs w:val="24"/>
        </w:rPr>
        <w:t>s</w:t>
      </w:r>
      <w:r w:rsidRPr="00CC1F50">
        <w:rPr>
          <w:rFonts w:ascii="Times New Roman" w:hAnsi="Times New Roman" w:cs="Times New Roman"/>
          <w:b/>
          <w:color w:val="000000" w:themeColor="text1"/>
          <w:sz w:val="24"/>
          <w:szCs w:val="24"/>
        </w:rPr>
        <w:t>,</w:t>
      </w:r>
      <w:r w:rsidRPr="00CC1F50">
        <w:rPr>
          <w:rFonts w:ascii="Times New Roman" w:hAnsi="Times New Roman" w:cs="Times New Roman"/>
          <w:color w:val="000000" w:themeColor="text1"/>
          <w:sz w:val="24"/>
          <w:szCs w:val="24"/>
        </w:rPr>
        <w:t xml:space="preserve"> particularly ertapenem, continue to demonstrate substantial in vitro activity against a broad range of bacterial clinical isolates within this healthcare setting. In contrast, commonly used </w:t>
      </w:r>
      <w:r w:rsidRPr="00CC1F50">
        <w:rPr>
          <w:rStyle w:val="Strong"/>
          <w:rFonts w:ascii="Times New Roman" w:hAnsi="Times New Roman" w:cs="Times New Roman"/>
          <w:b w:val="0"/>
          <w:color w:val="000000" w:themeColor="text1"/>
          <w:sz w:val="24"/>
          <w:szCs w:val="24"/>
        </w:rPr>
        <w:t>cephalosporins</w:t>
      </w:r>
      <w:r w:rsidRPr="00CC1F50">
        <w:rPr>
          <w:rFonts w:ascii="Times New Roman" w:hAnsi="Times New Roman" w:cs="Times New Roman"/>
          <w:b/>
          <w:color w:val="000000" w:themeColor="text1"/>
          <w:sz w:val="24"/>
          <w:szCs w:val="24"/>
        </w:rPr>
        <w:t>,</w:t>
      </w:r>
      <w:r w:rsidRPr="00CC1F50">
        <w:rPr>
          <w:rFonts w:ascii="Times New Roman" w:hAnsi="Times New Roman" w:cs="Times New Roman"/>
          <w:color w:val="000000" w:themeColor="text1"/>
          <w:sz w:val="24"/>
          <w:szCs w:val="24"/>
        </w:rPr>
        <w:t xml:space="preserve"> including cephalexin, cefuroxime, and cefepime, show alarmingly high levels of resistance, highlighting their diminishing effectiveness for empirical therapy. These patterns reflect the growing threat of antimicrobial resistance in Nigerian tertiary healthcare institutions and </w:t>
      </w:r>
      <w:proofErr w:type="spellStart"/>
      <w:r w:rsidRPr="00CC1F50">
        <w:rPr>
          <w:rFonts w:ascii="Times New Roman" w:hAnsi="Times New Roman" w:cs="Times New Roman"/>
          <w:color w:val="000000" w:themeColor="text1"/>
          <w:sz w:val="24"/>
          <w:szCs w:val="24"/>
        </w:rPr>
        <w:t>emphasise</w:t>
      </w:r>
      <w:proofErr w:type="spellEnd"/>
      <w:r w:rsidRPr="00CC1F50">
        <w:rPr>
          <w:rFonts w:ascii="Times New Roman" w:hAnsi="Times New Roman" w:cs="Times New Roman"/>
          <w:color w:val="000000" w:themeColor="text1"/>
          <w:sz w:val="24"/>
          <w:szCs w:val="24"/>
        </w:rPr>
        <w:t xml:space="preserve"> the limitations of relying solely on traditional broad-spectrum antibiotics without current susceptibility data. The study underscores the critical need for </w:t>
      </w:r>
      <w:r w:rsidRPr="00CC1F50">
        <w:rPr>
          <w:rStyle w:val="Strong"/>
          <w:rFonts w:ascii="Times New Roman" w:hAnsi="Times New Roman" w:cs="Times New Roman"/>
          <w:b w:val="0"/>
          <w:color w:val="000000" w:themeColor="text1"/>
          <w:sz w:val="24"/>
          <w:szCs w:val="24"/>
        </w:rPr>
        <w:t>strengthened antimicrobial stewardship programs</w:t>
      </w:r>
      <w:r w:rsidRPr="00CC1F50">
        <w:rPr>
          <w:rFonts w:ascii="Times New Roman" w:hAnsi="Times New Roman" w:cs="Times New Roman"/>
          <w:color w:val="000000" w:themeColor="text1"/>
          <w:sz w:val="24"/>
          <w:szCs w:val="24"/>
        </w:rPr>
        <w:t xml:space="preserve"> to ensure appropriate use of antibiotics, reduce selective pressure for resistance, and preserve the efficacy of last-resort</w:t>
      </w:r>
      <w:r w:rsidR="00D56F2B" w:rsidRPr="00CC1F50">
        <w:rPr>
          <w:rFonts w:ascii="Times New Roman" w:hAnsi="Times New Roman" w:cs="Times New Roman"/>
          <w:color w:val="000000" w:themeColor="text1"/>
          <w:sz w:val="24"/>
          <w:szCs w:val="24"/>
        </w:rPr>
        <w:t xml:space="preserve"> antibiotics,</w:t>
      </w:r>
      <w:r w:rsidRPr="00CC1F50">
        <w:rPr>
          <w:rFonts w:ascii="Times New Roman" w:hAnsi="Times New Roman" w:cs="Times New Roman"/>
          <w:color w:val="000000" w:themeColor="text1"/>
          <w:sz w:val="24"/>
          <w:szCs w:val="24"/>
        </w:rPr>
        <w:t xml:space="preserve"> such as carbapenems. Additionally, </w:t>
      </w:r>
      <w:r w:rsidRPr="00CC1F50">
        <w:rPr>
          <w:rStyle w:val="Strong"/>
          <w:rFonts w:ascii="Times New Roman" w:hAnsi="Times New Roman" w:cs="Times New Roman"/>
          <w:b w:val="0"/>
          <w:color w:val="000000" w:themeColor="text1"/>
          <w:sz w:val="24"/>
          <w:szCs w:val="24"/>
        </w:rPr>
        <w:t>continuous surveillance of local and regional antimicrobial resistance trends</w:t>
      </w:r>
      <w:r w:rsidRPr="00CC1F50">
        <w:rPr>
          <w:rFonts w:ascii="Times New Roman" w:hAnsi="Times New Roman" w:cs="Times New Roman"/>
          <w:b/>
          <w:color w:val="000000" w:themeColor="text1"/>
          <w:sz w:val="24"/>
          <w:szCs w:val="24"/>
        </w:rPr>
        <w:t xml:space="preserve"> </w:t>
      </w:r>
      <w:r w:rsidRPr="00CC1F50">
        <w:rPr>
          <w:rFonts w:ascii="Times New Roman" w:hAnsi="Times New Roman" w:cs="Times New Roman"/>
          <w:color w:val="000000" w:themeColor="text1"/>
          <w:sz w:val="24"/>
          <w:szCs w:val="24"/>
        </w:rPr>
        <w:t xml:space="preserve">is essential to guide clinicians in making evidence-based treatment decisions, update hospital formularies, and inform national antibiotic policies. </w:t>
      </w:r>
      <w:r w:rsidRPr="00CC1F50">
        <w:rPr>
          <w:rFonts w:ascii="Times New Roman" w:hAnsi="Times New Roman" w:cs="Times New Roman"/>
          <w:color w:val="000000" w:themeColor="text1"/>
          <w:sz w:val="24"/>
          <w:szCs w:val="24"/>
        </w:rPr>
        <w:lastRenderedPageBreak/>
        <w:t xml:space="preserve">Implementing </w:t>
      </w:r>
      <w:r w:rsidRPr="00CC1F50">
        <w:rPr>
          <w:rStyle w:val="Strong"/>
          <w:rFonts w:ascii="Times New Roman" w:hAnsi="Times New Roman" w:cs="Times New Roman"/>
          <w:b w:val="0"/>
          <w:color w:val="000000" w:themeColor="text1"/>
          <w:sz w:val="24"/>
          <w:szCs w:val="24"/>
        </w:rPr>
        <w:t>rational antibiotic prescribing practices</w:t>
      </w:r>
      <w:r w:rsidRPr="00CC1F50">
        <w:rPr>
          <w:rFonts w:ascii="Times New Roman" w:hAnsi="Times New Roman" w:cs="Times New Roman"/>
          <w:color w:val="000000" w:themeColor="text1"/>
          <w:sz w:val="24"/>
          <w:szCs w:val="24"/>
        </w:rPr>
        <w:t xml:space="preserve">, combined with infection prevention and control measures, is vital to curb the spread of multidrug-resistant </w:t>
      </w:r>
      <w:r w:rsidR="00765799" w:rsidRPr="00CC1F50">
        <w:rPr>
          <w:rFonts w:ascii="Times New Roman" w:hAnsi="Times New Roman" w:cs="Times New Roman"/>
          <w:color w:val="000000" w:themeColor="text1"/>
          <w:sz w:val="24"/>
          <w:szCs w:val="24"/>
        </w:rPr>
        <w:t>bacteria</w:t>
      </w:r>
      <w:r w:rsidRPr="00CC1F50">
        <w:rPr>
          <w:rFonts w:ascii="Times New Roman" w:hAnsi="Times New Roman" w:cs="Times New Roman"/>
          <w:color w:val="000000" w:themeColor="text1"/>
          <w:sz w:val="24"/>
          <w:szCs w:val="24"/>
        </w:rPr>
        <w:t xml:space="preserve"> and improve patient outcomes. Collectively, these strategies will support sustainable management of bacterial infections and help mitigate the public health impact of antimicrobial resistance in Nigeria and similar resource-limited settings.</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Keywords</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Antimicrobial resistance; Carbapenem; Quinolone; Cephalosporin; Nigeria; Antimicrobial stewardship; Susceptibility testing</w:t>
      </w:r>
    </w:p>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1. Introduction</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Antimicrobial resistance (AMR) has emerged as one of the most significant and rapidly escalating threats to </w:t>
      </w:r>
      <w:r w:rsidRPr="00CC1F50">
        <w:rPr>
          <w:rFonts w:ascii="Times New Roman" w:eastAsia="Times New Roman" w:hAnsi="Times New Roman" w:cs="Times New Roman"/>
          <w:bCs/>
          <w:color w:val="000000" w:themeColor="text1"/>
          <w:sz w:val="24"/>
          <w:szCs w:val="24"/>
        </w:rPr>
        <w:t>global public health, economic stability, and the continued utility of modern medical practice</w:t>
      </w:r>
      <w:r w:rsidRPr="00CC1F50">
        <w:rPr>
          <w:rFonts w:ascii="Times New Roman" w:eastAsia="Times New Roman" w:hAnsi="Times New Roman" w:cs="Times New Roman"/>
          <w:color w:val="000000" w:themeColor="text1"/>
          <w:sz w:val="24"/>
          <w:szCs w:val="24"/>
        </w:rPr>
        <w:t xml:space="preserve">, with impacts felt across healthcare systems worldwide (World Health </w:t>
      </w:r>
      <w:proofErr w:type="spellStart"/>
      <w:r w:rsidRPr="00CC1F50">
        <w:rPr>
          <w:rFonts w:ascii="Times New Roman" w:eastAsia="Times New Roman" w:hAnsi="Times New Roman" w:cs="Times New Roman"/>
          <w:color w:val="000000" w:themeColor="text1"/>
          <w:sz w:val="24"/>
          <w:szCs w:val="24"/>
        </w:rPr>
        <w:t>Organisation</w:t>
      </w:r>
      <w:proofErr w:type="spellEnd"/>
      <w:r w:rsidRPr="00CC1F50">
        <w:rPr>
          <w:rFonts w:ascii="Times New Roman" w:eastAsia="Times New Roman" w:hAnsi="Times New Roman" w:cs="Times New Roman"/>
          <w:color w:val="000000" w:themeColor="text1"/>
          <w:sz w:val="24"/>
          <w:szCs w:val="24"/>
        </w:rPr>
        <w:t xml:space="preserve"> [WHO], 2012; </w:t>
      </w:r>
      <w:proofErr w:type="spellStart"/>
      <w:r w:rsidRPr="00CC1F50">
        <w:rPr>
          <w:rFonts w:ascii="Times New Roman" w:eastAsia="Times New Roman" w:hAnsi="Times New Roman" w:cs="Times New Roman"/>
          <w:color w:val="000000" w:themeColor="text1"/>
          <w:sz w:val="24"/>
          <w:szCs w:val="24"/>
        </w:rPr>
        <w:t>Ventola</w:t>
      </w:r>
      <w:proofErr w:type="spellEnd"/>
      <w:r w:rsidRPr="00CC1F50">
        <w:rPr>
          <w:rFonts w:ascii="Times New Roman" w:eastAsia="Times New Roman" w:hAnsi="Times New Roman" w:cs="Times New Roman"/>
          <w:color w:val="000000" w:themeColor="text1"/>
          <w:sz w:val="24"/>
          <w:szCs w:val="24"/>
        </w:rPr>
        <w:t xml:space="preserve">, 2015). The rapid emergence and widespread dissemination of pathogens that are resistant to multiple antimicrobial agents compromise the effectiveness of standard therapeutic regimens, leading to </w:t>
      </w:r>
      <w:r w:rsidRPr="00CC1F50">
        <w:rPr>
          <w:rFonts w:ascii="Times New Roman" w:eastAsia="Times New Roman" w:hAnsi="Times New Roman" w:cs="Times New Roman"/>
          <w:bCs/>
          <w:color w:val="000000" w:themeColor="text1"/>
          <w:sz w:val="24"/>
          <w:szCs w:val="24"/>
        </w:rPr>
        <w:t>prolonged illness, increased rates of morbidity and mortality, extended hospital stays, and significantly higher costs of care</w:t>
      </w:r>
      <w:r w:rsidRPr="00CC1F50">
        <w:rPr>
          <w:rFonts w:ascii="Times New Roman" w:eastAsia="Times New Roman" w:hAnsi="Times New Roman" w:cs="Times New Roman"/>
          <w:color w:val="000000" w:themeColor="text1"/>
          <w:sz w:val="24"/>
          <w:szCs w:val="24"/>
        </w:rPr>
        <w:t xml:space="preserve">. Because resistant infections are more difficult and expensive to treat, the growing prevalence of AMR undermines advances in surgery, oncology, intensive care, and the management of chronic diseases that depend on effective antimicrobial prophylaxis and treatment. For these reasons, the World Health </w:t>
      </w:r>
      <w:proofErr w:type="spellStart"/>
      <w:r w:rsidRPr="00CC1F50">
        <w:rPr>
          <w:rFonts w:ascii="Times New Roman" w:eastAsia="Times New Roman" w:hAnsi="Times New Roman" w:cs="Times New Roman"/>
          <w:color w:val="000000" w:themeColor="text1"/>
          <w:sz w:val="24"/>
          <w:szCs w:val="24"/>
        </w:rPr>
        <w:t>Organisation</w:t>
      </w:r>
      <w:proofErr w:type="spellEnd"/>
      <w:r w:rsidRPr="00CC1F50">
        <w:rPr>
          <w:rFonts w:ascii="Times New Roman" w:eastAsia="Times New Roman" w:hAnsi="Times New Roman" w:cs="Times New Roman"/>
          <w:color w:val="000000" w:themeColor="text1"/>
          <w:sz w:val="24"/>
          <w:szCs w:val="24"/>
        </w:rPr>
        <w:t xml:space="preserve"> has designated antimicrobial resistance as a </w:t>
      </w:r>
      <w:r w:rsidRPr="00CC1F50">
        <w:rPr>
          <w:rFonts w:ascii="Times New Roman" w:eastAsia="Times New Roman" w:hAnsi="Times New Roman" w:cs="Times New Roman"/>
          <w:bCs/>
          <w:color w:val="000000" w:themeColor="text1"/>
          <w:sz w:val="24"/>
          <w:szCs w:val="24"/>
        </w:rPr>
        <w:t>critical global health</w:t>
      </w:r>
      <w:r w:rsidRPr="00CC1F50">
        <w:rPr>
          <w:rFonts w:ascii="Times New Roman" w:eastAsia="Times New Roman" w:hAnsi="Times New Roman" w:cs="Times New Roman"/>
          <w:b/>
          <w:bCs/>
          <w:color w:val="000000" w:themeColor="text1"/>
          <w:sz w:val="24"/>
          <w:szCs w:val="24"/>
        </w:rPr>
        <w:t xml:space="preserve"> </w:t>
      </w:r>
      <w:r w:rsidRPr="00CC1F50">
        <w:rPr>
          <w:rFonts w:ascii="Times New Roman" w:eastAsia="Times New Roman" w:hAnsi="Times New Roman" w:cs="Times New Roman"/>
          <w:bCs/>
          <w:color w:val="000000" w:themeColor="text1"/>
          <w:sz w:val="24"/>
          <w:szCs w:val="24"/>
        </w:rPr>
        <w:t>priority</w:t>
      </w:r>
      <w:r w:rsidRPr="00CC1F50">
        <w:rPr>
          <w:rFonts w:ascii="Times New Roman" w:eastAsia="Times New Roman" w:hAnsi="Times New Roman" w:cs="Times New Roman"/>
          <w:color w:val="000000" w:themeColor="text1"/>
          <w:sz w:val="24"/>
          <w:szCs w:val="24"/>
        </w:rPr>
        <w:t xml:space="preserve"> that demands coordinated, multilevel international action, comprehensive surveillance, and sustained political commitment (WHO, 2012).</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The burden of AMR is </w:t>
      </w:r>
      <w:r w:rsidRPr="00CC1F50">
        <w:rPr>
          <w:rFonts w:ascii="Times New Roman" w:eastAsia="Times New Roman" w:hAnsi="Times New Roman" w:cs="Times New Roman"/>
          <w:bCs/>
          <w:color w:val="000000" w:themeColor="text1"/>
          <w:sz w:val="24"/>
          <w:szCs w:val="24"/>
        </w:rPr>
        <w:t>unevenly distributed</w:t>
      </w:r>
      <w:r w:rsidRPr="00CC1F50">
        <w:rPr>
          <w:rFonts w:ascii="Times New Roman" w:eastAsia="Times New Roman" w:hAnsi="Times New Roman" w:cs="Times New Roman"/>
          <w:color w:val="000000" w:themeColor="text1"/>
          <w:sz w:val="24"/>
          <w:szCs w:val="24"/>
        </w:rPr>
        <w:t xml:space="preserve">, with low- and middle-income countries (LMICs) bearing a disproportionately high share of the impact due to systemic challenges. These include </w:t>
      </w:r>
      <w:r w:rsidRPr="00CC1F50">
        <w:rPr>
          <w:rFonts w:ascii="Times New Roman" w:eastAsia="Times New Roman" w:hAnsi="Times New Roman" w:cs="Times New Roman"/>
          <w:bCs/>
          <w:color w:val="000000" w:themeColor="text1"/>
          <w:sz w:val="24"/>
          <w:szCs w:val="24"/>
        </w:rPr>
        <w:t>unregulated access to antibiotics without prescription, frequent empirical prescribing in the absence of laboratory confirmation, gaps in infection prevention and control practices, and weak or poorly implemented antimicrobial stewardship frameworks</w:t>
      </w:r>
      <w:r w:rsidRPr="00CC1F50">
        <w:rPr>
          <w:rFonts w:ascii="Times New Roman" w:eastAsia="Times New Roman" w:hAnsi="Times New Roman" w:cs="Times New Roman"/>
          <w:color w:val="000000" w:themeColor="text1"/>
          <w:sz w:val="24"/>
          <w:szCs w:val="24"/>
        </w:rPr>
        <w:t xml:space="preserve"> (Africa </w:t>
      </w:r>
      <w:proofErr w:type="spellStart"/>
      <w:r w:rsidRPr="00CC1F50">
        <w:rPr>
          <w:rFonts w:ascii="Times New Roman" w:eastAsia="Times New Roman" w:hAnsi="Times New Roman" w:cs="Times New Roman"/>
          <w:color w:val="000000" w:themeColor="text1"/>
          <w:sz w:val="24"/>
          <w:szCs w:val="24"/>
        </w:rPr>
        <w:t>Centres</w:t>
      </w:r>
      <w:proofErr w:type="spellEnd"/>
      <w:r w:rsidRPr="00CC1F50">
        <w:rPr>
          <w:rFonts w:ascii="Times New Roman" w:eastAsia="Times New Roman" w:hAnsi="Times New Roman" w:cs="Times New Roman"/>
          <w:color w:val="000000" w:themeColor="text1"/>
          <w:sz w:val="24"/>
          <w:szCs w:val="24"/>
        </w:rPr>
        <w:t xml:space="preserve"> for Disease Control and Prevention [Africa CDC], 2018; Huttner et al., 2013). In Nigeria specifically, rising levels of resistance among common bacterial pathogens have been temporally correlated with patterns of antibiotic consumption, </w:t>
      </w:r>
      <w:r w:rsidRPr="00CC1F50">
        <w:rPr>
          <w:rFonts w:ascii="Times New Roman" w:eastAsia="Times New Roman" w:hAnsi="Times New Roman" w:cs="Times New Roman"/>
          <w:bCs/>
          <w:color w:val="000000" w:themeColor="text1"/>
          <w:sz w:val="24"/>
          <w:szCs w:val="24"/>
        </w:rPr>
        <w:t>in particular widespread use of fluoroquinolone agents in both community and hospital settings</w:t>
      </w:r>
      <w:r w:rsidRPr="00CC1F50">
        <w:rPr>
          <w:rFonts w:ascii="Times New Roman" w:eastAsia="Times New Roman" w:hAnsi="Times New Roman" w:cs="Times New Roman"/>
          <w:color w:val="000000" w:themeColor="text1"/>
          <w:sz w:val="24"/>
          <w:szCs w:val="24"/>
        </w:rPr>
        <w:t xml:space="preserve"> (</w:t>
      </w:r>
      <w:proofErr w:type="spellStart"/>
      <w:r w:rsidRPr="00CC1F50">
        <w:rPr>
          <w:rFonts w:ascii="Times New Roman" w:eastAsia="Times New Roman" w:hAnsi="Times New Roman" w:cs="Times New Roman"/>
          <w:color w:val="000000" w:themeColor="text1"/>
          <w:sz w:val="24"/>
          <w:szCs w:val="24"/>
        </w:rPr>
        <w:t>Lamikanra</w:t>
      </w:r>
      <w:proofErr w:type="spellEnd"/>
      <w:r w:rsidRPr="00CC1F50">
        <w:rPr>
          <w:rFonts w:ascii="Times New Roman" w:eastAsia="Times New Roman" w:hAnsi="Times New Roman" w:cs="Times New Roman"/>
          <w:color w:val="000000" w:themeColor="text1"/>
          <w:sz w:val="24"/>
          <w:szCs w:val="24"/>
        </w:rPr>
        <w:t xml:space="preserve"> et al., 2011).</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Carbapenems are widely regarded as </w:t>
      </w:r>
      <w:r w:rsidRPr="00CC1F50">
        <w:rPr>
          <w:rFonts w:ascii="Times New Roman" w:eastAsia="Times New Roman" w:hAnsi="Times New Roman" w:cs="Times New Roman"/>
          <w:bCs/>
          <w:color w:val="000000" w:themeColor="text1"/>
          <w:sz w:val="24"/>
          <w:szCs w:val="24"/>
        </w:rPr>
        <w:t>last-line β-lactam antibiotics</w:t>
      </w:r>
      <w:r w:rsidRPr="00CC1F50">
        <w:rPr>
          <w:rFonts w:ascii="Times New Roman" w:eastAsia="Times New Roman" w:hAnsi="Times New Roman" w:cs="Times New Roman"/>
          <w:color w:val="000000" w:themeColor="text1"/>
          <w:sz w:val="24"/>
          <w:szCs w:val="24"/>
        </w:rPr>
        <w:t xml:space="preserve"> for the management of severe infections caused by multidrug-resistant Gram-negative bacteria, and they play a vital role in treating life-threatening conditions when other agents have failed. Nevertheless, </w:t>
      </w:r>
      <w:r w:rsidRPr="00CC1F50">
        <w:rPr>
          <w:rFonts w:ascii="Times New Roman" w:eastAsia="Times New Roman" w:hAnsi="Times New Roman" w:cs="Times New Roman"/>
          <w:bCs/>
          <w:color w:val="000000" w:themeColor="text1"/>
          <w:sz w:val="24"/>
          <w:szCs w:val="24"/>
        </w:rPr>
        <w:t xml:space="preserve">global surveillance reports and research evidence indicate an increasing incidence of carbapenem-resistant </w:t>
      </w:r>
      <w:r w:rsidR="008762BC" w:rsidRPr="00CC1F50">
        <w:rPr>
          <w:rFonts w:ascii="Times New Roman" w:eastAsia="Times New Roman" w:hAnsi="Times New Roman" w:cs="Times New Roman"/>
          <w:bCs/>
          <w:color w:val="000000" w:themeColor="text1"/>
          <w:sz w:val="24"/>
          <w:szCs w:val="24"/>
        </w:rPr>
        <w:t>bacteria</w:t>
      </w:r>
      <w:r w:rsidRPr="00CC1F50">
        <w:rPr>
          <w:rFonts w:ascii="Times New Roman" w:eastAsia="Times New Roman" w:hAnsi="Times New Roman" w:cs="Times New Roman"/>
          <w:color w:val="000000" w:themeColor="text1"/>
          <w:sz w:val="24"/>
          <w:szCs w:val="24"/>
        </w:rPr>
        <w:t>, raising concerns about the potential loss of these critical drugs (Carlet et al., 2011). Given these developments, continuous, up-to-date, and locally relevant surveillance of antimicrobial susceptibility patterns is essential to determine whether carbapenems continue to retain therapeutic effectiveness in specific healthcare environments.</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 xml:space="preserve">Despite growing awareness and concern regarding the implications of AMR in Nigeria, many tertiary hospitals still lack </w:t>
      </w:r>
      <w:r w:rsidRPr="00CC1F50">
        <w:rPr>
          <w:rFonts w:ascii="Times New Roman" w:eastAsia="Times New Roman" w:hAnsi="Times New Roman" w:cs="Times New Roman"/>
          <w:bCs/>
          <w:color w:val="000000" w:themeColor="text1"/>
          <w:sz w:val="24"/>
          <w:szCs w:val="24"/>
        </w:rPr>
        <w:t>institution-specific antimicrobial susceptibility</w:t>
      </w:r>
      <w:r w:rsidRPr="00CC1F50">
        <w:rPr>
          <w:rFonts w:ascii="Times New Roman" w:eastAsia="Times New Roman" w:hAnsi="Times New Roman" w:cs="Times New Roman"/>
          <w:b/>
          <w:bCs/>
          <w:color w:val="000000" w:themeColor="text1"/>
          <w:sz w:val="24"/>
          <w:szCs w:val="24"/>
        </w:rPr>
        <w:t xml:space="preserve"> </w:t>
      </w:r>
      <w:r w:rsidRPr="00CC1F50">
        <w:rPr>
          <w:rFonts w:ascii="Times New Roman" w:eastAsia="Times New Roman" w:hAnsi="Times New Roman" w:cs="Times New Roman"/>
          <w:bCs/>
          <w:color w:val="000000" w:themeColor="text1"/>
          <w:sz w:val="24"/>
          <w:szCs w:val="24"/>
        </w:rPr>
        <w:t>data</w:t>
      </w:r>
      <w:r w:rsidRPr="00CC1F50">
        <w:rPr>
          <w:rFonts w:ascii="Times New Roman" w:eastAsia="Times New Roman" w:hAnsi="Times New Roman" w:cs="Times New Roman"/>
          <w:color w:val="000000" w:themeColor="text1"/>
          <w:sz w:val="24"/>
          <w:szCs w:val="24"/>
        </w:rPr>
        <w:t xml:space="preserve"> that can reliably guide empirical therapy and inform local clinical decision-making. This paucity of routinely generated resistance profiles limits clinicians’ ability to select appropriate antibiotics and undermines stewardship efforts. To address this evidence gap, the present study was designed to evaluate the </w:t>
      </w:r>
      <w:r w:rsidRPr="00CC1F50">
        <w:rPr>
          <w:rFonts w:ascii="Times New Roman" w:eastAsia="Times New Roman" w:hAnsi="Times New Roman" w:cs="Times New Roman"/>
          <w:bCs/>
          <w:color w:val="000000" w:themeColor="text1"/>
          <w:sz w:val="24"/>
          <w:szCs w:val="24"/>
        </w:rPr>
        <w:t>antimicrobial susceptibility profiles of clinical bacterial</w:t>
      </w:r>
      <w:r w:rsidRPr="00CC1F50">
        <w:rPr>
          <w:rFonts w:ascii="Times New Roman" w:eastAsia="Times New Roman" w:hAnsi="Times New Roman" w:cs="Times New Roman"/>
          <w:b/>
          <w:bCs/>
          <w:color w:val="000000" w:themeColor="text1"/>
          <w:sz w:val="24"/>
          <w:szCs w:val="24"/>
        </w:rPr>
        <w:t xml:space="preserve"> </w:t>
      </w:r>
      <w:r w:rsidRPr="00CC1F50">
        <w:rPr>
          <w:rFonts w:ascii="Times New Roman" w:eastAsia="Times New Roman" w:hAnsi="Times New Roman" w:cs="Times New Roman"/>
          <w:bCs/>
          <w:color w:val="000000" w:themeColor="text1"/>
          <w:sz w:val="24"/>
          <w:szCs w:val="24"/>
        </w:rPr>
        <w:t>isolates</w:t>
      </w:r>
      <w:r w:rsidRPr="00CC1F50">
        <w:rPr>
          <w:rFonts w:ascii="Times New Roman" w:eastAsia="Times New Roman" w:hAnsi="Times New Roman" w:cs="Times New Roman"/>
          <w:color w:val="000000" w:themeColor="text1"/>
          <w:sz w:val="24"/>
          <w:szCs w:val="24"/>
        </w:rPr>
        <w:t xml:space="preserve"> recovered from a tertiary healthcare institution in Southern Nigeria, with a particular focus on comparing susceptibility patterns among quinolones, cephalosporins, and carbapenems.</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By providing </w:t>
      </w:r>
      <w:r w:rsidRPr="00CC1F50">
        <w:rPr>
          <w:rFonts w:ascii="Times New Roman" w:eastAsia="Times New Roman" w:hAnsi="Times New Roman" w:cs="Times New Roman"/>
          <w:bCs/>
          <w:color w:val="000000" w:themeColor="text1"/>
          <w:sz w:val="24"/>
          <w:szCs w:val="24"/>
        </w:rPr>
        <w:t>contemporary and locally relevant data</w:t>
      </w:r>
      <w:r w:rsidRPr="00CC1F50">
        <w:rPr>
          <w:rFonts w:ascii="Times New Roman" w:eastAsia="Times New Roman" w:hAnsi="Times New Roman" w:cs="Times New Roman"/>
          <w:color w:val="000000" w:themeColor="text1"/>
          <w:sz w:val="24"/>
          <w:szCs w:val="24"/>
        </w:rPr>
        <w:t>, this study aims to support the development and refinement of antimicrobial stewardship policies, promote rational antibiotic prescribing practices, and ultimately contribute to more effective infection management within similar resource-limited environments where AMR presents a major and growing challenge.</w:t>
      </w:r>
    </w:p>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2. Materials and Methods</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2.1 Study Design and Setting</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This was a laboratory-based cross-sectional study conducted at a tertiary healthcare facility in Southern Nigeria. The hospital serves as a major referral </w:t>
      </w:r>
      <w:proofErr w:type="spellStart"/>
      <w:r w:rsidRPr="00CC1F50">
        <w:rPr>
          <w:rFonts w:ascii="Times New Roman" w:eastAsia="Times New Roman" w:hAnsi="Times New Roman" w:cs="Times New Roman"/>
          <w:color w:val="000000" w:themeColor="text1"/>
          <w:sz w:val="24"/>
          <w:szCs w:val="24"/>
        </w:rPr>
        <w:t>centre</w:t>
      </w:r>
      <w:proofErr w:type="spellEnd"/>
      <w:r w:rsidRPr="00CC1F50">
        <w:rPr>
          <w:rFonts w:ascii="Times New Roman" w:eastAsia="Times New Roman" w:hAnsi="Times New Roman" w:cs="Times New Roman"/>
          <w:color w:val="000000" w:themeColor="text1"/>
          <w:sz w:val="24"/>
          <w:szCs w:val="24"/>
        </w:rPr>
        <w:t xml:space="preserve"> for the region.</w:t>
      </w:r>
    </w:p>
    <w:p w:rsidR="00B06380" w:rsidRPr="00B06380" w:rsidRDefault="00FD68BF" w:rsidP="00CC1F50">
      <w:pPr>
        <w:spacing w:before="100" w:beforeAutospacing="1" w:after="100" w:afterAutospacing="1" w:line="240" w:lineRule="auto"/>
        <w:jc w:val="both"/>
        <w:rPr>
          <w:rFonts w:ascii="Times New Roman" w:hAnsi="Times New Roman" w:cs="Times New Roman"/>
          <w:b/>
          <w:color w:val="000000" w:themeColor="text1"/>
          <w:sz w:val="24"/>
          <w:szCs w:val="24"/>
        </w:rPr>
      </w:pPr>
      <w:r w:rsidRPr="00B06380">
        <w:rPr>
          <w:rFonts w:ascii="Times New Roman" w:hAnsi="Times New Roman" w:cs="Times New Roman"/>
          <w:b/>
          <w:color w:val="000000" w:themeColor="text1"/>
          <w:sz w:val="24"/>
          <w:szCs w:val="24"/>
        </w:rPr>
        <w:t>2.2 Ethical approval</w:t>
      </w:r>
    </w:p>
    <w:p w:rsidR="00FD68BF" w:rsidRPr="00CC1F50" w:rsidRDefault="00FD68BF"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Ethical approval for this study was obtained from the University of Port Harcourt Teaching Hospital Research Ethics Committee (Approval No: UPTH/ADM/90/</w:t>
      </w:r>
      <w:proofErr w:type="gramStart"/>
      <w:r w:rsidRPr="00CC1F50">
        <w:rPr>
          <w:rFonts w:ascii="Times New Roman" w:hAnsi="Times New Roman" w:cs="Times New Roman"/>
          <w:color w:val="000000" w:themeColor="text1"/>
          <w:sz w:val="24"/>
          <w:szCs w:val="24"/>
        </w:rPr>
        <w:t>S.II</w:t>
      </w:r>
      <w:proofErr w:type="gramEnd"/>
      <w:r w:rsidRPr="00CC1F50">
        <w:rPr>
          <w:rFonts w:ascii="Times New Roman" w:hAnsi="Times New Roman" w:cs="Times New Roman"/>
          <w:color w:val="000000" w:themeColor="text1"/>
          <w:sz w:val="24"/>
          <w:szCs w:val="24"/>
        </w:rPr>
        <w:t xml:space="preserve">/VOL.XI/1262; Approved on 12 November 2021). The study </w:t>
      </w:r>
      <w:proofErr w:type="spellStart"/>
      <w:r w:rsidRPr="00CC1F50">
        <w:rPr>
          <w:rFonts w:ascii="Times New Roman" w:hAnsi="Times New Roman" w:cs="Times New Roman"/>
          <w:color w:val="000000" w:themeColor="text1"/>
          <w:sz w:val="24"/>
          <w:szCs w:val="24"/>
        </w:rPr>
        <w:t>utilised</w:t>
      </w:r>
      <w:proofErr w:type="spellEnd"/>
      <w:r w:rsidRPr="00CC1F50">
        <w:rPr>
          <w:rFonts w:ascii="Times New Roman" w:hAnsi="Times New Roman" w:cs="Times New Roman"/>
          <w:color w:val="000000" w:themeColor="text1"/>
          <w:sz w:val="24"/>
          <w:szCs w:val="24"/>
        </w:rPr>
        <w:t xml:space="preserve"> previously collected, </w:t>
      </w:r>
      <w:proofErr w:type="spellStart"/>
      <w:r w:rsidRPr="00CC1F50">
        <w:rPr>
          <w:rFonts w:ascii="Times New Roman" w:hAnsi="Times New Roman" w:cs="Times New Roman"/>
          <w:color w:val="000000" w:themeColor="text1"/>
          <w:sz w:val="24"/>
          <w:szCs w:val="24"/>
        </w:rPr>
        <w:t>anonymised</w:t>
      </w:r>
      <w:proofErr w:type="spellEnd"/>
      <w:r w:rsidRPr="00CC1F50">
        <w:rPr>
          <w:rFonts w:ascii="Times New Roman" w:hAnsi="Times New Roman" w:cs="Times New Roman"/>
          <w:color w:val="000000" w:themeColor="text1"/>
          <w:sz w:val="24"/>
          <w:szCs w:val="24"/>
        </w:rPr>
        <w:t xml:space="preserve"> bacterial isolates, and no direct patient identifiers were used.</w:t>
      </w:r>
    </w:p>
    <w:p w:rsidR="00255230" w:rsidRPr="00CC1F50" w:rsidRDefault="00FD68BF"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2.3</w:t>
      </w:r>
      <w:r w:rsidR="00255230" w:rsidRPr="00CC1F50">
        <w:rPr>
          <w:rFonts w:ascii="Times New Roman" w:eastAsia="Times New Roman" w:hAnsi="Times New Roman" w:cs="Times New Roman"/>
          <w:b/>
          <w:bCs/>
          <w:color w:val="000000" w:themeColor="text1"/>
          <w:sz w:val="24"/>
          <w:szCs w:val="24"/>
        </w:rPr>
        <w:t xml:space="preserve"> Bacterial Isolates</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A total of 100 non-duplicate bacterial isolates were included. Isolates were obtained from routine clinical specimens submitted to the </w:t>
      </w:r>
      <w:r w:rsidR="004F459D" w:rsidRPr="00CC1F50">
        <w:rPr>
          <w:rFonts w:ascii="Times New Roman" w:eastAsia="Times New Roman" w:hAnsi="Times New Roman" w:cs="Times New Roman"/>
          <w:color w:val="000000" w:themeColor="text1"/>
          <w:sz w:val="24"/>
          <w:szCs w:val="24"/>
        </w:rPr>
        <w:t xml:space="preserve">medical </w:t>
      </w:r>
      <w:r w:rsidRPr="00CC1F50">
        <w:rPr>
          <w:rFonts w:ascii="Times New Roman" w:eastAsia="Times New Roman" w:hAnsi="Times New Roman" w:cs="Times New Roman"/>
          <w:color w:val="000000" w:themeColor="text1"/>
          <w:sz w:val="24"/>
          <w:szCs w:val="24"/>
        </w:rPr>
        <w:t>microbiology laboratory during the study period. Only one isolate per patient was included to avoid duplication bias.</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w:t>
      </w:r>
      <w:r w:rsidR="00FD68BF" w:rsidRPr="00CC1F50">
        <w:rPr>
          <w:rFonts w:ascii="Times New Roman" w:eastAsia="Times New Roman" w:hAnsi="Times New Roman" w:cs="Times New Roman"/>
          <w:b/>
          <w:bCs/>
          <w:color w:val="000000" w:themeColor="text1"/>
          <w:sz w:val="24"/>
          <w:szCs w:val="24"/>
        </w:rPr>
        <w:t>4</w:t>
      </w:r>
      <w:r w:rsidRPr="00CC1F50">
        <w:rPr>
          <w:rFonts w:ascii="Times New Roman" w:eastAsia="Times New Roman" w:hAnsi="Times New Roman" w:cs="Times New Roman"/>
          <w:b/>
          <w:bCs/>
          <w:color w:val="000000" w:themeColor="text1"/>
          <w:sz w:val="24"/>
          <w:szCs w:val="24"/>
        </w:rPr>
        <w:t xml:space="preserve"> Identification of Isolates</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Bacterial identification was performed using standard microbiological techniques, including:</w:t>
      </w:r>
    </w:p>
    <w:p w:rsidR="00255230" w:rsidRPr="00CC1F50" w:rsidRDefault="00255230" w:rsidP="00CC1F50">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Gram staining</w:t>
      </w:r>
    </w:p>
    <w:p w:rsidR="00255230" w:rsidRPr="00CC1F50" w:rsidRDefault="00255230" w:rsidP="00CC1F50">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Colony morphology assessment</w:t>
      </w:r>
    </w:p>
    <w:p w:rsidR="00255230" w:rsidRPr="00CC1F50" w:rsidRDefault="00255230" w:rsidP="00CC1F50">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Biochemical tests (e.g., catalase, coagulase, oxidase, indole, citrate </w:t>
      </w:r>
      <w:proofErr w:type="spellStart"/>
      <w:r w:rsidRPr="00CC1F50">
        <w:rPr>
          <w:rFonts w:ascii="Times New Roman" w:eastAsia="Times New Roman" w:hAnsi="Times New Roman" w:cs="Times New Roman"/>
          <w:color w:val="000000" w:themeColor="text1"/>
          <w:sz w:val="24"/>
          <w:szCs w:val="24"/>
        </w:rPr>
        <w:t>utilisation</w:t>
      </w:r>
      <w:proofErr w:type="spellEnd"/>
      <w:r w:rsidRPr="00CC1F50">
        <w:rPr>
          <w:rFonts w:ascii="Times New Roman" w:eastAsia="Times New Roman" w:hAnsi="Times New Roman" w:cs="Times New Roman"/>
          <w:color w:val="000000" w:themeColor="text1"/>
          <w:sz w:val="24"/>
          <w:szCs w:val="24"/>
        </w:rPr>
        <w:t>, urease tests as appropriate)</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w:t>
      </w:r>
      <w:r w:rsidR="00FD68BF" w:rsidRPr="00CC1F50">
        <w:rPr>
          <w:rFonts w:ascii="Times New Roman" w:eastAsia="Times New Roman" w:hAnsi="Times New Roman" w:cs="Times New Roman"/>
          <w:b/>
          <w:bCs/>
          <w:color w:val="000000" w:themeColor="text1"/>
          <w:sz w:val="24"/>
          <w:szCs w:val="24"/>
        </w:rPr>
        <w:t>5</w:t>
      </w:r>
      <w:r w:rsidRPr="00CC1F50">
        <w:rPr>
          <w:rFonts w:ascii="Times New Roman" w:eastAsia="Times New Roman" w:hAnsi="Times New Roman" w:cs="Times New Roman"/>
          <w:b/>
          <w:bCs/>
          <w:color w:val="000000" w:themeColor="text1"/>
          <w:sz w:val="24"/>
          <w:szCs w:val="24"/>
        </w:rPr>
        <w:t xml:space="preserve"> Antimicrobial Susceptibility Testing</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 xml:space="preserve">Antimicrobial susceptibility testing was conducted using the Kirby–Bauer disc diffusion method on Mueller–Hinton agar. </w:t>
      </w:r>
      <w:r w:rsidR="001A2717" w:rsidRPr="00CC1F50">
        <w:rPr>
          <w:rFonts w:ascii="Times New Roman" w:hAnsi="Times New Roman" w:cs="Times New Roman"/>
          <w:color w:val="000000" w:themeColor="text1"/>
          <w:sz w:val="24"/>
          <w:szCs w:val="24"/>
        </w:rPr>
        <w:t>Zone diameters were interpreted according to the laboratory’s standard operating procedures for routine diagnostic antimicrobial susceptibility testing.</w:t>
      </w:r>
      <w:r w:rsidR="001A2717" w:rsidRPr="00CC1F50">
        <w:rPr>
          <w:rFonts w:ascii="Times New Roman" w:eastAsia="Times New Roman" w:hAnsi="Times New Roman" w:cs="Times New Roman"/>
          <w:color w:val="000000" w:themeColor="text1"/>
          <w:sz w:val="24"/>
          <w:szCs w:val="24"/>
        </w:rPr>
        <w:t xml:space="preserve"> </w:t>
      </w:r>
      <w:r w:rsidRPr="00CC1F50">
        <w:rPr>
          <w:rFonts w:ascii="Times New Roman" w:eastAsia="Times New Roman" w:hAnsi="Times New Roman" w:cs="Times New Roman"/>
          <w:color w:val="000000" w:themeColor="text1"/>
          <w:sz w:val="24"/>
          <w:szCs w:val="24"/>
        </w:rPr>
        <w:t>The antibiotics tested included:</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Ciprofloxacin (quinolone)</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Cephalexin (first-generation cephalosporin)</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Cefuroxime (second-generation cephalosporin)</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Cefepime (fourth-generation cephalosporin)</w:t>
      </w:r>
    </w:p>
    <w:p w:rsidR="00255230" w:rsidRPr="00CC1F50" w:rsidRDefault="00255230" w:rsidP="00CC1F50">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Ertapenem (carbapenem)</w:t>
      </w:r>
    </w:p>
    <w:p w:rsidR="00255230" w:rsidRPr="00CC1F50" w:rsidRDefault="00255230" w:rsidP="00CC1F50">
      <w:pPr>
        <w:spacing w:before="100" w:beforeAutospacing="1" w:after="100" w:afterAutospacing="1" w:line="240" w:lineRule="auto"/>
        <w:jc w:val="both"/>
        <w:outlineLvl w:val="1"/>
        <w:rPr>
          <w:rFonts w:ascii="Times New Roman" w:eastAsia="Times New Roman" w:hAnsi="Times New Roman" w:cs="Times New Roman"/>
          <w:b/>
          <w:bCs/>
          <w:color w:val="000000" w:themeColor="text1"/>
          <w:sz w:val="24"/>
          <w:szCs w:val="24"/>
        </w:rPr>
      </w:pPr>
      <w:r w:rsidRPr="00CC1F50">
        <w:rPr>
          <w:rFonts w:ascii="Times New Roman" w:eastAsia="Times New Roman" w:hAnsi="Times New Roman" w:cs="Times New Roman"/>
          <w:b/>
          <w:bCs/>
          <w:color w:val="000000" w:themeColor="text1"/>
          <w:sz w:val="24"/>
          <w:szCs w:val="24"/>
        </w:rPr>
        <w:t>2.</w:t>
      </w:r>
      <w:r w:rsidR="00FD68BF" w:rsidRPr="00CC1F50">
        <w:rPr>
          <w:rFonts w:ascii="Times New Roman" w:eastAsia="Times New Roman" w:hAnsi="Times New Roman" w:cs="Times New Roman"/>
          <w:b/>
          <w:bCs/>
          <w:color w:val="000000" w:themeColor="text1"/>
          <w:sz w:val="24"/>
          <w:szCs w:val="24"/>
        </w:rPr>
        <w:t>6</w:t>
      </w:r>
      <w:r w:rsidRPr="00CC1F50">
        <w:rPr>
          <w:rFonts w:ascii="Times New Roman" w:eastAsia="Times New Roman" w:hAnsi="Times New Roman" w:cs="Times New Roman"/>
          <w:b/>
          <w:bCs/>
          <w:color w:val="000000" w:themeColor="text1"/>
          <w:sz w:val="24"/>
          <w:szCs w:val="24"/>
        </w:rPr>
        <w:t xml:space="preserve"> Data Analysis</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Data were entered into Microsoft Excel and </w:t>
      </w:r>
      <w:proofErr w:type="spellStart"/>
      <w:r w:rsidRPr="00CC1F50">
        <w:rPr>
          <w:rFonts w:ascii="Times New Roman" w:eastAsia="Times New Roman" w:hAnsi="Times New Roman" w:cs="Times New Roman"/>
          <w:color w:val="000000" w:themeColor="text1"/>
          <w:sz w:val="24"/>
          <w:szCs w:val="24"/>
        </w:rPr>
        <w:t>analysed</w:t>
      </w:r>
      <w:proofErr w:type="spellEnd"/>
      <w:r w:rsidRPr="00CC1F50">
        <w:rPr>
          <w:rFonts w:ascii="Times New Roman" w:eastAsia="Times New Roman" w:hAnsi="Times New Roman" w:cs="Times New Roman"/>
          <w:color w:val="000000" w:themeColor="text1"/>
          <w:sz w:val="24"/>
          <w:szCs w:val="24"/>
        </w:rPr>
        <w:t xml:space="preserve"> descriptively. Results are presented as frequencies and percentages. No inferential statistical comparisons were performed due to the descriptive nature of the study.</w:t>
      </w:r>
    </w:p>
    <w:p w:rsidR="00FF35D4" w:rsidRPr="00CC1F50" w:rsidRDefault="00FF35D4" w:rsidP="00CC1F50">
      <w:pPr>
        <w:pStyle w:val="Heading3"/>
        <w:jc w:val="both"/>
        <w:rPr>
          <w:color w:val="000000" w:themeColor="text1"/>
          <w:sz w:val="24"/>
          <w:szCs w:val="24"/>
        </w:rPr>
      </w:pPr>
      <w:r w:rsidRPr="00CC1F50">
        <w:rPr>
          <w:color w:val="000000" w:themeColor="text1"/>
          <w:sz w:val="24"/>
          <w:szCs w:val="24"/>
        </w:rPr>
        <w:t>3. Results</w:t>
      </w:r>
    </w:p>
    <w:p w:rsidR="002B54B2" w:rsidRPr="00CC1F50" w:rsidRDefault="002B54B2" w:rsidP="00CC1F50">
      <w:pPr>
        <w:pStyle w:val="Heading3"/>
        <w:jc w:val="both"/>
        <w:rPr>
          <w:color w:val="000000" w:themeColor="text1"/>
          <w:sz w:val="24"/>
          <w:szCs w:val="24"/>
        </w:rPr>
      </w:pPr>
      <w:r w:rsidRPr="00CC1F50">
        <w:rPr>
          <w:color w:val="000000" w:themeColor="text1"/>
          <w:sz w:val="24"/>
          <w:szCs w:val="24"/>
        </w:rPr>
        <w:t>Distribution of Bacterial Isolates from Various Sources</w:t>
      </w:r>
      <w:r w:rsidRPr="00CC1F50">
        <w:rPr>
          <w:color w:val="000000" w:themeColor="text1"/>
          <w:sz w:val="24"/>
          <w:szCs w:val="24"/>
        </w:rPr>
        <w:tab/>
      </w:r>
    </w:p>
    <w:p w:rsidR="00FF35D4" w:rsidRPr="00CC1F50" w:rsidRDefault="00FF35D4" w:rsidP="00CC1F50">
      <w:pPr>
        <w:pStyle w:val="NormalWeb"/>
        <w:jc w:val="both"/>
        <w:rPr>
          <w:color w:val="000000" w:themeColor="text1"/>
        </w:rPr>
      </w:pPr>
      <w:r w:rsidRPr="00CC1F50">
        <w:rPr>
          <w:color w:val="000000" w:themeColor="text1"/>
        </w:rPr>
        <w:t xml:space="preserve">A total of 100 non-duplicate bacterial isolates obtained from routine clinical specimens were included in the analysis. The </w:t>
      </w:r>
      <w:r w:rsidR="008762BC" w:rsidRPr="00CC1F50">
        <w:rPr>
          <w:color w:val="000000" w:themeColor="text1"/>
        </w:rPr>
        <w:t xml:space="preserve">bacterial distribution showed variability in frequency across </w:t>
      </w:r>
      <w:r w:rsidRPr="00CC1F50">
        <w:rPr>
          <w:color w:val="000000" w:themeColor="text1"/>
        </w:rPr>
        <w:t xml:space="preserve">Gram-positive and Gram-negative species. </w:t>
      </w:r>
      <w:r w:rsidRPr="00CC1F50">
        <w:rPr>
          <w:rStyle w:val="Strong"/>
          <w:b w:val="0"/>
          <w:i/>
          <w:color w:val="000000" w:themeColor="text1"/>
        </w:rPr>
        <w:t>Staphylococcus species</w:t>
      </w:r>
      <w:r w:rsidRPr="00CC1F50">
        <w:rPr>
          <w:color w:val="000000" w:themeColor="text1"/>
        </w:rPr>
        <w:t xml:space="preserve"> constituted the largest proportion of isolates, accounting for 41% of the total sample population, making them the most prevalent </w:t>
      </w:r>
      <w:r w:rsidR="008762BC" w:rsidRPr="00CC1F50">
        <w:rPr>
          <w:color w:val="000000" w:themeColor="text1"/>
        </w:rPr>
        <w:t>bacteria</w:t>
      </w:r>
      <w:r w:rsidRPr="00CC1F50">
        <w:rPr>
          <w:color w:val="000000" w:themeColor="text1"/>
        </w:rPr>
        <w:t xml:space="preserve"> recovered during the study period.</w:t>
      </w:r>
      <w:r w:rsidR="002B54B2" w:rsidRPr="00CC1F50">
        <w:rPr>
          <w:color w:val="000000" w:themeColor="text1"/>
        </w:rPr>
        <w:t xml:space="preserve"> </w:t>
      </w:r>
      <w:r w:rsidRPr="00CC1F50">
        <w:rPr>
          <w:color w:val="000000" w:themeColor="text1"/>
        </w:rPr>
        <w:t xml:space="preserve">Among the Gram-negative </w:t>
      </w:r>
      <w:r w:rsidR="008762BC" w:rsidRPr="00CC1F50">
        <w:rPr>
          <w:color w:val="000000" w:themeColor="text1"/>
        </w:rPr>
        <w:t>bacteria</w:t>
      </w:r>
      <w:r w:rsidRPr="00CC1F50">
        <w:rPr>
          <w:color w:val="000000" w:themeColor="text1"/>
        </w:rPr>
        <w:t xml:space="preserve">, </w:t>
      </w:r>
      <w:r w:rsidRPr="00CC1F50">
        <w:rPr>
          <w:rStyle w:val="Strong"/>
          <w:b w:val="0"/>
          <w:i/>
          <w:color w:val="000000" w:themeColor="text1"/>
        </w:rPr>
        <w:t>Klebsiella species</w:t>
      </w:r>
      <w:r w:rsidRPr="00CC1F50">
        <w:rPr>
          <w:color w:val="000000" w:themeColor="text1"/>
        </w:rPr>
        <w:t xml:space="preserve"> represented 15% of isolates, while </w:t>
      </w:r>
      <w:r w:rsidRPr="00CC1F50">
        <w:rPr>
          <w:rStyle w:val="Strong"/>
          <w:b w:val="0"/>
          <w:i/>
          <w:color w:val="000000" w:themeColor="text1"/>
        </w:rPr>
        <w:t>Escherichia coli</w:t>
      </w:r>
      <w:r w:rsidRPr="00CC1F50">
        <w:rPr>
          <w:color w:val="000000" w:themeColor="text1"/>
        </w:rPr>
        <w:t xml:space="preserve"> accounted for 14%. </w:t>
      </w:r>
      <w:r w:rsidRPr="00CC1F50">
        <w:rPr>
          <w:rStyle w:val="Strong"/>
          <w:b w:val="0"/>
          <w:i/>
          <w:color w:val="000000" w:themeColor="text1"/>
        </w:rPr>
        <w:t>Pseudomonas species</w:t>
      </w:r>
      <w:r w:rsidRPr="00CC1F50">
        <w:rPr>
          <w:color w:val="000000" w:themeColor="text1"/>
        </w:rPr>
        <w:t xml:space="preserve"> comprised 12% of the total isolates, and </w:t>
      </w:r>
      <w:r w:rsidRPr="00CC1F50">
        <w:rPr>
          <w:rStyle w:val="Strong"/>
          <w:b w:val="0"/>
          <w:i/>
          <w:color w:val="000000" w:themeColor="text1"/>
        </w:rPr>
        <w:t>Proteus species</w:t>
      </w:r>
      <w:r w:rsidRPr="00CC1F50">
        <w:rPr>
          <w:color w:val="000000" w:themeColor="text1"/>
        </w:rPr>
        <w:t xml:space="preserve"> were identified in 5% of cases, representing the least frequently recovered pathogens.</w:t>
      </w:r>
      <w:r w:rsidR="002B54B2" w:rsidRPr="00CC1F50">
        <w:rPr>
          <w:color w:val="000000" w:themeColor="text1"/>
        </w:rPr>
        <w:t xml:space="preserve"> </w:t>
      </w:r>
      <w:r w:rsidRPr="00CC1F50">
        <w:rPr>
          <w:color w:val="000000" w:themeColor="text1"/>
        </w:rPr>
        <w:t xml:space="preserve">In addition, </w:t>
      </w:r>
      <w:r w:rsidRPr="00CC1F50">
        <w:rPr>
          <w:rStyle w:val="Strong"/>
          <w:b w:val="0"/>
          <w:i/>
          <w:color w:val="000000" w:themeColor="text1"/>
        </w:rPr>
        <w:t>Streptococcus species</w:t>
      </w:r>
      <w:r w:rsidRPr="00CC1F50">
        <w:rPr>
          <w:color w:val="000000" w:themeColor="text1"/>
        </w:rPr>
        <w:t xml:space="preserve"> made up 13% of the isolates, contributing to the overall burden of Gram-positive </w:t>
      </w:r>
      <w:r w:rsidR="008762BC" w:rsidRPr="00CC1F50">
        <w:rPr>
          <w:color w:val="000000" w:themeColor="text1"/>
        </w:rPr>
        <w:t>bacteria</w:t>
      </w:r>
      <w:r w:rsidRPr="00CC1F50">
        <w:rPr>
          <w:color w:val="000000" w:themeColor="text1"/>
        </w:rPr>
        <w:t xml:space="preserve"> identified in this study. Collectively, these findings reflect the presence of both Gram-positive and Gram-negative bacteria among clinical samples processed within the study setting.</w:t>
      </w:r>
      <w:r w:rsidR="002B54B2" w:rsidRPr="00CC1F50">
        <w:rPr>
          <w:color w:val="000000" w:themeColor="text1"/>
        </w:rPr>
        <w:t xml:space="preserve"> As seen in Table 1.</w:t>
      </w: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B12B9F" w:rsidRPr="00CC1F50" w:rsidRDefault="00B12B9F" w:rsidP="00CC1F50">
      <w:pPr>
        <w:pStyle w:val="NormalWeb"/>
        <w:jc w:val="both"/>
        <w:rPr>
          <w:color w:val="000000" w:themeColor="text1"/>
        </w:rPr>
      </w:pPr>
    </w:p>
    <w:p w:rsidR="002B54B2" w:rsidRPr="00CC1F50" w:rsidRDefault="002B54B2" w:rsidP="00CC1F50">
      <w:pPr>
        <w:pStyle w:val="Heading3"/>
        <w:jc w:val="both"/>
        <w:rPr>
          <w:color w:val="000000" w:themeColor="text1"/>
          <w:sz w:val="24"/>
          <w:szCs w:val="24"/>
        </w:rPr>
      </w:pPr>
      <w:r w:rsidRPr="00CC1F50">
        <w:rPr>
          <w:color w:val="000000" w:themeColor="text1"/>
          <w:sz w:val="24"/>
          <w:szCs w:val="24"/>
        </w:rPr>
        <w:t>Table 1: Distribution of Bacterial Isolates from Various Sources</w:t>
      </w:r>
      <w:r w:rsidRPr="00CC1F50">
        <w:rPr>
          <w:color w:val="000000" w:themeColor="text1"/>
          <w:sz w:val="24"/>
          <w:szCs w:val="24"/>
        </w:rPr>
        <w:tab/>
      </w:r>
    </w:p>
    <w:tbl>
      <w:tblPr>
        <w:tblW w:w="85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3058"/>
        <w:gridCol w:w="3331"/>
      </w:tblGrid>
      <w:tr w:rsidR="00CC1F50" w:rsidRPr="00CC1F50" w:rsidTr="002B54B2">
        <w:trPr>
          <w:trHeight w:val="496"/>
        </w:trPr>
        <w:tc>
          <w:tcPr>
            <w:tcW w:w="2118" w:type="dxa"/>
            <w:tcBorders>
              <w:top w:val="single" w:sz="4" w:space="0" w:color="auto"/>
              <w:left w:val="nil"/>
              <w:bottom w:val="single" w:sz="4" w:space="0" w:color="auto"/>
              <w:right w:val="nil"/>
            </w:tcBorders>
            <w:noWrap/>
            <w:vAlign w:val="bottom"/>
            <w:hideMark/>
          </w:tcPr>
          <w:p w:rsidR="002B54B2" w:rsidRPr="00CC1F50" w:rsidRDefault="002B54B2"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lastRenderedPageBreak/>
              <w:t>Bacteria</w:t>
            </w:r>
          </w:p>
        </w:tc>
        <w:tc>
          <w:tcPr>
            <w:tcW w:w="3058" w:type="dxa"/>
            <w:tcBorders>
              <w:top w:val="single" w:sz="4" w:space="0" w:color="auto"/>
              <w:left w:val="nil"/>
              <w:bottom w:val="single" w:sz="4" w:space="0" w:color="auto"/>
              <w:right w:val="nil"/>
            </w:tcBorders>
            <w:noWrap/>
            <w:vAlign w:val="bottom"/>
            <w:hideMark/>
          </w:tcPr>
          <w:p w:rsidR="002B54B2" w:rsidRPr="00CC1F50" w:rsidRDefault="002B54B2"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Frequency</w:t>
            </w:r>
          </w:p>
        </w:tc>
        <w:tc>
          <w:tcPr>
            <w:tcW w:w="3331" w:type="dxa"/>
            <w:tcBorders>
              <w:top w:val="single" w:sz="4" w:space="0" w:color="auto"/>
              <w:left w:val="nil"/>
              <w:bottom w:val="single" w:sz="4" w:space="0" w:color="auto"/>
              <w:right w:val="nil"/>
            </w:tcBorders>
            <w:noWrap/>
            <w:vAlign w:val="bottom"/>
            <w:hideMark/>
          </w:tcPr>
          <w:p w:rsidR="002B54B2" w:rsidRPr="00CC1F50" w:rsidRDefault="002B54B2"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Percentage   </w:t>
            </w:r>
          </w:p>
        </w:tc>
      </w:tr>
      <w:tr w:rsidR="00CC1F50" w:rsidRPr="00CC1F50" w:rsidTr="002B54B2">
        <w:trPr>
          <w:trHeight w:val="496"/>
        </w:trPr>
        <w:tc>
          <w:tcPr>
            <w:tcW w:w="2118" w:type="dxa"/>
            <w:tcBorders>
              <w:top w:val="single" w:sz="4" w:space="0" w:color="auto"/>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proofErr w:type="spellStart"/>
            <w:r w:rsidRPr="00CC1F50">
              <w:rPr>
                <w:rFonts w:ascii="Times New Roman" w:eastAsia="Times New Roman" w:hAnsi="Times New Roman" w:cs="Times New Roman"/>
                <w:i/>
                <w:color w:val="000000" w:themeColor="text1"/>
                <w:sz w:val="24"/>
                <w:szCs w:val="24"/>
              </w:rPr>
              <w:t>Eschericia</w:t>
            </w:r>
            <w:proofErr w:type="spellEnd"/>
            <w:r w:rsidRPr="00CC1F50">
              <w:rPr>
                <w:rFonts w:ascii="Times New Roman" w:eastAsia="Times New Roman" w:hAnsi="Times New Roman" w:cs="Times New Roman"/>
                <w:i/>
                <w:color w:val="000000" w:themeColor="text1"/>
                <w:sz w:val="24"/>
                <w:szCs w:val="24"/>
              </w:rPr>
              <w:t xml:space="preserve"> coli</w:t>
            </w:r>
          </w:p>
        </w:tc>
        <w:tc>
          <w:tcPr>
            <w:tcW w:w="3058" w:type="dxa"/>
            <w:tcBorders>
              <w:top w:val="single" w:sz="4" w:space="0" w:color="auto"/>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3331" w:type="dxa"/>
            <w:tcBorders>
              <w:top w:val="single" w:sz="4" w:space="0" w:color="auto"/>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Staphylococcus </w:t>
            </w:r>
            <w:r w:rsidRPr="00CC1F50">
              <w:rPr>
                <w:rFonts w:ascii="Times New Roman" w:eastAsia="Times New Roman" w:hAnsi="Times New Roman" w:cs="Times New Roman"/>
                <w:i/>
                <w:iCs/>
                <w:color w:val="000000" w:themeColor="text1"/>
                <w:sz w:val="24"/>
                <w:szCs w:val="24"/>
              </w:rPr>
              <w:t>aureus</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41</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41 %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Proteus species</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Klebsiella specie</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Pseudomonas </w:t>
            </w:r>
            <w:r w:rsidRPr="00CC1F50">
              <w:rPr>
                <w:rFonts w:ascii="Times New Roman" w:eastAsia="Times New Roman" w:hAnsi="Times New Roman" w:cs="Times New Roman"/>
                <w:color w:val="000000" w:themeColor="text1"/>
                <w:sz w:val="24"/>
                <w:szCs w:val="24"/>
              </w:rPr>
              <w:t>species</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w:t>
            </w:r>
          </w:p>
        </w:tc>
      </w:tr>
      <w:tr w:rsidR="00CC1F50" w:rsidRPr="00CC1F50" w:rsidTr="002B54B2">
        <w:trPr>
          <w:trHeight w:val="496"/>
        </w:trPr>
        <w:tc>
          <w:tcPr>
            <w:tcW w:w="211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Total</w:t>
            </w:r>
          </w:p>
        </w:tc>
        <w:tc>
          <w:tcPr>
            <w:tcW w:w="3058"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100</w:t>
            </w:r>
          </w:p>
        </w:tc>
        <w:tc>
          <w:tcPr>
            <w:tcW w:w="3331" w:type="dxa"/>
            <w:tcBorders>
              <w:top w:val="nil"/>
              <w:left w:val="nil"/>
              <w:bottom w:val="nil"/>
              <w:right w:val="nil"/>
            </w:tcBorders>
            <w:noWrap/>
            <w:vAlign w:val="bottom"/>
            <w:hideMark/>
          </w:tcPr>
          <w:p w:rsidR="002B54B2" w:rsidRPr="00CC1F50" w:rsidRDefault="002B54B2"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100 %</w:t>
            </w:r>
          </w:p>
        </w:tc>
      </w:tr>
    </w:tbl>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b/>
          <w:color w:val="000000" w:themeColor="text1"/>
          <w:sz w:val="24"/>
          <w:szCs w:val="24"/>
        </w:rPr>
      </w:pPr>
    </w:p>
    <w:p w:rsidR="00EC3960" w:rsidRPr="00CC1F50" w:rsidRDefault="00EC3960"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b/>
          <w:color w:val="000000" w:themeColor="text1"/>
          <w:sz w:val="24"/>
          <w:szCs w:val="24"/>
        </w:rPr>
        <w:t>Antimicrobial Susceptibility Pattern of Bacterial Isolates from All Sources</w:t>
      </w:r>
      <w:r w:rsidRPr="00CC1F50">
        <w:rPr>
          <w:rFonts w:ascii="Times New Roman" w:hAnsi="Times New Roman" w:cs="Times New Roman"/>
          <w:color w:val="000000" w:themeColor="text1"/>
          <w:sz w:val="24"/>
          <w:szCs w:val="24"/>
        </w:rPr>
        <w:t xml:space="preserve"> </w:t>
      </w:r>
    </w:p>
    <w:p w:rsidR="0026527A" w:rsidRPr="0026527A" w:rsidRDefault="0026527A" w:rsidP="0026527A">
      <w:pPr>
        <w:spacing w:line="360" w:lineRule="auto"/>
        <w:jc w:val="both"/>
        <w:rPr>
          <w:rFonts w:ascii="Times New Roman" w:hAnsi="Times New Roman" w:cs="Times New Roman"/>
          <w:sz w:val="24"/>
        </w:rPr>
      </w:pPr>
      <w:r w:rsidRPr="0026527A">
        <w:rPr>
          <w:rFonts w:ascii="Times New Roman" w:hAnsi="Times New Roman" w:cs="Times New Roman"/>
          <w:sz w:val="24"/>
        </w:rPr>
        <w:lastRenderedPageBreak/>
        <w:t xml:space="preserve">According to </w:t>
      </w:r>
      <w:r w:rsidRPr="0026527A">
        <w:rPr>
          <w:rStyle w:val="Strong"/>
          <w:rFonts w:ascii="Times New Roman" w:hAnsi="Times New Roman" w:cs="Times New Roman"/>
          <w:b w:val="0"/>
          <w:sz w:val="24"/>
        </w:rPr>
        <w:t>Table 2</w:t>
      </w:r>
      <w:r w:rsidRPr="0026527A">
        <w:rPr>
          <w:rFonts w:ascii="Times New Roman" w:hAnsi="Times New Roman" w:cs="Times New Roman"/>
          <w:b/>
          <w:sz w:val="24"/>
        </w:rPr>
        <w:t>,</w:t>
      </w:r>
      <w:r w:rsidRPr="0026527A">
        <w:rPr>
          <w:rFonts w:ascii="Times New Roman" w:hAnsi="Times New Roman" w:cs="Times New Roman"/>
          <w:sz w:val="24"/>
        </w:rPr>
        <w:t xml:space="preserve"> the results of this study indicate that the bacterial isolates recovered from the various sources exhibited </w:t>
      </w:r>
      <w:r w:rsidRPr="0026527A">
        <w:rPr>
          <w:rStyle w:val="Strong"/>
          <w:rFonts w:ascii="Times New Roman" w:hAnsi="Times New Roman" w:cs="Times New Roman"/>
          <w:b w:val="0"/>
          <w:sz w:val="24"/>
        </w:rPr>
        <w:t>high susceptibility to ertapenem and ciprofloxacin</w:t>
      </w:r>
      <w:r w:rsidRPr="0026527A">
        <w:rPr>
          <w:rFonts w:ascii="Times New Roman" w:hAnsi="Times New Roman" w:cs="Times New Roman"/>
          <w:b/>
          <w:sz w:val="24"/>
        </w:rPr>
        <w:t>,</w:t>
      </w:r>
      <w:r w:rsidRPr="0026527A">
        <w:rPr>
          <w:rFonts w:ascii="Times New Roman" w:hAnsi="Times New Roman" w:cs="Times New Roman"/>
          <w:sz w:val="24"/>
        </w:rPr>
        <w:t xml:space="preserve"> while showing </w:t>
      </w:r>
      <w:r w:rsidRPr="0026527A">
        <w:rPr>
          <w:rStyle w:val="Strong"/>
          <w:rFonts w:ascii="Times New Roman" w:hAnsi="Times New Roman" w:cs="Times New Roman"/>
          <w:b w:val="0"/>
          <w:sz w:val="24"/>
        </w:rPr>
        <w:t>marked resistance to cefepime</w:t>
      </w:r>
      <w:r w:rsidRPr="0026527A">
        <w:rPr>
          <w:rFonts w:ascii="Times New Roman" w:hAnsi="Times New Roman" w:cs="Times New Roman"/>
          <w:b/>
          <w:sz w:val="24"/>
        </w:rPr>
        <w:t>.</w:t>
      </w:r>
    </w:p>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2: </w:t>
      </w:r>
      <w:r w:rsidR="0072504A" w:rsidRPr="00CC1F50">
        <w:rPr>
          <w:rFonts w:ascii="Times New Roman" w:hAnsi="Times New Roman" w:cs="Times New Roman"/>
          <w:b/>
          <w:color w:val="000000" w:themeColor="text1"/>
          <w:sz w:val="24"/>
          <w:szCs w:val="24"/>
        </w:rPr>
        <w:t>Antimicrobial Susceptibility Pattern of Bacterial Isolates from All Sources</w:t>
      </w:r>
    </w:p>
    <w:tbl>
      <w:tblPr>
        <w:tblW w:w="10005" w:type="dxa"/>
        <w:tblInd w:w="93" w:type="dxa"/>
        <w:tblLook w:val="04A0" w:firstRow="1" w:lastRow="0" w:firstColumn="1" w:lastColumn="0" w:noHBand="0" w:noVBand="1"/>
      </w:tblPr>
      <w:tblGrid>
        <w:gridCol w:w="740"/>
        <w:gridCol w:w="2605"/>
        <w:gridCol w:w="1080"/>
        <w:gridCol w:w="1260"/>
        <w:gridCol w:w="1080"/>
        <w:gridCol w:w="1170"/>
        <w:gridCol w:w="1080"/>
        <w:gridCol w:w="990"/>
      </w:tblGrid>
      <w:tr w:rsidR="00B12B9F" w:rsidRPr="00CC1F50" w:rsidTr="00B12B9F">
        <w:trPr>
          <w:trHeight w:val="300"/>
        </w:trPr>
        <w:tc>
          <w:tcPr>
            <w:tcW w:w="74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S/no.</w:t>
            </w:r>
          </w:p>
        </w:tc>
        <w:tc>
          <w:tcPr>
            <w:tcW w:w="2605"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i/>
                <w:iCs/>
                <w:color w:val="000000" w:themeColor="text1"/>
                <w:sz w:val="24"/>
                <w:szCs w:val="24"/>
              </w:rPr>
            </w:pPr>
            <w:r w:rsidRPr="00CC1F50">
              <w:rPr>
                <w:rFonts w:ascii="Times New Roman" w:eastAsia="Times New Roman" w:hAnsi="Times New Roman" w:cs="Times New Roman"/>
                <w:b/>
                <w:i/>
                <w:iCs/>
                <w:color w:val="000000" w:themeColor="text1"/>
                <w:sz w:val="24"/>
                <w:szCs w:val="24"/>
              </w:rPr>
              <w:t>Bacteria</w:t>
            </w:r>
          </w:p>
        </w:tc>
        <w:tc>
          <w:tcPr>
            <w:tcW w:w="108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Source</w:t>
            </w:r>
          </w:p>
        </w:tc>
        <w:tc>
          <w:tcPr>
            <w:tcW w:w="126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w:t>
            </w:r>
          </w:p>
        </w:tc>
        <w:tc>
          <w:tcPr>
            <w:tcW w:w="108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w:t>
            </w:r>
          </w:p>
        </w:tc>
        <w:tc>
          <w:tcPr>
            <w:tcW w:w="117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w:t>
            </w:r>
          </w:p>
        </w:tc>
        <w:tc>
          <w:tcPr>
            <w:tcW w:w="108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w:t>
            </w:r>
          </w:p>
        </w:tc>
        <w:tc>
          <w:tcPr>
            <w:tcW w:w="990" w:type="dxa"/>
            <w:tcBorders>
              <w:top w:val="single" w:sz="4" w:space="0" w:color="auto"/>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w:t>
            </w:r>
          </w:p>
        </w:tc>
      </w:tr>
      <w:tr w:rsidR="00B12B9F" w:rsidRPr="00CC1F50" w:rsidTr="00B12B9F">
        <w:trPr>
          <w:trHeight w:val="300"/>
        </w:trPr>
        <w:tc>
          <w:tcPr>
            <w:tcW w:w="74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w:t>
            </w:r>
          </w:p>
        </w:tc>
        <w:tc>
          <w:tcPr>
            <w:tcW w:w="2605"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tcBorders>
              <w:top w:val="single" w:sz="4" w:space="0" w:color="auto"/>
              <w:left w:val="nil"/>
              <w:bottom w:val="nil"/>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ICS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w:t>
            </w:r>
            <w:r w:rsidRPr="00CC1F50">
              <w:rPr>
                <w:rFonts w:ascii="Times New Roman" w:eastAsia="Times New Roman" w:hAnsi="Times New Roman" w:cs="Times New Roman"/>
                <w:i/>
                <w:iCs/>
                <w:color w:val="000000" w:themeColor="text1"/>
                <w:sz w:val="24"/>
                <w:szCs w:val="24"/>
              </w:rPr>
              <w:t>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18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N/S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proofErr w:type="spellStart"/>
            <w:r w:rsidRPr="00CC1F50">
              <w:rPr>
                <w:rFonts w:ascii="Times New Roman" w:eastAsia="Times New Roman" w:hAnsi="Times New Roman" w:cs="Times New Roman"/>
                <w:iCs/>
                <w:color w:val="000000" w:themeColor="text1"/>
                <w:sz w:val="24"/>
                <w:szCs w:val="24"/>
              </w:rPr>
              <w:t>speciess</w:t>
            </w:r>
            <w:proofErr w:type="spell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40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Streptococcus  s</w:t>
            </w:r>
            <w:r w:rsidRPr="00CC1F50">
              <w:rPr>
                <w:rFonts w:ascii="Times New Roman" w:eastAsia="Times New Roman" w:hAnsi="Times New Roman" w:cs="Times New Roman"/>
                <w:iCs/>
                <w:color w:val="000000" w:themeColor="text1"/>
                <w:sz w:val="24"/>
                <w:szCs w:val="24"/>
              </w:rPr>
              <w:t>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Streptococcus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62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11</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Escherichia coli </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84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90</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91</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92</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93</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roofErr w:type="gramEnd"/>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94</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T/S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95</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96</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97</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98</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r>
      <w:tr w:rsidR="00B12B9F" w:rsidRPr="00CC1F50" w:rsidTr="00B12B9F">
        <w:trPr>
          <w:trHeight w:val="300"/>
        </w:trPr>
        <w:tc>
          <w:tcPr>
            <w:tcW w:w="74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99</w:t>
            </w:r>
          </w:p>
        </w:tc>
        <w:tc>
          <w:tcPr>
            <w:tcW w:w="2605" w:type="dxa"/>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HVS</w:t>
            </w:r>
          </w:p>
        </w:tc>
        <w:tc>
          <w:tcPr>
            <w:tcW w:w="126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w:t>
            </w:r>
          </w:p>
        </w:tc>
        <w:tc>
          <w:tcPr>
            <w:tcW w:w="117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108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w:t>
            </w:r>
          </w:p>
        </w:tc>
        <w:tc>
          <w:tcPr>
            <w:tcW w:w="990" w:type="dxa"/>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r>
      <w:tr w:rsidR="00B12B9F" w:rsidRPr="00CC1F50" w:rsidTr="00B12B9F">
        <w:trPr>
          <w:trHeight w:val="300"/>
        </w:trPr>
        <w:tc>
          <w:tcPr>
            <w:tcW w:w="74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100</w:t>
            </w:r>
          </w:p>
        </w:tc>
        <w:tc>
          <w:tcPr>
            <w:tcW w:w="2605"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gramStart"/>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roofErr w:type="gramEnd"/>
          </w:p>
        </w:tc>
        <w:tc>
          <w:tcPr>
            <w:tcW w:w="108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126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w:t>
            </w:r>
          </w:p>
        </w:tc>
        <w:tc>
          <w:tcPr>
            <w:tcW w:w="108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w:t>
            </w:r>
          </w:p>
        </w:tc>
        <w:tc>
          <w:tcPr>
            <w:tcW w:w="117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08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990" w:type="dxa"/>
            <w:tcBorders>
              <w:top w:val="nil"/>
              <w:left w:val="nil"/>
              <w:bottom w:val="single" w:sz="4" w:space="0" w:color="auto"/>
              <w:right w:val="nil"/>
            </w:tcBorders>
            <w:vAlign w:val="center"/>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w:t>
            </w:r>
          </w:p>
        </w:tc>
      </w:tr>
    </w:tbl>
    <w:p w:rsidR="00B12B9F" w:rsidRPr="00CC1F50" w:rsidRDefault="00B12B9F" w:rsidP="00CC1F50">
      <w:pPr>
        <w:spacing w:line="480" w:lineRule="auto"/>
        <w:jc w:val="both"/>
        <w:rPr>
          <w:rFonts w:ascii="Times New Roman" w:eastAsia="SimSun" w:hAnsi="Times New Roman" w:cs="Times New Roman"/>
          <w:color w:val="000000" w:themeColor="text1"/>
          <w:sz w:val="24"/>
          <w:szCs w:val="24"/>
          <w:lang w:eastAsia="zh-CN"/>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2C47DE" w:rsidRPr="00CC1F50" w:rsidRDefault="002C47DE" w:rsidP="00CC1F50">
      <w:pPr>
        <w:jc w:val="both"/>
        <w:rPr>
          <w:rFonts w:ascii="Times New Roman" w:hAnsi="Times New Roman" w:cs="Times New Roman"/>
          <w:color w:val="000000" w:themeColor="text1"/>
          <w:sz w:val="24"/>
          <w:szCs w:val="24"/>
        </w:rPr>
      </w:pPr>
    </w:p>
    <w:p w:rsidR="002C47DE" w:rsidRPr="00CC1F50" w:rsidRDefault="002C47DE" w:rsidP="00884EAC">
      <w:pPr>
        <w:spacing w:after="0"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Antibiotic susceptibility of Bacteria Isolated from High Vagina Swab  </w:t>
      </w:r>
    </w:p>
    <w:p w:rsidR="00884EAC" w:rsidRPr="00884EAC" w:rsidRDefault="00884EAC" w:rsidP="00CC1F50">
      <w:pPr>
        <w:jc w:val="both"/>
        <w:rPr>
          <w:rFonts w:ascii="Times New Roman" w:hAnsi="Times New Roman" w:cs="Times New Roman"/>
          <w:sz w:val="24"/>
        </w:rPr>
      </w:pPr>
      <w:r w:rsidRPr="00884EAC">
        <w:rPr>
          <w:rStyle w:val="Strong"/>
          <w:rFonts w:ascii="Times New Roman" w:hAnsi="Times New Roman" w:cs="Times New Roman"/>
          <w:b w:val="0"/>
          <w:sz w:val="24"/>
        </w:rPr>
        <w:lastRenderedPageBreak/>
        <w:t>Table 3</w:t>
      </w:r>
      <w:r w:rsidRPr="00884EAC">
        <w:rPr>
          <w:rFonts w:ascii="Times New Roman" w:hAnsi="Times New Roman" w:cs="Times New Roman"/>
          <w:sz w:val="24"/>
        </w:rPr>
        <w:t xml:space="preserve"> presents the antimicrobial susceptibility patterns of </w:t>
      </w:r>
      <w:r w:rsidRPr="00884EAC">
        <w:rPr>
          <w:rStyle w:val="Emphasis"/>
          <w:rFonts w:ascii="Times New Roman" w:hAnsi="Times New Roman" w:cs="Times New Roman"/>
          <w:sz w:val="24"/>
        </w:rPr>
        <w:t>Staphylococcus</w:t>
      </w:r>
      <w:r w:rsidRPr="00884EAC">
        <w:rPr>
          <w:rFonts w:ascii="Times New Roman" w:hAnsi="Times New Roman" w:cs="Times New Roman"/>
          <w:sz w:val="24"/>
        </w:rPr>
        <w:t xml:space="preserve"> species, </w:t>
      </w:r>
      <w:r w:rsidRPr="00884EAC">
        <w:rPr>
          <w:rStyle w:val="Emphasis"/>
          <w:rFonts w:ascii="Times New Roman" w:hAnsi="Times New Roman" w:cs="Times New Roman"/>
          <w:sz w:val="24"/>
        </w:rPr>
        <w:t>Pseudomonas</w:t>
      </w:r>
      <w:r w:rsidRPr="00884EAC">
        <w:rPr>
          <w:rFonts w:ascii="Times New Roman" w:hAnsi="Times New Roman" w:cs="Times New Roman"/>
          <w:sz w:val="24"/>
        </w:rPr>
        <w:t xml:space="preserve"> species, </w:t>
      </w:r>
      <w:r w:rsidRPr="00884EAC">
        <w:rPr>
          <w:rStyle w:val="Emphasis"/>
          <w:rFonts w:ascii="Times New Roman" w:hAnsi="Times New Roman" w:cs="Times New Roman"/>
          <w:sz w:val="24"/>
        </w:rPr>
        <w:t>Klebsiella</w:t>
      </w:r>
      <w:r w:rsidRPr="00884EAC">
        <w:rPr>
          <w:rFonts w:ascii="Times New Roman" w:hAnsi="Times New Roman" w:cs="Times New Roman"/>
          <w:sz w:val="24"/>
        </w:rPr>
        <w:t xml:space="preserve"> species, and </w:t>
      </w:r>
      <w:r w:rsidRPr="00884EAC">
        <w:rPr>
          <w:rStyle w:val="Emphasis"/>
          <w:rFonts w:ascii="Times New Roman" w:hAnsi="Times New Roman" w:cs="Times New Roman"/>
          <w:sz w:val="24"/>
        </w:rPr>
        <w:t>Proteus</w:t>
      </w:r>
      <w:r w:rsidRPr="00884EAC">
        <w:rPr>
          <w:rFonts w:ascii="Times New Roman" w:hAnsi="Times New Roman" w:cs="Times New Roman"/>
          <w:sz w:val="24"/>
        </w:rPr>
        <w:t xml:space="preserve"> species to the antibiotics tested. The results indicate that the bacterial isolates exhibited</w:t>
      </w:r>
      <w:r w:rsidRPr="00884EAC">
        <w:rPr>
          <w:rFonts w:ascii="Times New Roman" w:hAnsi="Times New Roman" w:cs="Times New Roman"/>
          <w:b/>
          <w:sz w:val="24"/>
        </w:rPr>
        <w:t xml:space="preserve"> </w:t>
      </w:r>
      <w:r w:rsidRPr="00884EAC">
        <w:rPr>
          <w:rStyle w:val="Strong"/>
          <w:rFonts w:ascii="Times New Roman" w:hAnsi="Times New Roman" w:cs="Times New Roman"/>
          <w:b w:val="0"/>
          <w:sz w:val="24"/>
        </w:rPr>
        <w:t>greater susceptibility to ertapenem compared with the other antibiotics evaluated</w:t>
      </w:r>
      <w:r w:rsidRPr="00884EAC">
        <w:rPr>
          <w:rFonts w:ascii="Times New Roman" w:hAnsi="Times New Roman" w:cs="Times New Roman"/>
          <w:b/>
          <w:sz w:val="24"/>
        </w:rPr>
        <w:t>.</w:t>
      </w:r>
    </w:p>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Table 3 Antibiotic susceptibility of Bacteria I</w:t>
      </w:r>
      <w:r w:rsidR="002C47DE" w:rsidRPr="00CC1F50">
        <w:rPr>
          <w:rFonts w:ascii="Times New Roman" w:eastAsia="Times New Roman" w:hAnsi="Times New Roman" w:cs="Times New Roman"/>
          <w:b/>
          <w:color w:val="000000" w:themeColor="text1"/>
          <w:sz w:val="24"/>
          <w:szCs w:val="24"/>
        </w:rPr>
        <w:t xml:space="preserve">solated from High Vagina Swab  </w:t>
      </w:r>
    </w:p>
    <w:p w:rsidR="002C47DE" w:rsidRPr="00CC1F50" w:rsidRDefault="002C47DE" w:rsidP="00CC1F50">
      <w:pPr>
        <w:jc w:val="both"/>
        <w:rPr>
          <w:rFonts w:ascii="Times New Roman" w:eastAsia="Times New Roman" w:hAnsi="Times New Roman" w:cs="Times New Roman"/>
          <w:b/>
          <w:color w:val="000000" w:themeColor="text1"/>
          <w:sz w:val="24"/>
          <w:szCs w:val="24"/>
        </w:rPr>
      </w:pPr>
    </w:p>
    <w:tbl>
      <w:tblPr>
        <w:tblW w:w="5000" w:type="pct"/>
        <w:tblLook w:val="04A0" w:firstRow="1" w:lastRow="0" w:firstColumn="1" w:lastColumn="0" w:noHBand="0" w:noVBand="1"/>
      </w:tblPr>
      <w:tblGrid>
        <w:gridCol w:w="318"/>
        <w:gridCol w:w="2462"/>
        <w:gridCol w:w="1250"/>
        <w:gridCol w:w="1303"/>
        <w:gridCol w:w="1409"/>
        <w:gridCol w:w="1329"/>
        <w:gridCol w:w="1289"/>
      </w:tblGrid>
      <w:tr w:rsidR="00CC1F50" w:rsidRPr="00CC1F50" w:rsidTr="00B12B9F">
        <w:trPr>
          <w:trHeight w:val="300"/>
        </w:trPr>
        <w:tc>
          <w:tcPr>
            <w:tcW w:w="324" w:type="pct"/>
            <w:tcBorders>
              <w:top w:val="single" w:sz="4" w:space="0" w:color="auto"/>
              <w:left w:val="nil"/>
              <w:bottom w:val="single" w:sz="4" w:space="0" w:color="auto"/>
              <w:right w:val="nil"/>
            </w:tcBorders>
            <w:noWrap/>
            <w:vAlign w:val="bottom"/>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p>
        </w:tc>
        <w:tc>
          <w:tcPr>
            <w:tcW w:w="1282"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Bacteria</w:t>
            </w:r>
          </w:p>
        </w:tc>
        <w:tc>
          <w:tcPr>
            <w:tcW w:w="640"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69"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734"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 (mm)</w:t>
            </w:r>
          </w:p>
        </w:tc>
        <w:tc>
          <w:tcPr>
            <w:tcW w:w="691"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662"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CC1F50" w:rsidRPr="00CC1F50" w:rsidTr="00B12B9F">
        <w:trPr>
          <w:trHeight w:val="300"/>
        </w:trPr>
        <w:tc>
          <w:tcPr>
            <w:tcW w:w="324" w:type="pct"/>
            <w:tcBorders>
              <w:top w:val="single" w:sz="4" w:space="0" w:color="auto"/>
              <w:left w:val="nil"/>
              <w:bottom w:val="nil"/>
              <w:right w:val="nil"/>
            </w:tcBorders>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69"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34"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91"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2"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roofErr w:type="gramStart"/>
            <w:r w:rsidRPr="00CC1F50">
              <w:rPr>
                <w:rFonts w:ascii="Times New Roman" w:eastAsia="Times New Roman" w:hAnsi="Times New Roman" w:cs="Times New Roman"/>
                <w:color w:val="000000" w:themeColor="text1"/>
                <w:sz w:val="24"/>
                <w:szCs w:val="24"/>
              </w:rPr>
              <w:t>19  (</w:t>
            </w:r>
            <w:proofErr w:type="gramEnd"/>
            <w:r w:rsidRPr="00CC1F50">
              <w:rPr>
                <w:rFonts w:ascii="Times New Roman" w:eastAsia="Times New Roman" w:hAnsi="Times New Roman" w:cs="Times New Roman"/>
                <w:color w:val="000000" w:themeColor="text1"/>
                <w:sz w:val="24"/>
                <w:szCs w:val="24"/>
              </w:rPr>
              <w:t>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roofErr w:type="gramStart"/>
            <w:r w:rsidRPr="00CC1F50">
              <w:rPr>
                <w:rFonts w:ascii="Times New Roman" w:eastAsia="Times New Roman" w:hAnsi="Times New Roman" w:cs="Times New Roman"/>
                <w:color w:val="000000" w:themeColor="text1"/>
                <w:sz w:val="24"/>
                <w:szCs w:val="24"/>
              </w:rPr>
              <w:t>22  (</w:t>
            </w:r>
            <w:proofErr w:type="gramEnd"/>
            <w:r w:rsidRPr="00CC1F50">
              <w:rPr>
                <w:rFonts w:ascii="Times New Roman" w:eastAsia="Times New Roman" w:hAnsi="Times New Roman" w:cs="Times New Roman"/>
                <w:color w:val="000000" w:themeColor="text1"/>
                <w:sz w:val="24"/>
                <w:szCs w:val="24"/>
              </w:rPr>
              <w:t>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3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33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 (R)</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40"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36 (S)</w:t>
            </w:r>
          </w:p>
        </w:tc>
        <w:tc>
          <w:tcPr>
            <w:tcW w:w="734"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91"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62"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rPr>
          <w:trHeight w:val="300"/>
        </w:trPr>
        <w:tc>
          <w:tcPr>
            <w:tcW w:w="324" w:type="pct"/>
            <w:tcBorders>
              <w:top w:val="nil"/>
              <w:left w:val="nil"/>
              <w:bottom w:val="single" w:sz="4" w:space="0" w:color="auto"/>
              <w:right w:val="nil"/>
            </w:tcBorders>
            <w:noWrap/>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1282"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40"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69"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734"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1"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62"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bl>
    <w:p w:rsidR="00B12B9F" w:rsidRPr="00CC1F50" w:rsidRDefault="00B12B9F" w:rsidP="00CC1F50">
      <w:pPr>
        <w:jc w:val="both"/>
        <w:rPr>
          <w:rFonts w:ascii="Times New Roman" w:eastAsia="SimSun" w:hAnsi="Times New Roman" w:cs="Times New Roman"/>
          <w:color w:val="000000" w:themeColor="text1"/>
          <w:sz w:val="24"/>
          <w:szCs w:val="24"/>
          <w:lang w:eastAsia="zh-CN"/>
        </w:rPr>
      </w:pPr>
    </w:p>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360" w:lineRule="auto"/>
        <w:jc w:val="both"/>
        <w:rPr>
          <w:rFonts w:ascii="Times New Roman" w:eastAsia="Times New Roman" w:hAnsi="Times New Roman" w:cs="Times New Roman"/>
          <w:b/>
          <w:color w:val="000000" w:themeColor="text1"/>
          <w:sz w:val="24"/>
          <w:szCs w:val="24"/>
        </w:rPr>
      </w:pPr>
    </w:p>
    <w:p w:rsidR="009F3DEB" w:rsidRPr="00CC1F50" w:rsidRDefault="009F3DEB"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lastRenderedPageBreak/>
        <w:t>Antibiotic Susceptibility of Bacteria Isolated from Urine Source</w:t>
      </w:r>
    </w:p>
    <w:p w:rsidR="00EA3F80" w:rsidRPr="00EA3F80" w:rsidRDefault="00EA3F80" w:rsidP="00CC1F50">
      <w:pPr>
        <w:spacing w:line="360" w:lineRule="auto"/>
        <w:jc w:val="both"/>
        <w:rPr>
          <w:rFonts w:ascii="Times New Roman" w:hAnsi="Times New Roman" w:cs="Times New Roman"/>
          <w:sz w:val="24"/>
        </w:rPr>
      </w:pPr>
      <w:r w:rsidRPr="00EA3F80">
        <w:rPr>
          <w:rFonts w:ascii="Times New Roman" w:hAnsi="Times New Roman" w:cs="Times New Roman"/>
          <w:sz w:val="24"/>
        </w:rPr>
        <w:t xml:space="preserve">The bacterial isolates recovered from this source included </w:t>
      </w:r>
      <w:r w:rsidRPr="00EA3F80">
        <w:rPr>
          <w:rStyle w:val="Emphasis"/>
          <w:rFonts w:ascii="Times New Roman" w:hAnsi="Times New Roman" w:cs="Times New Roman"/>
          <w:sz w:val="24"/>
        </w:rPr>
        <w:t>Escherichia coli</w:t>
      </w:r>
      <w:r w:rsidRPr="00EA3F80">
        <w:rPr>
          <w:rFonts w:ascii="Times New Roman" w:hAnsi="Times New Roman" w:cs="Times New Roman"/>
          <w:sz w:val="24"/>
        </w:rPr>
        <w:t xml:space="preserve">, </w:t>
      </w:r>
      <w:r w:rsidRPr="00EA3F80">
        <w:rPr>
          <w:rStyle w:val="Emphasis"/>
          <w:rFonts w:ascii="Times New Roman" w:hAnsi="Times New Roman" w:cs="Times New Roman"/>
          <w:sz w:val="24"/>
        </w:rPr>
        <w:t>Klebsiella</w:t>
      </w:r>
      <w:r w:rsidRPr="00EA3F80">
        <w:rPr>
          <w:rFonts w:ascii="Times New Roman" w:hAnsi="Times New Roman" w:cs="Times New Roman"/>
          <w:sz w:val="24"/>
        </w:rPr>
        <w:t xml:space="preserve"> species, </w:t>
      </w:r>
      <w:r w:rsidRPr="00EA3F80">
        <w:rPr>
          <w:rStyle w:val="Emphasis"/>
          <w:rFonts w:ascii="Times New Roman" w:hAnsi="Times New Roman" w:cs="Times New Roman"/>
          <w:sz w:val="24"/>
        </w:rPr>
        <w:t>Staphylococcus</w:t>
      </w:r>
      <w:r w:rsidRPr="00EA3F80">
        <w:rPr>
          <w:rFonts w:ascii="Times New Roman" w:hAnsi="Times New Roman" w:cs="Times New Roman"/>
          <w:sz w:val="24"/>
        </w:rPr>
        <w:t xml:space="preserve"> species, </w:t>
      </w:r>
      <w:r w:rsidRPr="00EA3F80">
        <w:rPr>
          <w:rStyle w:val="Emphasis"/>
          <w:rFonts w:ascii="Times New Roman" w:hAnsi="Times New Roman" w:cs="Times New Roman"/>
          <w:sz w:val="24"/>
        </w:rPr>
        <w:t>Pseudomonas</w:t>
      </w:r>
      <w:r w:rsidRPr="00EA3F80">
        <w:rPr>
          <w:rFonts w:ascii="Times New Roman" w:hAnsi="Times New Roman" w:cs="Times New Roman"/>
          <w:sz w:val="24"/>
        </w:rPr>
        <w:t xml:space="preserve"> species, and </w:t>
      </w:r>
      <w:r w:rsidRPr="00EA3F80">
        <w:rPr>
          <w:rStyle w:val="Emphasis"/>
          <w:rFonts w:ascii="Times New Roman" w:hAnsi="Times New Roman" w:cs="Times New Roman"/>
          <w:sz w:val="24"/>
        </w:rPr>
        <w:t>Proteus</w:t>
      </w:r>
      <w:r w:rsidRPr="00EA3F80">
        <w:rPr>
          <w:rFonts w:ascii="Times New Roman" w:hAnsi="Times New Roman" w:cs="Times New Roman"/>
          <w:sz w:val="24"/>
        </w:rPr>
        <w:t xml:space="preserve"> species. The results indicate that these isolates exhibited </w:t>
      </w:r>
      <w:r w:rsidRPr="00EA3F80">
        <w:rPr>
          <w:rStyle w:val="Strong"/>
          <w:rFonts w:ascii="Times New Roman" w:hAnsi="Times New Roman" w:cs="Times New Roman"/>
          <w:b w:val="0"/>
          <w:sz w:val="24"/>
        </w:rPr>
        <w:t>high susceptibility to ertapenem</w:t>
      </w:r>
      <w:r w:rsidRPr="00EA3F80">
        <w:rPr>
          <w:rFonts w:ascii="Times New Roman" w:hAnsi="Times New Roman" w:cs="Times New Roman"/>
          <w:sz w:val="24"/>
        </w:rPr>
        <w:t xml:space="preserve">, as presented in </w:t>
      </w:r>
      <w:r w:rsidRPr="00EA3F80">
        <w:rPr>
          <w:rStyle w:val="Strong"/>
          <w:rFonts w:ascii="Times New Roman" w:hAnsi="Times New Roman" w:cs="Times New Roman"/>
          <w:b w:val="0"/>
          <w:sz w:val="24"/>
        </w:rPr>
        <w:t>Table 4</w:t>
      </w:r>
      <w:r w:rsidRPr="00EA3F80">
        <w:rPr>
          <w:rFonts w:ascii="Times New Roman" w:hAnsi="Times New Roman" w:cs="Times New Roman"/>
          <w:b/>
          <w:sz w:val="24"/>
        </w:rPr>
        <w:t>.</w:t>
      </w:r>
    </w:p>
    <w:p w:rsidR="00B12B9F" w:rsidRPr="00CC1F50" w:rsidRDefault="00B12B9F" w:rsidP="00CC1F50">
      <w:pPr>
        <w:spacing w:line="36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4 Antibiotic Susceptibility of Bacteria Isolated </w:t>
      </w:r>
      <w:proofErr w:type="gramStart"/>
      <w:r w:rsidRPr="00CC1F50">
        <w:rPr>
          <w:rFonts w:ascii="Times New Roman" w:eastAsia="Times New Roman" w:hAnsi="Times New Roman" w:cs="Times New Roman"/>
          <w:b/>
          <w:color w:val="000000" w:themeColor="text1"/>
          <w:sz w:val="24"/>
          <w:szCs w:val="24"/>
        </w:rPr>
        <w:t>From</w:t>
      </w:r>
      <w:proofErr w:type="gramEnd"/>
      <w:r w:rsidRPr="00CC1F50">
        <w:rPr>
          <w:rFonts w:ascii="Times New Roman" w:eastAsia="Times New Roman" w:hAnsi="Times New Roman" w:cs="Times New Roman"/>
          <w:b/>
          <w:color w:val="000000" w:themeColor="text1"/>
          <w:sz w:val="24"/>
          <w:szCs w:val="24"/>
        </w:rPr>
        <w:t xml:space="preserve"> Urine Source</w:t>
      </w:r>
    </w:p>
    <w:tbl>
      <w:tblPr>
        <w:tblW w:w="5000" w:type="pct"/>
        <w:tblLook w:val="04A0" w:firstRow="1" w:lastRow="0" w:firstColumn="1" w:lastColumn="0" w:noHBand="0" w:noVBand="1"/>
      </w:tblPr>
      <w:tblGrid>
        <w:gridCol w:w="2317"/>
        <w:gridCol w:w="877"/>
        <w:gridCol w:w="1183"/>
        <w:gridCol w:w="1232"/>
        <w:gridCol w:w="1275"/>
        <w:gridCol w:w="1257"/>
        <w:gridCol w:w="1219"/>
      </w:tblGrid>
      <w:tr w:rsidR="00B12B9F" w:rsidRPr="00CC1F50" w:rsidTr="00B12B9F">
        <w:trPr>
          <w:trHeight w:val="300"/>
        </w:trPr>
        <w:tc>
          <w:tcPr>
            <w:tcW w:w="1227"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Bacteria Isolate</w:t>
            </w:r>
          </w:p>
        </w:tc>
        <w:tc>
          <w:tcPr>
            <w:tcW w:w="681"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Source</w:t>
            </w:r>
          </w:p>
        </w:tc>
        <w:tc>
          <w:tcPr>
            <w:tcW w:w="589"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15"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644"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proofErr w:type="gramStart"/>
            <w:r w:rsidRPr="00CC1F50">
              <w:rPr>
                <w:rFonts w:ascii="Times New Roman" w:eastAsia="Times New Roman" w:hAnsi="Times New Roman" w:cs="Times New Roman"/>
                <w:b/>
                <w:color w:val="000000" w:themeColor="text1"/>
                <w:sz w:val="24"/>
                <w:szCs w:val="24"/>
              </w:rPr>
              <w:t>CXM(</w:t>
            </w:r>
            <w:proofErr w:type="gramEnd"/>
            <w:r w:rsidRPr="00CC1F50">
              <w:rPr>
                <w:rFonts w:ascii="Times New Roman" w:eastAsia="Times New Roman" w:hAnsi="Times New Roman" w:cs="Times New Roman"/>
                <w:b/>
                <w:color w:val="000000" w:themeColor="text1"/>
                <w:sz w:val="24"/>
                <w:szCs w:val="24"/>
              </w:rPr>
              <w:t>mm)</w:t>
            </w:r>
          </w:p>
        </w:tc>
        <w:tc>
          <w:tcPr>
            <w:tcW w:w="635"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609"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B12B9F" w:rsidRPr="00CC1F50" w:rsidTr="00B12B9F">
        <w:trPr>
          <w:trHeight w:val="300"/>
        </w:trPr>
        <w:tc>
          <w:tcPr>
            <w:tcW w:w="1227" w:type="pct"/>
            <w:tcBorders>
              <w:top w:val="single" w:sz="4" w:space="0" w:color="auto"/>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44"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635"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09"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 xml:space="preserve">Klebsiella </w:t>
            </w:r>
            <w:r w:rsidRPr="00CC1F50">
              <w:rPr>
                <w:rFonts w:ascii="Times New Roman" w:eastAsia="Times New Roman" w:hAnsi="Times New Roman" w:cs="Times New Roman"/>
                <w:color w:val="000000" w:themeColor="text1"/>
                <w:sz w:val="24"/>
                <w:szCs w:val="24"/>
              </w:rPr>
              <w:t>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34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roofErr w:type="gramStart"/>
            <w:r w:rsidRPr="00CC1F50">
              <w:rPr>
                <w:rFonts w:ascii="Times New Roman" w:eastAsia="Times New Roman" w:hAnsi="Times New Roman" w:cs="Times New Roman"/>
                <w:color w:val="000000" w:themeColor="text1"/>
                <w:sz w:val="24"/>
                <w:szCs w:val="24"/>
              </w:rPr>
              <w:t>0  (</w:t>
            </w:r>
            <w:proofErr w:type="gramEnd"/>
            <w:r w:rsidRPr="00CC1F50">
              <w:rPr>
                <w:rFonts w:ascii="Times New Roman" w:eastAsia="Times New Roman" w:hAnsi="Times New Roman" w:cs="Times New Roman"/>
                <w:color w:val="000000" w:themeColor="text1"/>
                <w:sz w:val="24"/>
                <w:szCs w:val="24"/>
              </w:rPr>
              <w:t>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Klebsiella</w:t>
            </w:r>
            <w:r w:rsidRPr="00CC1F50">
              <w:rPr>
                <w:rFonts w:ascii="Times New Roman" w:eastAsia="Times New Roman" w:hAnsi="Times New Roman" w:cs="Times New Roman"/>
                <w:color w:val="000000" w:themeColor="text1"/>
                <w:sz w:val="24"/>
                <w:szCs w:val="24"/>
              </w:rPr>
              <w:t xml:space="preserve"> species </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Pseudomonas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Escherichia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roofErr w:type="gramStart"/>
            <w:r w:rsidRPr="00CC1F50">
              <w:rPr>
                <w:rFonts w:ascii="Times New Roman" w:eastAsia="Times New Roman" w:hAnsi="Times New Roman" w:cs="Times New Roman"/>
                <w:color w:val="000000" w:themeColor="text1"/>
                <w:sz w:val="24"/>
                <w:szCs w:val="24"/>
              </w:rPr>
              <w:t>29  (</w:t>
            </w:r>
            <w:proofErr w:type="gramEnd"/>
            <w:r w:rsidRPr="00CC1F50">
              <w:rPr>
                <w:rFonts w:ascii="Times New Roman" w:eastAsia="Times New Roman" w:hAnsi="Times New Roman" w:cs="Times New Roman"/>
                <w:color w:val="000000" w:themeColor="text1"/>
                <w:sz w:val="24"/>
                <w:szCs w:val="24"/>
              </w:rPr>
              <w:t>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lastRenderedPageBreak/>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Staphylococcus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Klebsiella</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40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O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Klebsiella</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Pseudomonas</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Klebsiella</w:t>
            </w:r>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Proteus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roofErr w:type="spellStart"/>
            <w:r w:rsidRPr="00CC1F50">
              <w:rPr>
                <w:rFonts w:ascii="Times New Roman" w:eastAsia="Times New Roman" w:hAnsi="Times New Roman" w:cs="Times New Roman"/>
                <w:i/>
                <w:color w:val="000000" w:themeColor="text1"/>
                <w:sz w:val="24"/>
                <w:szCs w:val="24"/>
              </w:rPr>
              <w:t>Staphlococcus</w:t>
            </w:r>
            <w:proofErr w:type="spellEnd"/>
            <w:r w:rsidRPr="00CC1F50">
              <w:rPr>
                <w:rFonts w:ascii="Times New Roman" w:eastAsia="Times New Roman" w:hAnsi="Times New Roman" w:cs="Times New Roman"/>
                <w:color w:val="000000" w:themeColor="text1"/>
                <w:sz w:val="24"/>
                <w:szCs w:val="24"/>
              </w:rPr>
              <w:t xml:space="preserve"> species</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Escherichia</w:t>
            </w:r>
            <w:r w:rsidRPr="00CC1F50">
              <w:rPr>
                <w:rFonts w:ascii="Times New Roman" w:eastAsia="Times New Roman" w:hAnsi="Times New Roman" w:cs="Times New Roman"/>
                <w:color w:val="000000" w:themeColor="text1"/>
                <w:sz w:val="24"/>
                <w:szCs w:val="24"/>
              </w:rPr>
              <w:t xml:space="preserve"> coli</w:t>
            </w:r>
          </w:p>
        </w:tc>
        <w:tc>
          <w:tcPr>
            <w:tcW w:w="681"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10(R)</w:t>
            </w:r>
          </w:p>
        </w:tc>
        <w:tc>
          <w:tcPr>
            <w:tcW w:w="61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44"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0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27"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 xml:space="preserve">Proteus </w:t>
            </w:r>
            <w:r w:rsidRPr="00CC1F50">
              <w:rPr>
                <w:rFonts w:ascii="Times New Roman" w:eastAsia="Times New Roman" w:hAnsi="Times New Roman" w:cs="Times New Roman"/>
                <w:color w:val="000000" w:themeColor="text1"/>
                <w:sz w:val="24"/>
                <w:szCs w:val="24"/>
              </w:rPr>
              <w:t>species</w:t>
            </w:r>
          </w:p>
        </w:tc>
        <w:tc>
          <w:tcPr>
            <w:tcW w:w="681"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Urine</w:t>
            </w:r>
          </w:p>
        </w:tc>
        <w:tc>
          <w:tcPr>
            <w:tcW w:w="589"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15"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44"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35"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09"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r>
    </w:tbl>
    <w:p w:rsidR="00B12B9F" w:rsidRPr="00CC1F50" w:rsidRDefault="00B12B9F" w:rsidP="00CC1F50">
      <w:pPr>
        <w:spacing w:line="360" w:lineRule="auto"/>
        <w:jc w:val="both"/>
        <w:rPr>
          <w:rFonts w:ascii="Times New Roman" w:eastAsia="SimSun" w:hAnsi="Times New Roman" w:cs="Times New Roman"/>
          <w:b/>
          <w:bCs/>
          <w:color w:val="000000" w:themeColor="text1"/>
          <w:sz w:val="24"/>
          <w:szCs w:val="24"/>
          <w:lang w:eastAsia="zh-CN"/>
        </w:rPr>
      </w:pPr>
    </w:p>
    <w:p w:rsidR="00B12B9F" w:rsidRPr="00CC1F50" w:rsidRDefault="00B12B9F" w:rsidP="00CC1F50">
      <w:pPr>
        <w:spacing w:line="360" w:lineRule="auto"/>
        <w:jc w:val="both"/>
        <w:rPr>
          <w:rFonts w:ascii="Times New Roman" w:hAnsi="Times New Roman" w:cs="Times New Roman"/>
          <w:color w:val="000000" w:themeColor="text1"/>
          <w:sz w:val="24"/>
          <w:szCs w:val="24"/>
        </w:rPr>
      </w:pPr>
    </w:p>
    <w:p w:rsidR="00B12B9F" w:rsidRPr="00CC1F50" w:rsidRDefault="00B12B9F" w:rsidP="00CC1F50">
      <w:pPr>
        <w:spacing w:line="360" w:lineRule="auto"/>
        <w:jc w:val="both"/>
        <w:rPr>
          <w:rFonts w:ascii="Times New Roman" w:hAnsi="Times New Roman" w:cs="Times New Roman"/>
          <w:color w:val="000000" w:themeColor="text1"/>
          <w:sz w:val="24"/>
          <w:szCs w:val="24"/>
        </w:rPr>
      </w:pPr>
    </w:p>
    <w:p w:rsidR="00B12B9F" w:rsidRPr="00CC1F50" w:rsidRDefault="00B12B9F" w:rsidP="00CC1F50">
      <w:pPr>
        <w:spacing w:line="360" w:lineRule="auto"/>
        <w:jc w:val="both"/>
        <w:rPr>
          <w:rFonts w:ascii="Times New Roman" w:hAnsi="Times New Roman" w:cs="Times New Roman"/>
          <w:color w:val="000000" w:themeColor="text1"/>
          <w:sz w:val="24"/>
          <w:szCs w:val="24"/>
        </w:rPr>
      </w:pPr>
    </w:p>
    <w:p w:rsidR="00BB3F66" w:rsidRPr="00CC1F50" w:rsidRDefault="00BB3F66" w:rsidP="00CC1F50">
      <w:pPr>
        <w:spacing w:line="480" w:lineRule="auto"/>
        <w:jc w:val="both"/>
        <w:rPr>
          <w:rFonts w:ascii="Times New Roman" w:hAnsi="Times New Roman" w:cs="Times New Roman"/>
          <w:color w:val="000000" w:themeColor="text1"/>
          <w:sz w:val="24"/>
          <w:szCs w:val="24"/>
        </w:rPr>
      </w:pPr>
    </w:p>
    <w:p w:rsidR="00BB3F66" w:rsidRPr="00CC1F50" w:rsidRDefault="00BB3F66"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lastRenderedPageBreak/>
        <w:t xml:space="preserve">Antibiotic Susceptibility of Bacteria Isolated from Throat Swab </w:t>
      </w:r>
    </w:p>
    <w:p w:rsidR="00327389" w:rsidRPr="00327389" w:rsidRDefault="00327389" w:rsidP="00CC1F50">
      <w:pPr>
        <w:spacing w:line="480" w:lineRule="auto"/>
        <w:jc w:val="both"/>
        <w:rPr>
          <w:rFonts w:ascii="Times New Roman" w:hAnsi="Times New Roman" w:cs="Times New Roman"/>
          <w:sz w:val="24"/>
        </w:rPr>
      </w:pPr>
      <w:r w:rsidRPr="00327389">
        <w:rPr>
          <w:rStyle w:val="Emphasis"/>
          <w:rFonts w:ascii="Times New Roman" w:hAnsi="Times New Roman" w:cs="Times New Roman"/>
          <w:sz w:val="24"/>
        </w:rPr>
        <w:t>Pseudomonas</w:t>
      </w:r>
      <w:r w:rsidRPr="00327389">
        <w:rPr>
          <w:rFonts w:ascii="Times New Roman" w:hAnsi="Times New Roman" w:cs="Times New Roman"/>
          <w:sz w:val="24"/>
        </w:rPr>
        <w:t xml:space="preserve"> species, </w:t>
      </w:r>
      <w:r w:rsidRPr="00327389">
        <w:rPr>
          <w:rStyle w:val="Emphasis"/>
          <w:rFonts w:ascii="Times New Roman" w:hAnsi="Times New Roman" w:cs="Times New Roman"/>
          <w:sz w:val="24"/>
        </w:rPr>
        <w:t>Staphylococcus</w:t>
      </w:r>
      <w:r w:rsidRPr="00327389">
        <w:rPr>
          <w:rFonts w:ascii="Times New Roman" w:hAnsi="Times New Roman" w:cs="Times New Roman"/>
          <w:sz w:val="24"/>
        </w:rPr>
        <w:t xml:space="preserve"> species, and </w:t>
      </w:r>
      <w:r w:rsidRPr="00327389">
        <w:rPr>
          <w:rStyle w:val="Emphasis"/>
          <w:rFonts w:ascii="Times New Roman" w:hAnsi="Times New Roman" w:cs="Times New Roman"/>
          <w:sz w:val="24"/>
        </w:rPr>
        <w:t>Streptococcus</w:t>
      </w:r>
      <w:r w:rsidRPr="00327389">
        <w:rPr>
          <w:rFonts w:ascii="Times New Roman" w:hAnsi="Times New Roman" w:cs="Times New Roman"/>
          <w:sz w:val="24"/>
        </w:rPr>
        <w:t xml:space="preserve"> species were the bacterial isolates recovered from this source. The results presented in </w:t>
      </w:r>
      <w:r w:rsidRPr="00327389">
        <w:rPr>
          <w:rStyle w:val="Strong"/>
          <w:rFonts w:ascii="Times New Roman" w:hAnsi="Times New Roman" w:cs="Times New Roman"/>
          <w:b w:val="0"/>
          <w:sz w:val="24"/>
        </w:rPr>
        <w:t>Table 5</w:t>
      </w:r>
      <w:r w:rsidRPr="00327389">
        <w:rPr>
          <w:rFonts w:ascii="Times New Roman" w:hAnsi="Times New Roman" w:cs="Times New Roman"/>
          <w:sz w:val="24"/>
        </w:rPr>
        <w:t xml:space="preserve"> indicate that these isolates exhibited</w:t>
      </w:r>
      <w:r w:rsidRPr="00327389">
        <w:rPr>
          <w:rFonts w:ascii="Times New Roman" w:hAnsi="Times New Roman" w:cs="Times New Roman"/>
          <w:b/>
          <w:sz w:val="24"/>
        </w:rPr>
        <w:t xml:space="preserve"> </w:t>
      </w:r>
      <w:r w:rsidRPr="00327389">
        <w:rPr>
          <w:rStyle w:val="Strong"/>
          <w:rFonts w:ascii="Times New Roman" w:hAnsi="Times New Roman" w:cs="Times New Roman"/>
          <w:b w:val="0"/>
          <w:sz w:val="24"/>
        </w:rPr>
        <w:t>high susceptibility to ciprofloxacin and ertapenem</w:t>
      </w:r>
      <w:r w:rsidRPr="00327389">
        <w:rPr>
          <w:rFonts w:ascii="Times New Roman" w:hAnsi="Times New Roman" w:cs="Times New Roman"/>
          <w:b/>
          <w:sz w:val="24"/>
        </w:rPr>
        <w:t>.</w:t>
      </w:r>
    </w:p>
    <w:p w:rsidR="00B12B9F" w:rsidRPr="00CC1F50" w:rsidRDefault="00BB3F66" w:rsidP="00CC1F50">
      <w:pPr>
        <w:spacing w:line="480" w:lineRule="auto"/>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5 Antibiotic Susceptibility of Bacteria Isolated from Throat Swab</w:t>
      </w:r>
    </w:p>
    <w:tbl>
      <w:tblPr>
        <w:tblW w:w="5071" w:type="pct"/>
        <w:tblBorders>
          <w:top w:val="single" w:sz="4" w:space="0" w:color="auto"/>
          <w:bottom w:val="single" w:sz="4" w:space="0" w:color="auto"/>
        </w:tblBorders>
        <w:tblLook w:val="04A0" w:firstRow="1" w:lastRow="0" w:firstColumn="1" w:lastColumn="0" w:noHBand="0" w:noVBand="1"/>
      </w:tblPr>
      <w:tblGrid>
        <w:gridCol w:w="2762"/>
        <w:gridCol w:w="1268"/>
        <w:gridCol w:w="1321"/>
        <w:gridCol w:w="1490"/>
        <w:gridCol w:w="1348"/>
        <w:gridCol w:w="1304"/>
      </w:tblGrid>
      <w:tr w:rsidR="00CC1F50" w:rsidRPr="00CC1F50" w:rsidTr="00D011E4">
        <w:trPr>
          <w:trHeight w:val="267"/>
        </w:trPr>
        <w:tc>
          <w:tcPr>
            <w:tcW w:w="1454"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Bacteria</w:t>
            </w:r>
          </w:p>
        </w:tc>
        <w:tc>
          <w:tcPr>
            <w:tcW w:w="668"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96"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785"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 CXM (mm)</w:t>
            </w:r>
          </w:p>
        </w:tc>
        <w:tc>
          <w:tcPr>
            <w:tcW w:w="710"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688" w:type="pct"/>
            <w:tcBorders>
              <w:top w:val="single" w:sz="4" w:space="0" w:color="auto"/>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CC1F50" w:rsidRPr="00CC1F50" w:rsidTr="00D011E4">
        <w:trPr>
          <w:trHeight w:val="267"/>
        </w:trPr>
        <w:tc>
          <w:tcPr>
            <w:tcW w:w="1454"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Streptococcus species</w:t>
            </w:r>
          </w:p>
        </w:tc>
        <w:tc>
          <w:tcPr>
            <w:tcW w:w="668"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785"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88"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Pseudomonas 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Staphylococcus species </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D011E4">
        <w:trPr>
          <w:trHeight w:val="267"/>
        </w:trPr>
        <w:tc>
          <w:tcPr>
            <w:tcW w:w="1454"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color w:val="000000" w:themeColor="text1"/>
                <w:sz w:val="24"/>
                <w:szCs w:val="24"/>
              </w:rPr>
            </w:pPr>
            <w:r w:rsidRPr="00CC1F50">
              <w:rPr>
                <w:rFonts w:ascii="Times New Roman" w:eastAsia="Times New Roman" w:hAnsi="Times New Roman" w:cs="Times New Roman"/>
                <w:i/>
                <w:color w:val="000000" w:themeColor="text1"/>
                <w:sz w:val="24"/>
                <w:szCs w:val="24"/>
              </w:rPr>
              <w:t xml:space="preserve">Streptococcus </w:t>
            </w:r>
            <w:r w:rsidRPr="00CC1F50">
              <w:rPr>
                <w:rFonts w:ascii="Times New Roman" w:eastAsia="Times New Roman" w:hAnsi="Times New Roman" w:cs="Times New Roman"/>
                <w:color w:val="000000" w:themeColor="text1"/>
                <w:sz w:val="24"/>
                <w:szCs w:val="24"/>
              </w:rPr>
              <w:t>species</w:t>
            </w:r>
          </w:p>
        </w:tc>
        <w:tc>
          <w:tcPr>
            <w:tcW w:w="66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96"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785"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710"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88" w:type="pct"/>
            <w:tcBorders>
              <w:top w:val="nil"/>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bl>
    <w:p w:rsidR="00B12B9F" w:rsidRPr="00CC1F50" w:rsidRDefault="00B12B9F" w:rsidP="00CC1F50">
      <w:pPr>
        <w:spacing w:line="480" w:lineRule="auto"/>
        <w:jc w:val="both"/>
        <w:rPr>
          <w:rFonts w:ascii="Times New Roman" w:eastAsia="Times New Roman" w:hAnsi="Times New Roman" w:cs="Times New Roman"/>
          <w:b/>
          <w:color w:val="000000" w:themeColor="text1"/>
          <w:sz w:val="24"/>
          <w:szCs w:val="24"/>
        </w:rPr>
      </w:pPr>
    </w:p>
    <w:p w:rsidR="00D011E4" w:rsidRPr="00CC1F50" w:rsidRDefault="00D011E4"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lastRenderedPageBreak/>
        <w:t>Antibiotic Susceptibility of Bacteria Isolated from Wound Swab</w:t>
      </w:r>
    </w:p>
    <w:p w:rsidR="006A77FD" w:rsidRPr="006A77FD" w:rsidRDefault="006A77FD" w:rsidP="00CC1F50">
      <w:pPr>
        <w:spacing w:line="480" w:lineRule="auto"/>
        <w:jc w:val="both"/>
        <w:rPr>
          <w:rFonts w:ascii="Times New Roman" w:hAnsi="Times New Roman" w:cs="Times New Roman"/>
          <w:sz w:val="24"/>
        </w:rPr>
      </w:pPr>
      <w:r w:rsidRPr="006A77FD">
        <w:rPr>
          <w:rFonts w:ascii="Times New Roman" w:hAnsi="Times New Roman" w:cs="Times New Roman"/>
          <w:sz w:val="24"/>
        </w:rPr>
        <w:t xml:space="preserve">As shown in </w:t>
      </w:r>
      <w:r w:rsidRPr="006A77FD">
        <w:rPr>
          <w:rStyle w:val="Strong"/>
          <w:rFonts w:ascii="Times New Roman" w:hAnsi="Times New Roman" w:cs="Times New Roman"/>
          <w:b w:val="0"/>
          <w:sz w:val="24"/>
        </w:rPr>
        <w:t>Table 6</w:t>
      </w:r>
      <w:r w:rsidRPr="006A77FD">
        <w:rPr>
          <w:rFonts w:ascii="Times New Roman" w:hAnsi="Times New Roman" w:cs="Times New Roman"/>
          <w:b/>
          <w:sz w:val="24"/>
        </w:rPr>
        <w:t>,</w:t>
      </w:r>
      <w:r w:rsidRPr="006A77FD">
        <w:rPr>
          <w:rFonts w:ascii="Times New Roman" w:hAnsi="Times New Roman" w:cs="Times New Roman"/>
          <w:sz w:val="24"/>
        </w:rPr>
        <w:t xml:space="preserve"> the bacterial isolates recovered from this source included </w:t>
      </w:r>
      <w:r w:rsidRPr="006A77FD">
        <w:rPr>
          <w:rStyle w:val="Emphasis"/>
          <w:rFonts w:ascii="Times New Roman" w:hAnsi="Times New Roman" w:cs="Times New Roman"/>
          <w:sz w:val="24"/>
        </w:rPr>
        <w:t>Pseudomonas</w:t>
      </w:r>
      <w:r w:rsidRPr="006A77FD">
        <w:rPr>
          <w:rFonts w:ascii="Times New Roman" w:hAnsi="Times New Roman" w:cs="Times New Roman"/>
          <w:sz w:val="24"/>
        </w:rPr>
        <w:t xml:space="preserve"> species, </w:t>
      </w:r>
      <w:r w:rsidRPr="006A77FD">
        <w:rPr>
          <w:rStyle w:val="Emphasis"/>
          <w:rFonts w:ascii="Times New Roman" w:hAnsi="Times New Roman" w:cs="Times New Roman"/>
          <w:sz w:val="24"/>
        </w:rPr>
        <w:t>Escherichia coli</w:t>
      </w:r>
      <w:r w:rsidRPr="006A77FD">
        <w:rPr>
          <w:rFonts w:ascii="Times New Roman" w:hAnsi="Times New Roman" w:cs="Times New Roman"/>
          <w:sz w:val="24"/>
        </w:rPr>
        <w:t xml:space="preserve">, </w:t>
      </w:r>
      <w:r w:rsidRPr="006A77FD">
        <w:rPr>
          <w:rStyle w:val="Emphasis"/>
          <w:rFonts w:ascii="Times New Roman" w:hAnsi="Times New Roman" w:cs="Times New Roman"/>
          <w:sz w:val="24"/>
        </w:rPr>
        <w:t>Proteus</w:t>
      </w:r>
      <w:r w:rsidRPr="006A77FD">
        <w:rPr>
          <w:rFonts w:ascii="Times New Roman" w:hAnsi="Times New Roman" w:cs="Times New Roman"/>
          <w:sz w:val="24"/>
        </w:rPr>
        <w:t xml:space="preserve"> species, </w:t>
      </w:r>
      <w:r w:rsidRPr="006A77FD">
        <w:rPr>
          <w:rStyle w:val="Emphasis"/>
          <w:rFonts w:ascii="Times New Roman" w:hAnsi="Times New Roman" w:cs="Times New Roman"/>
          <w:sz w:val="24"/>
        </w:rPr>
        <w:t>Staphylococcus</w:t>
      </w:r>
      <w:r w:rsidRPr="006A77FD">
        <w:rPr>
          <w:rFonts w:ascii="Times New Roman" w:hAnsi="Times New Roman" w:cs="Times New Roman"/>
          <w:sz w:val="24"/>
        </w:rPr>
        <w:t xml:space="preserve"> species, and </w:t>
      </w:r>
      <w:r w:rsidRPr="006A77FD">
        <w:rPr>
          <w:rStyle w:val="Emphasis"/>
          <w:rFonts w:ascii="Times New Roman" w:hAnsi="Times New Roman" w:cs="Times New Roman"/>
          <w:sz w:val="24"/>
        </w:rPr>
        <w:t>Klebsiella</w:t>
      </w:r>
      <w:r w:rsidRPr="006A77FD">
        <w:rPr>
          <w:rFonts w:ascii="Times New Roman" w:hAnsi="Times New Roman" w:cs="Times New Roman"/>
          <w:sz w:val="24"/>
        </w:rPr>
        <w:t xml:space="preserve"> species. The results indicate that the isolates from this source were </w:t>
      </w:r>
      <w:r w:rsidRPr="006A77FD">
        <w:rPr>
          <w:rStyle w:val="Strong"/>
          <w:rFonts w:ascii="Times New Roman" w:hAnsi="Times New Roman" w:cs="Times New Roman"/>
          <w:b w:val="0"/>
          <w:sz w:val="24"/>
        </w:rPr>
        <w:t>100% susceptible to ertapenem</w:t>
      </w:r>
      <w:r w:rsidRPr="006A77FD">
        <w:rPr>
          <w:rFonts w:ascii="Times New Roman" w:hAnsi="Times New Roman" w:cs="Times New Roman"/>
          <w:b/>
          <w:sz w:val="24"/>
        </w:rPr>
        <w:t>.</w:t>
      </w:r>
    </w:p>
    <w:p w:rsidR="00B12B9F" w:rsidRPr="00CC1F50" w:rsidRDefault="00D011E4" w:rsidP="00CC1F50">
      <w:pPr>
        <w:spacing w:line="480" w:lineRule="auto"/>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6 Antibiotic Susceptibility of Bacteria Isolated from Wound Swab</w:t>
      </w:r>
    </w:p>
    <w:tbl>
      <w:tblPr>
        <w:tblW w:w="5000" w:type="pct"/>
        <w:tblBorders>
          <w:top w:val="single" w:sz="4" w:space="0" w:color="auto"/>
          <w:bottom w:val="single" w:sz="4" w:space="0" w:color="auto"/>
        </w:tblBorders>
        <w:tblLook w:val="04A0" w:firstRow="1" w:lastRow="0" w:firstColumn="1" w:lastColumn="0" w:noHBand="0" w:noVBand="1"/>
      </w:tblPr>
      <w:tblGrid>
        <w:gridCol w:w="222"/>
        <w:gridCol w:w="2462"/>
        <w:gridCol w:w="1250"/>
        <w:gridCol w:w="1363"/>
        <w:gridCol w:w="1445"/>
        <w:gridCol w:w="1329"/>
        <w:gridCol w:w="1289"/>
      </w:tblGrid>
      <w:tr w:rsidR="00B12B9F" w:rsidRPr="00CC1F50" w:rsidTr="00B12B9F">
        <w:trPr>
          <w:trHeight w:val="300"/>
        </w:trPr>
        <w:tc>
          <w:tcPr>
            <w:tcW w:w="120" w:type="pct"/>
            <w:tcBorders>
              <w:top w:val="single" w:sz="4" w:space="0" w:color="auto"/>
              <w:left w:val="nil"/>
              <w:bottom w:val="single" w:sz="4" w:space="0" w:color="auto"/>
              <w:right w:val="nil"/>
            </w:tcBorders>
            <w:noWrap/>
            <w:vAlign w:val="bottom"/>
          </w:tcPr>
          <w:p w:rsidR="00B12B9F" w:rsidRPr="00CC1F50" w:rsidRDefault="00B12B9F" w:rsidP="00CC1F50">
            <w:pPr>
              <w:jc w:val="both"/>
              <w:rPr>
                <w:rFonts w:ascii="Times New Roman" w:eastAsia="Times New Roman" w:hAnsi="Times New Roman" w:cs="Times New Roman"/>
                <w:b/>
                <w:color w:val="000000" w:themeColor="text1"/>
                <w:sz w:val="24"/>
                <w:szCs w:val="24"/>
              </w:rPr>
            </w:pPr>
          </w:p>
        </w:tc>
        <w:tc>
          <w:tcPr>
            <w:tcW w:w="1329"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Bacteria</w:t>
            </w:r>
          </w:p>
        </w:tc>
        <w:tc>
          <w:tcPr>
            <w:tcW w:w="675"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62"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proofErr w:type="gramStart"/>
            <w:r w:rsidRPr="00CC1F50">
              <w:rPr>
                <w:rFonts w:ascii="Times New Roman" w:eastAsia="Times New Roman" w:hAnsi="Times New Roman" w:cs="Times New Roman"/>
                <w:b/>
                <w:color w:val="000000" w:themeColor="text1"/>
                <w:sz w:val="24"/>
                <w:szCs w:val="24"/>
              </w:rPr>
              <w:t>ETP  (</w:t>
            </w:r>
            <w:proofErr w:type="gramEnd"/>
            <w:r w:rsidRPr="00CC1F50">
              <w:rPr>
                <w:rFonts w:ascii="Times New Roman" w:eastAsia="Times New Roman" w:hAnsi="Times New Roman" w:cs="Times New Roman"/>
                <w:b/>
                <w:color w:val="000000" w:themeColor="text1"/>
                <w:sz w:val="24"/>
                <w:szCs w:val="24"/>
              </w:rPr>
              <w:t>mm)</w:t>
            </w:r>
          </w:p>
        </w:tc>
        <w:tc>
          <w:tcPr>
            <w:tcW w:w="802"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w:t>
            </w:r>
          </w:p>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(mm)</w:t>
            </w:r>
          </w:p>
        </w:tc>
        <w:tc>
          <w:tcPr>
            <w:tcW w:w="717"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696"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B12B9F" w:rsidRPr="00CC1F50" w:rsidTr="00B12B9F">
        <w:trPr>
          <w:trHeight w:val="300"/>
        </w:trPr>
        <w:tc>
          <w:tcPr>
            <w:tcW w:w="120" w:type="pct"/>
            <w:tcBorders>
              <w:top w:val="single" w:sz="4" w:space="0" w:color="auto"/>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75"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62"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802"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single" w:sz="4" w:space="0" w:color="auto"/>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Escherichia coli</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(R)</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38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(SR</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(R)</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Pseudomonas 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24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Proteus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120" w:type="pct"/>
            <w:tcBorders>
              <w:top w:val="nil"/>
              <w:left w:val="nil"/>
              <w:bottom w:val="nil"/>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6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802"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nil"/>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42"/>
        </w:trPr>
        <w:tc>
          <w:tcPr>
            <w:tcW w:w="120" w:type="pct"/>
            <w:tcBorders>
              <w:top w:val="nil"/>
              <w:left w:val="nil"/>
              <w:bottom w:val="single" w:sz="4" w:space="0" w:color="auto"/>
              <w:right w:val="nil"/>
            </w:tcBorders>
            <w:noWrap/>
            <w:vAlign w:val="bottom"/>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p>
        </w:tc>
        <w:tc>
          <w:tcPr>
            <w:tcW w:w="1329"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675"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62"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802"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17"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96"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bl>
    <w:p w:rsidR="00B12B9F" w:rsidRPr="00CC1F50" w:rsidRDefault="00B12B9F" w:rsidP="00CC1F50">
      <w:pPr>
        <w:spacing w:line="480" w:lineRule="auto"/>
        <w:jc w:val="both"/>
        <w:rPr>
          <w:rFonts w:ascii="Times New Roman" w:eastAsia="SimSun" w:hAnsi="Times New Roman" w:cs="Times New Roman"/>
          <w:color w:val="000000" w:themeColor="text1"/>
          <w:sz w:val="24"/>
          <w:szCs w:val="24"/>
          <w:lang w:eastAsia="zh-CN"/>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B12B9F" w:rsidRPr="00CC1F50" w:rsidRDefault="00B12B9F"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ind w:firstLine="720"/>
        <w:jc w:val="both"/>
        <w:rPr>
          <w:color w:val="000000" w:themeColor="text1"/>
        </w:rPr>
      </w:pPr>
    </w:p>
    <w:p w:rsidR="006C04B8" w:rsidRPr="00CC1F50" w:rsidRDefault="006C04B8" w:rsidP="00CC1F50">
      <w:pPr>
        <w:pStyle w:val="NormalWeb"/>
        <w:spacing w:before="0" w:beforeAutospacing="0" w:after="0" w:afterAutospacing="0" w:line="480" w:lineRule="auto"/>
        <w:jc w:val="both"/>
        <w:rPr>
          <w:color w:val="000000" w:themeColor="text1"/>
        </w:rPr>
      </w:pPr>
    </w:p>
    <w:p w:rsidR="006C04B8" w:rsidRPr="00CC1F50" w:rsidRDefault="006C04B8" w:rsidP="00CC1F50">
      <w:pPr>
        <w:pStyle w:val="NormalWeb"/>
        <w:spacing w:before="0" w:beforeAutospacing="0" w:after="0" w:afterAutospacing="0" w:line="480" w:lineRule="auto"/>
        <w:jc w:val="both"/>
        <w:rPr>
          <w:color w:val="000000" w:themeColor="text1"/>
        </w:rPr>
      </w:pPr>
    </w:p>
    <w:p w:rsidR="006C04B8" w:rsidRPr="00CC1F50" w:rsidRDefault="006C04B8" w:rsidP="00CC1F50">
      <w:pPr>
        <w:pStyle w:val="NormalWeb"/>
        <w:spacing w:before="0" w:beforeAutospacing="0" w:after="0" w:afterAutospacing="0" w:line="480" w:lineRule="auto"/>
        <w:jc w:val="both"/>
        <w:rPr>
          <w:color w:val="000000" w:themeColor="text1"/>
        </w:rPr>
      </w:pPr>
    </w:p>
    <w:p w:rsidR="006C04B8" w:rsidRPr="00CC1F50" w:rsidRDefault="006C04B8" w:rsidP="003734B1">
      <w:pPr>
        <w:spacing w:after="0"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lastRenderedPageBreak/>
        <w:t>Antibiotic Susceptibility of Bacteria isolated from Intra Cervical Swab</w:t>
      </w:r>
    </w:p>
    <w:p w:rsidR="003734B1" w:rsidRPr="003734B1" w:rsidRDefault="003734B1" w:rsidP="00CC1F50">
      <w:pPr>
        <w:jc w:val="both"/>
        <w:rPr>
          <w:rFonts w:ascii="Times New Roman" w:hAnsi="Times New Roman" w:cs="Times New Roman"/>
          <w:b/>
          <w:sz w:val="24"/>
        </w:rPr>
      </w:pPr>
      <w:r w:rsidRPr="003734B1">
        <w:rPr>
          <w:rStyle w:val="Strong"/>
          <w:rFonts w:ascii="Times New Roman" w:hAnsi="Times New Roman" w:cs="Times New Roman"/>
          <w:b w:val="0"/>
          <w:sz w:val="24"/>
        </w:rPr>
        <w:t>Table 7</w:t>
      </w:r>
      <w:r w:rsidRPr="003734B1">
        <w:rPr>
          <w:rFonts w:ascii="Times New Roman" w:hAnsi="Times New Roman" w:cs="Times New Roman"/>
          <w:sz w:val="24"/>
        </w:rPr>
        <w:t xml:space="preserve"> shows that </w:t>
      </w:r>
      <w:r w:rsidRPr="003734B1">
        <w:rPr>
          <w:rStyle w:val="Emphasis"/>
          <w:rFonts w:ascii="Times New Roman" w:hAnsi="Times New Roman" w:cs="Times New Roman"/>
          <w:sz w:val="24"/>
        </w:rPr>
        <w:t>Escherichia coli</w:t>
      </w:r>
      <w:r w:rsidRPr="003734B1">
        <w:rPr>
          <w:rFonts w:ascii="Times New Roman" w:hAnsi="Times New Roman" w:cs="Times New Roman"/>
          <w:sz w:val="24"/>
        </w:rPr>
        <w:t xml:space="preserve"> and </w:t>
      </w:r>
      <w:r w:rsidRPr="003734B1">
        <w:rPr>
          <w:rStyle w:val="Emphasis"/>
          <w:rFonts w:ascii="Times New Roman" w:hAnsi="Times New Roman" w:cs="Times New Roman"/>
          <w:sz w:val="24"/>
        </w:rPr>
        <w:t>Staphylococcus</w:t>
      </w:r>
      <w:r w:rsidRPr="003734B1">
        <w:rPr>
          <w:rFonts w:ascii="Times New Roman" w:hAnsi="Times New Roman" w:cs="Times New Roman"/>
          <w:sz w:val="24"/>
        </w:rPr>
        <w:t xml:space="preserve"> species were the bacterial isolates recovered from this source. The results indicate that the isolates were </w:t>
      </w:r>
      <w:r w:rsidRPr="003734B1">
        <w:rPr>
          <w:rStyle w:val="Strong"/>
          <w:rFonts w:ascii="Times New Roman" w:hAnsi="Times New Roman" w:cs="Times New Roman"/>
          <w:b w:val="0"/>
          <w:sz w:val="24"/>
        </w:rPr>
        <w:t>susceptible to ertapenem and ciprofloxacin</w:t>
      </w:r>
      <w:r w:rsidRPr="003734B1">
        <w:rPr>
          <w:rFonts w:ascii="Times New Roman" w:hAnsi="Times New Roman" w:cs="Times New Roman"/>
          <w:b/>
          <w:sz w:val="24"/>
        </w:rPr>
        <w:t>,</w:t>
      </w:r>
      <w:r w:rsidRPr="003734B1">
        <w:rPr>
          <w:rFonts w:ascii="Times New Roman" w:hAnsi="Times New Roman" w:cs="Times New Roman"/>
          <w:sz w:val="24"/>
        </w:rPr>
        <w:t xml:space="preserve"> while </w:t>
      </w:r>
      <w:r w:rsidRPr="003734B1">
        <w:rPr>
          <w:rStyle w:val="Emphasis"/>
          <w:rFonts w:ascii="Times New Roman" w:hAnsi="Times New Roman" w:cs="Times New Roman"/>
          <w:sz w:val="24"/>
        </w:rPr>
        <w:t>Staphylococcus</w:t>
      </w:r>
      <w:r w:rsidRPr="003734B1">
        <w:rPr>
          <w:rFonts w:ascii="Times New Roman" w:hAnsi="Times New Roman" w:cs="Times New Roman"/>
          <w:sz w:val="24"/>
        </w:rPr>
        <w:t xml:space="preserve"> species exhibited </w:t>
      </w:r>
      <w:r w:rsidRPr="003734B1">
        <w:rPr>
          <w:rStyle w:val="Strong"/>
          <w:rFonts w:ascii="Times New Roman" w:hAnsi="Times New Roman" w:cs="Times New Roman"/>
          <w:b w:val="0"/>
          <w:sz w:val="24"/>
        </w:rPr>
        <w:t>100% resistance to cefuroxime and cefepime</w:t>
      </w:r>
      <w:r w:rsidRPr="003734B1">
        <w:rPr>
          <w:rFonts w:ascii="Times New Roman" w:hAnsi="Times New Roman" w:cs="Times New Roman"/>
          <w:b/>
          <w:sz w:val="24"/>
        </w:rPr>
        <w:t>.</w:t>
      </w:r>
    </w:p>
    <w:p w:rsidR="00B12B9F" w:rsidRPr="00CC1F50" w:rsidRDefault="00B12B9F" w:rsidP="00CC1F50">
      <w:pPr>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T</w:t>
      </w:r>
      <w:r w:rsidR="006C04B8" w:rsidRPr="00CC1F50">
        <w:rPr>
          <w:rFonts w:ascii="Times New Roman" w:eastAsia="Times New Roman" w:hAnsi="Times New Roman" w:cs="Times New Roman"/>
          <w:b/>
          <w:color w:val="000000" w:themeColor="text1"/>
          <w:sz w:val="24"/>
          <w:szCs w:val="24"/>
        </w:rPr>
        <w:t xml:space="preserve">able </w:t>
      </w:r>
      <w:r w:rsidRPr="00CC1F50">
        <w:rPr>
          <w:rFonts w:ascii="Times New Roman" w:eastAsia="Times New Roman" w:hAnsi="Times New Roman" w:cs="Times New Roman"/>
          <w:b/>
          <w:color w:val="000000" w:themeColor="text1"/>
          <w:sz w:val="24"/>
          <w:szCs w:val="24"/>
        </w:rPr>
        <w:t>7:  Antibiotic Susceptibility of Bacteria Isolated from Intra Cervical Swab</w:t>
      </w:r>
    </w:p>
    <w:p w:rsidR="00B12B9F" w:rsidRPr="00CC1F50" w:rsidRDefault="00B12B9F" w:rsidP="00CC1F50">
      <w:pPr>
        <w:jc w:val="both"/>
        <w:rPr>
          <w:rFonts w:ascii="Times New Roman" w:hAnsi="Times New Roman" w:cs="Times New Roman"/>
          <w:color w:val="000000" w:themeColor="text1"/>
          <w:sz w:val="24"/>
          <w:szCs w:val="24"/>
        </w:rPr>
      </w:pPr>
    </w:p>
    <w:tbl>
      <w:tblPr>
        <w:tblW w:w="5000" w:type="pct"/>
        <w:tblLook w:val="04A0" w:firstRow="1" w:lastRow="0" w:firstColumn="1" w:lastColumn="0" w:noHBand="0" w:noVBand="1"/>
      </w:tblPr>
      <w:tblGrid>
        <w:gridCol w:w="1786"/>
        <w:gridCol w:w="1520"/>
        <w:gridCol w:w="1520"/>
        <w:gridCol w:w="1520"/>
        <w:gridCol w:w="1520"/>
        <w:gridCol w:w="1494"/>
      </w:tblGrid>
      <w:tr w:rsidR="00CC1F50" w:rsidRPr="00CC1F50" w:rsidTr="00B12B9F">
        <w:tc>
          <w:tcPr>
            <w:tcW w:w="954" w:type="pct"/>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Bacteria </w:t>
            </w:r>
          </w:p>
        </w:tc>
        <w:tc>
          <w:tcPr>
            <w:tcW w:w="812" w:type="pct"/>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CIP (mm)</w:t>
            </w:r>
          </w:p>
        </w:tc>
        <w:tc>
          <w:tcPr>
            <w:tcW w:w="812" w:type="pct"/>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ETP (mm)</w:t>
            </w:r>
          </w:p>
        </w:tc>
        <w:tc>
          <w:tcPr>
            <w:tcW w:w="812" w:type="pct"/>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CXM (mm)</w:t>
            </w:r>
          </w:p>
        </w:tc>
        <w:tc>
          <w:tcPr>
            <w:tcW w:w="812" w:type="pct"/>
            <w:tcBorders>
              <w:top w:val="single" w:sz="4" w:space="0" w:color="auto"/>
              <w:left w:val="nil"/>
              <w:bottom w:val="single" w:sz="4" w:space="0" w:color="auto"/>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CFX (mm)</w:t>
            </w:r>
          </w:p>
        </w:tc>
        <w:tc>
          <w:tcPr>
            <w:tcW w:w="799" w:type="pct"/>
            <w:tcBorders>
              <w:top w:val="single" w:sz="4" w:space="0" w:color="auto"/>
              <w:left w:val="nil"/>
              <w:bottom w:val="single" w:sz="4" w:space="0" w:color="auto"/>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FEP (mm)</w:t>
            </w:r>
          </w:p>
        </w:tc>
      </w:tr>
      <w:tr w:rsidR="00CC1F50" w:rsidRPr="00CC1F50" w:rsidTr="00B12B9F">
        <w:tc>
          <w:tcPr>
            <w:tcW w:w="954" w:type="pct"/>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S</w:t>
            </w:r>
            <w:r w:rsidRPr="00CC1F50">
              <w:rPr>
                <w:rFonts w:ascii="Times New Roman" w:eastAsia="Times New Roman" w:hAnsi="Times New Roman" w:cs="Times New Roman"/>
                <w:i/>
                <w:color w:val="000000" w:themeColor="text1"/>
                <w:sz w:val="24"/>
                <w:szCs w:val="24"/>
              </w:rPr>
              <w:t xml:space="preserve">taphylococcus </w:t>
            </w:r>
            <w:r w:rsidRPr="00CC1F50">
              <w:rPr>
                <w:rFonts w:ascii="Times New Roman" w:eastAsia="Times New Roman" w:hAnsi="Times New Roman" w:cs="Times New Roman"/>
                <w:iCs/>
                <w:color w:val="000000" w:themeColor="text1"/>
                <w:sz w:val="24"/>
                <w:szCs w:val="24"/>
              </w:rPr>
              <w:t>species</w:t>
            </w:r>
          </w:p>
        </w:tc>
        <w:tc>
          <w:tcPr>
            <w:tcW w:w="812" w:type="pct"/>
            <w:tcBorders>
              <w:top w:val="single" w:sz="4" w:space="0" w:color="auto"/>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12" w:type="pct"/>
            <w:tcBorders>
              <w:top w:val="single" w:sz="4" w:space="0" w:color="auto"/>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12"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12(R)</w:t>
            </w:r>
          </w:p>
        </w:tc>
        <w:tc>
          <w:tcPr>
            <w:tcW w:w="812" w:type="pct"/>
            <w:tcBorders>
              <w:top w:val="single" w:sz="4" w:space="0" w:color="auto"/>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799" w:type="pct"/>
            <w:tcBorders>
              <w:top w:val="single" w:sz="4" w:space="0" w:color="auto"/>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CC1F50" w:rsidRPr="00CC1F50" w:rsidTr="00B12B9F">
        <w:tc>
          <w:tcPr>
            <w:tcW w:w="954" w:type="pct"/>
            <w:tcBorders>
              <w:top w:val="nil"/>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 xml:space="preserve">Escherichia coli </w:t>
            </w:r>
          </w:p>
        </w:tc>
        <w:tc>
          <w:tcPr>
            <w:tcW w:w="812" w:type="pct"/>
            <w:tcBorders>
              <w:top w:val="nil"/>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812" w:type="pct"/>
            <w:tcBorders>
              <w:top w:val="nil"/>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812" w:type="pct"/>
            <w:tcBorders>
              <w:top w:val="nil"/>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0(R)</w:t>
            </w:r>
          </w:p>
        </w:tc>
        <w:tc>
          <w:tcPr>
            <w:tcW w:w="812" w:type="pct"/>
            <w:tcBorders>
              <w:top w:val="nil"/>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799" w:type="pct"/>
            <w:tcBorders>
              <w:top w:val="nil"/>
              <w:left w:val="nil"/>
              <w:bottom w:val="nil"/>
              <w:right w:val="nil"/>
            </w:tcBorders>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(S)</w:t>
            </w:r>
          </w:p>
        </w:tc>
      </w:tr>
      <w:tr w:rsidR="00CC1F50" w:rsidRPr="00CC1F50" w:rsidTr="00B12B9F">
        <w:trPr>
          <w:trHeight w:val="208"/>
        </w:trPr>
        <w:tc>
          <w:tcPr>
            <w:tcW w:w="954" w:type="pct"/>
            <w:tcBorders>
              <w:top w:val="nil"/>
              <w:left w:val="nil"/>
              <w:bottom w:val="single" w:sz="4" w:space="0" w:color="auto"/>
              <w:right w:val="nil"/>
            </w:tcBorders>
          </w:tcPr>
          <w:p w:rsidR="00B12B9F" w:rsidRPr="00CC1F50" w:rsidRDefault="00B12B9F" w:rsidP="00CC1F50">
            <w:pPr>
              <w:spacing w:line="480" w:lineRule="auto"/>
              <w:jc w:val="both"/>
              <w:rPr>
                <w:rFonts w:ascii="Times New Roman" w:hAnsi="Times New Roman" w:cs="Times New Roman"/>
                <w:color w:val="000000" w:themeColor="text1"/>
                <w:sz w:val="24"/>
                <w:szCs w:val="24"/>
              </w:rPr>
            </w:pPr>
          </w:p>
        </w:tc>
        <w:tc>
          <w:tcPr>
            <w:tcW w:w="812" w:type="pct"/>
            <w:tcBorders>
              <w:top w:val="nil"/>
              <w:left w:val="nil"/>
              <w:bottom w:val="single" w:sz="4" w:space="0" w:color="auto"/>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nil"/>
              <w:left w:val="nil"/>
              <w:bottom w:val="single" w:sz="4" w:space="0" w:color="auto"/>
              <w:right w:val="nil"/>
            </w:tcBorders>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nil"/>
              <w:left w:val="nil"/>
              <w:bottom w:val="single" w:sz="4" w:space="0" w:color="auto"/>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nil"/>
              <w:left w:val="nil"/>
              <w:bottom w:val="single" w:sz="4" w:space="0" w:color="auto"/>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799" w:type="pct"/>
            <w:tcBorders>
              <w:top w:val="nil"/>
              <w:left w:val="nil"/>
              <w:bottom w:val="single" w:sz="4" w:space="0" w:color="auto"/>
              <w:right w:val="nil"/>
            </w:tcBorders>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r>
      <w:tr w:rsidR="00B12B9F" w:rsidRPr="00CC1F50" w:rsidTr="00B12B9F">
        <w:trPr>
          <w:trHeight w:val="67"/>
        </w:trPr>
        <w:tc>
          <w:tcPr>
            <w:tcW w:w="954"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hAnsi="Times New Roman" w:cs="Times New Roman"/>
                <w:color w:val="000000" w:themeColor="text1"/>
                <w:sz w:val="24"/>
                <w:szCs w:val="24"/>
              </w:rPr>
            </w:pPr>
          </w:p>
        </w:tc>
        <w:tc>
          <w:tcPr>
            <w:tcW w:w="812"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single" w:sz="4" w:space="0" w:color="auto"/>
              <w:left w:val="nil"/>
              <w:bottom w:val="nil"/>
              <w:right w:val="nil"/>
            </w:tcBorders>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812" w:type="pct"/>
            <w:tcBorders>
              <w:top w:val="single" w:sz="4" w:space="0" w:color="auto"/>
              <w:left w:val="nil"/>
              <w:bottom w:val="nil"/>
              <w:right w:val="nil"/>
            </w:tcBorders>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c>
          <w:tcPr>
            <w:tcW w:w="799" w:type="pct"/>
            <w:tcBorders>
              <w:top w:val="single" w:sz="4" w:space="0" w:color="auto"/>
              <w:left w:val="nil"/>
              <w:bottom w:val="nil"/>
              <w:right w:val="nil"/>
            </w:tcBorders>
            <w:vAlign w:val="bottom"/>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p>
        </w:tc>
      </w:tr>
    </w:tbl>
    <w:p w:rsidR="00B12B9F" w:rsidRPr="00CC1F50" w:rsidRDefault="00B12B9F" w:rsidP="00CC1F50">
      <w:pPr>
        <w:jc w:val="both"/>
        <w:rPr>
          <w:rFonts w:ascii="Times New Roman" w:eastAsia="SimSun" w:hAnsi="Times New Roman" w:cs="Times New Roman"/>
          <w:color w:val="000000" w:themeColor="text1"/>
          <w:sz w:val="24"/>
          <w:szCs w:val="24"/>
          <w:lang w:eastAsia="zh-CN"/>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jc w:val="both"/>
        <w:rPr>
          <w:rFonts w:ascii="Times New Roman" w:hAnsi="Times New Roman" w:cs="Times New Roman"/>
          <w:color w:val="000000" w:themeColor="text1"/>
          <w:sz w:val="24"/>
          <w:szCs w:val="24"/>
        </w:rPr>
      </w:pPr>
    </w:p>
    <w:p w:rsidR="00B12B9F" w:rsidRDefault="00B12B9F" w:rsidP="00CC1F50">
      <w:pPr>
        <w:jc w:val="both"/>
        <w:rPr>
          <w:rFonts w:ascii="Times New Roman" w:hAnsi="Times New Roman" w:cs="Times New Roman"/>
          <w:color w:val="000000" w:themeColor="text1"/>
          <w:sz w:val="24"/>
          <w:szCs w:val="24"/>
        </w:rPr>
      </w:pPr>
    </w:p>
    <w:p w:rsidR="00E4645B" w:rsidRPr="00CC1F50" w:rsidRDefault="00E4645B" w:rsidP="00CC1F50">
      <w:pPr>
        <w:jc w:val="both"/>
        <w:rPr>
          <w:rFonts w:ascii="Times New Roman" w:hAnsi="Times New Roman" w:cs="Times New Roman"/>
          <w:color w:val="000000" w:themeColor="text1"/>
          <w:sz w:val="24"/>
          <w:szCs w:val="24"/>
        </w:rPr>
      </w:pPr>
    </w:p>
    <w:p w:rsidR="00104B8D" w:rsidRPr="00CC1F50" w:rsidRDefault="00104B8D" w:rsidP="009F5660">
      <w:pPr>
        <w:spacing w:after="0"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lastRenderedPageBreak/>
        <w:t>Antibiotic Susceptibility of Bacteria Isolated from Blood Culture</w:t>
      </w:r>
    </w:p>
    <w:p w:rsidR="009F5660" w:rsidRPr="009F5660" w:rsidRDefault="009F5660" w:rsidP="00CC1F50">
      <w:pPr>
        <w:jc w:val="both"/>
        <w:rPr>
          <w:rFonts w:ascii="Times New Roman" w:hAnsi="Times New Roman" w:cs="Times New Roman"/>
          <w:sz w:val="24"/>
        </w:rPr>
      </w:pPr>
      <w:r w:rsidRPr="009F5660">
        <w:rPr>
          <w:rStyle w:val="Strong"/>
          <w:rFonts w:ascii="Times New Roman" w:hAnsi="Times New Roman" w:cs="Times New Roman"/>
          <w:b w:val="0"/>
          <w:sz w:val="24"/>
        </w:rPr>
        <w:t>Table 7</w:t>
      </w:r>
      <w:r w:rsidRPr="009F5660">
        <w:rPr>
          <w:rFonts w:ascii="Times New Roman" w:hAnsi="Times New Roman" w:cs="Times New Roman"/>
          <w:sz w:val="24"/>
        </w:rPr>
        <w:t xml:space="preserve"> indicates that </w:t>
      </w:r>
      <w:r w:rsidRPr="009F5660">
        <w:rPr>
          <w:rStyle w:val="Emphasis"/>
          <w:rFonts w:ascii="Times New Roman" w:hAnsi="Times New Roman" w:cs="Times New Roman"/>
          <w:sz w:val="24"/>
        </w:rPr>
        <w:t>Escherichia coli</w:t>
      </w:r>
      <w:r w:rsidRPr="009F5660">
        <w:rPr>
          <w:rFonts w:ascii="Times New Roman" w:hAnsi="Times New Roman" w:cs="Times New Roman"/>
          <w:sz w:val="24"/>
        </w:rPr>
        <w:t xml:space="preserve"> and </w:t>
      </w:r>
      <w:r w:rsidRPr="009F5660">
        <w:rPr>
          <w:rStyle w:val="Emphasis"/>
          <w:rFonts w:ascii="Times New Roman" w:hAnsi="Times New Roman" w:cs="Times New Roman"/>
          <w:sz w:val="24"/>
        </w:rPr>
        <w:t>Staphylococcus</w:t>
      </w:r>
      <w:r w:rsidRPr="009F5660">
        <w:rPr>
          <w:rFonts w:ascii="Times New Roman" w:hAnsi="Times New Roman" w:cs="Times New Roman"/>
          <w:sz w:val="24"/>
        </w:rPr>
        <w:t xml:space="preserve"> species were the bacterial isolates recovered from this source. The findings show that the isolates were </w:t>
      </w:r>
      <w:r w:rsidRPr="009F5660">
        <w:rPr>
          <w:rStyle w:val="Strong"/>
          <w:rFonts w:ascii="Times New Roman" w:hAnsi="Times New Roman" w:cs="Times New Roman"/>
          <w:b w:val="0"/>
          <w:sz w:val="24"/>
        </w:rPr>
        <w:t>susceptible to ertapenem and ciprofloxacin</w:t>
      </w:r>
      <w:r w:rsidRPr="009F5660">
        <w:rPr>
          <w:rFonts w:ascii="Times New Roman" w:hAnsi="Times New Roman" w:cs="Times New Roman"/>
          <w:b/>
          <w:sz w:val="24"/>
        </w:rPr>
        <w:t>,</w:t>
      </w:r>
      <w:r w:rsidRPr="009F5660">
        <w:rPr>
          <w:rFonts w:ascii="Times New Roman" w:hAnsi="Times New Roman" w:cs="Times New Roman"/>
          <w:sz w:val="24"/>
        </w:rPr>
        <w:t xml:space="preserve"> whereas </w:t>
      </w:r>
      <w:r w:rsidRPr="009F5660">
        <w:rPr>
          <w:rStyle w:val="Emphasis"/>
          <w:rFonts w:ascii="Times New Roman" w:hAnsi="Times New Roman" w:cs="Times New Roman"/>
          <w:sz w:val="24"/>
        </w:rPr>
        <w:t>Staphylococcus</w:t>
      </w:r>
      <w:r w:rsidRPr="009F5660">
        <w:rPr>
          <w:rFonts w:ascii="Times New Roman" w:hAnsi="Times New Roman" w:cs="Times New Roman"/>
          <w:sz w:val="24"/>
        </w:rPr>
        <w:t xml:space="preserve"> species demonstrated </w:t>
      </w:r>
      <w:r w:rsidRPr="009F5660">
        <w:rPr>
          <w:rStyle w:val="Strong"/>
          <w:rFonts w:ascii="Times New Roman" w:hAnsi="Times New Roman" w:cs="Times New Roman"/>
          <w:b w:val="0"/>
          <w:sz w:val="24"/>
        </w:rPr>
        <w:t>100% resistance to cefuroxime and cefepime</w:t>
      </w:r>
      <w:r w:rsidRPr="009F5660">
        <w:rPr>
          <w:rFonts w:ascii="Times New Roman" w:hAnsi="Times New Roman" w:cs="Times New Roman"/>
          <w:b/>
          <w:sz w:val="24"/>
        </w:rPr>
        <w:t>.</w:t>
      </w:r>
    </w:p>
    <w:p w:rsidR="00B12B9F" w:rsidRPr="00CC1F50" w:rsidRDefault="00104B8D" w:rsidP="00CC1F50">
      <w:pPr>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8 Antibiotic Susceptibility of Bacteria Isolated from Blood Culture</w:t>
      </w:r>
    </w:p>
    <w:tbl>
      <w:tblPr>
        <w:tblW w:w="5000" w:type="pct"/>
        <w:tblLook w:val="04A0" w:firstRow="1" w:lastRow="0" w:firstColumn="1" w:lastColumn="0" w:noHBand="0" w:noVBand="1"/>
      </w:tblPr>
      <w:tblGrid>
        <w:gridCol w:w="540"/>
        <w:gridCol w:w="1824"/>
        <w:gridCol w:w="694"/>
        <w:gridCol w:w="957"/>
        <w:gridCol w:w="995"/>
        <w:gridCol w:w="1588"/>
        <w:gridCol w:w="1353"/>
        <w:gridCol w:w="1409"/>
      </w:tblGrid>
      <w:tr w:rsidR="00B12B9F" w:rsidRPr="00CC1F50" w:rsidTr="00B12B9F">
        <w:trPr>
          <w:trHeight w:val="300"/>
        </w:trPr>
        <w:tc>
          <w:tcPr>
            <w:tcW w:w="399" w:type="pct"/>
            <w:tcBorders>
              <w:top w:val="single" w:sz="4" w:space="0" w:color="auto"/>
              <w:left w:val="nil"/>
              <w:bottom w:val="single" w:sz="4" w:space="0" w:color="auto"/>
              <w:right w:val="nil"/>
            </w:tcBorders>
            <w:noWrap/>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S/no</w:t>
            </w:r>
          </w:p>
        </w:tc>
        <w:tc>
          <w:tcPr>
            <w:tcW w:w="1218"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Bactria</w:t>
            </w:r>
          </w:p>
        </w:tc>
        <w:tc>
          <w:tcPr>
            <w:tcW w:w="535"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source</w:t>
            </w:r>
          </w:p>
        </w:tc>
        <w:tc>
          <w:tcPr>
            <w:tcW w:w="487"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633" w:type="pct"/>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1728" w:type="pct"/>
            <w:gridSpan w:val="3"/>
            <w:tcBorders>
              <w:top w:val="single" w:sz="4" w:space="0" w:color="auto"/>
              <w:left w:val="nil"/>
              <w:bottom w:val="single" w:sz="4" w:space="0" w:color="auto"/>
              <w:right w:val="nil"/>
            </w:tcBorders>
            <w:noWrap/>
            <w:vAlign w:val="bottom"/>
            <w:hideMark/>
          </w:tcPr>
          <w:p w:rsidR="00B12B9F" w:rsidRPr="00CC1F50" w:rsidRDefault="00B12B9F" w:rsidP="00CC1F50">
            <w:pPr>
              <w:jc w:val="both"/>
              <w:rPr>
                <w:rFonts w:ascii="Times New Roman" w:eastAsia="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CXM          CFX            FEP (mm)       </w:t>
            </w:r>
            <w:proofErr w:type="gramStart"/>
            <w:r w:rsidRPr="00CC1F50">
              <w:rPr>
                <w:rFonts w:ascii="Times New Roman" w:eastAsia="Times New Roman" w:hAnsi="Times New Roman" w:cs="Times New Roman"/>
                <w:b/>
                <w:color w:val="000000" w:themeColor="text1"/>
                <w:sz w:val="24"/>
                <w:szCs w:val="24"/>
              </w:rPr>
              <w:t xml:space="preserve">   (</w:t>
            </w:r>
            <w:proofErr w:type="gramEnd"/>
            <w:r w:rsidRPr="00CC1F50">
              <w:rPr>
                <w:rFonts w:ascii="Times New Roman" w:eastAsia="Times New Roman" w:hAnsi="Times New Roman" w:cs="Times New Roman"/>
                <w:b/>
                <w:color w:val="000000" w:themeColor="text1"/>
                <w:sz w:val="24"/>
                <w:szCs w:val="24"/>
              </w:rPr>
              <w:t>mm)       (mm)</w:t>
            </w:r>
          </w:p>
        </w:tc>
      </w:tr>
      <w:tr w:rsidR="00B12B9F" w:rsidRPr="00CC1F50" w:rsidTr="00B12B9F">
        <w:trPr>
          <w:trHeight w:val="300"/>
        </w:trPr>
        <w:tc>
          <w:tcPr>
            <w:tcW w:w="399"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w:t>
            </w:r>
          </w:p>
        </w:tc>
        <w:tc>
          <w:tcPr>
            <w:tcW w:w="1218"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535"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33"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 (R)</w:t>
            </w:r>
          </w:p>
        </w:tc>
        <w:tc>
          <w:tcPr>
            <w:tcW w:w="536"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59" w:type="pct"/>
            <w:tcBorders>
              <w:top w:val="single" w:sz="4" w:space="0" w:color="auto"/>
              <w:left w:val="nil"/>
              <w:bottom w:val="nil"/>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spellStart"/>
            <w:r w:rsidRPr="00CC1F50">
              <w:rPr>
                <w:rFonts w:ascii="Times New Roman" w:eastAsia="Times New Roman" w:hAnsi="Times New Roman" w:cs="Times New Roman"/>
                <w:i/>
                <w:iCs/>
                <w:color w:val="000000" w:themeColor="text1"/>
                <w:sz w:val="24"/>
                <w:szCs w:val="24"/>
              </w:rPr>
              <w:t>Eschericia</w:t>
            </w:r>
            <w:proofErr w:type="spellEnd"/>
            <w:r w:rsidRPr="00CC1F50">
              <w:rPr>
                <w:rFonts w:ascii="Times New Roman" w:eastAsia="Times New Roman" w:hAnsi="Times New Roman" w:cs="Times New Roman"/>
                <w:i/>
                <w:iCs/>
                <w:color w:val="000000" w:themeColor="text1"/>
                <w:sz w:val="24"/>
                <w:szCs w:val="24"/>
              </w:rPr>
              <w:t xml:space="preserve"> coli</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(R)</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6</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7</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23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4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31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9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lastRenderedPageBreak/>
              <w:t>10</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11</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proofErr w:type="spellStart"/>
            <w:r w:rsidRPr="00CC1F50">
              <w:rPr>
                <w:rFonts w:ascii="Times New Roman" w:eastAsia="Times New Roman" w:hAnsi="Times New Roman" w:cs="Times New Roman"/>
                <w:i/>
                <w:iCs/>
                <w:color w:val="000000" w:themeColor="text1"/>
                <w:sz w:val="24"/>
                <w:szCs w:val="24"/>
              </w:rPr>
              <w:t>Eschericia</w:t>
            </w:r>
            <w:proofErr w:type="spellEnd"/>
            <w:r w:rsidRPr="00CC1F50">
              <w:rPr>
                <w:rFonts w:ascii="Times New Roman" w:eastAsia="Times New Roman" w:hAnsi="Times New Roman" w:cs="Times New Roman"/>
                <w:i/>
                <w:iCs/>
                <w:color w:val="000000" w:themeColor="text1"/>
                <w:sz w:val="24"/>
                <w:szCs w:val="24"/>
              </w:rPr>
              <w:t xml:space="preserve"> coli</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27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12</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13</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21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28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8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29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22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Pseudomonas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30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14(S)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Streptococcus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25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r>
      <w:tr w:rsidR="00B12B9F" w:rsidRPr="00CC1F50" w:rsidTr="00B12B9F">
        <w:trPr>
          <w:trHeight w:val="300"/>
        </w:trPr>
        <w:tc>
          <w:tcPr>
            <w:tcW w:w="399" w:type="pct"/>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w:t>
            </w:r>
          </w:p>
        </w:tc>
        <w:tc>
          <w:tcPr>
            <w:tcW w:w="1218" w:type="pct"/>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iCs/>
                <w:color w:val="000000" w:themeColor="text1"/>
                <w:sz w:val="24"/>
                <w:szCs w:val="24"/>
              </w:rPr>
              <w:t>species</w:t>
            </w:r>
          </w:p>
        </w:tc>
        <w:tc>
          <w:tcPr>
            <w:tcW w:w="535"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26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32 (S)</w:t>
            </w:r>
          </w:p>
        </w:tc>
        <w:tc>
          <w:tcPr>
            <w:tcW w:w="633"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15 (S)</w:t>
            </w:r>
          </w:p>
        </w:tc>
        <w:tc>
          <w:tcPr>
            <w:tcW w:w="536"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18 (S)</w:t>
            </w:r>
          </w:p>
        </w:tc>
        <w:tc>
          <w:tcPr>
            <w:tcW w:w="559" w:type="pct"/>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r w:rsidR="00B12B9F" w:rsidRPr="00CC1F50" w:rsidTr="00B12B9F">
        <w:trPr>
          <w:trHeight w:val="300"/>
        </w:trPr>
        <w:tc>
          <w:tcPr>
            <w:tcW w:w="399" w:type="pct"/>
            <w:tcBorders>
              <w:top w:val="nil"/>
              <w:left w:val="nil"/>
              <w:bottom w:val="single" w:sz="4" w:space="0" w:color="auto"/>
              <w:right w:val="nil"/>
            </w:tcBorders>
            <w:noWrap/>
            <w:vAlign w:val="bottom"/>
            <w:hideMark/>
          </w:tcPr>
          <w:p w:rsidR="00B12B9F" w:rsidRPr="00CC1F50" w:rsidRDefault="00B12B9F" w:rsidP="00CC1F50">
            <w:pPr>
              <w:spacing w:line="48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19</w:t>
            </w:r>
          </w:p>
        </w:tc>
        <w:tc>
          <w:tcPr>
            <w:tcW w:w="1218"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i/>
                <w:iCs/>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Klebsiella </w:t>
            </w:r>
            <w:r w:rsidRPr="00CC1F50">
              <w:rPr>
                <w:rFonts w:ascii="Times New Roman" w:eastAsia="Times New Roman" w:hAnsi="Times New Roman" w:cs="Times New Roman"/>
                <w:iCs/>
                <w:color w:val="000000" w:themeColor="text1"/>
                <w:sz w:val="24"/>
                <w:szCs w:val="24"/>
              </w:rPr>
              <w:t>species</w:t>
            </w:r>
          </w:p>
        </w:tc>
        <w:tc>
          <w:tcPr>
            <w:tcW w:w="535"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B/C</w:t>
            </w:r>
          </w:p>
        </w:tc>
        <w:tc>
          <w:tcPr>
            <w:tcW w:w="487"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16 (S)</w:t>
            </w:r>
          </w:p>
        </w:tc>
        <w:tc>
          <w:tcPr>
            <w:tcW w:w="633"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20 (S)</w:t>
            </w:r>
          </w:p>
        </w:tc>
        <w:tc>
          <w:tcPr>
            <w:tcW w:w="633"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5 (R)</w:t>
            </w:r>
          </w:p>
        </w:tc>
        <w:tc>
          <w:tcPr>
            <w:tcW w:w="536"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10 (R)</w:t>
            </w:r>
          </w:p>
        </w:tc>
        <w:tc>
          <w:tcPr>
            <w:tcW w:w="559" w:type="pct"/>
            <w:tcBorders>
              <w:top w:val="nil"/>
              <w:left w:val="nil"/>
              <w:bottom w:val="single" w:sz="4" w:space="0" w:color="auto"/>
              <w:right w:val="nil"/>
            </w:tcBorders>
            <w:noWrap/>
            <w:vAlign w:val="bottom"/>
            <w:hideMark/>
          </w:tcPr>
          <w:p w:rsidR="00B12B9F" w:rsidRPr="00CC1F50" w:rsidRDefault="00B12B9F" w:rsidP="00CC1F50">
            <w:pPr>
              <w:spacing w:line="36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0 (R)</w:t>
            </w:r>
          </w:p>
        </w:tc>
      </w:tr>
    </w:tbl>
    <w:p w:rsidR="00B12B9F" w:rsidRPr="00CC1F50" w:rsidRDefault="00B12B9F" w:rsidP="00CC1F50">
      <w:pPr>
        <w:jc w:val="both"/>
        <w:rPr>
          <w:rFonts w:ascii="Times New Roman" w:eastAsia="SimSun" w:hAnsi="Times New Roman" w:cs="Times New Roman"/>
          <w:color w:val="000000" w:themeColor="text1"/>
          <w:sz w:val="24"/>
          <w:szCs w:val="24"/>
          <w:lang w:eastAsia="zh-CN"/>
        </w:rPr>
      </w:pPr>
    </w:p>
    <w:p w:rsidR="00B12B9F" w:rsidRPr="00CC1F50" w:rsidRDefault="00B12B9F" w:rsidP="00CC1F50">
      <w:pPr>
        <w:spacing w:line="480" w:lineRule="auto"/>
        <w:jc w:val="both"/>
        <w:rPr>
          <w:rFonts w:ascii="Times New Roman" w:hAnsi="Times New Roman" w:cs="Times New Roman"/>
          <w:color w:val="000000" w:themeColor="text1"/>
          <w:sz w:val="24"/>
          <w:szCs w:val="24"/>
        </w:rPr>
      </w:pPr>
    </w:p>
    <w:tbl>
      <w:tblPr>
        <w:tblpPr w:leftFromText="180" w:rightFromText="180" w:vertAnchor="text" w:tblpX="10577" w:tblpY="167"/>
        <w:tblOverlap w:val="never"/>
        <w:tblW w:w="0" w:type="auto"/>
        <w:tblLook w:val="04A0" w:firstRow="1" w:lastRow="0" w:firstColumn="1" w:lastColumn="0" w:noHBand="0" w:noVBand="1"/>
      </w:tblPr>
      <w:tblGrid>
        <w:gridCol w:w="1788"/>
      </w:tblGrid>
      <w:tr w:rsidR="00B12B9F" w:rsidRPr="00CC1F50" w:rsidTr="00B12B9F">
        <w:trPr>
          <w:trHeight w:val="30"/>
        </w:trPr>
        <w:tc>
          <w:tcPr>
            <w:tcW w:w="1788" w:type="dxa"/>
            <w:tcBorders>
              <w:top w:val="single" w:sz="4" w:space="0" w:color="auto"/>
              <w:left w:val="single" w:sz="4" w:space="0" w:color="auto"/>
              <w:bottom w:val="single" w:sz="4" w:space="0" w:color="auto"/>
              <w:right w:val="single" w:sz="4" w:space="0" w:color="auto"/>
            </w:tcBorders>
          </w:tcPr>
          <w:p w:rsidR="00B12B9F" w:rsidRPr="00CC1F50" w:rsidRDefault="00B12B9F" w:rsidP="00CC1F50">
            <w:pPr>
              <w:spacing w:line="480" w:lineRule="auto"/>
              <w:jc w:val="both"/>
              <w:rPr>
                <w:rFonts w:ascii="Times New Roman" w:hAnsi="Times New Roman" w:cs="Times New Roman"/>
                <w:color w:val="000000" w:themeColor="text1"/>
                <w:sz w:val="24"/>
                <w:szCs w:val="24"/>
              </w:rPr>
            </w:pPr>
          </w:p>
        </w:tc>
      </w:tr>
    </w:tbl>
    <w:p w:rsidR="00B12B9F" w:rsidRPr="00CC1F50" w:rsidRDefault="00B12B9F" w:rsidP="00CC1F50">
      <w:pPr>
        <w:spacing w:line="480" w:lineRule="auto"/>
        <w:jc w:val="both"/>
        <w:rPr>
          <w:rFonts w:ascii="Times New Roman" w:hAnsi="Times New Roman" w:cs="Times New Roman"/>
          <w:color w:val="000000" w:themeColor="text1"/>
          <w:sz w:val="24"/>
          <w:szCs w:val="24"/>
          <w:lang w:eastAsia="zh-CN"/>
        </w:rPr>
      </w:pPr>
    </w:p>
    <w:p w:rsidR="00B12B9F" w:rsidRDefault="00B12B9F" w:rsidP="00CC1F50">
      <w:pPr>
        <w:jc w:val="both"/>
        <w:rPr>
          <w:rFonts w:ascii="Times New Roman" w:hAnsi="Times New Roman" w:cs="Times New Roman"/>
          <w:color w:val="000000" w:themeColor="text1"/>
          <w:sz w:val="24"/>
          <w:szCs w:val="24"/>
        </w:rPr>
      </w:pPr>
    </w:p>
    <w:p w:rsidR="00B26A4C" w:rsidRDefault="00B26A4C" w:rsidP="00CC1F50">
      <w:pPr>
        <w:jc w:val="both"/>
        <w:rPr>
          <w:rFonts w:ascii="Times New Roman" w:hAnsi="Times New Roman" w:cs="Times New Roman"/>
          <w:color w:val="000000" w:themeColor="text1"/>
          <w:sz w:val="24"/>
          <w:szCs w:val="24"/>
        </w:rPr>
      </w:pPr>
    </w:p>
    <w:p w:rsidR="00B26A4C" w:rsidRPr="00CC1F50" w:rsidRDefault="00B26A4C" w:rsidP="00CC1F50">
      <w:pPr>
        <w:jc w:val="both"/>
        <w:rPr>
          <w:rFonts w:ascii="Times New Roman" w:hAnsi="Times New Roman" w:cs="Times New Roman"/>
          <w:color w:val="000000" w:themeColor="text1"/>
          <w:sz w:val="24"/>
          <w:szCs w:val="24"/>
        </w:rPr>
      </w:pPr>
    </w:p>
    <w:p w:rsidR="00104B8D" w:rsidRPr="00CC1F50" w:rsidRDefault="00104B8D"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lastRenderedPageBreak/>
        <w:t>Antibiotic Susceptibility of Bacteria Isolated from Breast Abscess</w:t>
      </w:r>
    </w:p>
    <w:p w:rsidR="00B12B9F" w:rsidRPr="00CC1F50" w:rsidRDefault="00104B8D"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As seen in Table 9, </w:t>
      </w:r>
      <w:r w:rsidRPr="00CC1F50">
        <w:rPr>
          <w:rFonts w:ascii="Times New Roman" w:hAnsi="Times New Roman" w:cs="Times New Roman"/>
          <w:i/>
          <w:color w:val="000000" w:themeColor="text1"/>
          <w:sz w:val="24"/>
          <w:szCs w:val="24"/>
        </w:rPr>
        <w:t xml:space="preserve">Staphylococcus </w:t>
      </w:r>
      <w:r w:rsidRPr="00CC1F50">
        <w:rPr>
          <w:rFonts w:ascii="Times New Roman" w:hAnsi="Times New Roman" w:cs="Times New Roman"/>
          <w:color w:val="000000" w:themeColor="text1"/>
          <w:sz w:val="24"/>
          <w:szCs w:val="24"/>
        </w:rPr>
        <w:t>species were the only bacteria isolated from this source. The results show that the bacteria were more susceptible to Ertapenem than the other antibiotics, while they were highly resistant to Cefepime.</w:t>
      </w:r>
    </w:p>
    <w:p w:rsidR="00B12B9F" w:rsidRPr="00CC1F50" w:rsidRDefault="00104B8D" w:rsidP="00CC1F50">
      <w:pPr>
        <w:spacing w:line="360" w:lineRule="auto"/>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9:  Antibiotic Susceptibility of Bacteria Isolated from Breast Abscess</w:t>
      </w:r>
    </w:p>
    <w:p w:rsidR="00B12B9F" w:rsidRPr="00CC1F50" w:rsidRDefault="00B12B9F" w:rsidP="00CC1F50">
      <w:pPr>
        <w:jc w:val="both"/>
        <w:rPr>
          <w:rFonts w:ascii="Times New Roman" w:hAnsi="Times New Roman" w:cs="Times New Roman"/>
          <w:color w:val="000000" w:themeColor="text1"/>
          <w:sz w:val="24"/>
          <w:szCs w:val="24"/>
        </w:rPr>
      </w:pPr>
    </w:p>
    <w:tbl>
      <w:tblPr>
        <w:tblW w:w="0" w:type="auto"/>
        <w:tblLayout w:type="fixed"/>
        <w:tblLook w:val="04A0" w:firstRow="1" w:lastRow="0" w:firstColumn="1" w:lastColumn="0" w:noHBand="0" w:noVBand="1"/>
      </w:tblPr>
      <w:tblGrid>
        <w:gridCol w:w="1969"/>
        <w:gridCol w:w="1247"/>
        <w:gridCol w:w="1507"/>
        <w:gridCol w:w="1507"/>
        <w:gridCol w:w="1507"/>
        <w:gridCol w:w="1508"/>
      </w:tblGrid>
      <w:tr w:rsidR="00CC1F50" w:rsidRPr="00CC1F50" w:rsidTr="00B12B9F">
        <w:trPr>
          <w:trHeight w:val="280"/>
        </w:trPr>
        <w:tc>
          <w:tcPr>
            <w:tcW w:w="1969"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Bacteria</w:t>
            </w:r>
          </w:p>
        </w:tc>
        <w:tc>
          <w:tcPr>
            <w:tcW w:w="124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CIP (mm</w:t>
            </w:r>
          </w:p>
        </w:tc>
        <w:tc>
          <w:tcPr>
            <w:tcW w:w="150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ETP (mm)</w:t>
            </w:r>
          </w:p>
        </w:tc>
        <w:tc>
          <w:tcPr>
            <w:tcW w:w="150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CXM (mm)</w:t>
            </w:r>
          </w:p>
        </w:tc>
        <w:tc>
          <w:tcPr>
            <w:tcW w:w="150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CFX (mm)</w:t>
            </w:r>
          </w:p>
        </w:tc>
        <w:tc>
          <w:tcPr>
            <w:tcW w:w="1508"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FEP (mm)</w:t>
            </w:r>
          </w:p>
        </w:tc>
      </w:tr>
      <w:tr w:rsidR="00CC1F50" w:rsidRPr="00CC1F50" w:rsidTr="00B12B9F">
        <w:tc>
          <w:tcPr>
            <w:tcW w:w="1969"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i/>
                <w:iCs/>
                <w:color w:val="000000" w:themeColor="text1"/>
                <w:sz w:val="24"/>
                <w:szCs w:val="24"/>
              </w:rPr>
              <w:t xml:space="preserve">Staphylococcus </w:t>
            </w:r>
            <w:r w:rsidRPr="00CC1F50">
              <w:rPr>
                <w:rFonts w:ascii="Times New Roman" w:eastAsia="Times New Roman" w:hAnsi="Times New Roman" w:cs="Times New Roman"/>
                <w:color w:val="000000" w:themeColor="text1"/>
                <w:sz w:val="24"/>
                <w:szCs w:val="24"/>
              </w:rPr>
              <w:t>specie</w:t>
            </w:r>
            <w:r w:rsidRPr="00CC1F50">
              <w:rPr>
                <w:rFonts w:ascii="Times New Roman" w:eastAsia="Times New Roman" w:hAnsi="Times New Roman" w:cs="Times New Roman"/>
                <w:i/>
                <w:iCs/>
                <w:color w:val="000000" w:themeColor="text1"/>
                <w:sz w:val="24"/>
                <w:szCs w:val="24"/>
              </w:rPr>
              <w:t>s</w:t>
            </w:r>
          </w:p>
        </w:tc>
        <w:tc>
          <w:tcPr>
            <w:tcW w:w="124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19 (S)</w:t>
            </w:r>
          </w:p>
        </w:tc>
        <w:tc>
          <w:tcPr>
            <w:tcW w:w="150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25 (S)</w:t>
            </w:r>
          </w:p>
        </w:tc>
        <w:tc>
          <w:tcPr>
            <w:tcW w:w="150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17 (S)</w:t>
            </w:r>
          </w:p>
        </w:tc>
        <w:tc>
          <w:tcPr>
            <w:tcW w:w="150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7 </w:t>
            </w:r>
            <w:proofErr w:type="gramStart"/>
            <w:r w:rsidRPr="00CC1F50">
              <w:rPr>
                <w:rFonts w:ascii="Times New Roman" w:hAnsi="Times New Roman" w:cs="Times New Roman"/>
                <w:color w:val="000000" w:themeColor="text1"/>
                <w:sz w:val="24"/>
                <w:szCs w:val="24"/>
              </w:rPr>
              <w:t>( R</w:t>
            </w:r>
            <w:proofErr w:type="gramEnd"/>
            <w:r w:rsidRPr="00CC1F50">
              <w:rPr>
                <w:rFonts w:ascii="Times New Roman" w:hAnsi="Times New Roman" w:cs="Times New Roman"/>
                <w:color w:val="000000" w:themeColor="text1"/>
                <w:sz w:val="24"/>
                <w:szCs w:val="24"/>
              </w:rPr>
              <w:t xml:space="preserve"> )</w:t>
            </w:r>
          </w:p>
        </w:tc>
        <w:tc>
          <w:tcPr>
            <w:tcW w:w="1508"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0 </w:t>
            </w:r>
            <w:proofErr w:type="gramStart"/>
            <w:r w:rsidRPr="00CC1F50">
              <w:rPr>
                <w:rFonts w:ascii="Times New Roman" w:hAnsi="Times New Roman" w:cs="Times New Roman"/>
                <w:color w:val="000000" w:themeColor="text1"/>
                <w:sz w:val="24"/>
                <w:szCs w:val="24"/>
              </w:rPr>
              <w:t>( R</w:t>
            </w:r>
            <w:proofErr w:type="gramEnd"/>
            <w:r w:rsidRPr="00CC1F50">
              <w:rPr>
                <w:rFonts w:ascii="Times New Roman" w:hAnsi="Times New Roman" w:cs="Times New Roman"/>
                <w:color w:val="000000" w:themeColor="text1"/>
                <w:sz w:val="24"/>
                <w:szCs w:val="24"/>
              </w:rPr>
              <w:t>)</w:t>
            </w:r>
          </w:p>
        </w:tc>
      </w:tr>
    </w:tbl>
    <w:p w:rsidR="00B12B9F" w:rsidRPr="00CC1F50" w:rsidRDefault="00B12B9F" w:rsidP="00CC1F50">
      <w:pPr>
        <w:jc w:val="both"/>
        <w:rPr>
          <w:rFonts w:ascii="Times New Roman" w:hAnsi="Times New Roman" w:cs="Times New Roman"/>
          <w:color w:val="000000" w:themeColor="text1"/>
          <w:sz w:val="24"/>
          <w:szCs w:val="24"/>
          <w:lang w:eastAsia="zh-CN"/>
        </w:rPr>
      </w:pPr>
    </w:p>
    <w:p w:rsidR="00B12B9F" w:rsidRPr="00CC1F50" w:rsidRDefault="00B12B9F" w:rsidP="00CC1F50">
      <w:pPr>
        <w:jc w:val="both"/>
        <w:rPr>
          <w:rFonts w:ascii="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Pr="00CC1F50" w:rsidRDefault="00B12B9F" w:rsidP="00CC1F50">
      <w:pPr>
        <w:spacing w:line="480" w:lineRule="auto"/>
        <w:jc w:val="both"/>
        <w:rPr>
          <w:rFonts w:ascii="Times New Roman" w:hAnsi="Times New Roman" w:cs="Times New Roman"/>
          <w:b/>
          <w:bCs/>
          <w:color w:val="000000" w:themeColor="text1"/>
          <w:sz w:val="24"/>
          <w:szCs w:val="24"/>
        </w:rPr>
      </w:pPr>
    </w:p>
    <w:p w:rsidR="00B12B9F" w:rsidRDefault="00B12B9F" w:rsidP="00CC1F50">
      <w:pPr>
        <w:spacing w:line="480" w:lineRule="auto"/>
        <w:jc w:val="both"/>
        <w:rPr>
          <w:rFonts w:ascii="Times New Roman" w:eastAsia="Times New Roman" w:hAnsi="Times New Roman" w:cs="Times New Roman"/>
          <w:b/>
          <w:color w:val="000000" w:themeColor="text1"/>
          <w:sz w:val="24"/>
          <w:szCs w:val="24"/>
        </w:rPr>
      </w:pPr>
    </w:p>
    <w:p w:rsidR="00B26A4C" w:rsidRDefault="00B26A4C" w:rsidP="00CC1F50">
      <w:pPr>
        <w:spacing w:line="480" w:lineRule="auto"/>
        <w:jc w:val="both"/>
        <w:rPr>
          <w:rFonts w:ascii="Times New Roman" w:eastAsia="Times New Roman" w:hAnsi="Times New Roman" w:cs="Times New Roman"/>
          <w:b/>
          <w:color w:val="000000" w:themeColor="text1"/>
          <w:sz w:val="24"/>
          <w:szCs w:val="24"/>
        </w:rPr>
      </w:pPr>
    </w:p>
    <w:p w:rsidR="00B26A4C" w:rsidRPr="00CC1F50" w:rsidRDefault="00B26A4C" w:rsidP="00CC1F50">
      <w:pPr>
        <w:spacing w:line="480" w:lineRule="auto"/>
        <w:jc w:val="both"/>
        <w:rPr>
          <w:rFonts w:ascii="Times New Roman" w:eastAsia="Times New Roman" w:hAnsi="Times New Roman" w:cs="Times New Roman"/>
          <w:b/>
          <w:color w:val="000000" w:themeColor="text1"/>
          <w:sz w:val="24"/>
          <w:szCs w:val="24"/>
        </w:rPr>
      </w:pPr>
    </w:p>
    <w:p w:rsidR="00723A8B" w:rsidRPr="00CC1F50" w:rsidRDefault="00723A8B" w:rsidP="007C2480">
      <w:pPr>
        <w:spacing w:line="24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lastRenderedPageBreak/>
        <w:t>Antibiotic Susceptibility of Bacteria Isolated from Semen</w:t>
      </w:r>
    </w:p>
    <w:p w:rsidR="00CC1F50" w:rsidRPr="00CC1F50" w:rsidRDefault="00CC1F50" w:rsidP="00CC1F50">
      <w:pPr>
        <w:spacing w:before="100" w:beforeAutospacing="1" w:after="100" w:afterAutospacing="1" w:line="240" w:lineRule="auto"/>
        <w:jc w:val="both"/>
        <w:rPr>
          <w:rFonts w:ascii="Times New Roman" w:eastAsia="Times New Roman" w:hAnsi="Times New Roman" w:cs="Times New Roman"/>
          <w:sz w:val="24"/>
          <w:szCs w:val="24"/>
        </w:rPr>
      </w:pPr>
      <w:r w:rsidRPr="00CC1F50">
        <w:rPr>
          <w:rFonts w:ascii="Times New Roman" w:eastAsia="Times New Roman" w:hAnsi="Times New Roman" w:cs="Times New Roman"/>
          <w:i/>
          <w:iCs/>
          <w:sz w:val="24"/>
          <w:szCs w:val="24"/>
        </w:rPr>
        <w:t>Klebsiella</w:t>
      </w:r>
      <w:r w:rsidRPr="00CC1F50">
        <w:rPr>
          <w:rFonts w:ascii="Times New Roman" w:eastAsia="Times New Roman" w:hAnsi="Times New Roman" w:cs="Times New Roman"/>
          <w:sz w:val="24"/>
          <w:szCs w:val="24"/>
        </w:rPr>
        <w:t xml:space="preserve"> species were the only bacterial isolates recovered from this source. The antimicrobial susceptibility results indicated that the isolates were </w:t>
      </w:r>
      <w:r w:rsidRPr="00CC1F50">
        <w:rPr>
          <w:rFonts w:ascii="Times New Roman" w:eastAsia="Times New Roman" w:hAnsi="Times New Roman" w:cs="Times New Roman"/>
          <w:bCs/>
          <w:sz w:val="24"/>
          <w:szCs w:val="24"/>
        </w:rPr>
        <w:t>100 % susceptible to ertapenem and ciprofloxacin</w:t>
      </w:r>
      <w:r w:rsidRPr="00CC1F50">
        <w:rPr>
          <w:rFonts w:ascii="Times New Roman" w:eastAsia="Times New Roman" w:hAnsi="Times New Roman" w:cs="Times New Roman"/>
          <w:sz w:val="24"/>
          <w:szCs w:val="24"/>
        </w:rPr>
        <w:t xml:space="preserve">. However, complete resistance was observed against </w:t>
      </w:r>
      <w:r w:rsidRPr="00CC1F50">
        <w:rPr>
          <w:rFonts w:ascii="Times New Roman" w:eastAsia="Times New Roman" w:hAnsi="Times New Roman" w:cs="Times New Roman"/>
          <w:bCs/>
          <w:sz w:val="24"/>
          <w:szCs w:val="24"/>
        </w:rPr>
        <w:t>cefuroxime, cephalexin, and cefepime</w:t>
      </w:r>
      <w:r w:rsidRPr="00CC1F50">
        <w:rPr>
          <w:rFonts w:ascii="Times New Roman" w:eastAsia="Times New Roman" w:hAnsi="Times New Roman" w:cs="Times New Roman"/>
          <w:sz w:val="24"/>
          <w:szCs w:val="24"/>
        </w:rPr>
        <w:t xml:space="preserve">. These findings are presented in </w:t>
      </w:r>
      <w:r w:rsidRPr="00CC1F50">
        <w:rPr>
          <w:rFonts w:ascii="Times New Roman" w:eastAsia="Times New Roman" w:hAnsi="Times New Roman" w:cs="Times New Roman"/>
          <w:bCs/>
          <w:sz w:val="24"/>
          <w:szCs w:val="24"/>
        </w:rPr>
        <w:t>Table 10</w:t>
      </w:r>
      <w:r w:rsidRPr="00CC1F50">
        <w:rPr>
          <w:rFonts w:ascii="Times New Roman" w:eastAsia="Times New Roman" w:hAnsi="Times New Roman" w:cs="Times New Roman"/>
          <w:sz w:val="24"/>
          <w:szCs w:val="24"/>
        </w:rPr>
        <w:t>.</w:t>
      </w:r>
    </w:p>
    <w:p w:rsidR="00B12B9F" w:rsidRPr="00CC1F50" w:rsidRDefault="00723A8B" w:rsidP="00CC1F50">
      <w:pPr>
        <w:spacing w:line="480" w:lineRule="auto"/>
        <w:jc w:val="both"/>
        <w:rPr>
          <w:rFonts w:ascii="Times New Roman" w:eastAsia="SimSun" w:hAnsi="Times New Roman" w:cs="Times New Roman"/>
          <w:b/>
          <w:color w:val="000000" w:themeColor="text1"/>
          <w:sz w:val="24"/>
          <w:szCs w:val="24"/>
        </w:rPr>
      </w:pPr>
      <w:r w:rsidRPr="00CC1F50">
        <w:rPr>
          <w:rFonts w:ascii="Times New Roman" w:eastAsia="Times New Roman" w:hAnsi="Times New Roman" w:cs="Times New Roman"/>
          <w:b/>
          <w:color w:val="000000" w:themeColor="text1"/>
          <w:sz w:val="24"/>
          <w:szCs w:val="24"/>
        </w:rPr>
        <w:t xml:space="preserve">Table </w:t>
      </w:r>
      <w:r w:rsidR="00B12B9F" w:rsidRPr="00CC1F50">
        <w:rPr>
          <w:rFonts w:ascii="Times New Roman" w:eastAsia="Times New Roman" w:hAnsi="Times New Roman" w:cs="Times New Roman"/>
          <w:b/>
          <w:color w:val="000000" w:themeColor="text1"/>
          <w:sz w:val="24"/>
          <w:szCs w:val="24"/>
        </w:rPr>
        <w:t>10:  Antibiotic Susceptibility of Bacteria Isolated from Semen</w:t>
      </w:r>
    </w:p>
    <w:tbl>
      <w:tblPr>
        <w:tblW w:w="0" w:type="auto"/>
        <w:tblLook w:val="04A0" w:firstRow="1" w:lastRow="0" w:firstColumn="1" w:lastColumn="0" w:noHBand="0" w:noVBand="1"/>
      </w:tblPr>
      <w:tblGrid>
        <w:gridCol w:w="1541"/>
        <w:gridCol w:w="1541"/>
        <w:gridCol w:w="1540"/>
        <w:gridCol w:w="1540"/>
        <w:gridCol w:w="1540"/>
        <w:gridCol w:w="1540"/>
      </w:tblGrid>
      <w:tr w:rsidR="00CC1F50" w:rsidRPr="00CC1F50" w:rsidTr="00B12B9F">
        <w:tc>
          <w:tcPr>
            <w:tcW w:w="1541"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Bacteria</w:t>
            </w:r>
          </w:p>
        </w:tc>
        <w:tc>
          <w:tcPr>
            <w:tcW w:w="1541"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CIP (mm)</w:t>
            </w:r>
          </w:p>
        </w:tc>
        <w:tc>
          <w:tcPr>
            <w:tcW w:w="154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ETP (mm</w:t>
            </w:r>
          </w:p>
        </w:tc>
        <w:tc>
          <w:tcPr>
            <w:tcW w:w="154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CXM (mm</w:t>
            </w:r>
          </w:p>
        </w:tc>
        <w:tc>
          <w:tcPr>
            <w:tcW w:w="154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CFX (mm</w:t>
            </w:r>
          </w:p>
        </w:tc>
        <w:tc>
          <w:tcPr>
            <w:tcW w:w="154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FEP (mm</w:t>
            </w:r>
          </w:p>
        </w:tc>
      </w:tr>
      <w:tr w:rsidR="00CC1F50" w:rsidRPr="00CC1F50" w:rsidTr="00B12B9F">
        <w:tc>
          <w:tcPr>
            <w:tcW w:w="1541"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i/>
                <w:color w:val="000000" w:themeColor="text1"/>
                <w:sz w:val="24"/>
                <w:szCs w:val="24"/>
              </w:rPr>
              <w:t xml:space="preserve">Klebsiella </w:t>
            </w:r>
            <w:r w:rsidRPr="00CC1F50">
              <w:rPr>
                <w:rFonts w:ascii="Times New Roman" w:eastAsia="Times New Roman" w:hAnsi="Times New Roman" w:cs="Times New Roman"/>
                <w:color w:val="000000" w:themeColor="text1"/>
                <w:sz w:val="24"/>
                <w:szCs w:val="24"/>
              </w:rPr>
              <w:t>species</w:t>
            </w:r>
          </w:p>
        </w:tc>
        <w:tc>
          <w:tcPr>
            <w:tcW w:w="1541"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17 (S)</w:t>
            </w:r>
          </w:p>
        </w:tc>
        <w:tc>
          <w:tcPr>
            <w:tcW w:w="154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22 (S)</w:t>
            </w:r>
          </w:p>
        </w:tc>
        <w:tc>
          <w:tcPr>
            <w:tcW w:w="154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0 </w:t>
            </w:r>
            <w:proofErr w:type="gramStart"/>
            <w:r w:rsidRPr="00CC1F50">
              <w:rPr>
                <w:rFonts w:ascii="Times New Roman" w:hAnsi="Times New Roman" w:cs="Times New Roman"/>
                <w:color w:val="000000" w:themeColor="text1"/>
                <w:sz w:val="24"/>
                <w:szCs w:val="24"/>
              </w:rPr>
              <w:t>( R</w:t>
            </w:r>
            <w:proofErr w:type="gramEnd"/>
            <w:r w:rsidRPr="00CC1F50">
              <w:rPr>
                <w:rFonts w:ascii="Times New Roman" w:hAnsi="Times New Roman" w:cs="Times New Roman"/>
                <w:color w:val="000000" w:themeColor="text1"/>
                <w:sz w:val="24"/>
                <w:szCs w:val="24"/>
              </w:rPr>
              <w:t xml:space="preserve"> )</w:t>
            </w:r>
          </w:p>
        </w:tc>
        <w:tc>
          <w:tcPr>
            <w:tcW w:w="154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0 </w:t>
            </w:r>
            <w:proofErr w:type="gramStart"/>
            <w:r w:rsidRPr="00CC1F50">
              <w:rPr>
                <w:rFonts w:ascii="Times New Roman" w:hAnsi="Times New Roman" w:cs="Times New Roman"/>
                <w:color w:val="000000" w:themeColor="text1"/>
                <w:sz w:val="24"/>
                <w:szCs w:val="24"/>
              </w:rPr>
              <w:t>( R</w:t>
            </w:r>
            <w:proofErr w:type="gramEnd"/>
            <w:r w:rsidRPr="00CC1F50">
              <w:rPr>
                <w:rFonts w:ascii="Times New Roman" w:hAnsi="Times New Roman" w:cs="Times New Roman"/>
                <w:color w:val="000000" w:themeColor="text1"/>
                <w:sz w:val="24"/>
                <w:szCs w:val="24"/>
              </w:rPr>
              <w:t xml:space="preserve"> )</w:t>
            </w:r>
          </w:p>
        </w:tc>
        <w:tc>
          <w:tcPr>
            <w:tcW w:w="154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0 </w:t>
            </w:r>
            <w:proofErr w:type="gramStart"/>
            <w:r w:rsidRPr="00CC1F50">
              <w:rPr>
                <w:rFonts w:ascii="Times New Roman" w:hAnsi="Times New Roman" w:cs="Times New Roman"/>
                <w:color w:val="000000" w:themeColor="text1"/>
                <w:sz w:val="24"/>
                <w:szCs w:val="24"/>
              </w:rPr>
              <w:t>( R</w:t>
            </w:r>
            <w:proofErr w:type="gramEnd"/>
            <w:r w:rsidRPr="00CC1F50">
              <w:rPr>
                <w:rFonts w:ascii="Times New Roman" w:hAnsi="Times New Roman" w:cs="Times New Roman"/>
                <w:color w:val="000000" w:themeColor="text1"/>
                <w:sz w:val="24"/>
                <w:szCs w:val="24"/>
              </w:rPr>
              <w:t xml:space="preserve"> )</w:t>
            </w:r>
          </w:p>
        </w:tc>
      </w:tr>
    </w:tbl>
    <w:p w:rsidR="00B12B9F" w:rsidRPr="00CC1F50" w:rsidRDefault="00B12B9F" w:rsidP="00CC1F50">
      <w:pPr>
        <w:spacing w:line="480" w:lineRule="auto"/>
        <w:jc w:val="both"/>
        <w:rPr>
          <w:rFonts w:ascii="Times New Roman" w:hAnsi="Times New Roman" w:cs="Times New Roman"/>
          <w:color w:val="000000" w:themeColor="text1"/>
          <w:sz w:val="24"/>
          <w:szCs w:val="24"/>
          <w:lang w:eastAsia="zh-CN"/>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12B9F" w:rsidRDefault="00B12B9F" w:rsidP="00CC1F50">
      <w:pPr>
        <w:jc w:val="both"/>
        <w:rPr>
          <w:rFonts w:ascii="Times New Roman" w:hAnsi="Times New Roman" w:cs="Times New Roman"/>
          <w:b/>
          <w:color w:val="000000" w:themeColor="text1"/>
          <w:sz w:val="24"/>
          <w:szCs w:val="24"/>
        </w:rPr>
      </w:pPr>
    </w:p>
    <w:p w:rsidR="00F94D64" w:rsidRPr="00CC1F50" w:rsidRDefault="00F94D64" w:rsidP="00CC1F50">
      <w:pPr>
        <w:jc w:val="both"/>
        <w:rPr>
          <w:rFonts w:ascii="Times New Roman" w:hAnsi="Times New Roman" w:cs="Times New Roman"/>
          <w:b/>
          <w:color w:val="000000" w:themeColor="text1"/>
          <w:sz w:val="24"/>
          <w:szCs w:val="24"/>
        </w:rPr>
      </w:pPr>
    </w:p>
    <w:p w:rsidR="00B12B9F" w:rsidRPr="00CC1F50" w:rsidRDefault="00B12B9F" w:rsidP="00CC1F50">
      <w:pPr>
        <w:jc w:val="both"/>
        <w:rPr>
          <w:rFonts w:ascii="Times New Roman" w:hAnsi="Times New Roman" w:cs="Times New Roman"/>
          <w:b/>
          <w:color w:val="000000" w:themeColor="text1"/>
          <w:sz w:val="24"/>
          <w:szCs w:val="24"/>
        </w:rPr>
      </w:pPr>
    </w:p>
    <w:p w:rsidR="00B06380" w:rsidRDefault="00B06380" w:rsidP="00CC1F50">
      <w:pPr>
        <w:pStyle w:val="NormalWeb"/>
        <w:jc w:val="both"/>
        <w:rPr>
          <w:color w:val="000000" w:themeColor="text1"/>
        </w:rPr>
      </w:pPr>
      <w:r w:rsidRPr="00CC1F50">
        <w:rPr>
          <w:b/>
          <w:color w:val="000000" w:themeColor="text1"/>
        </w:rPr>
        <w:lastRenderedPageBreak/>
        <w:t>Percentage of Bacteria That Are Susceptible to the Antibiotic Agent</w:t>
      </w:r>
      <w:r w:rsidRPr="00CC1F50">
        <w:rPr>
          <w:color w:val="000000" w:themeColor="text1"/>
        </w:rPr>
        <w:t xml:space="preserve"> </w:t>
      </w:r>
    </w:p>
    <w:p w:rsidR="00B12B9F" w:rsidRPr="00CC1F50" w:rsidRDefault="00733125" w:rsidP="00CC1F50">
      <w:pPr>
        <w:pStyle w:val="NormalWeb"/>
        <w:jc w:val="both"/>
        <w:rPr>
          <w:color w:val="000000" w:themeColor="text1"/>
        </w:rPr>
      </w:pPr>
      <w:r w:rsidRPr="00CC1F50">
        <w:rPr>
          <w:color w:val="000000" w:themeColor="text1"/>
        </w:rPr>
        <w:t xml:space="preserve">According to Table 11, </w:t>
      </w:r>
      <w:r w:rsidR="00EC3960" w:rsidRPr="00CC1F50">
        <w:rPr>
          <w:rStyle w:val="Strong"/>
          <w:b w:val="0"/>
          <w:color w:val="000000" w:themeColor="text1"/>
        </w:rPr>
        <w:t>Ertapenem</w:t>
      </w:r>
      <w:r w:rsidR="00EC3960" w:rsidRPr="00CC1F50">
        <w:rPr>
          <w:b/>
          <w:color w:val="000000" w:themeColor="text1"/>
        </w:rPr>
        <w:t xml:space="preserve"> </w:t>
      </w:r>
      <w:r w:rsidR="00EC3960" w:rsidRPr="00CC1F50">
        <w:rPr>
          <w:color w:val="000000" w:themeColor="text1"/>
        </w:rPr>
        <w:t xml:space="preserve">demonstrated the highest susceptibility rate of 99 %, indicating broad in vitro activity against the bacteria tested. </w:t>
      </w:r>
      <w:r w:rsidR="00EC3960" w:rsidRPr="00CC1F50">
        <w:rPr>
          <w:rStyle w:val="Strong"/>
          <w:b w:val="0"/>
          <w:color w:val="000000" w:themeColor="text1"/>
        </w:rPr>
        <w:t>Ciprofloxacin</w:t>
      </w:r>
      <w:r w:rsidR="00EC3960" w:rsidRPr="00CC1F50">
        <w:rPr>
          <w:color w:val="000000" w:themeColor="text1"/>
        </w:rPr>
        <w:t xml:space="preserve"> exhibited a susceptibility rate of 75 %, reflecting moderate effectiveness across the spectrum of isolates. In contrast, substantially lower susceptibility rates were recorded for the cephalosporin group of antibiotics. Specifically, </w:t>
      </w:r>
      <w:r w:rsidR="00EC3960" w:rsidRPr="00CC1F50">
        <w:rPr>
          <w:rStyle w:val="Strong"/>
          <w:b w:val="0"/>
          <w:color w:val="000000" w:themeColor="text1"/>
        </w:rPr>
        <w:t>cephalexin</w:t>
      </w:r>
      <w:r w:rsidR="00EC3960" w:rsidRPr="00CC1F50">
        <w:rPr>
          <w:color w:val="000000" w:themeColor="text1"/>
        </w:rPr>
        <w:t xml:space="preserve"> showed 36 % susceptibility, </w:t>
      </w:r>
      <w:r w:rsidR="00EC3960" w:rsidRPr="00CC1F50">
        <w:rPr>
          <w:rStyle w:val="Strong"/>
          <w:b w:val="0"/>
          <w:color w:val="000000" w:themeColor="text1"/>
        </w:rPr>
        <w:t>cefuroxime</w:t>
      </w:r>
      <w:r w:rsidR="00EC3960" w:rsidRPr="00CC1F50">
        <w:rPr>
          <w:color w:val="000000" w:themeColor="text1"/>
        </w:rPr>
        <w:t xml:space="preserve"> demonstrated 21 %, and </w:t>
      </w:r>
      <w:r w:rsidR="00EC3960" w:rsidRPr="00CC1F50">
        <w:rPr>
          <w:rStyle w:val="Strong"/>
          <w:b w:val="0"/>
          <w:color w:val="000000" w:themeColor="text1"/>
        </w:rPr>
        <w:t>cefepime</w:t>
      </w:r>
      <w:r w:rsidR="00EC3960" w:rsidRPr="00CC1F50">
        <w:rPr>
          <w:color w:val="000000" w:themeColor="text1"/>
        </w:rPr>
        <w:t xml:space="preserve"> recorded the lowest susceptibility rate at 10 %. When stratified by general bacterial classification, carbapenem susceptibility remained consistently high among both Gram-positive and Gram-negative isolates. Conversely, cephalosporins exhibited limited in vitro activity across multiple species, with particularly low susceptibility observed for cefepime. In accordance with standard scientific reporting conventions, these findings are presented descriptively without interpretative commentary. Detailed analysis and contextual interpretation of the observed susceptibility patterns are provided in the Discussion section.</w:t>
      </w:r>
    </w:p>
    <w:p w:rsidR="00B12B9F" w:rsidRPr="00CC1F50" w:rsidRDefault="00B12B9F" w:rsidP="00CC1F50">
      <w:pPr>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T</w:t>
      </w:r>
      <w:r w:rsidR="00733125" w:rsidRPr="00CC1F50">
        <w:rPr>
          <w:rFonts w:ascii="Times New Roman" w:hAnsi="Times New Roman" w:cs="Times New Roman"/>
          <w:b/>
          <w:color w:val="000000" w:themeColor="text1"/>
          <w:sz w:val="24"/>
          <w:szCs w:val="24"/>
        </w:rPr>
        <w:t xml:space="preserve">able </w:t>
      </w:r>
      <w:r w:rsidRPr="00CC1F50">
        <w:rPr>
          <w:rFonts w:ascii="Times New Roman" w:hAnsi="Times New Roman" w:cs="Times New Roman"/>
          <w:b/>
          <w:color w:val="000000" w:themeColor="text1"/>
          <w:sz w:val="24"/>
          <w:szCs w:val="24"/>
        </w:rPr>
        <w:t>11 Percentage of Bacteria That Are Susceptible to the Antibiotic Agent</w:t>
      </w:r>
    </w:p>
    <w:p w:rsidR="00B12B9F" w:rsidRPr="00CC1F50" w:rsidRDefault="00B12B9F" w:rsidP="00CC1F50">
      <w:pPr>
        <w:jc w:val="both"/>
        <w:rPr>
          <w:rFonts w:ascii="Times New Roman" w:hAnsi="Times New Roman" w:cs="Times New Roman"/>
          <w:color w:val="000000" w:themeColor="text1"/>
          <w:sz w:val="24"/>
          <w:szCs w:val="24"/>
        </w:rPr>
      </w:pPr>
    </w:p>
    <w:tbl>
      <w:tblPr>
        <w:tblW w:w="9900" w:type="dxa"/>
        <w:tblLook w:val="04A0" w:firstRow="1" w:lastRow="0" w:firstColumn="1" w:lastColumn="0" w:noHBand="0" w:noVBand="1"/>
      </w:tblPr>
      <w:tblGrid>
        <w:gridCol w:w="1723"/>
        <w:gridCol w:w="1787"/>
        <w:gridCol w:w="1607"/>
        <w:gridCol w:w="1633"/>
        <w:gridCol w:w="1620"/>
        <w:gridCol w:w="1530"/>
      </w:tblGrid>
      <w:tr w:rsidR="00CC1F50" w:rsidRPr="00CC1F50" w:rsidTr="00B12B9F">
        <w:tc>
          <w:tcPr>
            <w:tcW w:w="1723"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Bacteria</w:t>
            </w:r>
          </w:p>
        </w:tc>
        <w:tc>
          <w:tcPr>
            <w:tcW w:w="178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Ciprofloxacin</w:t>
            </w:r>
          </w:p>
        </w:tc>
        <w:tc>
          <w:tcPr>
            <w:tcW w:w="1607"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Ertapenem</w:t>
            </w:r>
          </w:p>
        </w:tc>
        <w:tc>
          <w:tcPr>
            <w:tcW w:w="1633"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Cefuroxime</w:t>
            </w:r>
          </w:p>
        </w:tc>
        <w:tc>
          <w:tcPr>
            <w:tcW w:w="162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proofErr w:type="spellStart"/>
            <w:r w:rsidRPr="00CC1F50">
              <w:rPr>
                <w:rFonts w:ascii="Times New Roman" w:hAnsi="Times New Roman" w:cs="Times New Roman"/>
                <w:color w:val="000000" w:themeColor="text1"/>
                <w:sz w:val="24"/>
                <w:szCs w:val="24"/>
              </w:rPr>
              <w:t>Cefaloxin</w:t>
            </w:r>
            <w:proofErr w:type="spellEnd"/>
          </w:p>
        </w:tc>
        <w:tc>
          <w:tcPr>
            <w:tcW w:w="1530" w:type="dxa"/>
            <w:tcBorders>
              <w:top w:val="single" w:sz="4" w:space="0" w:color="auto"/>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Cefepime</w:t>
            </w:r>
          </w:p>
        </w:tc>
      </w:tr>
      <w:tr w:rsidR="00CC1F50" w:rsidRPr="00CC1F50" w:rsidTr="00B12B9F">
        <w:tc>
          <w:tcPr>
            <w:tcW w:w="1723"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Escherichia coli (14)</w:t>
            </w:r>
          </w:p>
        </w:tc>
        <w:tc>
          <w:tcPr>
            <w:tcW w:w="178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(35, 7 %)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9 (64.3 %)</w:t>
            </w:r>
          </w:p>
        </w:tc>
        <w:tc>
          <w:tcPr>
            <w:tcW w:w="1607"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14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2 (14.3 %)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12 (85.7 %)</w:t>
            </w:r>
          </w:p>
        </w:tc>
        <w:tc>
          <w:tcPr>
            <w:tcW w:w="162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(35.7 %)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9 (84.3 %)</w:t>
            </w:r>
          </w:p>
        </w:tc>
        <w:tc>
          <w:tcPr>
            <w:tcW w:w="1530" w:type="dxa"/>
            <w:tcBorders>
              <w:top w:val="single" w:sz="4" w:space="0" w:color="auto"/>
              <w:left w:val="nil"/>
              <w:bottom w:val="nil"/>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 (7.1 %)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13(92.9%)</w:t>
            </w:r>
          </w:p>
        </w:tc>
      </w:tr>
      <w:tr w:rsidR="00CC1F50" w:rsidRPr="00CC1F50" w:rsidTr="00B12B9F">
        <w:tc>
          <w:tcPr>
            <w:tcW w:w="172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 xml:space="preserve">Streptococcus </w:t>
            </w:r>
            <w:r w:rsidRPr="00CC1F50">
              <w:rPr>
                <w:rFonts w:ascii="Times New Roman" w:hAnsi="Times New Roman" w:cs="Times New Roman"/>
                <w:color w:val="000000" w:themeColor="text1"/>
                <w:sz w:val="24"/>
                <w:szCs w:val="24"/>
              </w:rPr>
              <w:t>species (13)</w:t>
            </w:r>
          </w:p>
        </w:tc>
        <w:tc>
          <w:tcPr>
            <w:tcW w:w="178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13 (100%)</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0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13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0 (0%)</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13 (100 %)</w:t>
            </w:r>
          </w:p>
        </w:tc>
        <w:tc>
          <w:tcPr>
            <w:tcW w:w="162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 (30.8 %)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9 (69.2 %)</w:t>
            </w:r>
          </w:p>
        </w:tc>
        <w:tc>
          <w:tcPr>
            <w:tcW w:w="153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S 0 </w:t>
            </w:r>
            <w:proofErr w:type="gramStart"/>
            <w:r w:rsidRPr="00CC1F50">
              <w:rPr>
                <w:rFonts w:ascii="Times New Roman" w:hAnsi="Times New Roman" w:cs="Times New Roman"/>
                <w:color w:val="000000" w:themeColor="text1"/>
                <w:sz w:val="24"/>
                <w:szCs w:val="24"/>
              </w:rPr>
              <w:t>( 0</w:t>
            </w:r>
            <w:proofErr w:type="gramEnd"/>
            <w:r w:rsidRPr="00CC1F50">
              <w:rPr>
                <w:rFonts w:ascii="Times New Roman" w:hAnsi="Times New Roman" w:cs="Times New Roman"/>
                <w:color w:val="000000" w:themeColor="text1"/>
                <w:sz w:val="24"/>
                <w:szCs w:val="24"/>
              </w:rPr>
              <w:t xml:space="preserve"> %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13 (100 %)</w:t>
            </w:r>
          </w:p>
        </w:tc>
      </w:tr>
      <w:tr w:rsidR="00CC1F50" w:rsidRPr="00CC1F50" w:rsidTr="00B12B9F">
        <w:tc>
          <w:tcPr>
            <w:tcW w:w="172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Staphylococcus</w:t>
            </w:r>
            <w:r w:rsidRPr="00CC1F50">
              <w:rPr>
                <w:rFonts w:ascii="Times New Roman" w:hAnsi="Times New Roman" w:cs="Times New Roman"/>
                <w:color w:val="000000" w:themeColor="text1"/>
                <w:sz w:val="24"/>
                <w:szCs w:val="24"/>
              </w:rPr>
              <w:t xml:space="preserve"> species (41)</w:t>
            </w:r>
          </w:p>
        </w:tc>
        <w:tc>
          <w:tcPr>
            <w:tcW w:w="178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29 (70.7 %)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12 (29.3 %)</w:t>
            </w:r>
          </w:p>
        </w:tc>
        <w:tc>
          <w:tcPr>
            <w:tcW w:w="160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41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10(24.4 %)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31(75.6 %)</w:t>
            </w:r>
          </w:p>
        </w:tc>
        <w:tc>
          <w:tcPr>
            <w:tcW w:w="162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14 (34.1 %)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R27 (65.9 %)</w:t>
            </w:r>
          </w:p>
        </w:tc>
        <w:tc>
          <w:tcPr>
            <w:tcW w:w="153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2 (4.9 %)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39 (95.1%)</w:t>
            </w:r>
          </w:p>
        </w:tc>
      </w:tr>
      <w:tr w:rsidR="00CC1F50" w:rsidRPr="00CC1F50" w:rsidTr="00B12B9F">
        <w:tc>
          <w:tcPr>
            <w:tcW w:w="172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Klebsiella</w:t>
            </w:r>
            <w:r w:rsidRPr="00CC1F50">
              <w:rPr>
                <w:rFonts w:ascii="Times New Roman" w:hAnsi="Times New Roman" w:cs="Times New Roman"/>
                <w:color w:val="000000" w:themeColor="text1"/>
                <w:sz w:val="24"/>
                <w:szCs w:val="24"/>
              </w:rPr>
              <w:t xml:space="preserve"> species (15)</w:t>
            </w:r>
          </w:p>
        </w:tc>
        <w:tc>
          <w:tcPr>
            <w:tcW w:w="178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14 (93.3 %)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 (2.4 %)</w:t>
            </w:r>
          </w:p>
        </w:tc>
        <w:tc>
          <w:tcPr>
            <w:tcW w:w="160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15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O (0 %)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R15 (100 %)</w:t>
            </w:r>
          </w:p>
        </w:tc>
        <w:tc>
          <w:tcPr>
            <w:tcW w:w="162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6 (40 %)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R9 (60 %)</w:t>
            </w:r>
          </w:p>
        </w:tc>
        <w:tc>
          <w:tcPr>
            <w:tcW w:w="153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0 (0 %)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15 (100 %)</w:t>
            </w:r>
          </w:p>
        </w:tc>
      </w:tr>
      <w:tr w:rsidR="00CC1F50" w:rsidRPr="00CC1F50" w:rsidTr="00B12B9F">
        <w:tc>
          <w:tcPr>
            <w:tcW w:w="172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t>Proteus</w:t>
            </w:r>
            <w:r w:rsidRPr="00CC1F50">
              <w:rPr>
                <w:rFonts w:ascii="Times New Roman" w:hAnsi="Times New Roman" w:cs="Times New Roman"/>
                <w:color w:val="000000" w:themeColor="text1"/>
                <w:sz w:val="24"/>
                <w:szCs w:val="24"/>
              </w:rPr>
              <w:t xml:space="preserve"> species (5)</w:t>
            </w:r>
          </w:p>
        </w:tc>
        <w:tc>
          <w:tcPr>
            <w:tcW w:w="178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07"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33"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5 (100 %)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0 (0 %)</w:t>
            </w:r>
          </w:p>
        </w:tc>
        <w:tc>
          <w:tcPr>
            <w:tcW w:w="162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 (80 %)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 (20 %)</w:t>
            </w:r>
          </w:p>
        </w:tc>
        <w:tc>
          <w:tcPr>
            <w:tcW w:w="1530" w:type="dxa"/>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 (80 %)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 (20 %)</w:t>
            </w:r>
          </w:p>
        </w:tc>
      </w:tr>
      <w:tr w:rsidR="00CC1F50" w:rsidRPr="00CC1F50" w:rsidTr="00B12B9F">
        <w:tc>
          <w:tcPr>
            <w:tcW w:w="1723"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i/>
                <w:color w:val="000000" w:themeColor="text1"/>
                <w:sz w:val="24"/>
                <w:szCs w:val="24"/>
              </w:rPr>
              <w:lastRenderedPageBreak/>
              <w:t xml:space="preserve">Pseudomonas </w:t>
            </w:r>
            <w:r w:rsidRPr="00CC1F50">
              <w:rPr>
                <w:rFonts w:ascii="Times New Roman" w:hAnsi="Times New Roman" w:cs="Times New Roman"/>
                <w:color w:val="000000" w:themeColor="text1"/>
                <w:sz w:val="24"/>
                <w:szCs w:val="24"/>
              </w:rPr>
              <w:t>species (12)</w:t>
            </w:r>
          </w:p>
        </w:tc>
        <w:tc>
          <w:tcPr>
            <w:tcW w:w="1787"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S 9 (75 </w:t>
            </w:r>
            <w:proofErr w:type="gramStart"/>
            <w:r w:rsidRPr="00CC1F50">
              <w:rPr>
                <w:rFonts w:ascii="Times New Roman" w:hAnsi="Times New Roman" w:cs="Times New Roman"/>
                <w:color w:val="000000" w:themeColor="text1"/>
                <w:sz w:val="24"/>
                <w:szCs w:val="24"/>
              </w:rPr>
              <w:t>% )</w:t>
            </w:r>
            <w:proofErr w:type="gramEnd"/>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3 (25 %)</w:t>
            </w:r>
          </w:p>
        </w:tc>
        <w:tc>
          <w:tcPr>
            <w:tcW w:w="1607"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11 (91.7 %)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1 (8.3 %)</w:t>
            </w:r>
          </w:p>
        </w:tc>
        <w:tc>
          <w:tcPr>
            <w:tcW w:w="1633"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4 (33.3 %)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R8 (66.7 %)</w:t>
            </w:r>
          </w:p>
        </w:tc>
        <w:tc>
          <w:tcPr>
            <w:tcW w:w="1620"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3 (25 %)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 9 (75 %)</w:t>
            </w:r>
          </w:p>
        </w:tc>
        <w:tc>
          <w:tcPr>
            <w:tcW w:w="1530" w:type="dxa"/>
            <w:tcBorders>
              <w:top w:val="nil"/>
              <w:left w:val="nil"/>
              <w:bottom w:val="single" w:sz="4" w:space="0" w:color="auto"/>
              <w:right w:val="nil"/>
            </w:tcBorders>
            <w:hideMark/>
          </w:tcPr>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S 3 (25 %)</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R9 (75 %)</w:t>
            </w:r>
          </w:p>
        </w:tc>
      </w:tr>
    </w:tbl>
    <w:p w:rsidR="00B12B9F" w:rsidRPr="00CC1F50" w:rsidRDefault="00B12B9F" w:rsidP="00CC1F50">
      <w:pPr>
        <w:spacing w:line="480" w:lineRule="auto"/>
        <w:jc w:val="both"/>
        <w:rPr>
          <w:rFonts w:ascii="Times New Roman" w:hAnsi="Times New Roman" w:cs="Times New Roman"/>
          <w:color w:val="000000" w:themeColor="text1"/>
          <w:sz w:val="24"/>
          <w:szCs w:val="24"/>
        </w:rPr>
      </w:pPr>
    </w:p>
    <w:p w:rsidR="00B12B9F" w:rsidRPr="00CC1F50" w:rsidRDefault="00B12B9F" w:rsidP="00CC1F50">
      <w:pPr>
        <w:spacing w:line="480" w:lineRule="auto"/>
        <w:jc w:val="both"/>
        <w:rPr>
          <w:rFonts w:ascii="Times New Roman" w:hAnsi="Times New Roman" w:cs="Times New Roman"/>
          <w:b/>
          <w:color w:val="000000" w:themeColor="text1"/>
          <w:sz w:val="24"/>
          <w:szCs w:val="24"/>
        </w:rPr>
      </w:pPr>
      <w:r w:rsidRPr="00CC1F50">
        <w:rPr>
          <w:rFonts w:ascii="Times New Roman" w:hAnsi="Times New Roman" w:cs="Times New Roman"/>
          <w:b/>
          <w:color w:val="000000" w:themeColor="text1"/>
          <w:sz w:val="24"/>
          <w:szCs w:val="24"/>
        </w:rPr>
        <w:t>Keys:</w:t>
      </w:r>
    </w:p>
    <w:p w:rsidR="00B12B9F" w:rsidRPr="00CC1F50" w:rsidRDefault="00B12B9F"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 xml:space="preserve">S = </w:t>
      </w:r>
      <w:proofErr w:type="gramStart"/>
      <w:r w:rsidRPr="00CC1F50">
        <w:rPr>
          <w:rFonts w:ascii="Times New Roman" w:hAnsi="Times New Roman" w:cs="Times New Roman"/>
          <w:color w:val="000000" w:themeColor="text1"/>
          <w:sz w:val="24"/>
          <w:szCs w:val="24"/>
        </w:rPr>
        <w:t xml:space="preserve">Sensitive,   </w:t>
      </w:r>
      <w:proofErr w:type="gramEnd"/>
      <w:r w:rsidRPr="00CC1F50">
        <w:rPr>
          <w:rFonts w:ascii="Times New Roman" w:hAnsi="Times New Roman" w:cs="Times New Roman"/>
          <w:color w:val="000000" w:themeColor="text1"/>
          <w:sz w:val="24"/>
          <w:szCs w:val="24"/>
        </w:rPr>
        <w:t xml:space="preserve">R = Resistant,   B/C = Blood culture,   HVS = High vaginal swab,     T/S  = throat swab,       W/S    = wound swab, ICS = Intra </w:t>
      </w:r>
      <w:proofErr w:type="spellStart"/>
      <w:r w:rsidRPr="00CC1F50">
        <w:rPr>
          <w:rFonts w:ascii="Times New Roman" w:hAnsi="Times New Roman" w:cs="Times New Roman"/>
          <w:color w:val="000000" w:themeColor="text1"/>
          <w:sz w:val="24"/>
          <w:szCs w:val="24"/>
        </w:rPr>
        <w:t>vervical</w:t>
      </w:r>
      <w:proofErr w:type="spellEnd"/>
      <w:r w:rsidRPr="00CC1F50">
        <w:rPr>
          <w:rFonts w:ascii="Times New Roman" w:hAnsi="Times New Roman" w:cs="Times New Roman"/>
          <w:color w:val="000000" w:themeColor="text1"/>
          <w:sz w:val="24"/>
          <w:szCs w:val="24"/>
        </w:rPr>
        <w:t xml:space="preserve"> swab,    - = negative,   -</w:t>
      </w:r>
      <w:proofErr w:type="spellStart"/>
      <w:r w:rsidRPr="00CC1F50">
        <w:rPr>
          <w:rFonts w:ascii="Times New Roman" w:hAnsi="Times New Roman" w:cs="Times New Roman"/>
          <w:color w:val="000000" w:themeColor="text1"/>
          <w:sz w:val="24"/>
          <w:szCs w:val="24"/>
        </w:rPr>
        <w:t>ve</w:t>
      </w:r>
      <w:proofErr w:type="spellEnd"/>
      <w:r w:rsidRPr="00CC1F50">
        <w:rPr>
          <w:rFonts w:ascii="Times New Roman" w:hAnsi="Times New Roman" w:cs="Times New Roman"/>
          <w:color w:val="000000" w:themeColor="text1"/>
          <w:sz w:val="24"/>
          <w:szCs w:val="24"/>
        </w:rPr>
        <w:t xml:space="preserve">  = negative,      + = positive    +</w:t>
      </w:r>
      <w:proofErr w:type="spellStart"/>
      <w:r w:rsidRPr="00CC1F50">
        <w:rPr>
          <w:rFonts w:ascii="Times New Roman" w:hAnsi="Times New Roman" w:cs="Times New Roman"/>
          <w:color w:val="000000" w:themeColor="text1"/>
          <w:sz w:val="24"/>
          <w:szCs w:val="24"/>
        </w:rPr>
        <w:t>ve</w:t>
      </w:r>
      <w:proofErr w:type="spellEnd"/>
      <w:r w:rsidRPr="00CC1F50">
        <w:rPr>
          <w:rFonts w:ascii="Times New Roman" w:hAnsi="Times New Roman" w:cs="Times New Roman"/>
          <w:color w:val="000000" w:themeColor="text1"/>
          <w:sz w:val="24"/>
          <w:szCs w:val="24"/>
        </w:rPr>
        <w:t xml:space="preserve"> = positive, Nm  = Non motile    M = motile     Cat  = Catalase   G RX  = Grams Reaction,   </w:t>
      </w:r>
      <w:proofErr w:type="spellStart"/>
      <w:r w:rsidRPr="00CC1F50">
        <w:rPr>
          <w:rFonts w:ascii="Times New Roman" w:hAnsi="Times New Roman" w:cs="Times New Roman"/>
          <w:color w:val="000000" w:themeColor="text1"/>
          <w:sz w:val="24"/>
          <w:szCs w:val="24"/>
        </w:rPr>
        <w:t>coag</w:t>
      </w:r>
      <w:proofErr w:type="spellEnd"/>
      <w:r w:rsidRPr="00CC1F50">
        <w:rPr>
          <w:rFonts w:ascii="Times New Roman" w:hAnsi="Times New Roman" w:cs="Times New Roman"/>
          <w:color w:val="000000" w:themeColor="text1"/>
          <w:sz w:val="24"/>
          <w:szCs w:val="24"/>
        </w:rPr>
        <w:t xml:space="preserve">.  = coagulase    Oxi.   = Oxidase   Cit.  = Citrate    Mot. Motility </w:t>
      </w:r>
      <w:proofErr w:type="gramStart"/>
      <w:r w:rsidRPr="00CC1F50">
        <w:rPr>
          <w:rFonts w:ascii="Times New Roman" w:hAnsi="Times New Roman" w:cs="Times New Roman"/>
          <w:color w:val="000000" w:themeColor="text1"/>
          <w:sz w:val="24"/>
          <w:szCs w:val="24"/>
        </w:rPr>
        <w:t>Indo  =</w:t>
      </w:r>
      <w:proofErr w:type="gramEnd"/>
      <w:r w:rsidRPr="00CC1F50">
        <w:rPr>
          <w:rFonts w:ascii="Times New Roman" w:hAnsi="Times New Roman" w:cs="Times New Roman"/>
          <w:color w:val="000000" w:themeColor="text1"/>
          <w:sz w:val="24"/>
          <w:szCs w:val="24"/>
        </w:rPr>
        <w:t xml:space="preserve"> Indole     CIP  = Ciprofloxacin     ETP  = Ertapenem    CXM = </w:t>
      </w:r>
      <w:proofErr w:type="spellStart"/>
      <w:r w:rsidRPr="00CC1F50">
        <w:rPr>
          <w:rFonts w:ascii="Times New Roman" w:hAnsi="Times New Roman" w:cs="Times New Roman"/>
          <w:color w:val="000000" w:themeColor="text1"/>
          <w:sz w:val="24"/>
          <w:szCs w:val="24"/>
        </w:rPr>
        <w:t>Cefuroxim</w:t>
      </w:r>
      <w:proofErr w:type="spellEnd"/>
      <w:r w:rsidRPr="00CC1F50">
        <w:rPr>
          <w:rFonts w:ascii="Times New Roman" w:hAnsi="Times New Roman" w:cs="Times New Roman"/>
          <w:color w:val="000000" w:themeColor="text1"/>
          <w:sz w:val="24"/>
          <w:szCs w:val="24"/>
        </w:rPr>
        <w:t xml:space="preserve">     CFX  = </w:t>
      </w:r>
      <w:proofErr w:type="spellStart"/>
      <w:r w:rsidRPr="00CC1F50">
        <w:rPr>
          <w:rFonts w:ascii="Times New Roman" w:hAnsi="Times New Roman" w:cs="Times New Roman"/>
          <w:color w:val="000000" w:themeColor="text1"/>
          <w:sz w:val="24"/>
          <w:szCs w:val="24"/>
        </w:rPr>
        <w:t>Cefaloxin</w:t>
      </w:r>
      <w:proofErr w:type="spellEnd"/>
      <w:r w:rsidRPr="00CC1F50">
        <w:rPr>
          <w:rFonts w:ascii="Times New Roman" w:hAnsi="Times New Roman" w:cs="Times New Roman"/>
          <w:color w:val="000000" w:themeColor="text1"/>
          <w:sz w:val="24"/>
          <w:szCs w:val="24"/>
        </w:rPr>
        <w:t xml:space="preserve">  FEF  = Cefepime</w:t>
      </w:r>
    </w:p>
    <w:p w:rsidR="00B12B9F" w:rsidRPr="00CC1F50" w:rsidRDefault="00733125" w:rsidP="00CC1F50">
      <w:pPr>
        <w:spacing w:line="480" w:lineRule="auto"/>
        <w:jc w:val="both"/>
        <w:rPr>
          <w:rFonts w:ascii="Times New Roman" w:hAnsi="Times New Roman" w:cs="Times New Roman"/>
          <w:color w:val="000000" w:themeColor="text1"/>
          <w:sz w:val="24"/>
          <w:szCs w:val="24"/>
        </w:rPr>
      </w:pPr>
      <w:r w:rsidRPr="00CC1F50">
        <w:rPr>
          <w:rFonts w:ascii="Times New Roman" w:hAnsi="Times New Roman" w:cs="Times New Roman"/>
          <w:color w:val="000000" w:themeColor="text1"/>
          <w:sz w:val="24"/>
          <w:szCs w:val="24"/>
        </w:rPr>
        <w:t>Mm   = millimeter</w:t>
      </w:r>
    </w:p>
    <w:p w:rsidR="00CC1F50" w:rsidRPr="00CC1F50" w:rsidRDefault="00CC1F50" w:rsidP="00CC1F50">
      <w:pPr>
        <w:pStyle w:val="Heading3"/>
        <w:jc w:val="both"/>
        <w:rPr>
          <w:color w:val="000000" w:themeColor="text1"/>
          <w:sz w:val="24"/>
          <w:szCs w:val="24"/>
        </w:rPr>
      </w:pPr>
      <w:r w:rsidRPr="00CC1F50">
        <w:rPr>
          <w:color w:val="000000" w:themeColor="text1"/>
          <w:sz w:val="24"/>
          <w:szCs w:val="24"/>
        </w:rPr>
        <w:t>4. Discussion</w:t>
      </w:r>
    </w:p>
    <w:p w:rsidR="003D69DD" w:rsidRPr="003D69DD" w:rsidRDefault="003D69DD" w:rsidP="003D69DD">
      <w:pPr>
        <w:spacing w:before="100" w:beforeAutospacing="1" w:after="100" w:afterAutospacing="1" w:line="240" w:lineRule="auto"/>
        <w:jc w:val="both"/>
        <w:rPr>
          <w:rFonts w:ascii="Times New Roman" w:eastAsia="Times New Roman" w:hAnsi="Times New Roman" w:cs="Times New Roman"/>
          <w:sz w:val="24"/>
          <w:szCs w:val="24"/>
        </w:rPr>
      </w:pPr>
      <w:r w:rsidRPr="003D69DD">
        <w:rPr>
          <w:rFonts w:ascii="Times New Roman" w:eastAsia="Times New Roman" w:hAnsi="Times New Roman" w:cs="Times New Roman"/>
          <w:sz w:val="24"/>
          <w:szCs w:val="24"/>
        </w:rPr>
        <w:t xml:space="preserve">The present study evaluated the distribution and antimicrobial susceptibility patterns of bacterial isolates recovered from various clinical specimens. A total of 100 bacterial isolates were </w:t>
      </w:r>
      <w:proofErr w:type="spellStart"/>
      <w:r w:rsidRPr="003D69DD">
        <w:rPr>
          <w:rFonts w:ascii="Times New Roman" w:eastAsia="Times New Roman" w:hAnsi="Times New Roman" w:cs="Times New Roman"/>
          <w:sz w:val="24"/>
          <w:szCs w:val="24"/>
        </w:rPr>
        <w:t>analysed</w:t>
      </w:r>
      <w:proofErr w:type="spellEnd"/>
      <w:r w:rsidRPr="003D69DD">
        <w:rPr>
          <w:rFonts w:ascii="Times New Roman" w:eastAsia="Times New Roman" w:hAnsi="Times New Roman" w:cs="Times New Roman"/>
          <w:sz w:val="24"/>
          <w:szCs w:val="24"/>
        </w:rPr>
        <w:t xml:space="preserve">, with </w:t>
      </w:r>
      <w:r w:rsidRPr="003D69DD">
        <w:rPr>
          <w:rFonts w:ascii="Times New Roman" w:eastAsia="Times New Roman" w:hAnsi="Times New Roman" w:cs="Times New Roman"/>
          <w:i/>
          <w:iCs/>
          <w:sz w:val="24"/>
          <w:szCs w:val="24"/>
        </w:rPr>
        <w:t>Staphylococcus</w:t>
      </w:r>
      <w:r w:rsidRPr="003D69DD">
        <w:rPr>
          <w:rFonts w:ascii="Times New Roman" w:eastAsia="Times New Roman" w:hAnsi="Times New Roman" w:cs="Times New Roman"/>
          <w:sz w:val="24"/>
          <w:szCs w:val="24"/>
        </w:rPr>
        <w:t xml:space="preserve"> species representing the most prevalent </w:t>
      </w:r>
      <w:r w:rsidR="00B06380">
        <w:rPr>
          <w:rFonts w:ascii="Times New Roman" w:eastAsia="Times New Roman" w:hAnsi="Times New Roman" w:cs="Times New Roman"/>
          <w:sz w:val="24"/>
          <w:szCs w:val="24"/>
        </w:rPr>
        <w:t>bacteria</w:t>
      </w:r>
      <w:r w:rsidRPr="003D69DD">
        <w:rPr>
          <w:rFonts w:ascii="Times New Roman" w:eastAsia="Times New Roman" w:hAnsi="Times New Roman" w:cs="Times New Roman"/>
          <w:sz w:val="24"/>
          <w:szCs w:val="24"/>
        </w:rPr>
        <w:t xml:space="preserve"> (41%), followed by </w:t>
      </w:r>
      <w:r w:rsidRPr="003D69DD">
        <w:rPr>
          <w:rFonts w:ascii="Times New Roman" w:eastAsia="Times New Roman" w:hAnsi="Times New Roman" w:cs="Times New Roman"/>
          <w:i/>
          <w:iCs/>
          <w:sz w:val="24"/>
          <w:szCs w:val="24"/>
        </w:rPr>
        <w:t>Klebsiella</w:t>
      </w:r>
      <w:r w:rsidRPr="003D69DD">
        <w:rPr>
          <w:rFonts w:ascii="Times New Roman" w:eastAsia="Times New Roman" w:hAnsi="Times New Roman" w:cs="Times New Roman"/>
          <w:sz w:val="24"/>
          <w:szCs w:val="24"/>
        </w:rPr>
        <w:t xml:space="preserve"> species (15%), </w:t>
      </w:r>
      <w:r w:rsidRPr="003D69DD">
        <w:rPr>
          <w:rFonts w:ascii="Times New Roman" w:eastAsia="Times New Roman" w:hAnsi="Times New Roman" w:cs="Times New Roman"/>
          <w:i/>
          <w:iCs/>
          <w:sz w:val="24"/>
          <w:szCs w:val="24"/>
        </w:rPr>
        <w:t>Escherichia coli</w:t>
      </w:r>
      <w:r w:rsidRPr="003D69DD">
        <w:rPr>
          <w:rFonts w:ascii="Times New Roman" w:eastAsia="Times New Roman" w:hAnsi="Times New Roman" w:cs="Times New Roman"/>
          <w:sz w:val="24"/>
          <w:szCs w:val="24"/>
        </w:rPr>
        <w:t xml:space="preserve"> (14%), </w:t>
      </w:r>
      <w:r w:rsidRPr="003D69DD">
        <w:rPr>
          <w:rFonts w:ascii="Times New Roman" w:eastAsia="Times New Roman" w:hAnsi="Times New Roman" w:cs="Times New Roman"/>
          <w:i/>
          <w:iCs/>
          <w:sz w:val="24"/>
          <w:szCs w:val="24"/>
        </w:rPr>
        <w:t>Streptococcus</w:t>
      </w:r>
      <w:r w:rsidRPr="003D69DD">
        <w:rPr>
          <w:rFonts w:ascii="Times New Roman" w:eastAsia="Times New Roman" w:hAnsi="Times New Roman" w:cs="Times New Roman"/>
          <w:sz w:val="24"/>
          <w:szCs w:val="24"/>
        </w:rPr>
        <w:t xml:space="preserve"> species (13%), </w:t>
      </w:r>
      <w:r w:rsidRPr="003D69DD">
        <w:rPr>
          <w:rFonts w:ascii="Times New Roman" w:eastAsia="Times New Roman" w:hAnsi="Times New Roman" w:cs="Times New Roman"/>
          <w:i/>
          <w:iCs/>
          <w:sz w:val="24"/>
          <w:szCs w:val="24"/>
        </w:rPr>
        <w:t>Pseudomonas</w:t>
      </w:r>
      <w:r w:rsidRPr="003D69DD">
        <w:rPr>
          <w:rFonts w:ascii="Times New Roman" w:eastAsia="Times New Roman" w:hAnsi="Times New Roman" w:cs="Times New Roman"/>
          <w:sz w:val="24"/>
          <w:szCs w:val="24"/>
        </w:rPr>
        <w:t xml:space="preserve"> species (12%), and </w:t>
      </w:r>
      <w:r w:rsidRPr="003D69DD">
        <w:rPr>
          <w:rFonts w:ascii="Times New Roman" w:eastAsia="Times New Roman" w:hAnsi="Times New Roman" w:cs="Times New Roman"/>
          <w:i/>
          <w:iCs/>
          <w:sz w:val="24"/>
          <w:szCs w:val="24"/>
        </w:rPr>
        <w:t>Proteus</w:t>
      </w:r>
      <w:r w:rsidRPr="003D69DD">
        <w:rPr>
          <w:rFonts w:ascii="Times New Roman" w:eastAsia="Times New Roman" w:hAnsi="Times New Roman" w:cs="Times New Roman"/>
          <w:sz w:val="24"/>
          <w:szCs w:val="24"/>
        </w:rPr>
        <w:t xml:space="preserve"> species (5%)</w:t>
      </w:r>
      <w:r>
        <w:rPr>
          <w:rFonts w:ascii="Times New Roman" w:eastAsia="Times New Roman" w:hAnsi="Times New Roman" w:cs="Times New Roman"/>
          <w:sz w:val="24"/>
          <w:szCs w:val="24"/>
        </w:rPr>
        <w:t xml:space="preserve"> (Table 1)</w:t>
      </w:r>
      <w:r w:rsidRPr="003D69DD">
        <w:rPr>
          <w:rFonts w:ascii="Times New Roman" w:eastAsia="Times New Roman" w:hAnsi="Times New Roman" w:cs="Times New Roman"/>
          <w:sz w:val="24"/>
          <w:szCs w:val="24"/>
        </w:rPr>
        <w:t xml:space="preserve">. </w:t>
      </w:r>
    </w:p>
    <w:p w:rsidR="003D69DD" w:rsidRPr="003D69DD" w:rsidRDefault="003D69DD" w:rsidP="003D69DD">
      <w:pPr>
        <w:spacing w:after="0" w:line="240" w:lineRule="auto"/>
        <w:jc w:val="both"/>
        <w:rPr>
          <w:rFonts w:ascii="Times New Roman" w:eastAsia="Times New Roman" w:hAnsi="Times New Roman" w:cs="Times New Roman"/>
          <w:sz w:val="24"/>
          <w:szCs w:val="24"/>
        </w:rPr>
      </w:pPr>
      <w:r w:rsidRPr="003D69DD">
        <w:rPr>
          <w:rFonts w:ascii="Times New Roman" w:eastAsia="Times New Roman" w:hAnsi="Times New Roman" w:cs="Times New Roman"/>
          <w:sz w:val="24"/>
          <w:szCs w:val="24"/>
        </w:rPr>
        <w:t xml:space="preserve">The predominance of </w:t>
      </w:r>
      <w:r w:rsidRPr="003D69DD">
        <w:rPr>
          <w:rFonts w:ascii="Times New Roman" w:eastAsia="Times New Roman" w:hAnsi="Times New Roman" w:cs="Times New Roman"/>
          <w:i/>
          <w:iCs/>
          <w:sz w:val="24"/>
          <w:szCs w:val="24"/>
        </w:rPr>
        <w:t>Staphylococcus</w:t>
      </w:r>
      <w:r w:rsidRPr="003D69DD">
        <w:rPr>
          <w:rFonts w:ascii="Times New Roman" w:eastAsia="Times New Roman" w:hAnsi="Times New Roman" w:cs="Times New Roman"/>
          <w:sz w:val="24"/>
          <w:szCs w:val="24"/>
        </w:rPr>
        <w:t xml:space="preserve"> species observed in this study is consistent with previous reports indicating that </w:t>
      </w:r>
      <w:r>
        <w:rPr>
          <w:rFonts w:ascii="Times New Roman" w:eastAsia="Times New Roman" w:hAnsi="Times New Roman" w:cs="Times New Roman"/>
          <w:i/>
          <w:sz w:val="24"/>
          <w:szCs w:val="24"/>
        </w:rPr>
        <w:t>S</w:t>
      </w:r>
      <w:r w:rsidRPr="003D69DD">
        <w:rPr>
          <w:rFonts w:ascii="Times New Roman" w:eastAsia="Times New Roman" w:hAnsi="Times New Roman" w:cs="Times New Roman"/>
          <w:i/>
          <w:sz w:val="24"/>
          <w:szCs w:val="24"/>
        </w:rPr>
        <w:t>taphylococci</w:t>
      </w:r>
      <w:r w:rsidRPr="003D69DD">
        <w:rPr>
          <w:rFonts w:ascii="Times New Roman" w:eastAsia="Times New Roman" w:hAnsi="Times New Roman" w:cs="Times New Roman"/>
          <w:sz w:val="24"/>
          <w:szCs w:val="24"/>
        </w:rPr>
        <w:t xml:space="preserve"> remain major causative agents of both community-acquired and hospital-associated infections, particularly in wound, bloodstream, and urogenital infections (Tong et al., 2015). Analysis of the antimicrobial susceptibility patterns demonstrated that most isolates exhibited high susceptibility to ertapenem and ciprofloxacin, while reduced susceptibility and frequent resistance were observed with cephalosporins, particularly cefepime. The preserved activity of ertapenem against a wide range of isolates suggests that carbapenems remain highly effective therapeutic agents for severe bacterial infections in this setting. Similar findings have been reported in several studies where carbapenems retained strong activity against multidrug-resistant Gram-negative bacteria (Nordmann et al., 2011). In contrast, the increased resistance observed against cephalosporins may reflect the growing global burden of β-lactam resistance among both Gram-positive and Gram-negative pathogens, which has been associated with the </w:t>
      </w:r>
      <w:r w:rsidRPr="003D69DD">
        <w:rPr>
          <w:rFonts w:ascii="Times New Roman" w:eastAsia="Times New Roman" w:hAnsi="Times New Roman" w:cs="Times New Roman"/>
          <w:sz w:val="24"/>
          <w:szCs w:val="24"/>
        </w:rPr>
        <w:lastRenderedPageBreak/>
        <w:t xml:space="preserve">production of extended-spectrum β-lactamases and other resistance mechanisms (Paterson and Bonomo, 2005). The continued susceptibility to ciprofloxacin observed among many isolates suggests that fluoroquinolones may still provide useful therapeutic options; however, careful antibiotic stewardship is essential to prevent further emergence of resistance (Hooper and Jacoby, 2016). Overall, these findings </w:t>
      </w:r>
      <w:proofErr w:type="spellStart"/>
      <w:r w:rsidRPr="003D69DD">
        <w:rPr>
          <w:rFonts w:ascii="Times New Roman" w:eastAsia="Times New Roman" w:hAnsi="Times New Roman" w:cs="Times New Roman"/>
          <w:sz w:val="24"/>
          <w:szCs w:val="24"/>
        </w:rPr>
        <w:t>emphasise</w:t>
      </w:r>
      <w:proofErr w:type="spellEnd"/>
      <w:r w:rsidRPr="003D69DD">
        <w:rPr>
          <w:rFonts w:ascii="Times New Roman" w:eastAsia="Times New Roman" w:hAnsi="Times New Roman" w:cs="Times New Roman"/>
          <w:sz w:val="24"/>
          <w:szCs w:val="24"/>
        </w:rPr>
        <w:t xml:space="preserve"> the importance of continuous antimicrobial surveillance and rational antibiotic use in order to guide empirical therapy and limit the spread of antimicrobial resistance.</w:t>
      </w:r>
    </w:p>
    <w:p w:rsidR="00F90356" w:rsidRPr="00CC1F50" w:rsidRDefault="00CC1F50" w:rsidP="00CC1F50">
      <w:pPr>
        <w:pStyle w:val="NormalWeb"/>
        <w:jc w:val="both"/>
        <w:rPr>
          <w:color w:val="000000" w:themeColor="text1"/>
        </w:rPr>
      </w:pPr>
      <w:r w:rsidRPr="00CC1F50">
        <w:rPr>
          <w:color w:val="000000" w:themeColor="text1"/>
        </w:rPr>
        <w:t>The present study provides important insight into the current antimicrobial susceptibility landscape within a tertiary healthcare institution in Southern Nigeria. Antimicrobial resistance has become one of the most pressing challenges confronting modern clinical practice, particularly in low- and middle-income countries where diagnostic resources, surveillance infrastructure, and antibiotic regulation may be limited. The findings from this investigation therefore</w:t>
      </w:r>
      <w:r w:rsidR="00F90356">
        <w:rPr>
          <w:color w:val="000000" w:themeColor="text1"/>
        </w:rPr>
        <w:t>,</w:t>
      </w:r>
      <w:r w:rsidRPr="00CC1F50">
        <w:rPr>
          <w:color w:val="000000" w:themeColor="text1"/>
        </w:rPr>
        <w:t xml:space="preserve"> contribute valuable locally generated data that can guide clinical decision-making and support institutional antimicrobial stewardship initiatives.</w:t>
      </w:r>
    </w:p>
    <w:p w:rsidR="00CC1F50" w:rsidRPr="00CC1F50" w:rsidRDefault="003D69DD" w:rsidP="00CC1F50">
      <w:pPr>
        <w:pStyle w:val="NormalWeb"/>
        <w:jc w:val="both"/>
        <w:rPr>
          <w:color w:val="000000" w:themeColor="text1"/>
        </w:rPr>
      </w:pPr>
      <w:r>
        <w:rPr>
          <w:color w:val="000000" w:themeColor="text1"/>
        </w:rPr>
        <w:t>T</w:t>
      </w:r>
      <w:r w:rsidR="00CC1F50" w:rsidRPr="00CC1F50">
        <w:rPr>
          <w:color w:val="000000" w:themeColor="text1"/>
        </w:rPr>
        <w:t xml:space="preserve">he results indicate that carbapenems, particularly ertapenem, continue to demonstrate substantial </w:t>
      </w:r>
      <w:r w:rsidR="00CC1F50" w:rsidRPr="00F90356">
        <w:rPr>
          <w:rStyle w:val="Strong"/>
          <w:b w:val="0"/>
          <w:color w:val="000000" w:themeColor="text1"/>
        </w:rPr>
        <w:t>in vitro</w:t>
      </w:r>
      <w:r w:rsidR="00CC1F50" w:rsidRPr="00CC1F50">
        <w:rPr>
          <w:color w:val="000000" w:themeColor="text1"/>
        </w:rPr>
        <w:t xml:space="preserve"> efficacy against a broad range of clinical bacterial isolates recovered during the study period. This observation is clinically meaningful in the context of the escalating global burden of carbapenem-resistant </w:t>
      </w:r>
      <w:r w:rsidR="00B06380">
        <w:rPr>
          <w:color w:val="000000" w:themeColor="text1"/>
        </w:rPr>
        <w:t>bacteria</w:t>
      </w:r>
      <w:r w:rsidR="00CC1F50" w:rsidRPr="00CC1F50">
        <w:rPr>
          <w:color w:val="000000" w:themeColor="text1"/>
        </w:rPr>
        <w:t xml:space="preserve">, which have been associated with limited therapeutic options, prolonged </w:t>
      </w:r>
      <w:proofErr w:type="spellStart"/>
      <w:r w:rsidR="00CC1F50" w:rsidRPr="00CC1F50">
        <w:rPr>
          <w:color w:val="000000" w:themeColor="text1"/>
        </w:rPr>
        <w:t>hospitalisation</w:t>
      </w:r>
      <w:proofErr w:type="spellEnd"/>
      <w:r w:rsidR="00CC1F50" w:rsidRPr="00CC1F50">
        <w:rPr>
          <w:color w:val="000000" w:themeColor="text1"/>
        </w:rPr>
        <w:t xml:space="preserve">, and increased mortality (Carlet et al., 2011). Carbapenems are widely regarded as “last-line” antibiotics for the treatment of infections caused by multidrug-resistant Gram-negative bacteria, particularly members of the family </w:t>
      </w:r>
      <w:r w:rsidR="00CC1F50" w:rsidRPr="00CC1F50">
        <w:rPr>
          <w:rStyle w:val="Emphasis"/>
          <w:color w:val="000000" w:themeColor="text1"/>
        </w:rPr>
        <w:t>Enterobacteriaceae</w:t>
      </w:r>
      <w:r w:rsidR="00CC1F50" w:rsidRPr="00CC1F50">
        <w:rPr>
          <w:color w:val="000000" w:themeColor="text1"/>
        </w:rPr>
        <w:t>. The preservation of carbapenem activity in this healthcare setting suggests that these agents remain reliable therapeutic options for severe or complicated infections when appropriately indicated.</w:t>
      </w:r>
    </w:p>
    <w:p w:rsidR="00CC1F50" w:rsidRPr="00CC1F50" w:rsidRDefault="00CC1F50" w:rsidP="00CC1F50">
      <w:pPr>
        <w:pStyle w:val="NormalWeb"/>
        <w:jc w:val="both"/>
        <w:rPr>
          <w:color w:val="000000" w:themeColor="text1"/>
        </w:rPr>
      </w:pPr>
      <w:r w:rsidRPr="00CC1F50">
        <w:rPr>
          <w:color w:val="000000" w:themeColor="text1"/>
        </w:rPr>
        <w:t xml:space="preserve">The notably high susceptibility rate to ertapenem (99 %) observed in this study implies that carbapenem resistance remains relatively infrequent within the institution where the study was conducted. Several factors may contribute to this </w:t>
      </w:r>
      <w:proofErr w:type="spellStart"/>
      <w:r w:rsidRPr="00CC1F50">
        <w:rPr>
          <w:color w:val="000000" w:themeColor="text1"/>
        </w:rPr>
        <w:t>favourable</w:t>
      </w:r>
      <w:proofErr w:type="spellEnd"/>
      <w:r w:rsidRPr="00CC1F50">
        <w:rPr>
          <w:color w:val="000000" w:themeColor="text1"/>
        </w:rPr>
        <w:t xml:space="preserve"> susceptibility pattern. One plausible explanation may be the restricted availability and controlled clinical use of carbapenems in many Nigerian healthcare facilities. Due to their relatively high cost and their classification as reserve antibiotics, carbapenems are often prescribed only after failure of other antimicrobial agents or when laboratory results indicate multidrug resistance. Similar patterns have been reported in other resource-limited environments where restricted access to carbapenems inadvertently slows the development of resistance (Hawser et al., 2012). Reduced selective pressure resulting from infrequent use may therefore delay the emergence and dissemination of carbapenem-resistant bacterial strains.</w:t>
      </w:r>
    </w:p>
    <w:p w:rsidR="00CC1F50" w:rsidRPr="00CC1F50" w:rsidRDefault="00CC1F50" w:rsidP="00CC1F50">
      <w:pPr>
        <w:pStyle w:val="NormalWeb"/>
        <w:jc w:val="both"/>
        <w:rPr>
          <w:color w:val="000000" w:themeColor="text1"/>
        </w:rPr>
      </w:pPr>
      <w:r w:rsidRPr="00CC1F50">
        <w:rPr>
          <w:color w:val="000000" w:themeColor="text1"/>
        </w:rPr>
        <w:t xml:space="preserve">Nevertheless, the apparent effectiveness of carbapenems in this study should not encourage indiscriminate empirical prescribing. The inappropriate or excessive use of these critically important antimicrobials could rapidly accelerate resistance development. In many parts of the world, </w:t>
      </w:r>
      <w:proofErr w:type="spellStart"/>
      <w:r w:rsidRPr="00CC1F50">
        <w:rPr>
          <w:color w:val="000000" w:themeColor="text1"/>
        </w:rPr>
        <w:t>carbapenemase</w:t>
      </w:r>
      <w:proofErr w:type="spellEnd"/>
      <w:r w:rsidRPr="00CC1F50">
        <w:rPr>
          <w:color w:val="000000" w:themeColor="text1"/>
        </w:rPr>
        <w:t xml:space="preserve">-producing </w:t>
      </w:r>
      <w:r w:rsidR="00B06380">
        <w:rPr>
          <w:color w:val="000000" w:themeColor="text1"/>
        </w:rPr>
        <w:t>bacteria</w:t>
      </w:r>
      <w:r w:rsidRPr="00CC1F50">
        <w:rPr>
          <w:color w:val="000000" w:themeColor="text1"/>
        </w:rPr>
        <w:t xml:space="preserve"> such as </w:t>
      </w:r>
      <w:r w:rsidRPr="00CC1F50">
        <w:rPr>
          <w:rStyle w:val="Emphasis"/>
          <w:color w:val="000000" w:themeColor="text1"/>
        </w:rPr>
        <w:t>Klebsiella pneumoniae</w:t>
      </w:r>
      <w:r w:rsidRPr="00CC1F50">
        <w:rPr>
          <w:color w:val="000000" w:themeColor="text1"/>
        </w:rPr>
        <w:t xml:space="preserve">, </w:t>
      </w:r>
      <w:r w:rsidRPr="00CC1F50">
        <w:rPr>
          <w:rStyle w:val="Emphasis"/>
          <w:color w:val="000000" w:themeColor="text1"/>
        </w:rPr>
        <w:t>Escherichia coli</w:t>
      </w:r>
      <w:r w:rsidRPr="00CC1F50">
        <w:rPr>
          <w:color w:val="000000" w:themeColor="text1"/>
        </w:rPr>
        <w:t xml:space="preserve">, and </w:t>
      </w:r>
      <w:r w:rsidRPr="00CC1F50">
        <w:rPr>
          <w:rStyle w:val="Emphasis"/>
          <w:color w:val="000000" w:themeColor="text1"/>
        </w:rPr>
        <w:t>Acinetobacter baumannii</w:t>
      </w:r>
      <w:r w:rsidRPr="00CC1F50">
        <w:rPr>
          <w:color w:val="000000" w:themeColor="text1"/>
        </w:rPr>
        <w:t xml:space="preserve"> have emerged as major causes of hospital-acquired infections. Once these </w:t>
      </w:r>
      <w:r w:rsidR="00B06380">
        <w:rPr>
          <w:color w:val="000000" w:themeColor="text1"/>
        </w:rPr>
        <w:t>bacteria</w:t>
      </w:r>
      <w:r w:rsidRPr="00CC1F50">
        <w:rPr>
          <w:color w:val="000000" w:themeColor="text1"/>
        </w:rPr>
        <w:t xml:space="preserve"> become established within healthcare systems, treatment options become severely limited and infection control becomes considerably more challenging. Therefore, maintaining the </w:t>
      </w:r>
      <w:r w:rsidRPr="00CC1F50">
        <w:rPr>
          <w:color w:val="000000" w:themeColor="text1"/>
        </w:rPr>
        <w:lastRenderedPageBreak/>
        <w:t>current susceptibility pattern will require strict adherence to antimicrobial stewardship policies, rational prescribing practices, and continuous laboratory surveillance.</w:t>
      </w:r>
    </w:p>
    <w:p w:rsidR="00CC1F50" w:rsidRPr="00CC1F50" w:rsidRDefault="00CC1F50" w:rsidP="00CC1F50">
      <w:pPr>
        <w:pStyle w:val="NormalWeb"/>
        <w:jc w:val="both"/>
        <w:rPr>
          <w:color w:val="000000" w:themeColor="text1"/>
        </w:rPr>
      </w:pPr>
      <w:r w:rsidRPr="00CC1F50">
        <w:rPr>
          <w:color w:val="000000" w:themeColor="text1"/>
        </w:rPr>
        <w:t xml:space="preserve">Conversely, the substantially diminished susceptibility observed among cephalosporins, particularly cefepime (10 %), is a cause for concern. Cephalosporins have historically been widely used in clinical practice due to their broad antimicrobial spectrum, </w:t>
      </w:r>
      <w:proofErr w:type="spellStart"/>
      <w:r w:rsidRPr="00CC1F50">
        <w:rPr>
          <w:color w:val="000000" w:themeColor="text1"/>
        </w:rPr>
        <w:t>favourable</w:t>
      </w:r>
      <w:proofErr w:type="spellEnd"/>
      <w:r w:rsidRPr="00CC1F50">
        <w:rPr>
          <w:color w:val="000000" w:themeColor="text1"/>
        </w:rPr>
        <w:t xml:space="preserve"> safety profile, and relative affordability. However, extensive and sometimes indiscriminate use has contributed to the widespread emergence of resistance. The reduced activity of third- and fourth-generation cephalosporins observed in this study may indicate the circulation of extended-spectrum β-lactamase (ESBL)-producing bacteria or other β-lactam resistance mechanisms that compromise the efficacy of this antibiotic class (Shaikh et al., 2015). ESBL enzymes </w:t>
      </w:r>
      <w:proofErr w:type="spellStart"/>
      <w:r w:rsidRPr="00CC1F50">
        <w:rPr>
          <w:color w:val="000000" w:themeColor="text1"/>
        </w:rPr>
        <w:t>hydrolyse</w:t>
      </w:r>
      <w:proofErr w:type="spellEnd"/>
      <w:r w:rsidRPr="00CC1F50">
        <w:rPr>
          <w:color w:val="000000" w:themeColor="text1"/>
        </w:rPr>
        <w:t xml:space="preserve"> a wide range of β-lactam antibiotics, including </w:t>
      </w:r>
      <w:proofErr w:type="spellStart"/>
      <w:r w:rsidRPr="00CC1F50">
        <w:rPr>
          <w:color w:val="000000" w:themeColor="text1"/>
        </w:rPr>
        <w:t>penicillins</w:t>
      </w:r>
      <w:proofErr w:type="spellEnd"/>
      <w:r w:rsidRPr="00CC1F50">
        <w:rPr>
          <w:color w:val="000000" w:themeColor="text1"/>
        </w:rPr>
        <w:t xml:space="preserve"> and cephalosporins, thereby significantly reducing the effectiveness of these agents in clinical therapy.</w:t>
      </w:r>
    </w:p>
    <w:p w:rsidR="00CC1F50" w:rsidRPr="00CC1F50" w:rsidRDefault="00CC1F50" w:rsidP="00CC1F50">
      <w:pPr>
        <w:pStyle w:val="NormalWeb"/>
        <w:jc w:val="both"/>
        <w:rPr>
          <w:color w:val="000000" w:themeColor="text1"/>
        </w:rPr>
      </w:pPr>
      <w:r w:rsidRPr="00CC1F50">
        <w:rPr>
          <w:color w:val="000000" w:themeColor="text1"/>
        </w:rPr>
        <w:t xml:space="preserve">The presence of such resistance determinants has serious therapeutic implications because infections caused by ESBL-producing </w:t>
      </w:r>
      <w:r w:rsidR="00B06380">
        <w:rPr>
          <w:color w:val="000000" w:themeColor="text1"/>
        </w:rPr>
        <w:t>bacteria</w:t>
      </w:r>
      <w:r w:rsidRPr="00CC1F50">
        <w:rPr>
          <w:color w:val="000000" w:themeColor="text1"/>
        </w:rPr>
        <w:t xml:space="preserve"> often require treatment with broader-spectrum agents such as carbapenems. Consequently, increasing cephalosporin resistance may indirectly contribute to greater reliance on carbapenems, thereby increasing selective pressure for carbapenem resistance. Comparable resistance trends have been documented across several countries in sub-Saharan Africa, where cephalosporin resistance among </w:t>
      </w:r>
      <w:r w:rsidRPr="00CC1F50">
        <w:rPr>
          <w:rStyle w:val="Emphasis"/>
          <w:color w:val="000000" w:themeColor="text1"/>
        </w:rPr>
        <w:t>Enterobacteriaceae</w:t>
      </w:r>
      <w:r w:rsidRPr="00CC1F50">
        <w:rPr>
          <w:color w:val="000000" w:themeColor="text1"/>
        </w:rPr>
        <w:t xml:space="preserve"> has been reported with increasing frequency (Ashley et al., 2011). These findings reinforce the need for cautious use of cephalosporins in clinical practice and </w:t>
      </w:r>
      <w:proofErr w:type="spellStart"/>
      <w:r w:rsidRPr="00CC1F50">
        <w:rPr>
          <w:color w:val="000000" w:themeColor="text1"/>
        </w:rPr>
        <w:t>emphasise</w:t>
      </w:r>
      <w:proofErr w:type="spellEnd"/>
      <w:r w:rsidRPr="00CC1F50">
        <w:rPr>
          <w:color w:val="000000" w:themeColor="text1"/>
        </w:rPr>
        <w:t xml:space="preserve"> the importance of performing routine antimicrobial susceptibility testing before selecting these agents for definitive therapy.</w:t>
      </w:r>
    </w:p>
    <w:p w:rsidR="00CC1F50" w:rsidRPr="00CC1F50" w:rsidRDefault="00CC1F50" w:rsidP="00CC1F50">
      <w:pPr>
        <w:pStyle w:val="NormalWeb"/>
        <w:jc w:val="both"/>
        <w:rPr>
          <w:color w:val="000000" w:themeColor="text1"/>
        </w:rPr>
      </w:pPr>
      <w:r w:rsidRPr="00CC1F50">
        <w:rPr>
          <w:color w:val="000000" w:themeColor="text1"/>
        </w:rPr>
        <w:t xml:space="preserve">The moderate susceptibility rate recorded for ciprofloxacin (75 %) reflects evolving resistance patterns to fluoroquinolones within the Nigerian healthcare environment. Fluoroquinolones have long been considered valuable therapeutic agents due to their broad antimicrobial coverage and </w:t>
      </w:r>
      <w:proofErr w:type="spellStart"/>
      <w:r w:rsidRPr="00CC1F50">
        <w:rPr>
          <w:color w:val="000000" w:themeColor="text1"/>
        </w:rPr>
        <w:t>favourable</w:t>
      </w:r>
      <w:proofErr w:type="spellEnd"/>
      <w:r w:rsidRPr="00CC1F50">
        <w:rPr>
          <w:color w:val="000000" w:themeColor="text1"/>
        </w:rPr>
        <w:t xml:space="preserve"> pharmacokinetic properties, including excellent tissue penetration and convenient oral formulations. However, in many developing countries, fluoroquinolones are widely available and may be obtained without prescription, contributing to inappropriate use in both community and hospital settings. Previous studies conducted in Nigeria have associated increasing fluoroquinolone resistance with widespread and sometimes unregulated consumption of these agents (</w:t>
      </w:r>
      <w:proofErr w:type="spellStart"/>
      <w:r w:rsidRPr="00CC1F50">
        <w:rPr>
          <w:color w:val="000000" w:themeColor="text1"/>
        </w:rPr>
        <w:t>Lamikanra</w:t>
      </w:r>
      <w:proofErr w:type="spellEnd"/>
      <w:r w:rsidRPr="00CC1F50">
        <w:rPr>
          <w:color w:val="000000" w:themeColor="text1"/>
        </w:rPr>
        <w:t xml:space="preserve"> et al., 2011). Resistance may arise through several mechanisms, including mutations in DNA gyrase and topoisomerase IV genes, as well as the presence of plasmid-mediated quinolone resistance determinants.</w:t>
      </w:r>
    </w:p>
    <w:p w:rsidR="00CC1F50" w:rsidRPr="00CC1F50" w:rsidRDefault="00CC1F50" w:rsidP="00CC1F50">
      <w:pPr>
        <w:pStyle w:val="NormalWeb"/>
        <w:jc w:val="both"/>
        <w:rPr>
          <w:color w:val="000000" w:themeColor="text1"/>
        </w:rPr>
      </w:pPr>
      <w:r w:rsidRPr="00CC1F50">
        <w:rPr>
          <w:color w:val="000000" w:themeColor="text1"/>
        </w:rPr>
        <w:t>Although ciprofloxacin retains moderate activity against many isolates in the present study, the observed reduction in susceptibility suggests that its long-term clinical effectiveness may be gradually declining. Continued empirical reliance on ciprofloxacin without laboratory confirmation could promote further resistance selection and reduce its therapeutic value over time. For this reason, clinicians should increasingly rely on microbiological data to guide antibiotic selection rather than empirical preference alone.</w:t>
      </w:r>
    </w:p>
    <w:p w:rsidR="00CC1F50" w:rsidRPr="00CC1F50" w:rsidRDefault="00CC1F50" w:rsidP="00CC1F50">
      <w:pPr>
        <w:pStyle w:val="Heading3"/>
        <w:jc w:val="both"/>
        <w:rPr>
          <w:color w:val="000000" w:themeColor="text1"/>
          <w:sz w:val="24"/>
          <w:szCs w:val="24"/>
        </w:rPr>
      </w:pPr>
      <w:r w:rsidRPr="00CC1F50">
        <w:rPr>
          <w:color w:val="000000" w:themeColor="text1"/>
          <w:sz w:val="24"/>
          <w:szCs w:val="24"/>
        </w:rPr>
        <w:t>4.1 Public Health and Stewardship Implications</w:t>
      </w:r>
    </w:p>
    <w:p w:rsidR="00CC1F50" w:rsidRPr="00CC1F50" w:rsidRDefault="00CC1F50" w:rsidP="00CC1F50">
      <w:pPr>
        <w:pStyle w:val="NormalWeb"/>
        <w:jc w:val="both"/>
        <w:rPr>
          <w:color w:val="000000" w:themeColor="text1"/>
        </w:rPr>
      </w:pPr>
      <w:r w:rsidRPr="00CC1F50">
        <w:rPr>
          <w:color w:val="000000" w:themeColor="text1"/>
        </w:rPr>
        <w:lastRenderedPageBreak/>
        <w:t>The results of this study have several important implications for public health policy, infection control, and antimicrobial governance. Firstly, the findings underscore the necessity for routine, institution-specific surveillance systems capable of generating reliable and up-to-date antimicrobial susceptibility data. Antimicrobial resistance patterns vary considerably between geographic locations, hospitals, and even individual clinical units within the same institution. Consequently, locally generated data are essential for adapting empirical treatment guidelines to reflect the resistance patterns present within a particular healthcare setting rather than relying solely on national or international surveillance reports.</w:t>
      </w:r>
    </w:p>
    <w:p w:rsidR="00CC1F50" w:rsidRPr="00CC1F50" w:rsidRDefault="00CC1F50" w:rsidP="00CC1F50">
      <w:pPr>
        <w:pStyle w:val="NormalWeb"/>
        <w:jc w:val="both"/>
        <w:rPr>
          <w:color w:val="000000" w:themeColor="text1"/>
        </w:rPr>
      </w:pPr>
      <w:r w:rsidRPr="00CC1F50">
        <w:rPr>
          <w:color w:val="000000" w:themeColor="text1"/>
        </w:rPr>
        <w:t xml:space="preserve">Secondly, the findings highlight the urgent need to strengthen antimicrobial stewardship </w:t>
      </w:r>
      <w:proofErr w:type="spellStart"/>
      <w:r w:rsidRPr="00CC1F50">
        <w:rPr>
          <w:color w:val="000000" w:themeColor="text1"/>
        </w:rPr>
        <w:t>programmes</w:t>
      </w:r>
      <w:proofErr w:type="spellEnd"/>
      <w:r w:rsidRPr="00CC1F50">
        <w:rPr>
          <w:color w:val="000000" w:themeColor="text1"/>
        </w:rPr>
        <w:t xml:space="preserve"> in healthcare institutions across Nigeria. Antimicrobial stewardship </w:t>
      </w:r>
      <w:proofErr w:type="spellStart"/>
      <w:r w:rsidRPr="00CC1F50">
        <w:rPr>
          <w:color w:val="000000" w:themeColor="text1"/>
        </w:rPr>
        <w:t>programmes</w:t>
      </w:r>
      <w:proofErr w:type="spellEnd"/>
      <w:r w:rsidRPr="00CC1F50">
        <w:rPr>
          <w:color w:val="000000" w:themeColor="text1"/>
        </w:rPr>
        <w:t xml:space="preserve"> are coordinated interventions designed to promote the appropriate use of antimicrobial agents, improve patient outcomes, reduce microbial resistance, and decrease unnecessary healthcare expenditure. These </w:t>
      </w:r>
      <w:proofErr w:type="spellStart"/>
      <w:r w:rsidRPr="00CC1F50">
        <w:rPr>
          <w:color w:val="000000" w:themeColor="text1"/>
        </w:rPr>
        <w:t>programmes</w:t>
      </w:r>
      <w:proofErr w:type="spellEnd"/>
      <w:r w:rsidRPr="00CC1F50">
        <w:rPr>
          <w:color w:val="000000" w:themeColor="text1"/>
        </w:rPr>
        <w:t xml:space="preserve"> align with global recommendations aimed at </w:t>
      </w:r>
      <w:proofErr w:type="spellStart"/>
      <w:r w:rsidRPr="00CC1F50">
        <w:rPr>
          <w:color w:val="000000" w:themeColor="text1"/>
        </w:rPr>
        <w:t>optimising</w:t>
      </w:r>
      <w:proofErr w:type="spellEnd"/>
      <w:r w:rsidRPr="00CC1F50">
        <w:rPr>
          <w:color w:val="000000" w:themeColor="text1"/>
        </w:rPr>
        <w:t xml:space="preserve"> antibiotic use and </w:t>
      </w:r>
      <w:proofErr w:type="spellStart"/>
      <w:r w:rsidRPr="00CC1F50">
        <w:rPr>
          <w:color w:val="000000" w:themeColor="text1"/>
        </w:rPr>
        <w:t>minimising</w:t>
      </w:r>
      <w:proofErr w:type="spellEnd"/>
      <w:r w:rsidRPr="00CC1F50">
        <w:rPr>
          <w:color w:val="000000" w:themeColor="text1"/>
        </w:rPr>
        <w:t xml:space="preserve"> the emergence of antimicrobial resistance (WHO, 2012; CDC, 2013; Africa CDC, 2018). Effective stewardship initiatives typically incorporate prescriber education, antibiotic review and feedback systems, formulary restriction policies, and improved laboratory support to ensure that antimicrobial therapy is evidence-based and microbiologically justified.</w:t>
      </w:r>
    </w:p>
    <w:p w:rsidR="00CC1F50" w:rsidRPr="00CC1F50" w:rsidRDefault="00CC1F50" w:rsidP="00CC1F50">
      <w:pPr>
        <w:pStyle w:val="NormalWeb"/>
        <w:jc w:val="both"/>
        <w:rPr>
          <w:color w:val="000000" w:themeColor="text1"/>
        </w:rPr>
      </w:pPr>
      <w:r w:rsidRPr="00CC1F50">
        <w:rPr>
          <w:color w:val="000000" w:themeColor="text1"/>
        </w:rPr>
        <w:t xml:space="preserve">In addition, infection prevention and control measures should be strengthened to reduce the transmission of resistant </w:t>
      </w:r>
      <w:r w:rsidR="00B06380">
        <w:rPr>
          <w:color w:val="000000" w:themeColor="text1"/>
        </w:rPr>
        <w:t>bacteria</w:t>
      </w:r>
      <w:r w:rsidRPr="00CC1F50">
        <w:rPr>
          <w:color w:val="000000" w:themeColor="text1"/>
        </w:rPr>
        <w:t xml:space="preserve"> within healthcare facilities. Strategies such as improved hand hygiene compliance, environmental sanitation, screening of high-risk patients, and isolation precautions are essential components of comprehensive antimicrobial resistance control </w:t>
      </w:r>
      <w:proofErr w:type="spellStart"/>
      <w:r w:rsidRPr="00CC1F50">
        <w:rPr>
          <w:color w:val="000000" w:themeColor="text1"/>
        </w:rPr>
        <w:t>programmes</w:t>
      </w:r>
      <w:proofErr w:type="spellEnd"/>
      <w:r w:rsidRPr="00CC1F50">
        <w:rPr>
          <w:color w:val="000000" w:themeColor="text1"/>
        </w:rPr>
        <w:t>. The integration of infection control practices with antimicrobial stewardship efforts can significantly reduce the spread of resistant pathogens in hospital environments.</w:t>
      </w:r>
    </w:p>
    <w:p w:rsidR="00CC1F50" w:rsidRPr="00CC1F50" w:rsidRDefault="00CC1F50" w:rsidP="00CC1F50">
      <w:pPr>
        <w:pStyle w:val="NormalWeb"/>
        <w:jc w:val="both"/>
        <w:rPr>
          <w:color w:val="000000" w:themeColor="text1"/>
        </w:rPr>
      </w:pPr>
      <w:r w:rsidRPr="00CC1F50">
        <w:rPr>
          <w:color w:val="000000" w:themeColor="text1"/>
        </w:rPr>
        <w:t>Thirdly, deliberate and coordinated efforts must be made to preserve the efficacy of carbapenems through controlled, indication-specific use. The current high susceptibility levels observed in this study represent a valuable therapeutic asset for the management of severe infections. However, without proactive regulatory oversight, antimicrobial stewardship enforcement, and continuous surveillance, resistance may emerge rapidly. Experiences from other healthcare systems have demonstrated that once carbapenem resistance becomes established, reversing the trend becomes extremely difficult (Huttner et al., 2013). Protecting the effectiveness of these last-line antibiotics should therefore remain a priority for clinicians, microbiologists, hospital administrators, and public health authorities alike.</w:t>
      </w:r>
    </w:p>
    <w:p w:rsidR="00FF35D4" w:rsidRPr="00CC1F50" w:rsidRDefault="00FF35D4" w:rsidP="00CC1F50">
      <w:pPr>
        <w:pStyle w:val="Heading3"/>
        <w:jc w:val="both"/>
        <w:rPr>
          <w:color w:val="000000" w:themeColor="text1"/>
          <w:sz w:val="24"/>
          <w:szCs w:val="24"/>
        </w:rPr>
      </w:pPr>
      <w:r w:rsidRPr="00CC1F50">
        <w:rPr>
          <w:color w:val="000000" w:themeColor="text1"/>
          <w:sz w:val="24"/>
          <w:szCs w:val="24"/>
        </w:rPr>
        <w:t>4.2 Study Limitations</w:t>
      </w:r>
    </w:p>
    <w:p w:rsidR="00FF35D4" w:rsidRPr="00CC1F50" w:rsidRDefault="00FF35D4" w:rsidP="00CC1F50">
      <w:pPr>
        <w:pStyle w:val="NormalWeb"/>
        <w:jc w:val="both"/>
        <w:rPr>
          <w:color w:val="000000" w:themeColor="text1"/>
        </w:rPr>
      </w:pPr>
      <w:r w:rsidRPr="00CC1F50">
        <w:rPr>
          <w:color w:val="000000" w:themeColor="text1"/>
        </w:rPr>
        <w:t>Several limitations should be acknowledged when interpreting these findings. The investigation was conducted within a single tertiary healthcare institutio</w:t>
      </w:r>
      <w:r w:rsidR="008762BC" w:rsidRPr="00CC1F50">
        <w:rPr>
          <w:color w:val="000000" w:themeColor="text1"/>
        </w:rPr>
        <w:t xml:space="preserve">n, which may limit the </w:t>
      </w:r>
      <w:proofErr w:type="spellStart"/>
      <w:r w:rsidR="008762BC" w:rsidRPr="00CC1F50">
        <w:rPr>
          <w:color w:val="000000" w:themeColor="text1"/>
        </w:rPr>
        <w:t>generalis</w:t>
      </w:r>
      <w:r w:rsidRPr="00CC1F50">
        <w:rPr>
          <w:color w:val="000000" w:themeColor="text1"/>
        </w:rPr>
        <w:t>ability</w:t>
      </w:r>
      <w:proofErr w:type="spellEnd"/>
      <w:r w:rsidRPr="00CC1F50">
        <w:rPr>
          <w:color w:val="000000" w:themeColor="text1"/>
        </w:rPr>
        <w:t xml:space="preserve"> of the results to other regions or levels of care. Additionally, molecular </w:t>
      </w:r>
      <w:proofErr w:type="spellStart"/>
      <w:r w:rsidRPr="00CC1F50">
        <w:rPr>
          <w:color w:val="000000" w:themeColor="text1"/>
        </w:rPr>
        <w:t>characterisation</w:t>
      </w:r>
      <w:proofErr w:type="spellEnd"/>
      <w:r w:rsidRPr="00CC1F50">
        <w:rPr>
          <w:color w:val="000000" w:themeColor="text1"/>
        </w:rPr>
        <w:t xml:space="preserve"> of resistance determinants was not performed; therefore, specific mechanisms</w:t>
      </w:r>
      <w:r w:rsidR="00784095" w:rsidRPr="00CC1F50">
        <w:rPr>
          <w:color w:val="000000" w:themeColor="text1"/>
        </w:rPr>
        <w:t>,</w:t>
      </w:r>
      <w:r w:rsidRPr="00CC1F50">
        <w:rPr>
          <w:color w:val="000000" w:themeColor="text1"/>
        </w:rPr>
        <w:t xml:space="preserve"> such as ESBL or </w:t>
      </w:r>
      <w:proofErr w:type="spellStart"/>
      <w:r w:rsidRPr="00CC1F50">
        <w:rPr>
          <w:color w:val="000000" w:themeColor="text1"/>
        </w:rPr>
        <w:t>carbapenemase</w:t>
      </w:r>
      <w:proofErr w:type="spellEnd"/>
      <w:r w:rsidRPr="00CC1F50">
        <w:rPr>
          <w:color w:val="000000" w:themeColor="text1"/>
        </w:rPr>
        <w:t xml:space="preserve"> production</w:t>
      </w:r>
      <w:r w:rsidR="00B06380">
        <w:rPr>
          <w:color w:val="000000" w:themeColor="text1"/>
        </w:rPr>
        <w:t>,</w:t>
      </w:r>
      <w:r w:rsidRPr="00CC1F50">
        <w:rPr>
          <w:color w:val="000000" w:themeColor="text1"/>
        </w:rPr>
        <w:t xml:space="preserve"> could not be confirmed. The study design did not incorporate inferential statistical analyses or assessment of patient-level risk factors associated with resistant infections. Furthermore, clinical outcomes were not correlated with antimicrobial susceptibility profiles, preventing evaluation of the direct therapeutic impact of observed resistance patterns.</w:t>
      </w:r>
    </w:p>
    <w:p w:rsidR="00FF35D4" w:rsidRPr="00CC1F50" w:rsidRDefault="00FF35D4" w:rsidP="00CC1F50">
      <w:pPr>
        <w:pStyle w:val="NormalWeb"/>
        <w:jc w:val="both"/>
        <w:rPr>
          <w:color w:val="000000" w:themeColor="text1"/>
        </w:rPr>
      </w:pPr>
      <w:r w:rsidRPr="00CC1F50">
        <w:rPr>
          <w:color w:val="000000" w:themeColor="text1"/>
        </w:rPr>
        <w:lastRenderedPageBreak/>
        <w:t>Future research incorporating molecular detection of resistance genes, expanded multi-</w:t>
      </w:r>
      <w:proofErr w:type="spellStart"/>
      <w:r w:rsidRPr="00CC1F50">
        <w:rPr>
          <w:color w:val="000000" w:themeColor="text1"/>
        </w:rPr>
        <w:t>centre</w:t>
      </w:r>
      <w:proofErr w:type="spellEnd"/>
      <w:r w:rsidRPr="00CC1F50">
        <w:rPr>
          <w:color w:val="000000" w:themeColor="text1"/>
        </w:rPr>
        <w:t xml:space="preserve"> sampling, and integration of clinical outcome data would provide more comprehensive insight into resistance dynamics and inform targeted intervention strategies.</w:t>
      </w:r>
    </w:p>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5. Conclusion</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Carbapenem</w:t>
      </w:r>
      <w:r w:rsidR="00784095" w:rsidRPr="00CC1F50">
        <w:rPr>
          <w:rFonts w:ascii="Times New Roman" w:eastAsia="Times New Roman" w:hAnsi="Times New Roman" w:cs="Times New Roman"/>
          <w:color w:val="000000" w:themeColor="text1"/>
          <w:sz w:val="24"/>
          <w:szCs w:val="24"/>
        </w:rPr>
        <w:t>s</w:t>
      </w:r>
      <w:r w:rsidRPr="00CC1F50">
        <w:rPr>
          <w:rFonts w:ascii="Times New Roman" w:eastAsia="Times New Roman" w:hAnsi="Times New Roman" w:cs="Times New Roman"/>
          <w:color w:val="000000" w:themeColor="text1"/>
          <w:sz w:val="24"/>
          <w:szCs w:val="24"/>
        </w:rPr>
        <w:t xml:space="preserve"> continue to demonstrate robust in vitro effectiveness against a broad spectrum of clinical bacterial isolates recovered in this tertiary healthcare facility in Nigeria, indicating that these agents remain reliable therapeutic options for the management of severe and complicated infections within this setting. The consistently high susceptibility observed suggests that carbapenem resistance has not yet become widespread locally, thereby preserving their clinical utility as critical last-line β-lactam agents.</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In contrast, cephalosporins display markedly reduced activity against the isolates evaluated, reflecting substantial levels of resistance that may compromise their effectiveness in empirical treatment regimens. The diminished susceptibility to this commonly prescribed class of antibiotics raises important concerns regarding their continued reliability for routine clinical use, particularly in the absence of laboratory-guided therapy.</w:t>
      </w:r>
    </w:p>
    <w:p w:rsidR="00FF35D4" w:rsidRPr="00CC1F50" w:rsidRDefault="00FF35D4"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Collectively, these findings </w:t>
      </w:r>
      <w:proofErr w:type="spellStart"/>
      <w:r w:rsidRPr="00CC1F50">
        <w:rPr>
          <w:rFonts w:ascii="Times New Roman" w:eastAsia="Times New Roman" w:hAnsi="Times New Roman" w:cs="Times New Roman"/>
          <w:color w:val="000000" w:themeColor="text1"/>
          <w:sz w:val="24"/>
          <w:szCs w:val="24"/>
        </w:rPr>
        <w:t>emphasise</w:t>
      </w:r>
      <w:proofErr w:type="spellEnd"/>
      <w:r w:rsidRPr="00CC1F50">
        <w:rPr>
          <w:rFonts w:ascii="Times New Roman" w:eastAsia="Times New Roman" w:hAnsi="Times New Roman" w:cs="Times New Roman"/>
          <w:color w:val="000000" w:themeColor="text1"/>
          <w:sz w:val="24"/>
          <w:szCs w:val="24"/>
        </w:rPr>
        <w:t xml:space="preserve"> the pressing need for sustained and structured antimicrobial stewardship initiatives aimed at </w:t>
      </w:r>
      <w:proofErr w:type="spellStart"/>
      <w:r w:rsidRPr="00CC1F50">
        <w:rPr>
          <w:rFonts w:ascii="Times New Roman" w:eastAsia="Times New Roman" w:hAnsi="Times New Roman" w:cs="Times New Roman"/>
          <w:color w:val="000000" w:themeColor="text1"/>
          <w:sz w:val="24"/>
          <w:szCs w:val="24"/>
        </w:rPr>
        <w:t>optimising</w:t>
      </w:r>
      <w:proofErr w:type="spellEnd"/>
      <w:r w:rsidRPr="00CC1F50">
        <w:rPr>
          <w:rFonts w:ascii="Times New Roman" w:eastAsia="Times New Roman" w:hAnsi="Times New Roman" w:cs="Times New Roman"/>
          <w:color w:val="000000" w:themeColor="text1"/>
          <w:sz w:val="24"/>
          <w:szCs w:val="24"/>
        </w:rPr>
        <w:t xml:space="preserve"> antibiotic selection, </w:t>
      </w:r>
      <w:proofErr w:type="spellStart"/>
      <w:r w:rsidRPr="00CC1F50">
        <w:rPr>
          <w:rFonts w:ascii="Times New Roman" w:eastAsia="Times New Roman" w:hAnsi="Times New Roman" w:cs="Times New Roman"/>
          <w:color w:val="000000" w:themeColor="text1"/>
          <w:sz w:val="24"/>
          <w:szCs w:val="24"/>
        </w:rPr>
        <w:t>minimising</w:t>
      </w:r>
      <w:proofErr w:type="spellEnd"/>
      <w:r w:rsidRPr="00CC1F50">
        <w:rPr>
          <w:rFonts w:ascii="Times New Roman" w:eastAsia="Times New Roman" w:hAnsi="Times New Roman" w:cs="Times New Roman"/>
          <w:color w:val="000000" w:themeColor="text1"/>
          <w:sz w:val="24"/>
          <w:szCs w:val="24"/>
        </w:rPr>
        <w:t xml:space="preserve"> inappropriate prescribing, and reducing selective pressure that drives resistance development. The establishment and regular updating of institution-specific antibiograms are essential to guide evidence-based empirical therapy and support clinical decision-making. Furthermore, strengthening national antimicrobial resistance surveillance systems will enhance coordinated data collection, improve policy formulation, and facilitate early detection of emerging resistance trends across healthcare institutions. Proactive implementation of these measures is crucial to preserving the effectiveness of currently active agents and mitigating the long-term public health impact of antimicrobial resistance.</w:t>
      </w:r>
    </w:p>
    <w:p w:rsidR="00FF35D4" w:rsidRPr="00CC1F50" w:rsidRDefault="00FF35D4" w:rsidP="00CC1F50">
      <w:pPr>
        <w:pStyle w:val="Heading2"/>
        <w:jc w:val="both"/>
        <w:rPr>
          <w:color w:val="000000" w:themeColor="text1"/>
          <w:sz w:val="24"/>
          <w:szCs w:val="24"/>
        </w:rPr>
      </w:pPr>
      <w:r w:rsidRPr="00CC1F50">
        <w:rPr>
          <w:color w:val="000000" w:themeColor="text1"/>
          <w:sz w:val="24"/>
          <w:szCs w:val="24"/>
        </w:rPr>
        <w:t>Declarations</w:t>
      </w:r>
    </w:p>
    <w:p w:rsidR="00FF35D4" w:rsidRPr="00CC1F50" w:rsidRDefault="00FF35D4" w:rsidP="00CC1F50">
      <w:pPr>
        <w:pStyle w:val="NormalWeb"/>
        <w:jc w:val="both"/>
        <w:rPr>
          <w:rStyle w:val="Strong"/>
          <w:color w:val="000000" w:themeColor="text1"/>
        </w:rPr>
      </w:pPr>
      <w:bookmarkStart w:id="0" w:name="_GoBack"/>
      <w:bookmarkEnd w:id="0"/>
      <w:r w:rsidRPr="00CC1F50">
        <w:rPr>
          <w:rStyle w:val="Strong"/>
          <w:color w:val="000000" w:themeColor="text1"/>
        </w:rPr>
        <w:t>Conflict of Interest:</w:t>
      </w:r>
    </w:p>
    <w:p w:rsidR="00FF35D4" w:rsidRPr="00CC1F50" w:rsidRDefault="00FF35D4" w:rsidP="00CC1F50">
      <w:pPr>
        <w:pStyle w:val="NormalWeb"/>
        <w:jc w:val="both"/>
        <w:rPr>
          <w:b/>
          <w:bCs/>
          <w:color w:val="000000" w:themeColor="text1"/>
        </w:rPr>
      </w:pPr>
      <w:r w:rsidRPr="00CC1F50">
        <w:rPr>
          <w:color w:val="000000" w:themeColor="text1"/>
        </w:rPr>
        <w:t>The author</w:t>
      </w:r>
      <w:r w:rsidR="00D368D7" w:rsidRPr="00CC1F50">
        <w:rPr>
          <w:color w:val="000000" w:themeColor="text1"/>
        </w:rPr>
        <w:t>s</w:t>
      </w:r>
      <w:r w:rsidR="001E423E" w:rsidRPr="00CC1F50">
        <w:rPr>
          <w:color w:val="000000" w:themeColor="text1"/>
        </w:rPr>
        <w:t xml:space="preserve"> affirm</w:t>
      </w:r>
      <w:r w:rsidRPr="00CC1F50">
        <w:rPr>
          <w:color w:val="000000" w:themeColor="text1"/>
        </w:rPr>
        <w:t xml:space="preserve"> that there are no financial, professional, or personal relationships that could inappropriately influence or bias the work reported in this manuscript. There are no competing interests to declare in relation to the conduct of this study, the analysis of the data, or the presentation of the findings.</w:t>
      </w:r>
    </w:p>
    <w:p w:rsidR="00FF35D4" w:rsidRPr="00CC1F50" w:rsidRDefault="00FF35D4" w:rsidP="00CC1F50">
      <w:pPr>
        <w:pStyle w:val="NormalWeb"/>
        <w:jc w:val="both"/>
        <w:rPr>
          <w:rStyle w:val="Strong"/>
          <w:color w:val="000000" w:themeColor="text1"/>
        </w:rPr>
      </w:pPr>
      <w:r w:rsidRPr="00CC1F50">
        <w:rPr>
          <w:rStyle w:val="Strong"/>
          <w:color w:val="000000" w:themeColor="text1"/>
        </w:rPr>
        <w:t>Ethical Approval:</w:t>
      </w:r>
    </w:p>
    <w:p w:rsidR="00FF35D4" w:rsidRPr="00CC1F50" w:rsidRDefault="00FF35D4" w:rsidP="00CC1F50">
      <w:pPr>
        <w:pStyle w:val="NormalWeb"/>
        <w:jc w:val="both"/>
        <w:rPr>
          <w:color w:val="000000" w:themeColor="text1"/>
        </w:rPr>
      </w:pPr>
      <w:r w:rsidRPr="00CC1F50">
        <w:rPr>
          <w:color w:val="000000" w:themeColor="text1"/>
        </w:rPr>
        <w:t>Ethical clearance for this study was obtained from the University of Port Harcourt Teaching Hospital Research Ethics Committee (Approval No: UPTH/ADM/90/</w:t>
      </w:r>
      <w:proofErr w:type="gramStart"/>
      <w:r w:rsidRPr="00CC1F50">
        <w:rPr>
          <w:color w:val="000000" w:themeColor="text1"/>
        </w:rPr>
        <w:t>S.II</w:t>
      </w:r>
      <w:proofErr w:type="gramEnd"/>
      <w:r w:rsidRPr="00CC1F50">
        <w:rPr>
          <w:color w:val="000000" w:themeColor="text1"/>
        </w:rPr>
        <w:t xml:space="preserve">/VOL.XI/1262; approved on 12 November 2021). The study was conducted in accordance with established ethical standards for research involving clinical specimens. Patient confidentiality was strictly maintained </w:t>
      </w:r>
      <w:r w:rsidRPr="00CC1F50">
        <w:rPr>
          <w:color w:val="000000" w:themeColor="text1"/>
        </w:rPr>
        <w:lastRenderedPageBreak/>
        <w:t xml:space="preserve">throughout the study process, and all data were </w:t>
      </w:r>
      <w:proofErr w:type="spellStart"/>
      <w:r w:rsidRPr="00CC1F50">
        <w:rPr>
          <w:color w:val="000000" w:themeColor="text1"/>
        </w:rPr>
        <w:t>anonymised</w:t>
      </w:r>
      <w:proofErr w:type="spellEnd"/>
      <w:r w:rsidRPr="00CC1F50">
        <w:rPr>
          <w:color w:val="000000" w:themeColor="text1"/>
        </w:rPr>
        <w:t xml:space="preserve"> </w:t>
      </w:r>
      <w:r w:rsidR="00B06380">
        <w:rPr>
          <w:color w:val="000000" w:themeColor="text1"/>
        </w:rPr>
        <w:t>before</w:t>
      </w:r>
      <w:r w:rsidRPr="00CC1F50">
        <w:rPr>
          <w:color w:val="000000" w:themeColor="text1"/>
        </w:rPr>
        <w:t xml:space="preserve"> analysis to ensure privacy and data protection.</w:t>
      </w:r>
    </w:p>
    <w:p w:rsidR="00FF35D4" w:rsidRPr="00CC1F50" w:rsidRDefault="00FF35D4" w:rsidP="00CC1F50">
      <w:pPr>
        <w:pStyle w:val="NormalWeb"/>
        <w:jc w:val="both"/>
        <w:rPr>
          <w:rStyle w:val="Strong"/>
          <w:color w:val="000000" w:themeColor="text1"/>
        </w:rPr>
      </w:pPr>
      <w:r w:rsidRPr="00CC1F50">
        <w:rPr>
          <w:rStyle w:val="Strong"/>
          <w:color w:val="000000" w:themeColor="text1"/>
        </w:rPr>
        <w:t>Data Availability:</w:t>
      </w:r>
    </w:p>
    <w:p w:rsidR="00FF35D4" w:rsidRPr="00CC1F50" w:rsidRDefault="00FF35D4" w:rsidP="00CC1F50">
      <w:pPr>
        <w:pStyle w:val="NormalWeb"/>
        <w:jc w:val="both"/>
        <w:rPr>
          <w:color w:val="000000" w:themeColor="text1"/>
        </w:rPr>
      </w:pPr>
      <w:r w:rsidRPr="00CC1F50">
        <w:rPr>
          <w:color w:val="000000" w:themeColor="text1"/>
        </w:rPr>
        <w:t xml:space="preserve">The datasets generated and </w:t>
      </w:r>
      <w:proofErr w:type="spellStart"/>
      <w:r w:rsidRPr="00CC1F50">
        <w:rPr>
          <w:color w:val="000000" w:themeColor="text1"/>
        </w:rPr>
        <w:t>analysed</w:t>
      </w:r>
      <w:proofErr w:type="spellEnd"/>
      <w:r w:rsidRPr="00CC1F50">
        <w:rPr>
          <w:color w:val="000000" w:themeColor="text1"/>
        </w:rPr>
        <w:t xml:space="preserve"> during the current study are not publicly archived due to institutional data protection policies, but are available from the corresponding author upon reasonable and justified request. Access to data may be granted for legitimate academic or research purposes, subject to ethical and institutional considerations.</w:t>
      </w:r>
    </w:p>
    <w:p w:rsidR="00B03677" w:rsidRDefault="00B03677"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p>
    <w:p w:rsidR="00255230" w:rsidRPr="00CC1F50" w:rsidRDefault="00255230" w:rsidP="00CC1F50">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4"/>
          <w:szCs w:val="24"/>
        </w:rPr>
      </w:pPr>
      <w:r w:rsidRPr="00CC1F50">
        <w:rPr>
          <w:rFonts w:ascii="Times New Roman" w:eastAsia="Times New Roman" w:hAnsi="Times New Roman" w:cs="Times New Roman"/>
          <w:b/>
          <w:bCs/>
          <w:color w:val="000000" w:themeColor="text1"/>
          <w:kern w:val="36"/>
          <w:sz w:val="24"/>
          <w:szCs w:val="24"/>
        </w:rPr>
        <w:t xml:space="preserve">References </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Africa </w:t>
      </w:r>
      <w:proofErr w:type="spellStart"/>
      <w:r w:rsidRPr="00CC1F50">
        <w:rPr>
          <w:rFonts w:ascii="Times New Roman" w:eastAsia="Times New Roman" w:hAnsi="Times New Roman" w:cs="Times New Roman"/>
          <w:color w:val="000000" w:themeColor="text1"/>
          <w:sz w:val="24"/>
          <w:szCs w:val="24"/>
        </w:rPr>
        <w:t>Centres</w:t>
      </w:r>
      <w:proofErr w:type="spellEnd"/>
      <w:r w:rsidRPr="00CC1F50">
        <w:rPr>
          <w:rFonts w:ascii="Times New Roman" w:eastAsia="Times New Roman" w:hAnsi="Times New Roman" w:cs="Times New Roman"/>
          <w:color w:val="000000" w:themeColor="text1"/>
          <w:sz w:val="24"/>
          <w:szCs w:val="24"/>
        </w:rPr>
        <w:t xml:space="preserve"> for Disease Control and Prevention. (2018). </w:t>
      </w:r>
      <w:r w:rsidR="0079369D" w:rsidRPr="00CC1F50">
        <w:rPr>
          <w:rFonts w:ascii="Times New Roman" w:eastAsia="Times New Roman" w:hAnsi="Times New Roman" w:cs="Times New Roman"/>
          <w:i/>
          <w:iCs/>
          <w:color w:val="000000" w:themeColor="text1"/>
          <w:sz w:val="24"/>
          <w:szCs w:val="24"/>
        </w:rPr>
        <w:t>Africa CDC Framework for Antimicrobial R</w:t>
      </w:r>
      <w:r w:rsidRPr="00CC1F50">
        <w:rPr>
          <w:rFonts w:ascii="Times New Roman" w:eastAsia="Times New Roman" w:hAnsi="Times New Roman" w:cs="Times New Roman"/>
          <w:i/>
          <w:iCs/>
          <w:color w:val="000000" w:themeColor="text1"/>
          <w:sz w:val="24"/>
          <w:szCs w:val="24"/>
        </w:rPr>
        <w:t xml:space="preserve">esistance </w:t>
      </w:r>
      <w:r w:rsidRPr="00CC1F50">
        <w:rPr>
          <w:rFonts w:ascii="Times New Roman" w:eastAsia="Times New Roman" w:hAnsi="Times New Roman" w:cs="Times New Roman"/>
          <w:iCs/>
          <w:color w:val="000000" w:themeColor="text1"/>
          <w:sz w:val="24"/>
          <w:szCs w:val="24"/>
        </w:rPr>
        <w:t>2018–2023</w:t>
      </w:r>
      <w:r w:rsidRPr="00CC1F50">
        <w:rPr>
          <w:rFonts w:ascii="Times New Roman" w:eastAsia="Times New Roman" w:hAnsi="Times New Roman" w:cs="Times New Roman"/>
          <w:color w:val="000000" w:themeColor="text1"/>
          <w:sz w:val="24"/>
          <w:szCs w:val="24"/>
        </w:rPr>
        <w:t>.</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Ashley, E. A., Lubell, Y., White, N. J., &amp; Turner, P. (2011). Antimicrobial susceptibility of bacterial isolates from community-acquired infections in sub-Saharan Africa and Asian low- and middle-income countries. </w:t>
      </w:r>
      <w:r w:rsidRPr="00CC1F50">
        <w:rPr>
          <w:rFonts w:ascii="Times New Roman" w:eastAsia="Times New Roman" w:hAnsi="Times New Roman" w:cs="Times New Roman"/>
          <w:i/>
          <w:iCs/>
          <w:color w:val="000000" w:themeColor="text1"/>
          <w:sz w:val="24"/>
          <w:szCs w:val="24"/>
        </w:rPr>
        <w:t>Tropical Medicine &amp; International Health, 16</w:t>
      </w:r>
      <w:r w:rsidRPr="00CC1F50">
        <w:rPr>
          <w:rFonts w:ascii="Times New Roman" w:eastAsia="Times New Roman" w:hAnsi="Times New Roman" w:cs="Times New Roman"/>
          <w:color w:val="000000" w:themeColor="text1"/>
          <w:sz w:val="24"/>
          <w:szCs w:val="24"/>
        </w:rPr>
        <w:t>(9), 1167–1179. https://doi.org/10.1111/j.1365-3156.2011.02822.x</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Carlet, J., Collignon, P., Goldmann, D., Goossens, H., </w:t>
      </w:r>
      <w:proofErr w:type="spellStart"/>
      <w:r w:rsidRPr="00CC1F50">
        <w:rPr>
          <w:rFonts w:ascii="Times New Roman" w:eastAsia="Times New Roman" w:hAnsi="Times New Roman" w:cs="Times New Roman"/>
          <w:color w:val="000000" w:themeColor="text1"/>
          <w:sz w:val="24"/>
          <w:szCs w:val="24"/>
        </w:rPr>
        <w:t>Gyssens</w:t>
      </w:r>
      <w:proofErr w:type="spellEnd"/>
      <w:r w:rsidRPr="00CC1F50">
        <w:rPr>
          <w:rFonts w:ascii="Times New Roman" w:eastAsia="Times New Roman" w:hAnsi="Times New Roman" w:cs="Times New Roman"/>
          <w:color w:val="000000" w:themeColor="text1"/>
          <w:sz w:val="24"/>
          <w:szCs w:val="24"/>
        </w:rPr>
        <w:t xml:space="preserve">, I. C., </w:t>
      </w:r>
      <w:proofErr w:type="spellStart"/>
      <w:r w:rsidRPr="00CC1F50">
        <w:rPr>
          <w:rFonts w:ascii="Times New Roman" w:eastAsia="Times New Roman" w:hAnsi="Times New Roman" w:cs="Times New Roman"/>
          <w:color w:val="000000" w:themeColor="text1"/>
          <w:sz w:val="24"/>
          <w:szCs w:val="24"/>
        </w:rPr>
        <w:t>Harbarth</w:t>
      </w:r>
      <w:proofErr w:type="spellEnd"/>
      <w:r w:rsidRPr="00CC1F50">
        <w:rPr>
          <w:rFonts w:ascii="Times New Roman" w:eastAsia="Times New Roman" w:hAnsi="Times New Roman" w:cs="Times New Roman"/>
          <w:color w:val="000000" w:themeColor="text1"/>
          <w:sz w:val="24"/>
          <w:szCs w:val="24"/>
        </w:rPr>
        <w:t xml:space="preserve">, S., … Pittet, D. (2011). Society’s failure to protect a precious resource: Antibiotics. </w:t>
      </w:r>
      <w:r w:rsidRPr="00CC1F50">
        <w:rPr>
          <w:rFonts w:ascii="Times New Roman" w:eastAsia="Times New Roman" w:hAnsi="Times New Roman" w:cs="Times New Roman"/>
          <w:i/>
          <w:iCs/>
          <w:color w:val="000000" w:themeColor="text1"/>
          <w:sz w:val="24"/>
          <w:szCs w:val="24"/>
        </w:rPr>
        <w:t>The Lancet, 378</w:t>
      </w:r>
      <w:r w:rsidRPr="00CC1F50">
        <w:rPr>
          <w:rFonts w:ascii="Times New Roman" w:eastAsia="Times New Roman" w:hAnsi="Times New Roman" w:cs="Times New Roman"/>
          <w:color w:val="000000" w:themeColor="text1"/>
          <w:sz w:val="24"/>
          <w:szCs w:val="24"/>
        </w:rPr>
        <w:t>(9788), 369–371. https://doi.org/10.1016/S0140-6736(11)60401-7</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Centers for Disease Control and Prevention. (2013). </w:t>
      </w:r>
      <w:r w:rsidRPr="00CC1F50">
        <w:rPr>
          <w:rFonts w:ascii="Times New Roman" w:eastAsia="Times New Roman" w:hAnsi="Times New Roman" w:cs="Times New Roman"/>
          <w:i/>
          <w:iCs/>
          <w:color w:val="000000" w:themeColor="text1"/>
          <w:sz w:val="24"/>
          <w:szCs w:val="24"/>
        </w:rPr>
        <w:t>Antibiotic resistance threats in the United States, 2013</w:t>
      </w:r>
      <w:r w:rsidRPr="00CC1F50">
        <w:rPr>
          <w:rFonts w:ascii="Times New Roman" w:eastAsia="Times New Roman" w:hAnsi="Times New Roman" w:cs="Times New Roman"/>
          <w:color w:val="000000" w:themeColor="text1"/>
          <w:sz w:val="24"/>
          <w:szCs w:val="24"/>
        </w:rPr>
        <w:t>. U.S. Department of Health and Human Services.</w:t>
      </w:r>
    </w:p>
    <w:p w:rsidR="00A34969" w:rsidRPr="00CC1F50" w:rsidRDefault="00A34969" w:rsidP="00CC1F50">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CC1F50">
        <w:rPr>
          <w:rFonts w:ascii="Times New Roman" w:hAnsi="Times New Roman" w:cs="Times New Roman"/>
          <w:color w:val="000000" w:themeColor="text1"/>
          <w:sz w:val="24"/>
          <w:szCs w:val="24"/>
          <w:shd w:val="clear" w:color="auto" w:fill="FFFFFF"/>
        </w:rPr>
        <w:t>Clinical and Laboratory Standards Institute. 2020. Performance standards for antimicrobial susceptibility testing, 30th ed CLSI supplement M100 Clinical and Laboratory Standards Institute, Wayne, PA</w:t>
      </w:r>
    </w:p>
    <w:p w:rsidR="009D0FA6" w:rsidRDefault="009D0FA6"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Hawser, S.P., S.K. Bouchillon, C. </w:t>
      </w:r>
      <w:proofErr w:type="spellStart"/>
      <w:r w:rsidRPr="00CC1F50">
        <w:rPr>
          <w:rFonts w:ascii="Times New Roman" w:eastAsia="Times New Roman" w:hAnsi="Times New Roman" w:cs="Times New Roman"/>
          <w:color w:val="000000" w:themeColor="text1"/>
          <w:sz w:val="24"/>
          <w:szCs w:val="24"/>
        </w:rPr>
        <w:t>Lascols</w:t>
      </w:r>
      <w:proofErr w:type="spellEnd"/>
      <w:r w:rsidRPr="00CC1F50">
        <w:rPr>
          <w:rFonts w:ascii="Times New Roman" w:eastAsia="Times New Roman" w:hAnsi="Times New Roman" w:cs="Times New Roman"/>
          <w:color w:val="000000" w:themeColor="text1"/>
          <w:sz w:val="24"/>
          <w:szCs w:val="24"/>
        </w:rPr>
        <w:t xml:space="preserve">, M. Hackel, D.J. Hoban, R.E. Badal, R. Canton. (2012). Susceptibility of European </w:t>
      </w:r>
      <w:r w:rsidRPr="00CC1F50">
        <w:rPr>
          <w:rFonts w:ascii="Times New Roman" w:eastAsia="Times New Roman" w:hAnsi="Times New Roman" w:cs="Times New Roman"/>
          <w:i/>
          <w:color w:val="000000" w:themeColor="text1"/>
          <w:sz w:val="24"/>
          <w:szCs w:val="24"/>
        </w:rPr>
        <w:t>Escherichia coli</w:t>
      </w:r>
      <w:r w:rsidRPr="00CC1F50">
        <w:rPr>
          <w:rFonts w:ascii="Times New Roman" w:eastAsia="Times New Roman" w:hAnsi="Times New Roman" w:cs="Times New Roman"/>
          <w:color w:val="000000" w:themeColor="text1"/>
          <w:sz w:val="24"/>
          <w:szCs w:val="24"/>
        </w:rPr>
        <w:t xml:space="preserve"> clinical isolates from intra-abdominal infections, extended-spectrum β-lactamase occurrence, resistance distribution, and molecular characterization of ertapenem-resistant isolates (SMART 2008–2009). </w:t>
      </w:r>
      <w:r w:rsidRPr="00CC1F50">
        <w:rPr>
          <w:rFonts w:ascii="Times New Roman" w:eastAsia="Times New Roman" w:hAnsi="Times New Roman" w:cs="Times New Roman"/>
          <w:i/>
          <w:color w:val="000000" w:themeColor="text1"/>
          <w:sz w:val="24"/>
          <w:szCs w:val="24"/>
        </w:rPr>
        <w:t>Clinical Microbiology and Infection</w:t>
      </w:r>
      <w:r w:rsidRPr="00CC1F50">
        <w:rPr>
          <w:rFonts w:ascii="Times New Roman" w:eastAsia="Times New Roman" w:hAnsi="Times New Roman" w:cs="Times New Roman"/>
          <w:color w:val="000000" w:themeColor="text1"/>
          <w:sz w:val="24"/>
          <w:szCs w:val="24"/>
        </w:rPr>
        <w:t>, 18(3), 253-259.</w:t>
      </w:r>
    </w:p>
    <w:p w:rsidR="00BA4EF1" w:rsidRPr="00BA4EF1" w:rsidRDefault="00BA4EF1" w:rsidP="00CC1F50">
      <w:pPr>
        <w:spacing w:before="100" w:beforeAutospacing="1" w:after="100" w:afterAutospacing="1" w:line="240" w:lineRule="auto"/>
        <w:jc w:val="both"/>
        <w:rPr>
          <w:rFonts w:ascii="Times New Roman" w:eastAsia="Times New Roman" w:hAnsi="Times New Roman" w:cs="Times New Roman"/>
          <w:color w:val="000000" w:themeColor="text1"/>
          <w:sz w:val="28"/>
          <w:szCs w:val="24"/>
        </w:rPr>
      </w:pPr>
      <w:r w:rsidRPr="00BA4EF1">
        <w:rPr>
          <w:rFonts w:ascii="Times New Roman" w:hAnsi="Times New Roman" w:cs="Times New Roman"/>
          <w:sz w:val="24"/>
        </w:rPr>
        <w:t xml:space="preserve">Hooper DC, Jacoby GA. Mechanisms of drug resistance: quinolone resistance. </w:t>
      </w:r>
      <w:r w:rsidRPr="00BA4EF1">
        <w:rPr>
          <w:rStyle w:val="Strong"/>
          <w:rFonts w:ascii="Times New Roman" w:hAnsi="Times New Roman" w:cs="Times New Roman"/>
          <w:b w:val="0"/>
          <w:sz w:val="24"/>
        </w:rPr>
        <w:t xml:space="preserve">Ann N Y </w:t>
      </w:r>
      <w:proofErr w:type="spellStart"/>
      <w:r w:rsidRPr="00BA4EF1">
        <w:rPr>
          <w:rStyle w:val="Strong"/>
          <w:rFonts w:ascii="Times New Roman" w:hAnsi="Times New Roman" w:cs="Times New Roman"/>
          <w:b w:val="0"/>
          <w:sz w:val="24"/>
        </w:rPr>
        <w:t>Acad</w:t>
      </w:r>
      <w:proofErr w:type="spellEnd"/>
      <w:r w:rsidRPr="00BA4EF1">
        <w:rPr>
          <w:rStyle w:val="Strong"/>
          <w:rFonts w:ascii="Times New Roman" w:hAnsi="Times New Roman" w:cs="Times New Roman"/>
          <w:b w:val="0"/>
          <w:sz w:val="24"/>
        </w:rPr>
        <w:t xml:space="preserve"> Sci.</w:t>
      </w:r>
      <w:r w:rsidRPr="00BA4EF1">
        <w:rPr>
          <w:rFonts w:ascii="Times New Roman" w:hAnsi="Times New Roman" w:cs="Times New Roman"/>
          <w:sz w:val="24"/>
        </w:rPr>
        <w:t xml:space="preserve"> 2016;1354(1):12–31.</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Huttner, A., </w:t>
      </w:r>
      <w:proofErr w:type="spellStart"/>
      <w:r w:rsidRPr="00CC1F50">
        <w:rPr>
          <w:rFonts w:ascii="Times New Roman" w:eastAsia="Times New Roman" w:hAnsi="Times New Roman" w:cs="Times New Roman"/>
          <w:color w:val="000000" w:themeColor="text1"/>
          <w:sz w:val="24"/>
          <w:szCs w:val="24"/>
        </w:rPr>
        <w:t>Harbarth</w:t>
      </w:r>
      <w:proofErr w:type="spellEnd"/>
      <w:r w:rsidRPr="00CC1F50">
        <w:rPr>
          <w:rFonts w:ascii="Times New Roman" w:eastAsia="Times New Roman" w:hAnsi="Times New Roman" w:cs="Times New Roman"/>
          <w:color w:val="000000" w:themeColor="text1"/>
          <w:sz w:val="24"/>
          <w:szCs w:val="24"/>
        </w:rPr>
        <w:t xml:space="preserve">, S., Carlet, J., Cosgrove, S., Goossens, H., Holmes, A., … Voss, A. (2013). Antimicrobial resistance: A global view from the 2013 World Healthcare-Associated Infections Forum. </w:t>
      </w:r>
      <w:r w:rsidRPr="00CC1F50">
        <w:rPr>
          <w:rFonts w:ascii="Times New Roman" w:eastAsia="Times New Roman" w:hAnsi="Times New Roman" w:cs="Times New Roman"/>
          <w:i/>
          <w:iCs/>
          <w:color w:val="000000" w:themeColor="text1"/>
          <w:sz w:val="24"/>
          <w:szCs w:val="24"/>
        </w:rPr>
        <w:t>Antimicrobial Resistance &amp; Infection Control, 2</w:t>
      </w:r>
      <w:r w:rsidRPr="00CC1F50">
        <w:rPr>
          <w:rFonts w:ascii="Times New Roman" w:eastAsia="Times New Roman" w:hAnsi="Times New Roman" w:cs="Times New Roman"/>
          <w:color w:val="000000" w:themeColor="text1"/>
          <w:sz w:val="24"/>
          <w:szCs w:val="24"/>
        </w:rPr>
        <w:t>, 31. https://doi.org/10.1186/2047-2994-2-31</w:t>
      </w:r>
    </w:p>
    <w:p w:rsidR="00255230" w:rsidRDefault="00255230" w:rsidP="00CC1F50">
      <w:pPr>
        <w:spacing w:before="100" w:beforeAutospacing="1" w:after="100" w:afterAutospacing="1" w:line="240" w:lineRule="auto"/>
        <w:jc w:val="both"/>
        <w:rPr>
          <w:rStyle w:val="Hyperlink"/>
          <w:rFonts w:ascii="Times New Roman" w:eastAsia="Times New Roman" w:hAnsi="Times New Roman" w:cs="Times New Roman"/>
          <w:color w:val="000000" w:themeColor="text1"/>
          <w:sz w:val="24"/>
          <w:szCs w:val="24"/>
        </w:rPr>
      </w:pPr>
      <w:proofErr w:type="spellStart"/>
      <w:r w:rsidRPr="00CC1F50">
        <w:rPr>
          <w:rFonts w:ascii="Times New Roman" w:eastAsia="Times New Roman" w:hAnsi="Times New Roman" w:cs="Times New Roman"/>
          <w:color w:val="000000" w:themeColor="text1"/>
          <w:sz w:val="24"/>
          <w:szCs w:val="24"/>
        </w:rPr>
        <w:lastRenderedPageBreak/>
        <w:t>Lamikanra</w:t>
      </w:r>
      <w:proofErr w:type="spellEnd"/>
      <w:r w:rsidRPr="00CC1F50">
        <w:rPr>
          <w:rFonts w:ascii="Times New Roman" w:eastAsia="Times New Roman" w:hAnsi="Times New Roman" w:cs="Times New Roman"/>
          <w:color w:val="000000" w:themeColor="text1"/>
          <w:sz w:val="24"/>
          <w:szCs w:val="24"/>
        </w:rPr>
        <w:t xml:space="preserve">, A., Crowe, J. L., Lijek, R. S., </w:t>
      </w:r>
      <w:proofErr w:type="spellStart"/>
      <w:r w:rsidRPr="00CC1F50">
        <w:rPr>
          <w:rFonts w:ascii="Times New Roman" w:eastAsia="Times New Roman" w:hAnsi="Times New Roman" w:cs="Times New Roman"/>
          <w:color w:val="000000" w:themeColor="text1"/>
          <w:sz w:val="24"/>
          <w:szCs w:val="24"/>
        </w:rPr>
        <w:t>Odetoyin</w:t>
      </w:r>
      <w:proofErr w:type="spellEnd"/>
      <w:r w:rsidRPr="00CC1F50">
        <w:rPr>
          <w:rFonts w:ascii="Times New Roman" w:eastAsia="Times New Roman" w:hAnsi="Times New Roman" w:cs="Times New Roman"/>
          <w:color w:val="000000" w:themeColor="text1"/>
          <w:sz w:val="24"/>
          <w:szCs w:val="24"/>
        </w:rPr>
        <w:t xml:space="preserve">, B. W., Wain, J., Aboderin, O. A., &amp; Okeke, I. N. (2011). Rapid evolution of fluoroquinolone-resistant </w:t>
      </w:r>
      <w:r w:rsidRPr="00CC1F50">
        <w:rPr>
          <w:rFonts w:ascii="Times New Roman" w:eastAsia="Times New Roman" w:hAnsi="Times New Roman" w:cs="Times New Roman"/>
          <w:i/>
          <w:iCs/>
          <w:color w:val="000000" w:themeColor="text1"/>
          <w:sz w:val="24"/>
          <w:szCs w:val="24"/>
        </w:rPr>
        <w:t>Escherichia coli</w:t>
      </w:r>
      <w:r w:rsidRPr="00CC1F50">
        <w:rPr>
          <w:rFonts w:ascii="Times New Roman" w:eastAsia="Times New Roman" w:hAnsi="Times New Roman" w:cs="Times New Roman"/>
          <w:color w:val="000000" w:themeColor="text1"/>
          <w:sz w:val="24"/>
          <w:szCs w:val="24"/>
        </w:rPr>
        <w:t xml:space="preserve"> in Nigeria is temporally associated with fluoroquinolone use. </w:t>
      </w:r>
      <w:r w:rsidRPr="00CC1F50">
        <w:rPr>
          <w:rFonts w:ascii="Times New Roman" w:eastAsia="Times New Roman" w:hAnsi="Times New Roman" w:cs="Times New Roman"/>
          <w:i/>
          <w:iCs/>
          <w:color w:val="000000" w:themeColor="text1"/>
          <w:sz w:val="24"/>
          <w:szCs w:val="24"/>
        </w:rPr>
        <w:t>BMC Infectious Diseases, 11</w:t>
      </w:r>
      <w:r w:rsidRPr="00CC1F50">
        <w:rPr>
          <w:rFonts w:ascii="Times New Roman" w:eastAsia="Times New Roman" w:hAnsi="Times New Roman" w:cs="Times New Roman"/>
          <w:color w:val="000000" w:themeColor="text1"/>
          <w:sz w:val="24"/>
          <w:szCs w:val="24"/>
        </w:rPr>
        <w:t xml:space="preserve">, 312. </w:t>
      </w:r>
      <w:hyperlink r:id="rId7" w:history="1">
        <w:r w:rsidR="00FD68BF" w:rsidRPr="00CC1F50">
          <w:rPr>
            <w:rStyle w:val="Hyperlink"/>
            <w:rFonts w:ascii="Times New Roman" w:eastAsia="Times New Roman" w:hAnsi="Times New Roman" w:cs="Times New Roman"/>
            <w:color w:val="000000" w:themeColor="text1"/>
            <w:sz w:val="24"/>
            <w:szCs w:val="24"/>
          </w:rPr>
          <w:t>https://doi.org/10.1186/1471-2334-11-312</w:t>
        </w:r>
      </w:hyperlink>
    </w:p>
    <w:p w:rsidR="00BA4EF1" w:rsidRDefault="00BA4EF1" w:rsidP="00CC1F50">
      <w:pPr>
        <w:spacing w:before="100" w:beforeAutospacing="1" w:after="100" w:afterAutospacing="1" w:line="240" w:lineRule="auto"/>
        <w:jc w:val="both"/>
        <w:rPr>
          <w:rFonts w:ascii="Times New Roman" w:hAnsi="Times New Roman" w:cs="Times New Roman"/>
          <w:sz w:val="24"/>
        </w:rPr>
      </w:pPr>
      <w:r w:rsidRPr="00BA4EF1">
        <w:rPr>
          <w:rFonts w:ascii="Times New Roman" w:hAnsi="Times New Roman" w:cs="Times New Roman"/>
          <w:sz w:val="24"/>
        </w:rPr>
        <w:t xml:space="preserve">Nordmann P, Naas T, </w:t>
      </w:r>
      <w:proofErr w:type="spellStart"/>
      <w:r w:rsidRPr="00BA4EF1">
        <w:rPr>
          <w:rFonts w:ascii="Times New Roman" w:hAnsi="Times New Roman" w:cs="Times New Roman"/>
          <w:sz w:val="24"/>
        </w:rPr>
        <w:t>Poirel</w:t>
      </w:r>
      <w:proofErr w:type="spellEnd"/>
      <w:r w:rsidRPr="00BA4EF1">
        <w:rPr>
          <w:rFonts w:ascii="Times New Roman" w:hAnsi="Times New Roman" w:cs="Times New Roman"/>
          <w:sz w:val="24"/>
        </w:rPr>
        <w:t xml:space="preserve"> L. Global spread of </w:t>
      </w:r>
      <w:proofErr w:type="spellStart"/>
      <w:r w:rsidRPr="00BA4EF1">
        <w:rPr>
          <w:rFonts w:ascii="Times New Roman" w:hAnsi="Times New Roman" w:cs="Times New Roman"/>
          <w:sz w:val="24"/>
        </w:rPr>
        <w:t>carbapenemase</w:t>
      </w:r>
      <w:proofErr w:type="spellEnd"/>
      <w:r w:rsidRPr="00BA4EF1">
        <w:rPr>
          <w:rFonts w:ascii="Times New Roman" w:hAnsi="Times New Roman" w:cs="Times New Roman"/>
          <w:sz w:val="24"/>
        </w:rPr>
        <w:t xml:space="preserve">-producing </w:t>
      </w:r>
      <w:r w:rsidRPr="00BA4EF1">
        <w:rPr>
          <w:rStyle w:val="Emphasis"/>
          <w:rFonts w:ascii="Times New Roman" w:hAnsi="Times New Roman" w:cs="Times New Roman"/>
          <w:sz w:val="24"/>
        </w:rPr>
        <w:t>Enterobacteriaceae</w:t>
      </w:r>
      <w:r w:rsidRPr="00BA4EF1">
        <w:rPr>
          <w:rFonts w:ascii="Times New Roman" w:hAnsi="Times New Roman" w:cs="Times New Roman"/>
          <w:sz w:val="24"/>
        </w:rPr>
        <w:t xml:space="preserve">. </w:t>
      </w:r>
      <w:r w:rsidRPr="00BA4EF1">
        <w:rPr>
          <w:rStyle w:val="Strong"/>
          <w:rFonts w:ascii="Times New Roman" w:hAnsi="Times New Roman" w:cs="Times New Roman"/>
          <w:b w:val="0"/>
          <w:sz w:val="24"/>
        </w:rPr>
        <w:t>Emerg Infect Dis.</w:t>
      </w:r>
      <w:r w:rsidRPr="00BA4EF1">
        <w:rPr>
          <w:rFonts w:ascii="Times New Roman" w:hAnsi="Times New Roman" w:cs="Times New Roman"/>
          <w:sz w:val="24"/>
        </w:rPr>
        <w:t xml:space="preserve"> 2011;17(10):1791–1798.</w:t>
      </w:r>
    </w:p>
    <w:p w:rsidR="00BA4EF1" w:rsidRPr="00BA4EF1" w:rsidRDefault="00BA4EF1" w:rsidP="00CC1F50">
      <w:pPr>
        <w:spacing w:before="100" w:beforeAutospacing="1" w:after="100" w:afterAutospacing="1" w:line="240" w:lineRule="auto"/>
        <w:jc w:val="both"/>
        <w:rPr>
          <w:rFonts w:ascii="Times New Roman" w:eastAsia="Times New Roman" w:hAnsi="Times New Roman" w:cs="Times New Roman"/>
          <w:color w:val="000000" w:themeColor="text1"/>
          <w:sz w:val="32"/>
          <w:szCs w:val="24"/>
        </w:rPr>
      </w:pPr>
      <w:r w:rsidRPr="00BA4EF1">
        <w:rPr>
          <w:rFonts w:ascii="Times New Roman" w:hAnsi="Times New Roman" w:cs="Times New Roman"/>
          <w:sz w:val="24"/>
        </w:rPr>
        <w:t xml:space="preserve">Paterson DL, Bonomo RA. Extended-spectrum β-lactamases: a clinical update. </w:t>
      </w:r>
      <w:r w:rsidRPr="00BA4EF1">
        <w:rPr>
          <w:rStyle w:val="Strong"/>
          <w:rFonts w:ascii="Times New Roman" w:hAnsi="Times New Roman" w:cs="Times New Roman"/>
          <w:b w:val="0"/>
          <w:sz w:val="24"/>
        </w:rPr>
        <w:t>Clin Microbiol Rev.</w:t>
      </w:r>
      <w:r w:rsidRPr="00BA4EF1">
        <w:rPr>
          <w:rFonts w:ascii="Times New Roman" w:hAnsi="Times New Roman" w:cs="Times New Roman"/>
          <w:b/>
          <w:sz w:val="24"/>
        </w:rPr>
        <w:t xml:space="preserve"> </w:t>
      </w:r>
      <w:r w:rsidRPr="00BA4EF1">
        <w:rPr>
          <w:rFonts w:ascii="Times New Roman" w:hAnsi="Times New Roman" w:cs="Times New Roman"/>
          <w:sz w:val="24"/>
        </w:rPr>
        <w:t>2005;18(4):657–686.</w:t>
      </w:r>
    </w:p>
    <w:p w:rsidR="009D0FA6" w:rsidRDefault="009D0FA6" w:rsidP="00CC1F50">
      <w:pPr>
        <w:spacing w:before="100" w:beforeAutospacing="1" w:after="100" w:afterAutospacing="1" w:line="240" w:lineRule="auto"/>
        <w:jc w:val="both"/>
        <w:rPr>
          <w:rFonts w:ascii="Times New Roman" w:hAnsi="Times New Roman" w:cs="Times New Roman"/>
          <w:color w:val="000000" w:themeColor="text1"/>
          <w:sz w:val="24"/>
          <w:szCs w:val="24"/>
          <w:shd w:val="clear" w:color="auto" w:fill="FFFFFF"/>
        </w:rPr>
      </w:pPr>
      <w:r w:rsidRPr="00CC1F50">
        <w:rPr>
          <w:rFonts w:ascii="Times New Roman" w:hAnsi="Times New Roman" w:cs="Times New Roman"/>
          <w:color w:val="000000" w:themeColor="text1"/>
          <w:sz w:val="24"/>
          <w:szCs w:val="24"/>
          <w:shd w:val="clear" w:color="auto" w:fill="FFFFFF"/>
        </w:rPr>
        <w:t>Shaikh, S., Fatima, J., Shakil, S., Rizvi, S. M., &amp; Kamal, M. A. (2015). Antibiotic resistance and extended spectrum beta-lactamases: Types, epidemiology and treatment. </w:t>
      </w:r>
      <w:r w:rsidRPr="00CC1F50">
        <w:rPr>
          <w:rFonts w:ascii="Times New Roman" w:hAnsi="Times New Roman" w:cs="Times New Roman"/>
          <w:i/>
          <w:iCs/>
          <w:color w:val="000000" w:themeColor="text1"/>
          <w:sz w:val="24"/>
          <w:szCs w:val="24"/>
          <w:shd w:val="clear" w:color="auto" w:fill="FFFFFF"/>
        </w:rPr>
        <w:t>Saudi Journal of Biological Sciences</w:t>
      </w:r>
      <w:r w:rsidRPr="00CC1F50">
        <w:rPr>
          <w:rFonts w:ascii="Times New Roman" w:hAnsi="Times New Roman" w:cs="Times New Roman"/>
          <w:color w:val="000000" w:themeColor="text1"/>
          <w:sz w:val="24"/>
          <w:szCs w:val="24"/>
          <w:shd w:val="clear" w:color="auto" w:fill="FFFFFF"/>
        </w:rPr>
        <w:t>, </w:t>
      </w:r>
      <w:r w:rsidRPr="00CC1F50">
        <w:rPr>
          <w:rFonts w:ascii="Times New Roman" w:hAnsi="Times New Roman" w:cs="Times New Roman"/>
          <w:i/>
          <w:iCs/>
          <w:color w:val="000000" w:themeColor="text1"/>
          <w:sz w:val="24"/>
          <w:szCs w:val="24"/>
          <w:shd w:val="clear" w:color="auto" w:fill="FFFFFF"/>
        </w:rPr>
        <w:t>22</w:t>
      </w:r>
      <w:r w:rsidRPr="00CC1F50">
        <w:rPr>
          <w:rFonts w:ascii="Times New Roman" w:hAnsi="Times New Roman" w:cs="Times New Roman"/>
          <w:color w:val="000000" w:themeColor="text1"/>
          <w:sz w:val="24"/>
          <w:szCs w:val="24"/>
          <w:shd w:val="clear" w:color="auto" w:fill="FFFFFF"/>
        </w:rPr>
        <w:t xml:space="preserve">(1), 90–101. </w:t>
      </w:r>
      <w:hyperlink r:id="rId8" w:history="1">
        <w:r w:rsidR="00BA4EF1" w:rsidRPr="003B1680">
          <w:rPr>
            <w:rStyle w:val="Hyperlink"/>
            <w:rFonts w:ascii="Times New Roman" w:hAnsi="Times New Roman" w:cs="Times New Roman"/>
            <w:sz w:val="24"/>
            <w:szCs w:val="24"/>
            <w:shd w:val="clear" w:color="auto" w:fill="FFFFFF"/>
          </w:rPr>
          <w:t>https://doi.org/10.1016/j.sjbs.2014.08.002</w:t>
        </w:r>
      </w:hyperlink>
    </w:p>
    <w:p w:rsidR="00BA4EF1" w:rsidRPr="00BA4EF1" w:rsidRDefault="00BA4EF1" w:rsidP="00CC1F50">
      <w:pPr>
        <w:spacing w:before="100" w:beforeAutospacing="1" w:after="100" w:afterAutospacing="1" w:line="240" w:lineRule="auto"/>
        <w:jc w:val="both"/>
        <w:rPr>
          <w:rFonts w:ascii="Times New Roman" w:eastAsia="Times New Roman" w:hAnsi="Times New Roman" w:cs="Times New Roman"/>
          <w:color w:val="000000" w:themeColor="text1"/>
          <w:sz w:val="28"/>
          <w:szCs w:val="24"/>
        </w:rPr>
      </w:pPr>
      <w:r w:rsidRPr="00BA4EF1">
        <w:rPr>
          <w:rFonts w:ascii="Times New Roman" w:hAnsi="Times New Roman" w:cs="Times New Roman"/>
          <w:sz w:val="24"/>
        </w:rPr>
        <w:t xml:space="preserve">Tong SYC, Davis JS, Eichenberger E, Holland TL, Fowler VG. </w:t>
      </w:r>
      <w:r w:rsidRPr="00BA4EF1">
        <w:rPr>
          <w:rStyle w:val="Emphasis"/>
          <w:rFonts w:ascii="Times New Roman" w:hAnsi="Times New Roman" w:cs="Times New Roman"/>
          <w:sz w:val="24"/>
        </w:rPr>
        <w:t>Staphylococcus aureus</w:t>
      </w:r>
      <w:r w:rsidRPr="00BA4EF1">
        <w:rPr>
          <w:rFonts w:ascii="Times New Roman" w:hAnsi="Times New Roman" w:cs="Times New Roman"/>
          <w:sz w:val="24"/>
        </w:rPr>
        <w:t xml:space="preserve"> infections: epidemiology, pathophysiology, clinical manifestations, and management. </w:t>
      </w:r>
      <w:r w:rsidRPr="00BA4EF1">
        <w:rPr>
          <w:rStyle w:val="Strong"/>
          <w:rFonts w:ascii="Times New Roman" w:hAnsi="Times New Roman" w:cs="Times New Roman"/>
          <w:b w:val="0"/>
          <w:sz w:val="24"/>
        </w:rPr>
        <w:t>Clin Microbiol Rev.</w:t>
      </w:r>
      <w:r w:rsidRPr="00BA4EF1">
        <w:rPr>
          <w:rFonts w:ascii="Times New Roman" w:hAnsi="Times New Roman" w:cs="Times New Roman"/>
          <w:sz w:val="24"/>
        </w:rPr>
        <w:t xml:space="preserve"> 2015;28(3):603–661.</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Ventola, C. L. (2015). The antibiotic resistance crisis: Part 1: Causes and threats. </w:t>
      </w:r>
      <w:r w:rsidRPr="00CC1F50">
        <w:rPr>
          <w:rFonts w:ascii="Times New Roman" w:eastAsia="Times New Roman" w:hAnsi="Times New Roman" w:cs="Times New Roman"/>
          <w:i/>
          <w:iCs/>
          <w:color w:val="000000" w:themeColor="text1"/>
          <w:sz w:val="24"/>
          <w:szCs w:val="24"/>
        </w:rPr>
        <w:t>Pharmacy and Therapeutics, 40</w:t>
      </w:r>
      <w:r w:rsidRPr="00CC1F50">
        <w:rPr>
          <w:rFonts w:ascii="Times New Roman" w:eastAsia="Times New Roman" w:hAnsi="Times New Roman" w:cs="Times New Roman"/>
          <w:color w:val="000000" w:themeColor="text1"/>
          <w:sz w:val="24"/>
          <w:szCs w:val="24"/>
        </w:rPr>
        <w:t>(4), 277–283.</w:t>
      </w:r>
    </w:p>
    <w:p w:rsidR="00255230" w:rsidRPr="00CC1F50" w:rsidRDefault="00255230" w:rsidP="00CC1F50">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CC1F50">
        <w:rPr>
          <w:rFonts w:ascii="Times New Roman" w:eastAsia="Times New Roman" w:hAnsi="Times New Roman" w:cs="Times New Roman"/>
          <w:color w:val="000000" w:themeColor="text1"/>
          <w:sz w:val="24"/>
          <w:szCs w:val="24"/>
        </w:rPr>
        <w:t xml:space="preserve">World Health </w:t>
      </w:r>
      <w:proofErr w:type="spellStart"/>
      <w:r w:rsidR="004C7C3C" w:rsidRPr="00CC1F50">
        <w:rPr>
          <w:rFonts w:ascii="Times New Roman" w:eastAsia="Times New Roman" w:hAnsi="Times New Roman" w:cs="Times New Roman"/>
          <w:color w:val="000000" w:themeColor="text1"/>
          <w:sz w:val="24"/>
          <w:szCs w:val="24"/>
        </w:rPr>
        <w:t>Organisation</w:t>
      </w:r>
      <w:proofErr w:type="spellEnd"/>
      <w:r w:rsidRPr="00CC1F50">
        <w:rPr>
          <w:rFonts w:ascii="Times New Roman" w:eastAsia="Times New Roman" w:hAnsi="Times New Roman" w:cs="Times New Roman"/>
          <w:color w:val="000000" w:themeColor="text1"/>
          <w:sz w:val="24"/>
          <w:szCs w:val="24"/>
        </w:rPr>
        <w:t xml:space="preserve">. (2012). </w:t>
      </w:r>
      <w:r w:rsidRPr="00CC1F50">
        <w:rPr>
          <w:rFonts w:ascii="Times New Roman" w:eastAsia="Times New Roman" w:hAnsi="Times New Roman" w:cs="Times New Roman"/>
          <w:i/>
          <w:iCs/>
          <w:color w:val="000000" w:themeColor="text1"/>
          <w:sz w:val="24"/>
          <w:szCs w:val="24"/>
        </w:rPr>
        <w:t>The evolving threat of antimicrobial resistance: Options for action</w:t>
      </w:r>
      <w:r w:rsidRPr="00CC1F50">
        <w:rPr>
          <w:rFonts w:ascii="Times New Roman" w:eastAsia="Times New Roman" w:hAnsi="Times New Roman" w:cs="Times New Roman"/>
          <w:color w:val="000000" w:themeColor="text1"/>
          <w:sz w:val="24"/>
          <w:szCs w:val="24"/>
        </w:rPr>
        <w:t>. WHO Press.</w:t>
      </w:r>
    </w:p>
    <w:p w:rsidR="00C501BC" w:rsidRPr="00CC1F50" w:rsidRDefault="00C501BC" w:rsidP="00CC1F50">
      <w:pPr>
        <w:jc w:val="both"/>
        <w:rPr>
          <w:rFonts w:ascii="Times New Roman" w:hAnsi="Times New Roman" w:cs="Times New Roman"/>
          <w:color w:val="000000" w:themeColor="text1"/>
          <w:sz w:val="24"/>
          <w:szCs w:val="24"/>
        </w:rPr>
      </w:pPr>
    </w:p>
    <w:sectPr w:rsidR="00C501BC" w:rsidRPr="00CC1F50">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4BD8" w:rsidRDefault="00744BD8" w:rsidP="00B03677">
      <w:pPr>
        <w:spacing w:after="0" w:line="240" w:lineRule="auto"/>
      </w:pPr>
      <w:r>
        <w:separator/>
      </w:r>
    </w:p>
  </w:endnote>
  <w:endnote w:type="continuationSeparator" w:id="0">
    <w:p w:rsidR="00744BD8" w:rsidRDefault="00744BD8" w:rsidP="00B03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4BD8" w:rsidRDefault="00744BD8" w:rsidP="00B03677">
      <w:pPr>
        <w:spacing w:after="0" w:line="240" w:lineRule="auto"/>
      </w:pPr>
      <w:r>
        <w:separator/>
      </w:r>
    </w:p>
  </w:footnote>
  <w:footnote w:type="continuationSeparator" w:id="0">
    <w:p w:rsidR="00744BD8" w:rsidRDefault="00744BD8" w:rsidP="00B03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90715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90715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3677" w:rsidRDefault="00B036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590715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4287C"/>
    <w:multiLevelType w:val="multilevel"/>
    <w:tmpl w:val="BCE8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B3264"/>
    <w:multiLevelType w:val="multilevel"/>
    <w:tmpl w:val="C8CA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F1A3D"/>
    <w:multiLevelType w:val="multilevel"/>
    <w:tmpl w:val="A664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5D5A63"/>
    <w:multiLevelType w:val="multilevel"/>
    <w:tmpl w:val="8B48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6103B"/>
    <w:multiLevelType w:val="multilevel"/>
    <w:tmpl w:val="9E8E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6E130B"/>
    <w:multiLevelType w:val="multilevel"/>
    <w:tmpl w:val="76A0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230"/>
    <w:rsid w:val="0001640B"/>
    <w:rsid w:val="000A72BA"/>
    <w:rsid w:val="000D1679"/>
    <w:rsid w:val="00101574"/>
    <w:rsid w:val="00104B8D"/>
    <w:rsid w:val="00142158"/>
    <w:rsid w:val="0015165D"/>
    <w:rsid w:val="001A2717"/>
    <w:rsid w:val="001E423E"/>
    <w:rsid w:val="001F2402"/>
    <w:rsid w:val="002125F4"/>
    <w:rsid w:val="002517F3"/>
    <w:rsid w:val="00255230"/>
    <w:rsid w:val="002618EC"/>
    <w:rsid w:val="0026527A"/>
    <w:rsid w:val="002B54B2"/>
    <w:rsid w:val="002C47DE"/>
    <w:rsid w:val="002C5452"/>
    <w:rsid w:val="00327389"/>
    <w:rsid w:val="0035201A"/>
    <w:rsid w:val="003734B1"/>
    <w:rsid w:val="003D69DD"/>
    <w:rsid w:val="004702FA"/>
    <w:rsid w:val="004A36F2"/>
    <w:rsid w:val="004C7C3C"/>
    <w:rsid w:val="004E4266"/>
    <w:rsid w:val="004F459D"/>
    <w:rsid w:val="00520D6F"/>
    <w:rsid w:val="0056750C"/>
    <w:rsid w:val="005824AD"/>
    <w:rsid w:val="00660E09"/>
    <w:rsid w:val="006A77FD"/>
    <w:rsid w:val="006C04B8"/>
    <w:rsid w:val="00723A8B"/>
    <w:rsid w:val="0072504A"/>
    <w:rsid w:val="00733125"/>
    <w:rsid w:val="00744BD8"/>
    <w:rsid w:val="00751366"/>
    <w:rsid w:val="00765799"/>
    <w:rsid w:val="00777419"/>
    <w:rsid w:val="00784095"/>
    <w:rsid w:val="0079369D"/>
    <w:rsid w:val="007B5F2F"/>
    <w:rsid w:val="007C2480"/>
    <w:rsid w:val="00800D07"/>
    <w:rsid w:val="00826B31"/>
    <w:rsid w:val="008704E1"/>
    <w:rsid w:val="008762BC"/>
    <w:rsid w:val="00884EAC"/>
    <w:rsid w:val="008B1426"/>
    <w:rsid w:val="008D72A1"/>
    <w:rsid w:val="00916D3B"/>
    <w:rsid w:val="00931ADF"/>
    <w:rsid w:val="009636E1"/>
    <w:rsid w:val="00982DD7"/>
    <w:rsid w:val="009C7F9D"/>
    <w:rsid w:val="009D0FA6"/>
    <w:rsid w:val="009D73EE"/>
    <w:rsid w:val="009F3DEB"/>
    <w:rsid w:val="009F5660"/>
    <w:rsid w:val="00A23E36"/>
    <w:rsid w:val="00A34969"/>
    <w:rsid w:val="00AD09DE"/>
    <w:rsid w:val="00B03677"/>
    <w:rsid w:val="00B06380"/>
    <w:rsid w:val="00B12B9F"/>
    <w:rsid w:val="00B26A4C"/>
    <w:rsid w:val="00B81884"/>
    <w:rsid w:val="00B84300"/>
    <w:rsid w:val="00BA4EF1"/>
    <w:rsid w:val="00BB3F66"/>
    <w:rsid w:val="00C105A5"/>
    <w:rsid w:val="00C31ABF"/>
    <w:rsid w:val="00C501BC"/>
    <w:rsid w:val="00C611DD"/>
    <w:rsid w:val="00CB164D"/>
    <w:rsid w:val="00CC1F50"/>
    <w:rsid w:val="00D011E4"/>
    <w:rsid w:val="00D24491"/>
    <w:rsid w:val="00D368D7"/>
    <w:rsid w:val="00D46EEC"/>
    <w:rsid w:val="00D52A13"/>
    <w:rsid w:val="00D56F2B"/>
    <w:rsid w:val="00D92159"/>
    <w:rsid w:val="00E07AFF"/>
    <w:rsid w:val="00E4645B"/>
    <w:rsid w:val="00EA3F80"/>
    <w:rsid w:val="00EC3960"/>
    <w:rsid w:val="00F5349E"/>
    <w:rsid w:val="00F90356"/>
    <w:rsid w:val="00F94D64"/>
    <w:rsid w:val="00FD68BF"/>
    <w:rsid w:val="00FF3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2CBCE3"/>
  <w15:chartTrackingRefBased/>
  <w15:docId w15:val="{D91B16A7-83B1-4B78-B4DA-F4C9B58A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2552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552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552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2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552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55230"/>
    <w:rPr>
      <w:rFonts w:ascii="Times New Roman" w:eastAsia="Times New Roman" w:hAnsi="Times New Roman" w:cs="Times New Roman"/>
      <w:b/>
      <w:bCs/>
      <w:sz w:val="27"/>
      <w:szCs w:val="27"/>
    </w:rPr>
  </w:style>
  <w:style w:type="paragraph" w:styleId="NormalWeb">
    <w:name w:val="Normal (Web)"/>
    <w:basedOn w:val="Normal"/>
    <w:uiPriority w:val="99"/>
    <w:unhideWhenUsed/>
    <w:rsid w:val="002552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55230"/>
    <w:rPr>
      <w:i/>
      <w:iCs/>
    </w:rPr>
  </w:style>
  <w:style w:type="character" w:styleId="Strong">
    <w:name w:val="Strong"/>
    <w:basedOn w:val="DefaultParagraphFont"/>
    <w:uiPriority w:val="22"/>
    <w:qFormat/>
    <w:rsid w:val="00255230"/>
    <w:rPr>
      <w:b/>
      <w:bCs/>
    </w:rPr>
  </w:style>
  <w:style w:type="character" w:styleId="Hyperlink">
    <w:name w:val="Hyperlink"/>
    <w:basedOn w:val="DefaultParagraphFont"/>
    <w:unhideWhenUsed/>
    <w:qFormat/>
    <w:rsid w:val="000A72BA"/>
    <w:rPr>
      <w:color w:val="0563C1" w:themeColor="hyperlink"/>
      <w:u w:val="single"/>
    </w:rPr>
  </w:style>
  <w:style w:type="character" w:customStyle="1" w:styleId="HeaderChar">
    <w:name w:val="Header Char"/>
    <w:basedOn w:val="DefaultParagraphFont"/>
    <w:link w:val="Header"/>
    <w:uiPriority w:val="99"/>
    <w:qFormat/>
    <w:rsid w:val="00B12B9F"/>
    <w:rPr>
      <w:rFonts w:ascii="Calibri" w:eastAsia="SimSun" w:hAnsi="Calibri" w:cs="SimSun"/>
      <w:sz w:val="20"/>
      <w:szCs w:val="20"/>
      <w:lang w:eastAsia="zh-CN"/>
    </w:rPr>
  </w:style>
  <w:style w:type="paragraph" w:styleId="Header">
    <w:name w:val="header"/>
    <w:basedOn w:val="Normal"/>
    <w:link w:val="HeaderChar"/>
    <w:uiPriority w:val="99"/>
    <w:unhideWhenUsed/>
    <w:qFormat/>
    <w:rsid w:val="00B12B9F"/>
    <w:pPr>
      <w:tabs>
        <w:tab w:val="center" w:pos="4680"/>
        <w:tab w:val="right" w:pos="9360"/>
      </w:tabs>
      <w:spacing w:after="0" w:line="240" w:lineRule="auto"/>
    </w:pPr>
    <w:rPr>
      <w:rFonts w:ascii="Calibri" w:eastAsia="SimSun" w:hAnsi="Calibri" w:cs="SimSun"/>
      <w:sz w:val="20"/>
      <w:szCs w:val="20"/>
      <w:lang w:eastAsia="zh-CN"/>
    </w:rPr>
  </w:style>
  <w:style w:type="character" w:customStyle="1" w:styleId="FooterChar">
    <w:name w:val="Footer Char"/>
    <w:basedOn w:val="DefaultParagraphFont"/>
    <w:link w:val="Footer"/>
    <w:uiPriority w:val="99"/>
    <w:qFormat/>
    <w:rsid w:val="00B12B9F"/>
    <w:rPr>
      <w:rFonts w:ascii="Calibri" w:eastAsia="SimSun" w:hAnsi="Calibri" w:cs="Times New Roman"/>
      <w:sz w:val="20"/>
      <w:szCs w:val="20"/>
      <w:lang w:eastAsia="zh-CN"/>
    </w:rPr>
  </w:style>
  <w:style w:type="paragraph" w:styleId="Footer">
    <w:name w:val="footer"/>
    <w:basedOn w:val="Normal"/>
    <w:link w:val="FooterChar"/>
    <w:uiPriority w:val="99"/>
    <w:unhideWhenUsed/>
    <w:qFormat/>
    <w:rsid w:val="00B12B9F"/>
    <w:pPr>
      <w:tabs>
        <w:tab w:val="center" w:pos="4680"/>
        <w:tab w:val="right" w:pos="9360"/>
      </w:tabs>
      <w:spacing w:after="0" w:line="240" w:lineRule="auto"/>
    </w:pPr>
    <w:rPr>
      <w:rFonts w:ascii="Calibri" w:eastAsia="SimSun" w:hAnsi="Calibri" w:cs="Times New Roman"/>
      <w:sz w:val="20"/>
      <w:szCs w:val="20"/>
      <w:lang w:eastAsia="zh-CN"/>
    </w:rPr>
  </w:style>
  <w:style w:type="character" w:customStyle="1" w:styleId="BalloonTextChar">
    <w:name w:val="Balloon Text Char"/>
    <w:basedOn w:val="DefaultParagraphFont"/>
    <w:link w:val="BalloonText"/>
    <w:uiPriority w:val="99"/>
    <w:semiHidden/>
    <w:rsid w:val="00B12B9F"/>
    <w:rPr>
      <w:rFonts w:ascii="Segoe UI" w:eastAsia="SimSun" w:hAnsi="Segoe UI" w:cs="Segoe UI"/>
      <w:sz w:val="18"/>
      <w:szCs w:val="18"/>
      <w:lang w:eastAsia="zh-CN"/>
    </w:rPr>
  </w:style>
  <w:style w:type="paragraph" w:styleId="BalloonText">
    <w:name w:val="Balloon Text"/>
    <w:basedOn w:val="Normal"/>
    <w:link w:val="BalloonTextChar"/>
    <w:uiPriority w:val="99"/>
    <w:semiHidden/>
    <w:unhideWhenUsed/>
    <w:rsid w:val="00B12B9F"/>
    <w:pPr>
      <w:spacing w:after="0" w:line="240" w:lineRule="auto"/>
    </w:pPr>
    <w:rPr>
      <w:rFonts w:ascii="Segoe UI" w:eastAsia="SimSun" w:hAnsi="Segoe UI" w:cs="Segoe UI"/>
      <w:sz w:val="18"/>
      <w:szCs w:val="18"/>
      <w:lang w:eastAsia="zh-CN"/>
    </w:rPr>
  </w:style>
  <w:style w:type="character" w:customStyle="1" w:styleId="relative">
    <w:name w:val="relative"/>
    <w:basedOn w:val="DefaultParagraphFont"/>
    <w:rsid w:val="003D69DD"/>
  </w:style>
  <w:style w:type="paragraph" w:customStyle="1" w:styleId="not-prose">
    <w:name w:val="not-prose"/>
    <w:basedOn w:val="Normal"/>
    <w:rsid w:val="003D69D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818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26029">
      <w:bodyDiv w:val="1"/>
      <w:marLeft w:val="0"/>
      <w:marRight w:val="0"/>
      <w:marTop w:val="0"/>
      <w:marBottom w:val="0"/>
      <w:divBdr>
        <w:top w:val="none" w:sz="0" w:space="0" w:color="auto"/>
        <w:left w:val="none" w:sz="0" w:space="0" w:color="auto"/>
        <w:bottom w:val="none" w:sz="0" w:space="0" w:color="auto"/>
        <w:right w:val="none" w:sz="0" w:space="0" w:color="auto"/>
      </w:divBdr>
    </w:div>
    <w:div w:id="40248606">
      <w:bodyDiv w:val="1"/>
      <w:marLeft w:val="0"/>
      <w:marRight w:val="0"/>
      <w:marTop w:val="0"/>
      <w:marBottom w:val="0"/>
      <w:divBdr>
        <w:top w:val="none" w:sz="0" w:space="0" w:color="auto"/>
        <w:left w:val="none" w:sz="0" w:space="0" w:color="auto"/>
        <w:bottom w:val="none" w:sz="0" w:space="0" w:color="auto"/>
        <w:right w:val="none" w:sz="0" w:space="0" w:color="auto"/>
      </w:divBdr>
    </w:div>
    <w:div w:id="168328058">
      <w:bodyDiv w:val="1"/>
      <w:marLeft w:val="0"/>
      <w:marRight w:val="0"/>
      <w:marTop w:val="0"/>
      <w:marBottom w:val="0"/>
      <w:divBdr>
        <w:top w:val="none" w:sz="0" w:space="0" w:color="auto"/>
        <w:left w:val="none" w:sz="0" w:space="0" w:color="auto"/>
        <w:bottom w:val="none" w:sz="0" w:space="0" w:color="auto"/>
        <w:right w:val="none" w:sz="0" w:space="0" w:color="auto"/>
      </w:divBdr>
    </w:div>
    <w:div w:id="202447796">
      <w:bodyDiv w:val="1"/>
      <w:marLeft w:val="0"/>
      <w:marRight w:val="0"/>
      <w:marTop w:val="0"/>
      <w:marBottom w:val="0"/>
      <w:divBdr>
        <w:top w:val="none" w:sz="0" w:space="0" w:color="auto"/>
        <w:left w:val="none" w:sz="0" w:space="0" w:color="auto"/>
        <w:bottom w:val="none" w:sz="0" w:space="0" w:color="auto"/>
        <w:right w:val="none" w:sz="0" w:space="0" w:color="auto"/>
      </w:divBdr>
    </w:div>
    <w:div w:id="412701133">
      <w:bodyDiv w:val="1"/>
      <w:marLeft w:val="0"/>
      <w:marRight w:val="0"/>
      <w:marTop w:val="0"/>
      <w:marBottom w:val="0"/>
      <w:divBdr>
        <w:top w:val="none" w:sz="0" w:space="0" w:color="auto"/>
        <w:left w:val="none" w:sz="0" w:space="0" w:color="auto"/>
        <w:bottom w:val="none" w:sz="0" w:space="0" w:color="auto"/>
        <w:right w:val="none" w:sz="0" w:space="0" w:color="auto"/>
      </w:divBdr>
    </w:div>
    <w:div w:id="456028743">
      <w:bodyDiv w:val="1"/>
      <w:marLeft w:val="0"/>
      <w:marRight w:val="0"/>
      <w:marTop w:val="0"/>
      <w:marBottom w:val="0"/>
      <w:divBdr>
        <w:top w:val="none" w:sz="0" w:space="0" w:color="auto"/>
        <w:left w:val="none" w:sz="0" w:space="0" w:color="auto"/>
        <w:bottom w:val="none" w:sz="0" w:space="0" w:color="auto"/>
        <w:right w:val="none" w:sz="0" w:space="0" w:color="auto"/>
      </w:divBdr>
    </w:div>
    <w:div w:id="504981181">
      <w:bodyDiv w:val="1"/>
      <w:marLeft w:val="0"/>
      <w:marRight w:val="0"/>
      <w:marTop w:val="0"/>
      <w:marBottom w:val="0"/>
      <w:divBdr>
        <w:top w:val="none" w:sz="0" w:space="0" w:color="auto"/>
        <w:left w:val="none" w:sz="0" w:space="0" w:color="auto"/>
        <w:bottom w:val="none" w:sz="0" w:space="0" w:color="auto"/>
        <w:right w:val="none" w:sz="0" w:space="0" w:color="auto"/>
      </w:divBdr>
    </w:div>
    <w:div w:id="535890666">
      <w:bodyDiv w:val="1"/>
      <w:marLeft w:val="0"/>
      <w:marRight w:val="0"/>
      <w:marTop w:val="0"/>
      <w:marBottom w:val="0"/>
      <w:divBdr>
        <w:top w:val="none" w:sz="0" w:space="0" w:color="auto"/>
        <w:left w:val="none" w:sz="0" w:space="0" w:color="auto"/>
        <w:bottom w:val="none" w:sz="0" w:space="0" w:color="auto"/>
        <w:right w:val="none" w:sz="0" w:space="0" w:color="auto"/>
      </w:divBdr>
    </w:div>
    <w:div w:id="555287944">
      <w:bodyDiv w:val="1"/>
      <w:marLeft w:val="0"/>
      <w:marRight w:val="0"/>
      <w:marTop w:val="0"/>
      <w:marBottom w:val="0"/>
      <w:divBdr>
        <w:top w:val="none" w:sz="0" w:space="0" w:color="auto"/>
        <w:left w:val="none" w:sz="0" w:space="0" w:color="auto"/>
        <w:bottom w:val="none" w:sz="0" w:space="0" w:color="auto"/>
        <w:right w:val="none" w:sz="0" w:space="0" w:color="auto"/>
      </w:divBdr>
    </w:div>
    <w:div w:id="675041871">
      <w:bodyDiv w:val="1"/>
      <w:marLeft w:val="0"/>
      <w:marRight w:val="0"/>
      <w:marTop w:val="0"/>
      <w:marBottom w:val="0"/>
      <w:divBdr>
        <w:top w:val="none" w:sz="0" w:space="0" w:color="auto"/>
        <w:left w:val="none" w:sz="0" w:space="0" w:color="auto"/>
        <w:bottom w:val="none" w:sz="0" w:space="0" w:color="auto"/>
        <w:right w:val="none" w:sz="0" w:space="0" w:color="auto"/>
      </w:divBdr>
    </w:div>
    <w:div w:id="710224247">
      <w:bodyDiv w:val="1"/>
      <w:marLeft w:val="0"/>
      <w:marRight w:val="0"/>
      <w:marTop w:val="0"/>
      <w:marBottom w:val="0"/>
      <w:divBdr>
        <w:top w:val="none" w:sz="0" w:space="0" w:color="auto"/>
        <w:left w:val="none" w:sz="0" w:space="0" w:color="auto"/>
        <w:bottom w:val="none" w:sz="0" w:space="0" w:color="auto"/>
        <w:right w:val="none" w:sz="0" w:space="0" w:color="auto"/>
      </w:divBdr>
    </w:div>
    <w:div w:id="731538515">
      <w:bodyDiv w:val="1"/>
      <w:marLeft w:val="0"/>
      <w:marRight w:val="0"/>
      <w:marTop w:val="0"/>
      <w:marBottom w:val="0"/>
      <w:divBdr>
        <w:top w:val="none" w:sz="0" w:space="0" w:color="auto"/>
        <w:left w:val="none" w:sz="0" w:space="0" w:color="auto"/>
        <w:bottom w:val="none" w:sz="0" w:space="0" w:color="auto"/>
        <w:right w:val="none" w:sz="0" w:space="0" w:color="auto"/>
      </w:divBdr>
      <w:divsChild>
        <w:div w:id="2140032687">
          <w:marLeft w:val="0"/>
          <w:marRight w:val="0"/>
          <w:marTop w:val="0"/>
          <w:marBottom w:val="0"/>
          <w:divBdr>
            <w:top w:val="none" w:sz="0" w:space="0" w:color="auto"/>
            <w:left w:val="none" w:sz="0" w:space="0" w:color="auto"/>
            <w:bottom w:val="none" w:sz="0" w:space="0" w:color="auto"/>
            <w:right w:val="none" w:sz="0" w:space="0" w:color="auto"/>
          </w:divBdr>
          <w:divsChild>
            <w:div w:id="1473450205">
              <w:marLeft w:val="0"/>
              <w:marRight w:val="0"/>
              <w:marTop w:val="100"/>
              <w:marBottom w:val="100"/>
              <w:divBdr>
                <w:top w:val="none" w:sz="0" w:space="0" w:color="auto"/>
                <w:left w:val="none" w:sz="0" w:space="0" w:color="auto"/>
                <w:bottom w:val="none" w:sz="0" w:space="0" w:color="auto"/>
                <w:right w:val="none" w:sz="0" w:space="0" w:color="auto"/>
              </w:divBdr>
              <w:divsChild>
                <w:div w:id="1371105753">
                  <w:marLeft w:val="0"/>
                  <w:marRight w:val="0"/>
                  <w:marTop w:val="0"/>
                  <w:marBottom w:val="0"/>
                  <w:divBdr>
                    <w:top w:val="none" w:sz="0" w:space="0" w:color="auto"/>
                    <w:left w:val="none" w:sz="0" w:space="0" w:color="auto"/>
                    <w:bottom w:val="none" w:sz="0" w:space="0" w:color="auto"/>
                    <w:right w:val="none" w:sz="0" w:space="0" w:color="auto"/>
                  </w:divBdr>
                  <w:divsChild>
                    <w:div w:id="355812929">
                      <w:marLeft w:val="0"/>
                      <w:marRight w:val="0"/>
                      <w:marTop w:val="0"/>
                      <w:marBottom w:val="0"/>
                      <w:divBdr>
                        <w:top w:val="none" w:sz="0" w:space="0" w:color="auto"/>
                        <w:left w:val="none" w:sz="0" w:space="0" w:color="auto"/>
                        <w:bottom w:val="none" w:sz="0" w:space="0" w:color="auto"/>
                        <w:right w:val="none" w:sz="0" w:space="0" w:color="auto"/>
                      </w:divBdr>
                      <w:divsChild>
                        <w:div w:id="1310283202">
                          <w:marLeft w:val="0"/>
                          <w:marRight w:val="0"/>
                          <w:marTop w:val="0"/>
                          <w:marBottom w:val="0"/>
                          <w:divBdr>
                            <w:top w:val="none" w:sz="0" w:space="0" w:color="auto"/>
                            <w:left w:val="none" w:sz="0" w:space="0" w:color="auto"/>
                            <w:bottom w:val="none" w:sz="0" w:space="0" w:color="auto"/>
                            <w:right w:val="none" w:sz="0" w:space="0" w:color="auto"/>
                          </w:divBdr>
                          <w:divsChild>
                            <w:div w:id="2116947077">
                              <w:marLeft w:val="0"/>
                              <w:marRight w:val="0"/>
                              <w:marTop w:val="0"/>
                              <w:marBottom w:val="0"/>
                              <w:divBdr>
                                <w:top w:val="none" w:sz="0" w:space="0" w:color="auto"/>
                                <w:left w:val="none" w:sz="0" w:space="0" w:color="auto"/>
                                <w:bottom w:val="none" w:sz="0" w:space="0" w:color="auto"/>
                                <w:right w:val="none" w:sz="0" w:space="0" w:color="auto"/>
                              </w:divBdr>
                              <w:divsChild>
                                <w:div w:id="132723622">
                                  <w:marLeft w:val="0"/>
                                  <w:marRight w:val="0"/>
                                  <w:marTop w:val="0"/>
                                  <w:marBottom w:val="0"/>
                                  <w:divBdr>
                                    <w:top w:val="none" w:sz="0" w:space="0" w:color="auto"/>
                                    <w:left w:val="none" w:sz="0" w:space="0" w:color="auto"/>
                                    <w:bottom w:val="none" w:sz="0" w:space="0" w:color="auto"/>
                                    <w:right w:val="none" w:sz="0" w:space="0" w:color="auto"/>
                                  </w:divBdr>
                                  <w:divsChild>
                                    <w:div w:id="40097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0499">
              <w:marLeft w:val="0"/>
              <w:marRight w:val="0"/>
              <w:marTop w:val="100"/>
              <w:marBottom w:val="100"/>
              <w:divBdr>
                <w:top w:val="none" w:sz="0" w:space="0" w:color="auto"/>
                <w:left w:val="none" w:sz="0" w:space="0" w:color="auto"/>
                <w:bottom w:val="none" w:sz="0" w:space="0" w:color="auto"/>
                <w:right w:val="none" w:sz="0" w:space="0" w:color="auto"/>
              </w:divBdr>
              <w:divsChild>
                <w:div w:id="397483927">
                  <w:marLeft w:val="0"/>
                  <w:marRight w:val="0"/>
                  <w:marTop w:val="0"/>
                  <w:marBottom w:val="0"/>
                  <w:divBdr>
                    <w:top w:val="none" w:sz="0" w:space="0" w:color="auto"/>
                    <w:left w:val="none" w:sz="0" w:space="0" w:color="auto"/>
                    <w:bottom w:val="none" w:sz="0" w:space="0" w:color="auto"/>
                    <w:right w:val="none" w:sz="0" w:space="0" w:color="auto"/>
                  </w:divBdr>
                  <w:divsChild>
                    <w:div w:id="1419059470">
                      <w:marLeft w:val="0"/>
                      <w:marRight w:val="0"/>
                      <w:marTop w:val="0"/>
                      <w:marBottom w:val="0"/>
                      <w:divBdr>
                        <w:top w:val="none" w:sz="0" w:space="0" w:color="auto"/>
                        <w:left w:val="none" w:sz="0" w:space="0" w:color="auto"/>
                        <w:bottom w:val="none" w:sz="0" w:space="0" w:color="auto"/>
                        <w:right w:val="none" w:sz="0" w:space="0" w:color="auto"/>
                      </w:divBdr>
                      <w:divsChild>
                        <w:div w:id="359669401">
                          <w:marLeft w:val="0"/>
                          <w:marRight w:val="0"/>
                          <w:marTop w:val="0"/>
                          <w:marBottom w:val="0"/>
                          <w:divBdr>
                            <w:top w:val="none" w:sz="0" w:space="0" w:color="auto"/>
                            <w:left w:val="none" w:sz="0" w:space="0" w:color="auto"/>
                            <w:bottom w:val="none" w:sz="0" w:space="0" w:color="auto"/>
                            <w:right w:val="none" w:sz="0" w:space="0" w:color="auto"/>
                          </w:divBdr>
                          <w:divsChild>
                            <w:div w:id="1781950118">
                              <w:marLeft w:val="0"/>
                              <w:marRight w:val="0"/>
                              <w:marTop w:val="0"/>
                              <w:marBottom w:val="0"/>
                              <w:divBdr>
                                <w:top w:val="none" w:sz="0" w:space="0" w:color="auto"/>
                                <w:left w:val="none" w:sz="0" w:space="0" w:color="auto"/>
                                <w:bottom w:val="none" w:sz="0" w:space="0" w:color="auto"/>
                                <w:right w:val="none" w:sz="0" w:space="0" w:color="auto"/>
                              </w:divBdr>
                              <w:divsChild>
                                <w:div w:id="18567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461824">
              <w:marLeft w:val="0"/>
              <w:marRight w:val="0"/>
              <w:marTop w:val="100"/>
              <w:marBottom w:val="100"/>
              <w:divBdr>
                <w:top w:val="none" w:sz="0" w:space="0" w:color="auto"/>
                <w:left w:val="none" w:sz="0" w:space="0" w:color="auto"/>
                <w:bottom w:val="none" w:sz="0" w:space="0" w:color="auto"/>
                <w:right w:val="none" w:sz="0" w:space="0" w:color="auto"/>
              </w:divBdr>
              <w:divsChild>
                <w:div w:id="197086820">
                  <w:marLeft w:val="0"/>
                  <w:marRight w:val="0"/>
                  <w:marTop w:val="0"/>
                  <w:marBottom w:val="0"/>
                  <w:divBdr>
                    <w:top w:val="none" w:sz="0" w:space="0" w:color="auto"/>
                    <w:left w:val="none" w:sz="0" w:space="0" w:color="auto"/>
                    <w:bottom w:val="none" w:sz="0" w:space="0" w:color="auto"/>
                    <w:right w:val="none" w:sz="0" w:space="0" w:color="auto"/>
                  </w:divBdr>
                  <w:divsChild>
                    <w:div w:id="849761449">
                      <w:marLeft w:val="0"/>
                      <w:marRight w:val="0"/>
                      <w:marTop w:val="0"/>
                      <w:marBottom w:val="0"/>
                      <w:divBdr>
                        <w:top w:val="none" w:sz="0" w:space="0" w:color="auto"/>
                        <w:left w:val="none" w:sz="0" w:space="0" w:color="auto"/>
                        <w:bottom w:val="none" w:sz="0" w:space="0" w:color="auto"/>
                        <w:right w:val="none" w:sz="0" w:space="0" w:color="auto"/>
                      </w:divBdr>
                      <w:divsChild>
                        <w:div w:id="1720013814">
                          <w:marLeft w:val="0"/>
                          <w:marRight w:val="0"/>
                          <w:marTop w:val="0"/>
                          <w:marBottom w:val="0"/>
                          <w:divBdr>
                            <w:top w:val="none" w:sz="0" w:space="0" w:color="auto"/>
                            <w:left w:val="none" w:sz="0" w:space="0" w:color="auto"/>
                            <w:bottom w:val="none" w:sz="0" w:space="0" w:color="auto"/>
                            <w:right w:val="none" w:sz="0" w:space="0" w:color="auto"/>
                          </w:divBdr>
                          <w:divsChild>
                            <w:div w:id="1479498791">
                              <w:marLeft w:val="0"/>
                              <w:marRight w:val="0"/>
                              <w:marTop w:val="0"/>
                              <w:marBottom w:val="0"/>
                              <w:divBdr>
                                <w:top w:val="none" w:sz="0" w:space="0" w:color="auto"/>
                                <w:left w:val="none" w:sz="0" w:space="0" w:color="auto"/>
                                <w:bottom w:val="none" w:sz="0" w:space="0" w:color="auto"/>
                                <w:right w:val="none" w:sz="0" w:space="0" w:color="auto"/>
                              </w:divBdr>
                              <w:divsChild>
                                <w:div w:id="917177920">
                                  <w:marLeft w:val="0"/>
                                  <w:marRight w:val="0"/>
                                  <w:marTop w:val="0"/>
                                  <w:marBottom w:val="0"/>
                                  <w:divBdr>
                                    <w:top w:val="none" w:sz="0" w:space="0" w:color="auto"/>
                                    <w:left w:val="none" w:sz="0" w:space="0" w:color="auto"/>
                                    <w:bottom w:val="none" w:sz="0" w:space="0" w:color="auto"/>
                                    <w:right w:val="none" w:sz="0" w:space="0" w:color="auto"/>
                                  </w:divBdr>
                                  <w:divsChild>
                                    <w:div w:id="105796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820972">
              <w:marLeft w:val="0"/>
              <w:marRight w:val="0"/>
              <w:marTop w:val="100"/>
              <w:marBottom w:val="100"/>
              <w:divBdr>
                <w:top w:val="none" w:sz="0" w:space="0" w:color="auto"/>
                <w:left w:val="none" w:sz="0" w:space="0" w:color="auto"/>
                <w:bottom w:val="none" w:sz="0" w:space="0" w:color="auto"/>
                <w:right w:val="none" w:sz="0" w:space="0" w:color="auto"/>
              </w:divBdr>
              <w:divsChild>
                <w:div w:id="1510680276">
                  <w:marLeft w:val="0"/>
                  <w:marRight w:val="0"/>
                  <w:marTop w:val="0"/>
                  <w:marBottom w:val="0"/>
                  <w:divBdr>
                    <w:top w:val="none" w:sz="0" w:space="0" w:color="auto"/>
                    <w:left w:val="none" w:sz="0" w:space="0" w:color="auto"/>
                    <w:bottom w:val="none" w:sz="0" w:space="0" w:color="auto"/>
                    <w:right w:val="none" w:sz="0" w:space="0" w:color="auto"/>
                  </w:divBdr>
                  <w:divsChild>
                    <w:div w:id="976570682">
                      <w:marLeft w:val="0"/>
                      <w:marRight w:val="0"/>
                      <w:marTop w:val="0"/>
                      <w:marBottom w:val="0"/>
                      <w:divBdr>
                        <w:top w:val="none" w:sz="0" w:space="0" w:color="auto"/>
                        <w:left w:val="none" w:sz="0" w:space="0" w:color="auto"/>
                        <w:bottom w:val="none" w:sz="0" w:space="0" w:color="auto"/>
                        <w:right w:val="none" w:sz="0" w:space="0" w:color="auto"/>
                      </w:divBdr>
                      <w:divsChild>
                        <w:div w:id="164904906">
                          <w:marLeft w:val="0"/>
                          <w:marRight w:val="0"/>
                          <w:marTop w:val="0"/>
                          <w:marBottom w:val="0"/>
                          <w:divBdr>
                            <w:top w:val="none" w:sz="0" w:space="0" w:color="auto"/>
                            <w:left w:val="none" w:sz="0" w:space="0" w:color="auto"/>
                            <w:bottom w:val="none" w:sz="0" w:space="0" w:color="auto"/>
                            <w:right w:val="none" w:sz="0" w:space="0" w:color="auto"/>
                          </w:divBdr>
                          <w:divsChild>
                            <w:div w:id="880751026">
                              <w:marLeft w:val="0"/>
                              <w:marRight w:val="0"/>
                              <w:marTop w:val="0"/>
                              <w:marBottom w:val="0"/>
                              <w:divBdr>
                                <w:top w:val="none" w:sz="0" w:space="0" w:color="auto"/>
                                <w:left w:val="none" w:sz="0" w:space="0" w:color="auto"/>
                                <w:bottom w:val="none" w:sz="0" w:space="0" w:color="auto"/>
                                <w:right w:val="none" w:sz="0" w:space="0" w:color="auto"/>
                              </w:divBdr>
                              <w:divsChild>
                                <w:div w:id="156067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86244">
              <w:marLeft w:val="0"/>
              <w:marRight w:val="0"/>
              <w:marTop w:val="100"/>
              <w:marBottom w:val="100"/>
              <w:divBdr>
                <w:top w:val="none" w:sz="0" w:space="0" w:color="auto"/>
                <w:left w:val="none" w:sz="0" w:space="0" w:color="auto"/>
                <w:bottom w:val="none" w:sz="0" w:space="0" w:color="auto"/>
                <w:right w:val="none" w:sz="0" w:space="0" w:color="auto"/>
              </w:divBdr>
              <w:divsChild>
                <w:div w:id="771319885">
                  <w:marLeft w:val="0"/>
                  <w:marRight w:val="0"/>
                  <w:marTop w:val="0"/>
                  <w:marBottom w:val="0"/>
                  <w:divBdr>
                    <w:top w:val="none" w:sz="0" w:space="0" w:color="auto"/>
                    <w:left w:val="none" w:sz="0" w:space="0" w:color="auto"/>
                    <w:bottom w:val="none" w:sz="0" w:space="0" w:color="auto"/>
                    <w:right w:val="none" w:sz="0" w:space="0" w:color="auto"/>
                  </w:divBdr>
                  <w:divsChild>
                    <w:div w:id="762726543">
                      <w:marLeft w:val="0"/>
                      <w:marRight w:val="0"/>
                      <w:marTop w:val="0"/>
                      <w:marBottom w:val="0"/>
                      <w:divBdr>
                        <w:top w:val="none" w:sz="0" w:space="0" w:color="auto"/>
                        <w:left w:val="none" w:sz="0" w:space="0" w:color="auto"/>
                        <w:bottom w:val="none" w:sz="0" w:space="0" w:color="auto"/>
                        <w:right w:val="none" w:sz="0" w:space="0" w:color="auto"/>
                      </w:divBdr>
                      <w:divsChild>
                        <w:div w:id="1871450344">
                          <w:marLeft w:val="0"/>
                          <w:marRight w:val="0"/>
                          <w:marTop w:val="0"/>
                          <w:marBottom w:val="0"/>
                          <w:divBdr>
                            <w:top w:val="none" w:sz="0" w:space="0" w:color="auto"/>
                            <w:left w:val="none" w:sz="0" w:space="0" w:color="auto"/>
                            <w:bottom w:val="none" w:sz="0" w:space="0" w:color="auto"/>
                            <w:right w:val="none" w:sz="0" w:space="0" w:color="auto"/>
                          </w:divBdr>
                          <w:divsChild>
                            <w:div w:id="671761255">
                              <w:marLeft w:val="0"/>
                              <w:marRight w:val="0"/>
                              <w:marTop w:val="0"/>
                              <w:marBottom w:val="0"/>
                              <w:divBdr>
                                <w:top w:val="none" w:sz="0" w:space="0" w:color="auto"/>
                                <w:left w:val="none" w:sz="0" w:space="0" w:color="auto"/>
                                <w:bottom w:val="none" w:sz="0" w:space="0" w:color="auto"/>
                                <w:right w:val="none" w:sz="0" w:space="0" w:color="auto"/>
                              </w:divBdr>
                              <w:divsChild>
                                <w:div w:id="779842125">
                                  <w:marLeft w:val="0"/>
                                  <w:marRight w:val="0"/>
                                  <w:marTop w:val="0"/>
                                  <w:marBottom w:val="0"/>
                                  <w:divBdr>
                                    <w:top w:val="none" w:sz="0" w:space="0" w:color="auto"/>
                                    <w:left w:val="none" w:sz="0" w:space="0" w:color="auto"/>
                                    <w:bottom w:val="none" w:sz="0" w:space="0" w:color="auto"/>
                                    <w:right w:val="none" w:sz="0" w:space="0" w:color="auto"/>
                                  </w:divBdr>
                                  <w:divsChild>
                                    <w:div w:id="116300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920624">
              <w:marLeft w:val="0"/>
              <w:marRight w:val="0"/>
              <w:marTop w:val="100"/>
              <w:marBottom w:val="100"/>
              <w:divBdr>
                <w:top w:val="none" w:sz="0" w:space="0" w:color="auto"/>
                <w:left w:val="none" w:sz="0" w:space="0" w:color="auto"/>
                <w:bottom w:val="none" w:sz="0" w:space="0" w:color="auto"/>
                <w:right w:val="none" w:sz="0" w:space="0" w:color="auto"/>
              </w:divBdr>
              <w:divsChild>
                <w:div w:id="315381446">
                  <w:marLeft w:val="0"/>
                  <w:marRight w:val="0"/>
                  <w:marTop w:val="0"/>
                  <w:marBottom w:val="0"/>
                  <w:divBdr>
                    <w:top w:val="none" w:sz="0" w:space="0" w:color="auto"/>
                    <w:left w:val="none" w:sz="0" w:space="0" w:color="auto"/>
                    <w:bottom w:val="none" w:sz="0" w:space="0" w:color="auto"/>
                    <w:right w:val="none" w:sz="0" w:space="0" w:color="auto"/>
                  </w:divBdr>
                  <w:divsChild>
                    <w:div w:id="1936934103">
                      <w:marLeft w:val="0"/>
                      <w:marRight w:val="0"/>
                      <w:marTop w:val="0"/>
                      <w:marBottom w:val="0"/>
                      <w:divBdr>
                        <w:top w:val="none" w:sz="0" w:space="0" w:color="auto"/>
                        <w:left w:val="none" w:sz="0" w:space="0" w:color="auto"/>
                        <w:bottom w:val="none" w:sz="0" w:space="0" w:color="auto"/>
                        <w:right w:val="none" w:sz="0" w:space="0" w:color="auto"/>
                      </w:divBdr>
                      <w:divsChild>
                        <w:div w:id="122626684">
                          <w:marLeft w:val="0"/>
                          <w:marRight w:val="0"/>
                          <w:marTop w:val="0"/>
                          <w:marBottom w:val="0"/>
                          <w:divBdr>
                            <w:top w:val="none" w:sz="0" w:space="0" w:color="auto"/>
                            <w:left w:val="none" w:sz="0" w:space="0" w:color="auto"/>
                            <w:bottom w:val="none" w:sz="0" w:space="0" w:color="auto"/>
                            <w:right w:val="none" w:sz="0" w:space="0" w:color="auto"/>
                          </w:divBdr>
                          <w:divsChild>
                            <w:div w:id="101846864">
                              <w:marLeft w:val="0"/>
                              <w:marRight w:val="0"/>
                              <w:marTop w:val="0"/>
                              <w:marBottom w:val="0"/>
                              <w:divBdr>
                                <w:top w:val="none" w:sz="0" w:space="0" w:color="auto"/>
                                <w:left w:val="none" w:sz="0" w:space="0" w:color="auto"/>
                                <w:bottom w:val="none" w:sz="0" w:space="0" w:color="auto"/>
                                <w:right w:val="none" w:sz="0" w:space="0" w:color="auto"/>
                              </w:divBdr>
                              <w:divsChild>
                                <w:div w:id="11035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795838">
              <w:marLeft w:val="0"/>
              <w:marRight w:val="0"/>
              <w:marTop w:val="100"/>
              <w:marBottom w:val="100"/>
              <w:divBdr>
                <w:top w:val="none" w:sz="0" w:space="0" w:color="auto"/>
                <w:left w:val="none" w:sz="0" w:space="0" w:color="auto"/>
                <w:bottom w:val="none" w:sz="0" w:space="0" w:color="auto"/>
                <w:right w:val="none" w:sz="0" w:space="0" w:color="auto"/>
              </w:divBdr>
              <w:divsChild>
                <w:div w:id="49156301">
                  <w:marLeft w:val="0"/>
                  <w:marRight w:val="0"/>
                  <w:marTop w:val="0"/>
                  <w:marBottom w:val="0"/>
                  <w:divBdr>
                    <w:top w:val="none" w:sz="0" w:space="0" w:color="auto"/>
                    <w:left w:val="none" w:sz="0" w:space="0" w:color="auto"/>
                    <w:bottom w:val="none" w:sz="0" w:space="0" w:color="auto"/>
                    <w:right w:val="none" w:sz="0" w:space="0" w:color="auto"/>
                  </w:divBdr>
                  <w:divsChild>
                    <w:div w:id="1539197243">
                      <w:marLeft w:val="0"/>
                      <w:marRight w:val="0"/>
                      <w:marTop w:val="0"/>
                      <w:marBottom w:val="0"/>
                      <w:divBdr>
                        <w:top w:val="none" w:sz="0" w:space="0" w:color="auto"/>
                        <w:left w:val="none" w:sz="0" w:space="0" w:color="auto"/>
                        <w:bottom w:val="none" w:sz="0" w:space="0" w:color="auto"/>
                        <w:right w:val="none" w:sz="0" w:space="0" w:color="auto"/>
                      </w:divBdr>
                      <w:divsChild>
                        <w:div w:id="2029985286">
                          <w:marLeft w:val="0"/>
                          <w:marRight w:val="0"/>
                          <w:marTop w:val="0"/>
                          <w:marBottom w:val="0"/>
                          <w:divBdr>
                            <w:top w:val="none" w:sz="0" w:space="0" w:color="auto"/>
                            <w:left w:val="none" w:sz="0" w:space="0" w:color="auto"/>
                            <w:bottom w:val="none" w:sz="0" w:space="0" w:color="auto"/>
                            <w:right w:val="none" w:sz="0" w:space="0" w:color="auto"/>
                          </w:divBdr>
                          <w:divsChild>
                            <w:div w:id="1184902417">
                              <w:marLeft w:val="0"/>
                              <w:marRight w:val="0"/>
                              <w:marTop w:val="0"/>
                              <w:marBottom w:val="0"/>
                              <w:divBdr>
                                <w:top w:val="none" w:sz="0" w:space="0" w:color="auto"/>
                                <w:left w:val="none" w:sz="0" w:space="0" w:color="auto"/>
                                <w:bottom w:val="none" w:sz="0" w:space="0" w:color="auto"/>
                                <w:right w:val="none" w:sz="0" w:space="0" w:color="auto"/>
                              </w:divBdr>
                              <w:divsChild>
                                <w:div w:id="1270315532">
                                  <w:marLeft w:val="0"/>
                                  <w:marRight w:val="0"/>
                                  <w:marTop w:val="0"/>
                                  <w:marBottom w:val="0"/>
                                  <w:divBdr>
                                    <w:top w:val="none" w:sz="0" w:space="0" w:color="auto"/>
                                    <w:left w:val="none" w:sz="0" w:space="0" w:color="auto"/>
                                    <w:bottom w:val="none" w:sz="0" w:space="0" w:color="auto"/>
                                    <w:right w:val="none" w:sz="0" w:space="0" w:color="auto"/>
                                  </w:divBdr>
                                  <w:divsChild>
                                    <w:div w:id="16293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935203">
              <w:marLeft w:val="0"/>
              <w:marRight w:val="0"/>
              <w:marTop w:val="100"/>
              <w:marBottom w:val="100"/>
              <w:divBdr>
                <w:top w:val="none" w:sz="0" w:space="0" w:color="auto"/>
                <w:left w:val="none" w:sz="0" w:space="0" w:color="auto"/>
                <w:bottom w:val="none" w:sz="0" w:space="0" w:color="auto"/>
                <w:right w:val="none" w:sz="0" w:space="0" w:color="auto"/>
              </w:divBdr>
              <w:divsChild>
                <w:div w:id="1074013650">
                  <w:marLeft w:val="0"/>
                  <w:marRight w:val="0"/>
                  <w:marTop w:val="0"/>
                  <w:marBottom w:val="0"/>
                  <w:divBdr>
                    <w:top w:val="none" w:sz="0" w:space="0" w:color="auto"/>
                    <w:left w:val="none" w:sz="0" w:space="0" w:color="auto"/>
                    <w:bottom w:val="none" w:sz="0" w:space="0" w:color="auto"/>
                    <w:right w:val="none" w:sz="0" w:space="0" w:color="auto"/>
                  </w:divBdr>
                  <w:divsChild>
                    <w:div w:id="1262489709">
                      <w:marLeft w:val="0"/>
                      <w:marRight w:val="0"/>
                      <w:marTop w:val="0"/>
                      <w:marBottom w:val="0"/>
                      <w:divBdr>
                        <w:top w:val="none" w:sz="0" w:space="0" w:color="auto"/>
                        <w:left w:val="none" w:sz="0" w:space="0" w:color="auto"/>
                        <w:bottom w:val="none" w:sz="0" w:space="0" w:color="auto"/>
                        <w:right w:val="none" w:sz="0" w:space="0" w:color="auto"/>
                      </w:divBdr>
                      <w:divsChild>
                        <w:div w:id="1770462285">
                          <w:marLeft w:val="0"/>
                          <w:marRight w:val="0"/>
                          <w:marTop w:val="0"/>
                          <w:marBottom w:val="0"/>
                          <w:divBdr>
                            <w:top w:val="none" w:sz="0" w:space="0" w:color="auto"/>
                            <w:left w:val="none" w:sz="0" w:space="0" w:color="auto"/>
                            <w:bottom w:val="none" w:sz="0" w:space="0" w:color="auto"/>
                            <w:right w:val="none" w:sz="0" w:space="0" w:color="auto"/>
                          </w:divBdr>
                          <w:divsChild>
                            <w:div w:id="1812286272">
                              <w:marLeft w:val="0"/>
                              <w:marRight w:val="0"/>
                              <w:marTop w:val="0"/>
                              <w:marBottom w:val="0"/>
                              <w:divBdr>
                                <w:top w:val="none" w:sz="0" w:space="0" w:color="auto"/>
                                <w:left w:val="none" w:sz="0" w:space="0" w:color="auto"/>
                                <w:bottom w:val="none" w:sz="0" w:space="0" w:color="auto"/>
                                <w:right w:val="none" w:sz="0" w:space="0" w:color="auto"/>
                              </w:divBdr>
                              <w:divsChild>
                                <w:div w:id="11627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1791">
              <w:marLeft w:val="0"/>
              <w:marRight w:val="0"/>
              <w:marTop w:val="100"/>
              <w:marBottom w:val="100"/>
              <w:divBdr>
                <w:top w:val="none" w:sz="0" w:space="0" w:color="auto"/>
                <w:left w:val="none" w:sz="0" w:space="0" w:color="auto"/>
                <w:bottom w:val="none" w:sz="0" w:space="0" w:color="auto"/>
                <w:right w:val="none" w:sz="0" w:space="0" w:color="auto"/>
              </w:divBdr>
              <w:divsChild>
                <w:div w:id="452285860">
                  <w:marLeft w:val="0"/>
                  <w:marRight w:val="0"/>
                  <w:marTop w:val="0"/>
                  <w:marBottom w:val="0"/>
                  <w:divBdr>
                    <w:top w:val="none" w:sz="0" w:space="0" w:color="auto"/>
                    <w:left w:val="none" w:sz="0" w:space="0" w:color="auto"/>
                    <w:bottom w:val="none" w:sz="0" w:space="0" w:color="auto"/>
                    <w:right w:val="none" w:sz="0" w:space="0" w:color="auto"/>
                  </w:divBdr>
                  <w:divsChild>
                    <w:div w:id="2000882369">
                      <w:marLeft w:val="0"/>
                      <w:marRight w:val="0"/>
                      <w:marTop w:val="0"/>
                      <w:marBottom w:val="0"/>
                      <w:divBdr>
                        <w:top w:val="none" w:sz="0" w:space="0" w:color="auto"/>
                        <w:left w:val="none" w:sz="0" w:space="0" w:color="auto"/>
                        <w:bottom w:val="none" w:sz="0" w:space="0" w:color="auto"/>
                        <w:right w:val="none" w:sz="0" w:space="0" w:color="auto"/>
                      </w:divBdr>
                      <w:divsChild>
                        <w:div w:id="285698135">
                          <w:marLeft w:val="0"/>
                          <w:marRight w:val="0"/>
                          <w:marTop w:val="0"/>
                          <w:marBottom w:val="0"/>
                          <w:divBdr>
                            <w:top w:val="none" w:sz="0" w:space="0" w:color="auto"/>
                            <w:left w:val="none" w:sz="0" w:space="0" w:color="auto"/>
                            <w:bottom w:val="none" w:sz="0" w:space="0" w:color="auto"/>
                            <w:right w:val="none" w:sz="0" w:space="0" w:color="auto"/>
                          </w:divBdr>
                          <w:divsChild>
                            <w:div w:id="176041324">
                              <w:marLeft w:val="0"/>
                              <w:marRight w:val="0"/>
                              <w:marTop w:val="0"/>
                              <w:marBottom w:val="0"/>
                              <w:divBdr>
                                <w:top w:val="none" w:sz="0" w:space="0" w:color="auto"/>
                                <w:left w:val="none" w:sz="0" w:space="0" w:color="auto"/>
                                <w:bottom w:val="none" w:sz="0" w:space="0" w:color="auto"/>
                                <w:right w:val="none" w:sz="0" w:space="0" w:color="auto"/>
                              </w:divBdr>
                              <w:divsChild>
                                <w:div w:id="650794224">
                                  <w:marLeft w:val="0"/>
                                  <w:marRight w:val="0"/>
                                  <w:marTop w:val="0"/>
                                  <w:marBottom w:val="0"/>
                                  <w:divBdr>
                                    <w:top w:val="none" w:sz="0" w:space="0" w:color="auto"/>
                                    <w:left w:val="none" w:sz="0" w:space="0" w:color="auto"/>
                                    <w:bottom w:val="none" w:sz="0" w:space="0" w:color="auto"/>
                                    <w:right w:val="none" w:sz="0" w:space="0" w:color="auto"/>
                                  </w:divBdr>
                                  <w:divsChild>
                                    <w:div w:id="1751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034581">
              <w:marLeft w:val="0"/>
              <w:marRight w:val="0"/>
              <w:marTop w:val="100"/>
              <w:marBottom w:val="100"/>
              <w:divBdr>
                <w:top w:val="none" w:sz="0" w:space="0" w:color="auto"/>
                <w:left w:val="none" w:sz="0" w:space="0" w:color="auto"/>
                <w:bottom w:val="none" w:sz="0" w:space="0" w:color="auto"/>
                <w:right w:val="none" w:sz="0" w:space="0" w:color="auto"/>
              </w:divBdr>
              <w:divsChild>
                <w:div w:id="75638027">
                  <w:marLeft w:val="0"/>
                  <w:marRight w:val="0"/>
                  <w:marTop w:val="0"/>
                  <w:marBottom w:val="0"/>
                  <w:divBdr>
                    <w:top w:val="none" w:sz="0" w:space="0" w:color="auto"/>
                    <w:left w:val="none" w:sz="0" w:space="0" w:color="auto"/>
                    <w:bottom w:val="none" w:sz="0" w:space="0" w:color="auto"/>
                    <w:right w:val="none" w:sz="0" w:space="0" w:color="auto"/>
                  </w:divBdr>
                  <w:divsChild>
                    <w:div w:id="840044602">
                      <w:marLeft w:val="0"/>
                      <w:marRight w:val="0"/>
                      <w:marTop w:val="0"/>
                      <w:marBottom w:val="0"/>
                      <w:divBdr>
                        <w:top w:val="none" w:sz="0" w:space="0" w:color="auto"/>
                        <w:left w:val="none" w:sz="0" w:space="0" w:color="auto"/>
                        <w:bottom w:val="none" w:sz="0" w:space="0" w:color="auto"/>
                        <w:right w:val="none" w:sz="0" w:space="0" w:color="auto"/>
                      </w:divBdr>
                      <w:divsChild>
                        <w:div w:id="1252399184">
                          <w:marLeft w:val="0"/>
                          <w:marRight w:val="0"/>
                          <w:marTop w:val="0"/>
                          <w:marBottom w:val="0"/>
                          <w:divBdr>
                            <w:top w:val="none" w:sz="0" w:space="0" w:color="auto"/>
                            <w:left w:val="none" w:sz="0" w:space="0" w:color="auto"/>
                            <w:bottom w:val="none" w:sz="0" w:space="0" w:color="auto"/>
                            <w:right w:val="none" w:sz="0" w:space="0" w:color="auto"/>
                          </w:divBdr>
                          <w:divsChild>
                            <w:div w:id="298270283">
                              <w:marLeft w:val="0"/>
                              <w:marRight w:val="0"/>
                              <w:marTop w:val="0"/>
                              <w:marBottom w:val="0"/>
                              <w:divBdr>
                                <w:top w:val="none" w:sz="0" w:space="0" w:color="auto"/>
                                <w:left w:val="none" w:sz="0" w:space="0" w:color="auto"/>
                                <w:bottom w:val="none" w:sz="0" w:space="0" w:color="auto"/>
                                <w:right w:val="none" w:sz="0" w:space="0" w:color="auto"/>
                              </w:divBdr>
                              <w:divsChild>
                                <w:div w:id="115876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9892107">
      <w:bodyDiv w:val="1"/>
      <w:marLeft w:val="0"/>
      <w:marRight w:val="0"/>
      <w:marTop w:val="0"/>
      <w:marBottom w:val="0"/>
      <w:divBdr>
        <w:top w:val="none" w:sz="0" w:space="0" w:color="auto"/>
        <w:left w:val="none" w:sz="0" w:space="0" w:color="auto"/>
        <w:bottom w:val="none" w:sz="0" w:space="0" w:color="auto"/>
        <w:right w:val="none" w:sz="0" w:space="0" w:color="auto"/>
      </w:divBdr>
    </w:div>
    <w:div w:id="1122839968">
      <w:bodyDiv w:val="1"/>
      <w:marLeft w:val="0"/>
      <w:marRight w:val="0"/>
      <w:marTop w:val="0"/>
      <w:marBottom w:val="0"/>
      <w:divBdr>
        <w:top w:val="none" w:sz="0" w:space="0" w:color="auto"/>
        <w:left w:val="none" w:sz="0" w:space="0" w:color="auto"/>
        <w:bottom w:val="none" w:sz="0" w:space="0" w:color="auto"/>
        <w:right w:val="none" w:sz="0" w:space="0" w:color="auto"/>
      </w:divBdr>
    </w:div>
    <w:div w:id="1137918113">
      <w:bodyDiv w:val="1"/>
      <w:marLeft w:val="0"/>
      <w:marRight w:val="0"/>
      <w:marTop w:val="0"/>
      <w:marBottom w:val="0"/>
      <w:divBdr>
        <w:top w:val="none" w:sz="0" w:space="0" w:color="auto"/>
        <w:left w:val="none" w:sz="0" w:space="0" w:color="auto"/>
        <w:bottom w:val="none" w:sz="0" w:space="0" w:color="auto"/>
        <w:right w:val="none" w:sz="0" w:space="0" w:color="auto"/>
      </w:divBdr>
    </w:div>
    <w:div w:id="1241990516">
      <w:bodyDiv w:val="1"/>
      <w:marLeft w:val="0"/>
      <w:marRight w:val="0"/>
      <w:marTop w:val="0"/>
      <w:marBottom w:val="0"/>
      <w:divBdr>
        <w:top w:val="none" w:sz="0" w:space="0" w:color="auto"/>
        <w:left w:val="none" w:sz="0" w:space="0" w:color="auto"/>
        <w:bottom w:val="none" w:sz="0" w:space="0" w:color="auto"/>
        <w:right w:val="none" w:sz="0" w:space="0" w:color="auto"/>
      </w:divBdr>
    </w:div>
    <w:div w:id="1249848122">
      <w:bodyDiv w:val="1"/>
      <w:marLeft w:val="0"/>
      <w:marRight w:val="0"/>
      <w:marTop w:val="0"/>
      <w:marBottom w:val="0"/>
      <w:divBdr>
        <w:top w:val="none" w:sz="0" w:space="0" w:color="auto"/>
        <w:left w:val="none" w:sz="0" w:space="0" w:color="auto"/>
        <w:bottom w:val="none" w:sz="0" w:space="0" w:color="auto"/>
        <w:right w:val="none" w:sz="0" w:space="0" w:color="auto"/>
      </w:divBdr>
    </w:div>
    <w:div w:id="1275593172">
      <w:bodyDiv w:val="1"/>
      <w:marLeft w:val="0"/>
      <w:marRight w:val="0"/>
      <w:marTop w:val="0"/>
      <w:marBottom w:val="0"/>
      <w:divBdr>
        <w:top w:val="none" w:sz="0" w:space="0" w:color="auto"/>
        <w:left w:val="none" w:sz="0" w:space="0" w:color="auto"/>
        <w:bottom w:val="none" w:sz="0" w:space="0" w:color="auto"/>
        <w:right w:val="none" w:sz="0" w:space="0" w:color="auto"/>
      </w:divBdr>
    </w:div>
    <w:div w:id="1401558432">
      <w:bodyDiv w:val="1"/>
      <w:marLeft w:val="0"/>
      <w:marRight w:val="0"/>
      <w:marTop w:val="0"/>
      <w:marBottom w:val="0"/>
      <w:divBdr>
        <w:top w:val="none" w:sz="0" w:space="0" w:color="auto"/>
        <w:left w:val="none" w:sz="0" w:space="0" w:color="auto"/>
        <w:bottom w:val="none" w:sz="0" w:space="0" w:color="auto"/>
        <w:right w:val="none" w:sz="0" w:space="0" w:color="auto"/>
      </w:divBdr>
    </w:div>
    <w:div w:id="1462267611">
      <w:bodyDiv w:val="1"/>
      <w:marLeft w:val="0"/>
      <w:marRight w:val="0"/>
      <w:marTop w:val="0"/>
      <w:marBottom w:val="0"/>
      <w:divBdr>
        <w:top w:val="none" w:sz="0" w:space="0" w:color="auto"/>
        <w:left w:val="none" w:sz="0" w:space="0" w:color="auto"/>
        <w:bottom w:val="none" w:sz="0" w:space="0" w:color="auto"/>
        <w:right w:val="none" w:sz="0" w:space="0" w:color="auto"/>
      </w:divBdr>
      <w:divsChild>
        <w:div w:id="2125537591">
          <w:marLeft w:val="0"/>
          <w:marRight w:val="0"/>
          <w:marTop w:val="0"/>
          <w:marBottom w:val="0"/>
          <w:divBdr>
            <w:top w:val="single" w:sz="2" w:space="0" w:color="D1D1D2"/>
            <w:left w:val="single" w:sz="2" w:space="0" w:color="D1D1D2"/>
            <w:bottom w:val="single" w:sz="2" w:space="0" w:color="D1D1D2"/>
            <w:right w:val="single" w:sz="2" w:space="0" w:color="D1D1D2"/>
          </w:divBdr>
        </w:div>
      </w:divsChild>
    </w:div>
    <w:div w:id="1514760916">
      <w:bodyDiv w:val="1"/>
      <w:marLeft w:val="0"/>
      <w:marRight w:val="0"/>
      <w:marTop w:val="0"/>
      <w:marBottom w:val="0"/>
      <w:divBdr>
        <w:top w:val="none" w:sz="0" w:space="0" w:color="auto"/>
        <w:left w:val="none" w:sz="0" w:space="0" w:color="auto"/>
        <w:bottom w:val="none" w:sz="0" w:space="0" w:color="auto"/>
        <w:right w:val="none" w:sz="0" w:space="0" w:color="auto"/>
      </w:divBdr>
    </w:div>
    <w:div w:id="1697342550">
      <w:bodyDiv w:val="1"/>
      <w:marLeft w:val="0"/>
      <w:marRight w:val="0"/>
      <w:marTop w:val="0"/>
      <w:marBottom w:val="0"/>
      <w:divBdr>
        <w:top w:val="none" w:sz="0" w:space="0" w:color="auto"/>
        <w:left w:val="none" w:sz="0" w:space="0" w:color="auto"/>
        <w:bottom w:val="none" w:sz="0" w:space="0" w:color="auto"/>
        <w:right w:val="none" w:sz="0" w:space="0" w:color="auto"/>
      </w:divBdr>
    </w:div>
    <w:div w:id="1729497042">
      <w:bodyDiv w:val="1"/>
      <w:marLeft w:val="0"/>
      <w:marRight w:val="0"/>
      <w:marTop w:val="0"/>
      <w:marBottom w:val="0"/>
      <w:divBdr>
        <w:top w:val="none" w:sz="0" w:space="0" w:color="auto"/>
        <w:left w:val="none" w:sz="0" w:space="0" w:color="auto"/>
        <w:bottom w:val="none" w:sz="0" w:space="0" w:color="auto"/>
        <w:right w:val="none" w:sz="0" w:space="0" w:color="auto"/>
      </w:divBdr>
    </w:div>
    <w:div w:id="1740637057">
      <w:bodyDiv w:val="1"/>
      <w:marLeft w:val="0"/>
      <w:marRight w:val="0"/>
      <w:marTop w:val="0"/>
      <w:marBottom w:val="0"/>
      <w:divBdr>
        <w:top w:val="none" w:sz="0" w:space="0" w:color="auto"/>
        <w:left w:val="none" w:sz="0" w:space="0" w:color="auto"/>
        <w:bottom w:val="none" w:sz="0" w:space="0" w:color="auto"/>
        <w:right w:val="none" w:sz="0" w:space="0" w:color="auto"/>
      </w:divBdr>
      <w:divsChild>
        <w:div w:id="1848668604">
          <w:marLeft w:val="0"/>
          <w:marRight w:val="0"/>
          <w:marTop w:val="0"/>
          <w:marBottom w:val="0"/>
          <w:divBdr>
            <w:top w:val="none" w:sz="0" w:space="0" w:color="auto"/>
            <w:left w:val="none" w:sz="0" w:space="0" w:color="auto"/>
            <w:bottom w:val="none" w:sz="0" w:space="0" w:color="auto"/>
            <w:right w:val="none" w:sz="0" w:space="0" w:color="auto"/>
          </w:divBdr>
          <w:divsChild>
            <w:div w:id="1292129475">
              <w:marLeft w:val="0"/>
              <w:marRight w:val="0"/>
              <w:marTop w:val="0"/>
              <w:marBottom w:val="0"/>
              <w:divBdr>
                <w:top w:val="none" w:sz="0" w:space="0" w:color="auto"/>
                <w:left w:val="none" w:sz="0" w:space="0" w:color="auto"/>
                <w:bottom w:val="none" w:sz="0" w:space="0" w:color="auto"/>
                <w:right w:val="none" w:sz="0" w:space="0" w:color="auto"/>
              </w:divBdr>
              <w:divsChild>
                <w:div w:id="975916042">
                  <w:marLeft w:val="0"/>
                  <w:marRight w:val="0"/>
                  <w:marTop w:val="0"/>
                  <w:marBottom w:val="0"/>
                  <w:divBdr>
                    <w:top w:val="none" w:sz="0" w:space="0" w:color="auto"/>
                    <w:left w:val="none" w:sz="0" w:space="0" w:color="auto"/>
                    <w:bottom w:val="none" w:sz="0" w:space="0" w:color="auto"/>
                    <w:right w:val="none" w:sz="0" w:space="0" w:color="auto"/>
                  </w:divBdr>
                  <w:divsChild>
                    <w:div w:id="1024283058">
                      <w:marLeft w:val="0"/>
                      <w:marRight w:val="0"/>
                      <w:marTop w:val="0"/>
                      <w:marBottom w:val="0"/>
                      <w:divBdr>
                        <w:top w:val="none" w:sz="0" w:space="0" w:color="auto"/>
                        <w:left w:val="none" w:sz="0" w:space="0" w:color="auto"/>
                        <w:bottom w:val="none" w:sz="0" w:space="0" w:color="auto"/>
                        <w:right w:val="none" w:sz="0" w:space="0" w:color="auto"/>
                      </w:divBdr>
                      <w:divsChild>
                        <w:div w:id="1399278519">
                          <w:marLeft w:val="0"/>
                          <w:marRight w:val="0"/>
                          <w:marTop w:val="0"/>
                          <w:marBottom w:val="0"/>
                          <w:divBdr>
                            <w:top w:val="none" w:sz="0" w:space="0" w:color="auto"/>
                            <w:left w:val="none" w:sz="0" w:space="0" w:color="auto"/>
                            <w:bottom w:val="none" w:sz="0" w:space="0" w:color="auto"/>
                            <w:right w:val="none" w:sz="0" w:space="0" w:color="auto"/>
                          </w:divBdr>
                          <w:divsChild>
                            <w:div w:id="12123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161740">
      <w:bodyDiv w:val="1"/>
      <w:marLeft w:val="0"/>
      <w:marRight w:val="0"/>
      <w:marTop w:val="0"/>
      <w:marBottom w:val="0"/>
      <w:divBdr>
        <w:top w:val="none" w:sz="0" w:space="0" w:color="auto"/>
        <w:left w:val="none" w:sz="0" w:space="0" w:color="auto"/>
        <w:bottom w:val="none" w:sz="0" w:space="0" w:color="auto"/>
        <w:right w:val="none" w:sz="0" w:space="0" w:color="auto"/>
      </w:divBdr>
    </w:div>
    <w:div w:id="1977641733">
      <w:bodyDiv w:val="1"/>
      <w:marLeft w:val="0"/>
      <w:marRight w:val="0"/>
      <w:marTop w:val="0"/>
      <w:marBottom w:val="0"/>
      <w:divBdr>
        <w:top w:val="none" w:sz="0" w:space="0" w:color="auto"/>
        <w:left w:val="none" w:sz="0" w:space="0" w:color="auto"/>
        <w:bottom w:val="none" w:sz="0" w:space="0" w:color="auto"/>
        <w:right w:val="none" w:sz="0" w:space="0" w:color="auto"/>
      </w:divBdr>
    </w:div>
    <w:div w:id="2091464254">
      <w:bodyDiv w:val="1"/>
      <w:marLeft w:val="0"/>
      <w:marRight w:val="0"/>
      <w:marTop w:val="0"/>
      <w:marBottom w:val="0"/>
      <w:divBdr>
        <w:top w:val="none" w:sz="0" w:space="0" w:color="auto"/>
        <w:left w:val="none" w:sz="0" w:space="0" w:color="auto"/>
        <w:bottom w:val="none" w:sz="0" w:space="0" w:color="auto"/>
        <w:right w:val="none" w:sz="0" w:space="0" w:color="auto"/>
      </w:divBdr>
    </w:div>
    <w:div w:id="2146967507">
      <w:bodyDiv w:val="1"/>
      <w:marLeft w:val="0"/>
      <w:marRight w:val="0"/>
      <w:marTop w:val="0"/>
      <w:marBottom w:val="0"/>
      <w:divBdr>
        <w:top w:val="none" w:sz="0" w:space="0" w:color="auto"/>
        <w:left w:val="none" w:sz="0" w:space="0" w:color="auto"/>
        <w:bottom w:val="none" w:sz="0" w:space="0" w:color="auto"/>
        <w:right w:val="none" w:sz="0" w:space="0" w:color="auto"/>
      </w:divBdr>
      <w:divsChild>
        <w:div w:id="750125313">
          <w:marLeft w:val="0"/>
          <w:marRight w:val="0"/>
          <w:marTop w:val="0"/>
          <w:marBottom w:val="0"/>
          <w:divBdr>
            <w:top w:val="none" w:sz="0" w:space="0" w:color="auto"/>
            <w:left w:val="none" w:sz="0" w:space="0" w:color="auto"/>
            <w:bottom w:val="none" w:sz="0" w:space="0" w:color="auto"/>
            <w:right w:val="none" w:sz="0" w:space="0" w:color="auto"/>
          </w:divBdr>
          <w:divsChild>
            <w:div w:id="1003241436">
              <w:marLeft w:val="0"/>
              <w:marRight w:val="0"/>
              <w:marTop w:val="100"/>
              <w:marBottom w:val="100"/>
              <w:divBdr>
                <w:top w:val="none" w:sz="0" w:space="0" w:color="auto"/>
                <w:left w:val="none" w:sz="0" w:space="0" w:color="auto"/>
                <w:bottom w:val="none" w:sz="0" w:space="0" w:color="auto"/>
                <w:right w:val="none" w:sz="0" w:space="0" w:color="auto"/>
              </w:divBdr>
              <w:divsChild>
                <w:div w:id="1968706409">
                  <w:marLeft w:val="0"/>
                  <w:marRight w:val="0"/>
                  <w:marTop w:val="0"/>
                  <w:marBottom w:val="0"/>
                  <w:divBdr>
                    <w:top w:val="none" w:sz="0" w:space="0" w:color="auto"/>
                    <w:left w:val="none" w:sz="0" w:space="0" w:color="auto"/>
                    <w:bottom w:val="none" w:sz="0" w:space="0" w:color="auto"/>
                    <w:right w:val="none" w:sz="0" w:space="0" w:color="auto"/>
                  </w:divBdr>
                  <w:divsChild>
                    <w:div w:id="217933043">
                      <w:marLeft w:val="0"/>
                      <w:marRight w:val="0"/>
                      <w:marTop w:val="0"/>
                      <w:marBottom w:val="0"/>
                      <w:divBdr>
                        <w:top w:val="none" w:sz="0" w:space="0" w:color="auto"/>
                        <w:left w:val="none" w:sz="0" w:space="0" w:color="auto"/>
                        <w:bottom w:val="none" w:sz="0" w:space="0" w:color="auto"/>
                        <w:right w:val="none" w:sz="0" w:space="0" w:color="auto"/>
                      </w:divBdr>
                      <w:divsChild>
                        <w:div w:id="363360798">
                          <w:marLeft w:val="0"/>
                          <w:marRight w:val="0"/>
                          <w:marTop w:val="0"/>
                          <w:marBottom w:val="0"/>
                          <w:divBdr>
                            <w:top w:val="none" w:sz="0" w:space="0" w:color="auto"/>
                            <w:left w:val="none" w:sz="0" w:space="0" w:color="auto"/>
                            <w:bottom w:val="none" w:sz="0" w:space="0" w:color="auto"/>
                            <w:right w:val="none" w:sz="0" w:space="0" w:color="auto"/>
                          </w:divBdr>
                          <w:divsChild>
                            <w:div w:id="168832931">
                              <w:marLeft w:val="0"/>
                              <w:marRight w:val="0"/>
                              <w:marTop w:val="0"/>
                              <w:marBottom w:val="0"/>
                              <w:divBdr>
                                <w:top w:val="none" w:sz="0" w:space="0" w:color="auto"/>
                                <w:left w:val="none" w:sz="0" w:space="0" w:color="auto"/>
                                <w:bottom w:val="none" w:sz="0" w:space="0" w:color="auto"/>
                                <w:right w:val="none" w:sz="0" w:space="0" w:color="auto"/>
                              </w:divBdr>
                              <w:divsChild>
                                <w:div w:id="1939023027">
                                  <w:marLeft w:val="0"/>
                                  <w:marRight w:val="0"/>
                                  <w:marTop w:val="0"/>
                                  <w:marBottom w:val="0"/>
                                  <w:divBdr>
                                    <w:top w:val="none" w:sz="0" w:space="0" w:color="auto"/>
                                    <w:left w:val="none" w:sz="0" w:space="0" w:color="auto"/>
                                    <w:bottom w:val="none" w:sz="0" w:space="0" w:color="auto"/>
                                    <w:right w:val="none" w:sz="0" w:space="0" w:color="auto"/>
                                  </w:divBdr>
                                  <w:divsChild>
                                    <w:div w:id="437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025560">
              <w:marLeft w:val="0"/>
              <w:marRight w:val="0"/>
              <w:marTop w:val="100"/>
              <w:marBottom w:val="100"/>
              <w:divBdr>
                <w:top w:val="none" w:sz="0" w:space="0" w:color="auto"/>
                <w:left w:val="none" w:sz="0" w:space="0" w:color="auto"/>
                <w:bottom w:val="none" w:sz="0" w:space="0" w:color="auto"/>
                <w:right w:val="none" w:sz="0" w:space="0" w:color="auto"/>
              </w:divBdr>
              <w:divsChild>
                <w:div w:id="1420638110">
                  <w:marLeft w:val="0"/>
                  <w:marRight w:val="0"/>
                  <w:marTop w:val="0"/>
                  <w:marBottom w:val="0"/>
                  <w:divBdr>
                    <w:top w:val="none" w:sz="0" w:space="0" w:color="auto"/>
                    <w:left w:val="none" w:sz="0" w:space="0" w:color="auto"/>
                    <w:bottom w:val="none" w:sz="0" w:space="0" w:color="auto"/>
                    <w:right w:val="none" w:sz="0" w:space="0" w:color="auto"/>
                  </w:divBdr>
                  <w:divsChild>
                    <w:div w:id="947397647">
                      <w:marLeft w:val="0"/>
                      <w:marRight w:val="0"/>
                      <w:marTop w:val="0"/>
                      <w:marBottom w:val="0"/>
                      <w:divBdr>
                        <w:top w:val="none" w:sz="0" w:space="0" w:color="auto"/>
                        <w:left w:val="none" w:sz="0" w:space="0" w:color="auto"/>
                        <w:bottom w:val="none" w:sz="0" w:space="0" w:color="auto"/>
                        <w:right w:val="none" w:sz="0" w:space="0" w:color="auto"/>
                      </w:divBdr>
                      <w:divsChild>
                        <w:div w:id="713115097">
                          <w:marLeft w:val="0"/>
                          <w:marRight w:val="0"/>
                          <w:marTop w:val="0"/>
                          <w:marBottom w:val="0"/>
                          <w:divBdr>
                            <w:top w:val="none" w:sz="0" w:space="0" w:color="auto"/>
                            <w:left w:val="none" w:sz="0" w:space="0" w:color="auto"/>
                            <w:bottom w:val="none" w:sz="0" w:space="0" w:color="auto"/>
                            <w:right w:val="none" w:sz="0" w:space="0" w:color="auto"/>
                          </w:divBdr>
                          <w:divsChild>
                            <w:div w:id="1128356137">
                              <w:marLeft w:val="0"/>
                              <w:marRight w:val="0"/>
                              <w:marTop w:val="0"/>
                              <w:marBottom w:val="0"/>
                              <w:divBdr>
                                <w:top w:val="none" w:sz="0" w:space="0" w:color="auto"/>
                                <w:left w:val="none" w:sz="0" w:space="0" w:color="auto"/>
                                <w:bottom w:val="none" w:sz="0" w:space="0" w:color="auto"/>
                                <w:right w:val="none" w:sz="0" w:space="0" w:color="auto"/>
                              </w:divBdr>
                              <w:divsChild>
                                <w:div w:id="18297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594288">
              <w:marLeft w:val="0"/>
              <w:marRight w:val="0"/>
              <w:marTop w:val="100"/>
              <w:marBottom w:val="100"/>
              <w:divBdr>
                <w:top w:val="none" w:sz="0" w:space="0" w:color="auto"/>
                <w:left w:val="none" w:sz="0" w:space="0" w:color="auto"/>
                <w:bottom w:val="none" w:sz="0" w:space="0" w:color="auto"/>
                <w:right w:val="none" w:sz="0" w:space="0" w:color="auto"/>
              </w:divBdr>
              <w:divsChild>
                <w:div w:id="1638952178">
                  <w:marLeft w:val="0"/>
                  <w:marRight w:val="0"/>
                  <w:marTop w:val="0"/>
                  <w:marBottom w:val="0"/>
                  <w:divBdr>
                    <w:top w:val="none" w:sz="0" w:space="0" w:color="auto"/>
                    <w:left w:val="none" w:sz="0" w:space="0" w:color="auto"/>
                    <w:bottom w:val="none" w:sz="0" w:space="0" w:color="auto"/>
                    <w:right w:val="none" w:sz="0" w:space="0" w:color="auto"/>
                  </w:divBdr>
                  <w:divsChild>
                    <w:div w:id="1503397764">
                      <w:marLeft w:val="0"/>
                      <w:marRight w:val="0"/>
                      <w:marTop w:val="0"/>
                      <w:marBottom w:val="0"/>
                      <w:divBdr>
                        <w:top w:val="none" w:sz="0" w:space="0" w:color="auto"/>
                        <w:left w:val="none" w:sz="0" w:space="0" w:color="auto"/>
                        <w:bottom w:val="none" w:sz="0" w:space="0" w:color="auto"/>
                        <w:right w:val="none" w:sz="0" w:space="0" w:color="auto"/>
                      </w:divBdr>
                      <w:divsChild>
                        <w:div w:id="1370303320">
                          <w:marLeft w:val="0"/>
                          <w:marRight w:val="0"/>
                          <w:marTop w:val="0"/>
                          <w:marBottom w:val="0"/>
                          <w:divBdr>
                            <w:top w:val="none" w:sz="0" w:space="0" w:color="auto"/>
                            <w:left w:val="none" w:sz="0" w:space="0" w:color="auto"/>
                            <w:bottom w:val="none" w:sz="0" w:space="0" w:color="auto"/>
                            <w:right w:val="none" w:sz="0" w:space="0" w:color="auto"/>
                          </w:divBdr>
                          <w:divsChild>
                            <w:div w:id="1461878038">
                              <w:marLeft w:val="0"/>
                              <w:marRight w:val="0"/>
                              <w:marTop w:val="0"/>
                              <w:marBottom w:val="0"/>
                              <w:divBdr>
                                <w:top w:val="none" w:sz="0" w:space="0" w:color="auto"/>
                                <w:left w:val="none" w:sz="0" w:space="0" w:color="auto"/>
                                <w:bottom w:val="none" w:sz="0" w:space="0" w:color="auto"/>
                                <w:right w:val="none" w:sz="0" w:space="0" w:color="auto"/>
                              </w:divBdr>
                              <w:divsChild>
                                <w:div w:id="732855514">
                                  <w:marLeft w:val="0"/>
                                  <w:marRight w:val="0"/>
                                  <w:marTop w:val="0"/>
                                  <w:marBottom w:val="0"/>
                                  <w:divBdr>
                                    <w:top w:val="none" w:sz="0" w:space="0" w:color="auto"/>
                                    <w:left w:val="none" w:sz="0" w:space="0" w:color="auto"/>
                                    <w:bottom w:val="none" w:sz="0" w:space="0" w:color="auto"/>
                                    <w:right w:val="none" w:sz="0" w:space="0" w:color="auto"/>
                                  </w:divBdr>
                                  <w:divsChild>
                                    <w:div w:id="1172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514340">
              <w:marLeft w:val="0"/>
              <w:marRight w:val="0"/>
              <w:marTop w:val="100"/>
              <w:marBottom w:val="100"/>
              <w:divBdr>
                <w:top w:val="none" w:sz="0" w:space="0" w:color="auto"/>
                <w:left w:val="none" w:sz="0" w:space="0" w:color="auto"/>
                <w:bottom w:val="none" w:sz="0" w:space="0" w:color="auto"/>
                <w:right w:val="none" w:sz="0" w:space="0" w:color="auto"/>
              </w:divBdr>
              <w:divsChild>
                <w:div w:id="1913462928">
                  <w:marLeft w:val="0"/>
                  <w:marRight w:val="0"/>
                  <w:marTop w:val="0"/>
                  <w:marBottom w:val="0"/>
                  <w:divBdr>
                    <w:top w:val="none" w:sz="0" w:space="0" w:color="auto"/>
                    <w:left w:val="none" w:sz="0" w:space="0" w:color="auto"/>
                    <w:bottom w:val="none" w:sz="0" w:space="0" w:color="auto"/>
                    <w:right w:val="none" w:sz="0" w:space="0" w:color="auto"/>
                  </w:divBdr>
                  <w:divsChild>
                    <w:div w:id="211119254">
                      <w:marLeft w:val="0"/>
                      <w:marRight w:val="0"/>
                      <w:marTop w:val="0"/>
                      <w:marBottom w:val="0"/>
                      <w:divBdr>
                        <w:top w:val="none" w:sz="0" w:space="0" w:color="auto"/>
                        <w:left w:val="none" w:sz="0" w:space="0" w:color="auto"/>
                        <w:bottom w:val="none" w:sz="0" w:space="0" w:color="auto"/>
                        <w:right w:val="none" w:sz="0" w:space="0" w:color="auto"/>
                      </w:divBdr>
                      <w:divsChild>
                        <w:div w:id="657459071">
                          <w:marLeft w:val="0"/>
                          <w:marRight w:val="0"/>
                          <w:marTop w:val="0"/>
                          <w:marBottom w:val="0"/>
                          <w:divBdr>
                            <w:top w:val="none" w:sz="0" w:space="0" w:color="auto"/>
                            <w:left w:val="none" w:sz="0" w:space="0" w:color="auto"/>
                            <w:bottom w:val="none" w:sz="0" w:space="0" w:color="auto"/>
                            <w:right w:val="none" w:sz="0" w:space="0" w:color="auto"/>
                          </w:divBdr>
                          <w:divsChild>
                            <w:div w:id="41373189">
                              <w:marLeft w:val="0"/>
                              <w:marRight w:val="0"/>
                              <w:marTop w:val="0"/>
                              <w:marBottom w:val="0"/>
                              <w:divBdr>
                                <w:top w:val="none" w:sz="0" w:space="0" w:color="auto"/>
                                <w:left w:val="none" w:sz="0" w:space="0" w:color="auto"/>
                                <w:bottom w:val="none" w:sz="0" w:space="0" w:color="auto"/>
                                <w:right w:val="none" w:sz="0" w:space="0" w:color="auto"/>
                              </w:divBdr>
                              <w:divsChild>
                                <w:div w:id="1155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6118918">
              <w:marLeft w:val="0"/>
              <w:marRight w:val="0"/>
              <w:marTop w:val="100"/>
              <w:marBottom w:val="100"/>
              <w:divBdr>
                <w:top w:val="none" w:sz="0" w:space="0" w:color="auto"/>
                <w:left w:val="none" w:sz="0" w:space="0" w:color="auto"/>
                <w:bottom w:val="none" w:sz="0" w:space="0" w:color="auto"/>
                <w:right w:val="none" w:sz="0" w:space="0" w:color="auto"/>
              </w:divBdr>
              <w:divsChild>
                <w:div w:id="174003857">
                  <w:marLeft w:val="0"/>
                  <w:marRight w:val="0"/>
                  <w:marTop w:val="0"/>
                  <w:marBottom w:val="0"/>
                  <w:divBdr>
                    <w:top w:val="none" w:sz="0" w:space="0" w:color="auto"/>
                    <w:left w:val="none" w:sz="0" w:space="0" w:color="auto"/>
                    <w:bottom w:val="none" w:sz="0" w:space="0" w:color="auto"/>
                    <w:right w:val="none" w:sz="0" w:space="0" w:color="auto"/>
                  </w:divBdr>
                  <w:divsChild>
                    <w:div w:id="514459872">
                      <w:marLeft w:val="0"/>
                      <w:marRight w:val="0"/>
                      <w:marTop w:val="0"/>
                      <w:marBottom w:val="0"/>
                      <w:divBdr>
                        <w:top w:val="none" w:sz="0" w:space="0" w:color="auto"/>
                        <w:left w:val="none" w:sz="0" w:space="0" w:color="auto"/>
                        <w:bottom w:val="none" w:sz="0" w:space="0" w:color="auto"/>
                        <w:right w:val="none" w:sz="0" w:space="0" w:color="auto"/>
                      </w:divBdr>
                      <w:divsChild>
                        <w:div w:id="1558786990">
                          <w:marLeft w:val="0"/>
                          <w:marRight w:val="0"/>
                          <w:marTop w:val="0"/>
                          <w:marBottom w:val="0"/>
                          <w:divBdr>
                            <w:top w:val="none" w:sz="0" w:space="0" w:color="auto"/>
                            <w:left w:val="none" w:sz="0" w:space="0" w:color="auto"/>
                            <w:bottom w:val="none" w:sz="0" w:space="0" w:color="auto"/>
                            <w:right w:val="none" w:sz="0" w:space="0" w:color="auto"/>
                          </w:divBdr>
                          <w:divsChild>
                            <w:div w:id="1428188433">
                              <w:marLeft w:val="0"/>
                              <w:marRight w:val="0"/>
                              <w:marTop w:val="0"/>
                              <w:marBottom w:val="0"/>
                              <w:divBdr>
                                <w:top w:val="none" w:sz="0" w:space="0" w:color="auto"/>
                                <w:left w:val="none" w:sz="0" w:space="0" w:color="auto"/>
                                <w:bottom w:val="none" w:sz="0" w:space="0" w:color="auto"/>
                                <w:right w:val="none" w:sz="0" w:space="0" w:color="auto"/>
                              </w:divBdr>
                              <w:divsChild>
                                <w:div w:id="1536232781">
                                  <w:marLeft w:val="0"/>
                                  <w:marRight w:val="0"/>
                                  <w:marTop w:val="0"/>
                                  <w:marBottom w:val="0"/>
                                  <w:divBdr>
                                    <w:top w:val="none" w:sz="0" w:space="0" w:color="auto"/>
                                    <w:left w:val="none" w:sz="0" w:space="0" w:color="auto"/>
                                    <w:bottom w:val="none" w:sz="0" w:space="0" w:color="auto"/>
                                    <w:right w:val="none" w:sz="0" w:space="0" w:color="auto"/>
                                  </w:divBdr>
                                  <w:divsChild>
                                    <w:div w:id="62897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0913">
              <w:marLeft w:val="0"/>
              <w:marRight w:val="0"/>
              <w:marTop w:val="100"/>
              <w:marBottom w:val="100"/>
              <w:divBdr>
                <w:top w:val="none" w:sz="0" w:space="0" w:color="auto"/>
                <w:left w:val="none" w:sz="0" w:space="0" w:color="auto"/>
                <w:bottom w:val="none" w:sz="0" w:space="0" w:color="auto"/>
                <w:right w:val="none" w:sz="0" w:space="0" w:color="auto"/>
              </w:divBdr>
              <w:divsChild>
                <w:div w:id="395248172">
                  <w:marLeft w:val="0"/>
                  <w:marRight w:val="0"/>
                  <w:marTop w:val="0"/>
                  <w:marBottom w:val="0"/>
                  <w:divBdr>
                    <w:top w:val="none" w:sz="0" w:space="0" w:color="auto"/>
                    <w:left w:val="none" w:sz="0" w:space="0" w:color="auto"/>
                    <w:bottom w:val="none" w:sz="0" w:space="0" w:color="auto"/>
                    <w:right w:val="none" w:sz="0" w:space="0" w:color="auto"/>
                  </w:divBdr>
                  <w:divsChild>
                    <w:div w:id="629170810">
                      <w:marLeft w:val="0"/>
                      <w:marRight w:val="0"/>
                      <w:marTop w:val="0"/>
                      <w:marBottom w:val="0"/>
                      <w:divBdr>
                        <w:top w:val="none" w:sz="0" w:space="0" w:color="auto"/>
                        <w:left w:val="none" w:sz="0" w:space="0" w:color="auto"/>
                        <w:bottom w:val="none" w:sz="0" w:space="0" w:color="auto"/>
                        <w:right w:val="none" w:sz="0" w:space="0" w:color="auto"/>
                      </w:divBdr>
                      <w:divsChild>
                        <w:div w:id="949706699">
                          <w:marLeft w:val="0"/>
                          <w:marRight w:val="0"/>
                          <w:marTop w:val="0"/>
                          <w:marBottom w:val="0"/>
                          <w:divBdr>
                            <w:top w:val="none" w:sz="0" w:space="0" w:color="auto"/>
                            <w:left w:val="none" w:sz="0" w:space="0" w:color="auto"/>
                            <w:bottom w:val="none" w:sz="0" w:space="0" w:color="auto"/>
                            <w:right w:val="none" w:sz="0" w:space="0" w:color="auto"/>
                          </w:divBdr>
                          <w:divsChild>
                            <w:div w:id="1702198662">
                              <w:marLeft w:val="0"/>
                              <w:marRight w:val="0"/>
                              <w:marTop w:val="0"/>
                              <w:marBottom w:val="0"/>
                              <w:divBdr>
                                <w:top w:val="none" w:sz="0" w:space="0" w:color="auto"/>
                                <w:left w:val="none" w:sz="0" w:space="0" w:color="auto"/>
                                <w:bottom w:val="none" w:sz="0" w:space="0" w:color="auto"/>
                                <w:right w:val="none" w:sz="0" w:space="0" w:color="auto"/>
                              </w:divBdr>
                              <w:divsChild>
                                <w:div w:id="19412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8807">
              <w:marLeft w:val="0"/>
              <w:marRight w:val="0"/>
              <w:marTop w:val="100"/>
              <w:marBottom w:val="100"/>
              <w:divBdr>
                <w:top w:val="none" w:sz="0" w:space="0" w:color="auto"/>
                <w:left w:val="none" w:sz="0" w:space="0" w:color="auto"/>
                <w:bottom w:val="none" w:sz="0" w:space="0" w:color="auto"/>
                <w:right w:val="none" w:sz="0" w:space="0" w:color="auto"/>
              </w:divBdr>
              <w:divsChild>
                <w:div w:id="240870411">
                  <w:marLeft w:val="0"/>
                  <w:marRight w:val="0"/>
                  <w:marTop w:val="0"/>
                  <w:marBottom w:val="0"/>
                  <w:divBdr>
                    <w:top w:val="none" w:sz="0" w:space="0" w:color="auto"/>
                    <w:left w:val="none" w:sz="0" w:space="0" w:color="auto"/>
                    <w:bottom w:val="none" w:sz="0" w:space="0" w:color="auto"/>
                    <w:right w:val="none" w:sz="0" w:space="0" w:color="auto"/>
                  </w:divBdr>
                  <w:divsChild>
                    <w:div w:id="103429407">
                      <w:marLeft w:val="0"/>
                      <w:marRight w:val="0"/>
                      <w:marTop w:val="0"/>
                      <w:marBottom w:val="0"/>
                      <w:divBdr>
                        <w:top w:val="none" w:sz="0" w:space="0" w:color="auto"/>
                        <w:left w:val="none" w:sz="0" w:space="0" w:color="auto"/>
                        <w:bottom w:val="none" w:sz="0" w:space="0" w:color="auto"/>
                        <w:right w:val="none" w:sz="0" w:space="0" w:color="auto"/>
                      </w:divBdr>
                      <w:divsChild>
                        <w:div w:id="1600211703">
                          <w:marLeft w:val="0"/>
                          <w:marRight w:val="0"/>
                          <w:marTop w:val="0"/>
                          <w:marBottom w:val="0"/>
                          <w:divBdr>
                            <w:top w:val="none" w:sz="0" w:space="0" w:color="auto"/>
                            <w:left w:val="none" w:sz="0" w:space="0" w:color="auto"/>
                            <w:bottom w:val="none" w:sz="0" w:space="0" w:color="auto"/>
                            <w:right w:val="none" w:sz="0" w:space="0" w:color="auto"/>
                          </w:divBdr>
                          <w:divsChild>
                            <w:div w:id="1480031403">
                              <w:marLeft w:val="0"/>
                              <w:marRight w:val="0"/>
                              <w:marTop w:val="0"/>
                              <w:marBottom w:val="0"/>
                              <w:divBdr>
                                <w:top w:val="none" w:sz="0" w:space="0" w:color="auto"/>
                                <w:left w:val="none" w:sz="0" w:space="0" w:color="auto"/>
                                <w:bottom w:val="none" w:sz="0" w:space="0" w:color="auto"/>
                                <w:right w:val="none" w:sz="0" w:space="0" w:color="auto"/>
                              </w:divBdr>
                              <w:divsChild>
                                <w:div w:id="249890829">
                                  <w:marLeft w:val="0"/>
                                  <w:marRight w:val="0"/>
                                  <w:marTop w:val="0"/>
                                  <w:marBottom w:val="0"/>
                                  <w:divBdr>
                                    <w:top w:val="none" w:sz="0" w:space="0" w:color="auto"/>
                                    <w:left w:val="none" w:sz="0" w:space="0" w:color="auto"/>
                                    <w:bottom w:val="none" w:sz="0" w:space="0" w:color="auto"/>
                                    <w:right w:val="none" w:sz="0" w:space="0" w:color="auto"/>
                                  </w:divBdr>
                                  <w:divsChild>
                                    <w:div w:id="8734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67409">
              <w:marLeft w:val="0"/>
              <w:marRight w:val="0"/>
              <w:marTop w:val="100"/>
              <w:marBottom w:val="100"/>
              <w:divBdr>
                <w:top w:val="none" w:sz="0" w:space="0" w:color="auto"/>
                <w:left w:val="none" w:sz="0" w:space="0" w:color="auto"/>
                <w:bottom w:val="none" w:sz="0" w:space="0" w:color="auto"/>
                <w:right w:val="none" w:sz="0" w:space="0" w:color="auto"/>
              </w:divBdr>
              <w:divsChild>
                <w:div w:id="1733694750">
                  <w:marLeft w:val="0"/>
                  <w:marRight w:val="0"/>
                  <w:marTop w:val="0"/>
                  <w:marBottom w:val="0"/>
                  <w:divBdr>
                    <w:top w:val="none" w:sz="0" w:space="0" w:color="auto"/>
                    <w:left w:val="none" w:sz="0" w:space="0" w:color="auto"/>
                    <w:bottom w:val="none" w:sz="0" w:space="0" w:color="auto"/>
                    <w:right w:val="none" w:sz="0" w:space="0" w:color="auto"/>
                  </w:divBdr>
                  <w:divsChild>
                    <w:div w:id="458912525">
                      <w:marLeft w:val="0"/>
                      <w:marRight w:val="0"/>
                      <w:marTop w:val="0"/>
                      <w:marBottom w:val="0"/>
                      <w:divBdr>
                        <w:top w:val="none" w:sz="0" w:space="0" w:color="auto"/>
                        <w:left w:val="none" w:sz="0" w:space="0" w:color="auto"/>
                        <w:bottom w:val="none" w:sz="0" w:space="0" w:color="auto"/>
                        <w:right w:val="none" w:sz="0" w:space="0" w:color="auto"/>
                      </w:divBdr>
                      <w:divsChild>
                        <w:div w:id="191190066">
                          <w:marLeft w:val="0"/>
                          <w:marRight w:val="0"/>
                          <w:marTop w:val="0"/>
                          <w:marBottom w:val="0"/>
                          <w:divBdr>
                            <w:top w:val="none" w:sz="0" w:space="0" w:color="auto"/>
                            <w:left w:val="none" w:sz="0" w:space="0" w:color="auto"/>
                            <w:bottom w:val="none" w:sz="0" w:space="0" w:color="auto"/>
                            <w:right w:val="none" w:sz="0" w:space="0" w:color="auto"/>
                          </w:divBdr>
                          <w:divsChild>
                            <w:div w:id="783576489">
                              <w:marLeft w:val="0"/>
                              <w:marRight w:val="0"/>
                              <w:marTop w:val="0"/>
                              <w:marBottom w:val="0"/>
                              <w:divBdr>
                                <w:top w:val="none" w:sz="0" w:space="0" w:color="auto"/>
                                <w:left w:val="none" w:sz="0" w:space="0" w:color="auto"/>
                                <w:bottom w:val="none" w:sz="0" w:space="0" w:color="auto"/>
                                <w:right w:val="none" w:sz="0" w:space="0" w:color="auto"/>
                              </w:divBdr>
                              <w:divsChild>
                                <w:div w:id="132311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966198">
              <w:marLeft w:val="0"/>
              <w:marRight w:val="0"/>
              <w:marTop w:val="100"/>
              <w:marBottom w:val="100"/>
              <w:divBdr>
                <w:top w:val="none" w:sz="0" w:space="0" w:color="auto"/>
                <w:left w:val="none" w:sz="0" w:space="0" w:color="auto"/>
                <w:bottom w:val="none" w:sz="0" w:space="0" w:color="auto"/>
                <w:right w:val="none" w:sz="0" w:space="0" w:color="auto"/>
              </w:divBdr>
              <w:divsChild>
                <w:div w:id="226113737">
                  <w:marLeft w:val="0"/>
                  <w:marRight w:val="0"/>
                  <w:marTop w:val="0"/>
                  <w:marBottom w:val="0"/>
                  <w:divBdr>
                    <w:top w:val="none" w:sz="0" w:space="0" w:color="auto"/>
                    <w:left w:val="none" w:sz="0" w:space="0" w:color="auto"/>
                    <w:bottom w:val="none" w:sz="0" w:space="0" w:color="auto"/>
                    <w:right w:val="none" w:sz="0" w:space="0" w:color="auto"/>
                  </w:divBdr>
                  <w:divsChild>
                    <w:div w:id="1378580335">
                      <w:marLeft w:val="0"/>
                      <w:marRight w:val="0"/>
                      <w:marTop w:val="0"/>
                      <w:marBottom w:val="0"/>
                      <w:divBdr>
                        <w:top w:val="none" w:sz="0" w:space="0" w:color="auto"/>
                        <w:left w:val="none" w:sz="0" w:space="0" w:color="auto"/>
                        <w:bottom w:val="none" w:sz="0" w:space="0" w:color="auto"/>
                        <w:right w:val="none" w:sz="0" w:space="0" w:color="auto"/>
                      </w:divBdr>
                      <w:divsChild>
                        <w:div w:id="1797485722">
                          <w:marLeft w:val="0"/>
                          <w:marRight w:val="0"/>
                          <w:marTop w:val="0"/>
                          <w:marBottom w:val="0"/>
                          <w:divBdr>
                            <w:top w:val="none" w:sz="0" w:space="0" w:color="auto"/>
                            <w:left w:val="none" w:sz="0" w:space="0" w:color="auto"/>
                            <w:bottom w:val="none" w:sz="0" w:space="0" w:color="auto"/>
                            <w:right w:val="none" w:sz="0" w:space="0" w:color="auto"/>
                          </w:divBdr>
                          <w:divsChild>
                            <w:div w:id="2025814247">
                              <w:marLeft w:val="0"/>
                              <w:marRight w:val="0"/>
                              <w:marTop w:val="0"/>
                              <w:marBottom w:val="0"/>
                              <w:divBdr>
                                <w:top w:val="none" w:sz="0" w:space="0" w:color="auto"/>
                                <w:left w:val="none" w:sz="0" w:space="0" w:color="auto"/>
                                <w:bottom w:val="none" w:sz="0" w:space="0" w:color="auto"/>
                                <w:right w:val="none" w:sz="0" w:space="0" w:color="auto"/>
                              </w:divBdr>
                              <w:divsChild>
                                <w:div w:id="1712919847">
                                  <w:marLeft w:val="0"/>
                                  <w:marRight w:val="0"/>
                                  <w:marTop w:val="0"/>
                                  <w:marBottom w:val="0"/>
                                  <w:divBdr>
                                    <w:top w:val="none" w:sz="0" w:space="0" w:color="auto"/>
                                    <w:left w:val="none" w:sz="0" w:space="0" w:color="auto"/>
                                    <w:bottom w:val="none" w:sz="0" w:space="0" w:color="auto"/>
                                    <w:right w:val="none" w:sz="0" w:space="0" w:color="auto"/>
                                  </w:divBdr>
                                  <w:divsChild>
                                    <w:div w:id="71882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2285924">
              <w:marLeft w:val="0"/>
              <w:marRight w:val="0"/>
              <w:marTop w:val="100"/>
              <w:marBottom w:val="100"/>
              <w:divBdr>
                <w:top w:val="none" w:sz="0" w:space="0" w:color="auto"/>
                <w:left w:val="none" w:sz="0" w:space="0" w:color="auto"/>
                <w:bottom w:val="none" w:sz="0" w:space="0" w:color="auto"/>
                <w:right w:val="none" w:sz="0" w:space="0" w:color="auto"/>
              </w:divBdr>
              <w:divsChild>
                <w:div w:id="1295480385">
                  <w:marLeft w:val="0"/>
                  <w:marRight w:val="0"/>
                  <w:marTop w:val="0"/>
                  <w:marBottom w:val="0"/>
                  <w:divBdr>
                    <w:top w:val="none" w:sz="0" w:space="0" w:color="auto"/>
                    <w:left w:val="none" w:sz="0" w:space="0" w:color="auto"/>
                    <w:bottom w:val="none" w:sz="0" w:space="0" w:color="auto"/>
                    <w:right w:val="none" w:sz="0" w:space="0" w:color="auto"/>
                  </w:divBdr>
                  <w:divsChild>
                    <w:div w:id="1670479683">
                      <w:marLeft w:val="0"/>
                      <w:marRight w:val="0"/>
                      <w:marTop w:val="0"/>
                      <w:marBottom w:val="0"/>
                      <w:divBdr>
                        <w:top w:val="none" w:sz="0" w:space="0" w:color="auto"/>
                        <w:left w:val="none" w:sz="0" w:space="0" w:color="auto"/>
                        <w:bottom w:val="none" w:sz="0" w:space="0" w:color="auto"/>
                        <w:right w:val="none" w:sz="0" w:space="0" w:color="auto"/>
                      </w:divBdr>
                      <w:divsChild>
                        <w:div w:id="1549075919">
                          <w:marLeft w:val="0"/>
                          <w:marRight w:val="0"/>
                          <w:marTop w:val="0"/>
                          <w:marBottom w:val="0"/>
                          <w:divBdr>
                            <w:top w:val="none" w:sz="0" w:space="0" w:color="auto"/>
                            <w:left w:val="none" w:sz="0" w:space="0" w:color="auto"/>
                            <w:bottom w:val="none" w:sz="0" w:space="0" w:color="auto"/>
                            <w:right w:val="none" w:sz="0" w:space="0" w:color="auto"/>
                          </w:divBdr>
                          <w:divsChild>
                            <w:div w:id="1248229150">
                              <w:marLeft w:val="0"/>
                              <w:marRight w:val="0"/>
                              <w:marTop w:val="0"/>
                              <w:marBottom w:val="0"/>
                              <w:divBdr>
                                <w:top w:val="none" w:sz="0" w:space="0" w:color="auto"/>
                                <w:left w:val="none" w:sz="0" w:space="0" w:color="auto"/>
                                <w:bottom w:val="none" w:sz="0" w:space="0" w:color="auto"/>
                                <w:right w:val="none" w:sz="0" w:space="0" w:color="auto"/>
                              </w:divBdr>
                              <w:divsChild>
                                <w:div w:id="13761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jbs.2014.08.00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1186/1471-2334-11-312"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3073</TotalTime>
  <Pages>31</Pages>
  <Words>7501</Words>
  <Characters>42761</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1084</cp:lastModifiedBy>
  <cp:revision>89</cp:revision>
  <dcterms:created xsi:type="dcterms:W3CDTF">2026-02-21T20:13:00Z</dcterms:created>
  <dcterms:modified xsi:type="dcterms:W3CDTF">2026-03-06T07:31:00Z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b8d7e2cb-cef5-4940-9f22-313ce242e827</vt:lpwstr>
  </property>
</Properties>
</file>