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85949" w14:textId="77777777" w:rsidR="00AA261C" w:rsidRDefault="00AA261C" w:rsidP="00752BFD">
      <w:pPr>
        <w:jc w:val="center"/>
        <w:rPr>
          <w:rFonts w:ascii="Arial" w:hAnsi="Arial" w:cs="Arial"/>
          <w:b/>
          <w:bCs/>
          <w:szCs w:val="24"/>
        </w:rPr>
      </w:pPr>
      <w:r w:rsidRPr="00AA261C">
        <w:rPr>
          <w:rFonts w:ascii="Arial" w:hAnsi="Arial" w:cs="Arial"/>
          <w:b/>
          <w:bCs/>
          <w:szCs w:val="24"/>
        </w:rPr>
        <w:t xml:space="preserve">Review Article </w:t>
      </w:r>
    </w:p>
    <w:p w14:paraId="60708AD4" w14:textId="77777777" w:rsidR="00523734" w:rsidRDefault="00523734" w:rsidP="00752BFD">
      <w:pPr>
        <w:jc w:val="center"/>
        <w:rPr>
          <w:rFonts w:ascii="Arial" w:hAnsi="Arial" w:cs="Arial"/>
          <w:b/>
          <w:bCs/>
          <w:szCs w:val="24"/>
        </w:rPr>
      </w:pPr>
    </w:p>
    <w:p w14:paraId="2F4249CC" w14:textId="5747AA2D" w:rsidR="005F306A" w:rsidRDefault="005F306A" w:rsidP="00752BFD">
      <w:pPr>
        <w:jc w:val="center"/>
        <w:rPr>
          <w:rFonts w:ascii="Arial" w:hAnsi="Arial" w:cs="Arial"/>
          <w:b/>
          <w:bCs/>
          <w:szCs w:val="24"/>
        </w:rPr>
      </w:pPr>
      <w:r w:rsidRPr="001768D3">
        <w:rPr>
          <w:rFonts w:ascii="Arial" w:hAnsi="Arial" w:cs="Arial"/>
          <w:b/>
          <w:bCs/>
          <w:szCs w:val="24"/>
        </w:rPr>
        <w:t>Artificial Diets for Silkworm Rearing: Current Status and Future Scope</w:t>
      </w:r>
    </w:p>
    <w:p w14:paraId="0E49AF5A" w14:textId="77777777" w:rsidR="00523734" w:rsidRDefault="00523734" w:rsidP="00752BFD">
      <w:pPr>
        <w:jc w:val="center"/>
        <w:rPr>
          <w:rFonts w:ascii="Arial" w:hAnsi="Arial" w:cs="Arial"/>
          <w:b/>
          <w:bCs/>
          <w:szCs w:val="24"/>
        </w:rPr>
      </w:pPr>
    </w:p>
    <w:p w14:paraId="56E516A3" w14:textId="77777777" w:rsidR="005E00CA" w:rsidRPr="001768D3" w:rsidRDefault="005E00CA" w:rsidP="00A8506F">
      <w:pPr>
        <w:rPr>
          <w:rFonts w:ascii="Arial" w:hAnsi="Arial" w:cs="Arial"/>
          <w:b/>
          <w:bCs/>
          <w:szCs w:val="24"/>
        </w:rPr>
      </w:pPr>
    </w:p>
    <w:p w14:paraId="1D15F30D" w14:textId="77777777" w:rsidR="00221E84" w:rsidRPr="00796FFD" w:rsidRDefault="00221E84" w:rsidP="005F306A">
      <w:pPr>
        <w:jc w:val="both"/>
        <w:rPr>
          <w:rFonts w:ascii="Arial" w:hAnsi="Arial" w:cs="Arial"/>
          <w:b/>
          <w:bCs/>
          <w:sz w:val="22"/>
        </w:rPr>
      </w:pPr>
      <w:r w:rsidRPr="00796FFD">
        <w:rPr>
          <w:rFonts w:ascii="Arial" w:hAnsi="Arial" w:cs="Arial"/>
          <w:b/>
          <w:bCs/>
          <w:sz w:val="22"/>
        </w:rPr>
        <w:t>Abstract</w:t>
      </w:r>
      <w:bookmarkStart w:id="0" w:name="_GoBack"/>
      <w:bookmarkEnd w:id="0"/>
    </w:p>
    <w:p w14:paraId="72F2B79A" w14:textId="1C2FCD45" w:rsidR="00221E84" w:rsidRPr="00796FFD" w:rsidRDefault="00221E84" w:rsidP="005F306A">
      <w:pPr>
        <w:jc w:val="both"/>
        <w:rPr>
          <w:rFonts w:ascii="Arial" w:hAnsi="Arial" w:cs="Arial"/>
          <w:sz w:val="20"/>
          <w:szCs w:val="20"/>
        </w:rPr>
      </w:pPr>
      <w:r w:rsidRPr="00796FFD">
        <w:rPr>
          <w:rFonts w:ascii="Arial" w:hAnsi="Arial" w:cs="Arial"/>
          <w:sz w:val="20"/>
          <w:szCs w:val="20"/>
        </w:rPr>
        <w:t xml:space="preserve">Artificial diets for silkworm </w:t>
      </w:r>
      <w:r w:rsidRPr="00236801">
        <w:rPr>
          <w:rFonts w:ascii="Arial" w:hAnsi="Arial" w:cs="Arial"/>
          <w:i/>
          <w:iCs/>
          <w:sz w:val="20"/>
          <w:szCs w:val="20"/>
        </w:rPr>
        <w:t>(Bombyx mor</w:t>
      </w:r>
      <w:r w:rsidRPr="00796FFD">
        <w:rPr>
          <w:rFonts w:ascii="Arial" w:hAnsi="Arial" w:cs="Arial"/>
          <w:sz w:val="20"/>
          <w:szCs w:val="20"/>
        </w:rPr>
        <w:t xml:space="preserve">i L.) rearing have emerged as a significant technological advancement aimed at overcoming limitations associated with conventional mulberry leaf-based sericulture. Traditional rearing systems are constrained by seasonal leaf availability, labour intensity, geographical limitations, and increased risk of disease transmission through contaminated foliage. The development of artificial diets has enabled controlled, year-round rearing while providing standardized nutritional conditions that support both commercial silk production and experimental applications. This review synthesizes current knowledge on the historical development, nutritional requirements, formulation strategies, gut microbiome interactions, physiological responses, and commercial implications of artificial diet-based silkworm rearing. Protein quality and amino acid balance play a decisive role in larval growth and silk protein synthesis, while carbohydrates and lipids contribute to energy metabolism and physiological stability. Recent studies highlight the importance of gut microbiota in nutrient utilization and immune regulation, with probiotic and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approaches emerging as promising strategies to enhance performance under artificial feeding conditions. Although modern artificial diets can support complete silkworm development with performance approaching that of mulberry-fed systems, challenges remain in replicating the complex bioactive composition of natural leaves, maintaining microbial balance, and reducing production costs. Advances in metabolomics, microbiome research, precision nutrition, and sustainable ingredient sourcing provide new opportunities for optimizing artificial diet formulations. Future research should focus on improving nutritional efficiency, enhancing gut health, and integrating automated rearing technologies to ensure sustainable and economically viable sericulture systems. Artificial diet technology is therefore expected to play an increasingly important role in advancing modern sericulture and expanding silkworm applications in biotechnology and biomedical research.</w:t>
      </w:r>
    </w:p>
    <w:p w14:paraId="4CAA385D" w14:textId="70E292AD" w:rsidR="00221E84" w:rsidRPr="00796FFD" w:rsidRDefault="00221E84" w:rsidP="005F306A">
      <w:pPr>
        <w:jc w:val="both"/>
        <w:rPr>
          <w:rFonts w:ascii="Arial" w:hAnsi="Arial" w:cs="Arial"/>
          <w:i/>
          <w:iCs/>
          <w:sz w:val="20"/>
          <w:szCs w:val="20"/>
        </w:rPr>
      </w:pPr>
      <w:r w:rsidRPr="00796FFD">
        <w:rPr>
          <w:rFonts w:ascii="Arial" w:hAnsi="Arial" w:cs="Arial"/>
          <w:i/>
          <w:iCs/>
          <w:sz w:val="20"/>
          <w:szCs w:val="20"/>
        </w:rPr>
        <w:t>Keywords: Bombyx mori, artificial diet, gut microbiota, metabolomics, probiotic supplementation, sericulture, silk production, precision nutrition</w:t>
      </w:r>
    </w:p>
    <w:p w14:paraId="10D3BE66" w14:textId="3F21E30B" w:rsidR="00221E84" w:rsidRPr="00796FFD" w:rsidRDefault="00221E84" w:rsidP="005F306A">
      <w:pPr>
        <w:jc w:val="both"/>
        <w:rPr>
          <w:rFonts w:ascii="Arial" w:hAnsi="Arial" w:cs="Arial"/>
          <w:b/>
          <w:bCs/>
          <w:sz w:val="22"/>
        </w:rPr>
      </w:pPr>
      <w:r w:rsidRPr="00796FFD">
        <w:rPr>
          <w:rFonts w:ascii="Arial" w:hAnsi="Arial" w:cs="Arial"/>
          <w:b/>
          <w:bCs/>
          <w:sz w:val="22"/>
        </w:rPr>
        <w:t>1. Introduction</w:t>
      </w:r>
    </w:p>
    <w:p w14:paraId="66CF91DC" w14:textId="121001ED"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silkworm (</w:t>
      </w:r>
      <w:r w:rsidRPr="00236801">
        <w:rPr>
          <w:rFonts w:ascii="Arial" w:hAnsi="Arial" w:cs="Arial"/>
          <w:i/>
          <w:iCs/>
          <w:sz w:val="20"/>
          <w:szCs w:val="20"/>
        </w:rPr>
        <w:t>Bombyx mori</w:t>
      </w:r>
      <w:r w:rsidRPr="00796FFD">
        <w:rPr>
          <w:rFonts w:ascii="Arial" w:hAnsi="Arial" w:cs="Arial"/>
          <w:sz w:val="20"/>
          <w:szCs w:val="20"/>
        </w:rPr>
        <w:t xml:space="preserve"> L., Lepidoptera: Bombycidae) is among the earliest domesticated insects and has been cultivated for silk production for more than 5,500 years (Goldsmith et al., 2005). The monophagous species, B. mori feeds exclusively on mulberry leaves (</w:t>
      </w:r>
      <w:r w:rsidRPr="00236801">
        <w:rPr>
          <w:rFonts w:ascii="Arial" w:hAnsi="Arial" w:cs="Arial"/>
          <w:i/>
          <w:iCs/>
          <w:sz w:val="20"/>
          <w:szCs w:val="20"/>
        </w:rPr>
        <w:t>Morus alba</w:t>
      </w:r>
      <w:r w:rsidRPr="00236801">
        <w:rPr>
          <w:rFonts w:ascii="Arial" w:hAnsi="Arial" w:cs="Arial"/>
          <w:sz w:val="20"/>
          <w:szCs w:val="20"/>
        </w:rPr>
        <w:t xml:space="preserve"> L.), which provide a balanced nutritional composition essential for normal growth, larval development</w:t>
      </w:r>
      <w:r w:rsidRPr="00796FFD">
        <w:rPr>
          <w:rFonts w:ascii="Arial" w:hAnsi="Arial" w:cs="Arial"/>
          <w:sz w:val="20"/>
          <w:szCs w:val="20"/>
        </w:rPr>
        <w:t>, and silk protein synthesis (</w:t>
      </w:r>
      <w:proofErr w:type="spellStart"/>
      <w:r w:rsidRPr="00796FFD">
        <w:rPr>
          <w:rFonts w:ascii="Arial" w:hAnsi="Arial" w:cs="Arial"/>
          <w:sz w:val="20"/>
          <w:szCs w:val="20"/>
        </w:rPr>
        <w:t>Rahmathulla</w:t>
      </w:r>
      <w:proofErr w:type="spellEnd"/>
      <w:r w:rsidRPr="00796FFD">
        <w:rPr>
          <w:rFonts w:ascii="Arial" w:hAnsi="Arial" w:cs="Arial"/>
          <w:sz w:val="20"/>
          <w:szCs w:val="20"/>
        </w:rPr>
        <w:t>, 2012). Despite its long-standing importance in sericulture, conventional silkworm rearing systems face several limitations, including seasonal fluctuations in mulberry leaf availability, regional constraints in cultivation, high labour requirements, and vulnerability to diseases transmitted through contaminated foliage (Ito, 1978; Popham and Shelby, 2006).</w:t>
      </w:r>
    </w:p>
    <w:p w14:paraId="7363F0C0" w14:textId="0B26AE4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introduction of artificial diets represents a major technological advancement in modern sericulture. The first successful attempts at rearing silkworms entirely on artificial diets were reported in 1960 by Japanese researchers (Ito, 1978). However, early formulations were associated with poor larval performance, including reduced growth rates, increased mortality, delayed development and inferior cocoon quality (Hamamura, 2001). Research over subsequent decades has significantly improved diet formulations, transforming artificial diets from experimental systems into practical tools for both research and commercial applications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1E6E8186" w14:textId="68DAF825" w:rsidR="00221E84" w:rsidRPr="00796FFD" w:rsidRDefault="00221E84" w:rsidP="00156F48">
      <w:pPr>
        <w:ind w:firstLine="720"/>
        <w:jc w:val="both"/>
        <w:rPr>
          <w:rFonts w:ascii="Arial" w:hAnsi="Arial" w:cs="Arial"/>
          <w:sz w:val="20"/>
          <w:szCs w:val="20"/>
        </w:rPr>
      </w:pPr>
      <w:r w:rsidRPr="00796FFD">
        <w:rPr>
          <w:rFonts w:ascii="Arial" w:hAnsi="Arial" w:cs="Arial"/>
          <w:sz w:val="20"/>
          <w:szCs w:val="20"/>
        </w:rPr>
        <w:t xml:space="preserve">Artificial diets offer several advantages compared with traditional mulberry leaf feeding. These include the possibility of year-round rearing independent of seasonal leaf supply, uniform nutritional </w:t>
      </w:r>
      <w:r w:rsidRPr="00796FFD">
        <w:rPr>
          <w:rFonts w:ascii="Arial" w:hAnsi="Arial" w:cs="Arial"/>
          <w:sz w:val="20"/>
          <w:szCs w:val="20"/>
        </w:rPr>
        <w:lastRenderedPageBreak/>
        <w:t>composition ensuring consistent growth and silk quality, reduced exposure to pesticide residues and pathogens, lower labour dependency and the feasibility of maintaining specific-pathogen-free (SPF) rearing conditions essential for biomedical research (Hamamoto et al., 2009). In addition, artificial diets provide opportunities for controlled manipulation of nutritional components, thereby facilitating detailed investigations into silkworm physiology, metabolism and disease dynamics (Popham and Shelby, 2006).</w:t>
      </w:r>
    </w:p>
    <w:p w14:paraId="10ED3031" w14:textId="65F890B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This review paper consolidates existing knowledge on artificial diets used in silkworm rearing, covering aspects such as historical development, types of artificial diets, nutritional requirements, formulation strategies, performance comparisons with mulberry-fed systems, physiological and microbiological implications, commercial utilization, and future research directions. Recent advances in metabolomics, microbiome research, and biotechnology have further expanded the potential for developing next-generation artificial diets capable of enhancing silkworm health while improving silk production efficiency.</w:t>
      </w:r>
    </w:p>
    <w:p w14:paraId="765E85D7" w14:textId="77777777" w:rsidR="00221E84" w:rsidRPr="00796FFD" w:rsidRDefault="00221E84" w:rsidP="005F306A">
      <w:pPr>
        <w:jc w:val="both"/>
        <w:rPr>
          <w:rFonts w:ascii="Arial" w:hAnsi="Arial" w:cs="Arial"/>
          <w:b/>
          <w:bCs/>
          <w:sz w:val="22"/>
        </w:rPr>
      </w:pPr>
      <w:r w:rsidRPr="00796FFD">
        <w:rPr>
          <w:rFonts w:ascii="Arial" w:hAnsi="Arial" w:cs="Arial"/>
          <w:b/>
          <w:bCs/>
          <w:sz w:val="22"/>
        </w:rPr>
        <w:t>2. Historical Development of Artificial Diets</w:t>
      </w:r>
    </w:p>
    <w:p w14:paraId="2341723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2.1 Early Pioneering Work (1960-1980)</w:t>
      </w:r>
    </w:p>
    <w:p w14:paraId="20C81548"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successful development of artificial diets for silkworm rearing represents a major milestone in sericulture research. The first complete rearing of Bombyx mori on artificial diets was reported in 1960 by Japanese researchers, marking the beginning of systematic investigations into artificial nutrition for silkworms (Ito, 1978). Although these early diets were nutritionally adequate in composition, they exhibited poor palatability and unsuitable physical characteristics, resulting in reduced larval growth, low survival rates and inferior cocoon formation. Despite these limitations, the breakthrough stimulated extensive research into silkworm nutritional physiology, dietary requirements and aseptic rearing methodologies.</w:t>
      </w:r>
    </w:p>
    <w:p w14:paraId="36E52873"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During the 1960s and 1970s, intensive research conducted at the Sericultural Experiment Station in Japan focused on identifying both qualitative and quantitative nutritional requirements of B. mori (Horie and Nakasone, 1971). Significant findings from this period included the identification of ten essential amino acids necessary for normal development along with the requirement for specific sterols, fatty acids, vitamins, and mineral elements. The importance of B-complex vitamins, ascorbic acid and minerals such as potassium, phosphorus, magnesium and zinc in maintaining physiological functions and promoting growth was also established during this phase (Dadd, 1985). By the late 1970s, improvements in diet formulation enabled limited commercial adoption of artificial diet technology in Japan. Reports indicated that approximately 120,000 boxes of silkworm eggs, equivalent to nearly 2.4 billion larvae, were reared using artificial diets in cooperative rearing systems, accounting for nearly 5% of the total production. This rapid expansion demonstrated the growing practical relevance and acceptance of artificial diet technology within the sericulture industry (Horie and Nakasone, 1971).</w:t>
      </w:r>
    </w:p>
    <w:p w14:paraId="104D8D9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2.2 Modern Era and Commercial Formulations (1980-Present)</w:t>
      </w:r>
    </w:p>
    <w:p w14:paraId="70286F53" w14:textId="0BD49BCB"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1980s witnessed substantial advancements in artificial diet formulation and silkworm breeding strategies. Research efforts increasingly focused on developing silkworm strains adapted to artificial feeding systems, thereby improving growth performance and economic feasibility. Japanese breeding programs successfully developed strains capable of efficiently utilizing low-cost artificial diets containing ingredients such as fish powder, thereby enhancing the commercial viability of artificial rearing systems (Krishnaswami et al., 1973). Modern commercial artificial diets typically incorporate mulberry leaf powder as a key ingredient, generally constituting approximately 20-25% of the diet on a dry weight basis. This is supplemented with protein sources such as defatted soybean meal, carbohydrate sources including corn starch, along with vitamins, minerals and binding agents to ensure structural stability and nutritional balance (Popham and Shelby, 2006).</w:t>
      </w:r>
    </w:p>
    <w:p w14:paraId="5A43B44B"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Recent developments have also led to the formulation of simplified artificial diets designed primarily for experimental and research applications. Formulations such as MS-11, composed of mulberry leaf powder and soybean flour in equal proportions and solidified with agar, have been shown to support consistent larval growth suitable for disease modelling and pharmacological studies, although they are not optimized for maximum silk production (Popham and Shelby, 2006).</w:t>
      </w:r>
    </w:p>
    <w:p w14:paraId="726885DF" w14:textId="77777777" w:rsidR="00221E84" w:rsidRPr="00796FFD" w:rsidRDefault="00221E84" w:rsidP="005F306A">
      <w:pPr>
        <w:jc w:val="both"/>
        <w:rPr>
          <w:rFonts w:ascii="Arial" w:hAnsi="Arial" w:cs="Arial"/>
          <w:b/>
          <w:bCs/>
          <w:sz w:val="22"/>
        </w:rPr>
      </w:pPr>
      <w:r w:rsidRPr="00796FFD">
        <w:rPr>
          <w:rFonts w:ascii="Arial" w:hAnsi="Arial" w:cs="Arial"/>
          <w:b/>
          <w:bCs/>
          <w:sz w:val="22"/>
        </w:rPr>
        <w:lastRenderedPageBreak/>
        <w:t>3. Types of Artificial Diets and Their Composition</w:t>
      </w:r>
    </w:p>
    <w:p w14:paraId="2EE4BA0B"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Artificial diets for silkworms can be classified into several categories based on their composition, complexity, and intended application. Understanding these types is essential for selecting appropriate formulations for specific rearing objectives.</w:t>
      </w:r>
    </w:p>
    <w:p w14:paraId="0875AFF9" w14:textId="76697004" w:rsidR="00221E84" w:rsidRPr="00796FFD" w:rsidRDefault="00221E84" w:rsidP="005F306A">
      <w:pPr>
        <w:jc w:val="both"/>
        <w:rPr>
          <w:rFonts w:ascii="Arial" w:hAnsi="Arial" w:cs="Arial"/>
          <w:b/>
          <w:bCs/>
          <w:sz w:val="22"/>
        </w:rPr>
      </w:pPr>
      <w:r w:rsidRPr="00796FFD">
        <w:rPr>
          <w:rFonts w:ascii="Arial" w:hAnsi="Arial" w:cs="Arial"/>
          <w:b/>
          <w:bCs/>
          <w:sz w:val="20"/>
          <w:szCs w:val="20"/>
        </w:rPr>
        <w:t>3.1 Classification Based on Chemical Complexity</w:t>
      </w:r>
    </w:p>
    <w:p w14:paraId="25EC9E94" w14:textId="77777777" w:rsidR="00221E84" w:rsidRPr="00796FFD" w:rsidRDefault="00221E84" w:rsidP="005D4374">
      <w:pPr>
        <w:ind w:firstLine="720"/>
        <w:jc w:val="both"/>
        <w:rPr>
          <w:rFonts w:ascii="Arial" w:hAnsi="Arial" w:cs="Arial"/>
          <w:sz w:val="20"/>
          <w:szCs w:val="20"/>
        </w:rPr>
      </w:pPr>
      <w:proofErr w:type="spellStart"/>
      <w:r w:rsidRPr="00796FFD">
        <w:rPr>
          <w:rFonts w:ascii="Arial" w:hAnsi="Arial" w:cs="Arial"/>
          <w:sz w:val="20"/>
          <w:szCs w:val="20"/>
        </w:rPr>
        <w:t>Holidic</w:t>
      </w:r>
      <w:proofErr w:type="spellEnd"/>
      <w:r w:rsidRPr="00796FFD">
        <w:rPr>
          <w:rFonts w:ascii="Arial" w:hAnsi="Arial" w:cs="Arial"/>
          <w:sz w:val="20"/>
          <w:szCs w:val="20"/>
        </w:rPr>
        <w:t xml:space="preserve"> diets are chemically defined diets where all components are pure chemicals of known molecular structure. These diets allow precise control over nutrient composition and are primarily used for fundamental nutritional research to determine specific nutrient requirements (Nation, 2016).</w:t>
      </w:r>
    </w:p>
    <w:p w14:paraId="7F64B25F" w14:textId="45FB4F46" w:rsidR="00221E84" w:rsidRPr="00796FFD" w:rsidRDefault="00221E84" w:rsidP="005D4374">
      <w:pPr>
        <w:ind w:firstLine="720"/>
        <w:jc w:val="both"/>
        <w:rPr>
          <w:rFonts w:ascii="Arial" w:hAnsi="Arial" w:cs="Arial"/>
          <w:sz w:val="20"/>
          <w:szCs w:val="20"/>
        </w:rPr>
      </w:pPr>
      <w:proofErr w:type="spellStart"/>
      <w:r w:rsidRPr="00796FFD">
        <w:rPr>
          <w:rFonts w:ascii="Arial" w:hAnsi="Arial" w:cs="Arial"/>
          <w:sz w:val="20"/>
          <w:szCs w:val="20"/>
        </w:rPr>
        <w:t>Oligidic</w:t>
      </w:r>
      <w:proofErr w:type="spellEnd"/>
      <w:r w:rsidRPr="00796FFD">
        <w:rPr>
          <w:rFonts w:ascii="Arial" w:hAnsi="Arial" w:cs="Arial"/>
          <w:sz w:val="20"/>
          <w:szCs w:val="20"/>
        </w:rPr>
        <w:t xml:space="preserve"> diets contain one or more natural ingredients of unknown or imprecisely defined chemical composition, such as crude protein extracts or yeast preparations, combined with defined chemical components. These represent an intermediate level of complexity (Dadd, 1985; Cohen, 2015).</w:t>
      </w:r>
    </w:p>
    <w:p w14:paraId="551BDAF3" w14:textId="77777777" w:rsidR="00221E84" w:rsidRPr="00796FFD" w:rsidRDefault="00221E84" w:rsidP="005D4374">
      <w:pPr>
        <w:ind w:firstLine="720"/>
        <w:jc w:val="both"/>
        <w:rPr>
          <w:rFonts w:ascii="Arial" w:hAnsi="Arial" w:cs="Arial"/>
          <w:sz w:val="20"/>
          <w:szCs w:val="20"/>
        </w:rPr>
      </w:pPr>
      <w:proofErr w:type="spellStart"/>
      <w:r w:rsidRPr="00796FFD">
        <w:rPr>
          <w:rFonts w:ascii="Arial" w:hAnsi="Arial" w:cs="Arial"/>
          <w:sz w:val="20"/>
          <w:szCs w:val="20"/>
        </w:rPr>
        <w:t>Meridic</w:t>
      </w:r>
      <w:proofErr w:type="spellEnd"/>
      <w:r w:rsidRPr="00796FFD">
        <w:rPr>
          <w:rFonts w:ascii="Arial" w:hAnsi="Arial" w:cs="Arial"/>
          <w:sz w:val="20"/>
          <w:szCs w:val="20"/>
        </w:rPr>
        <w:t xml:space="preserve"> diets consist of both defined chemical components and one or more natural materials that have been processed to remove certain chemical fractions. These are commonly used in experimental research where some degree of natural complexity is required while maintaining partial chemical definition (Nation, 2016).</w:t>
      </w:r>
    </w:p>
    <w:p w14:paraId="582688CE" w14:textId="551D1A2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Xenic diets are the most commonly used type in commercial and routine laboratory rearing. These contain natural ingredients such as mulberry leaf powder, soybean meal, and other plant materials, along with defined supplements including vitamins, minerals, and binding agents. The majority of practical artificial diets for silkworm rearing fall into this category (Cohen, 2015).</w:t>
      </w:r>
    </w:p>
    <w:p w14:paraId="595B3880"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3.2 Classification Based on Physical Form</w:t>
      </w:r>
    </w:p>
    <w:p w14:paraId="1B937565" w14:textId="5B125561"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 xml:space="preserve">Agar-based diets utilize agar as the solidifying agent, typically at concentrations of 1.5-2.5%. These diets provide a firm, gel-like consistency that facilitates feeding and handling. However, agar is expensive and may interfere with nutrient absorption in some cases and </w:t>
      </w:r>
      <w:r w:rsidR="005D4374" w:rsidRPr="00796FFD">
        <w:rPr>
          <w:rFonts w:ascii="Arial" w:hAnsi="Arial" w:cs="Arial"/>
          <w:sz w:val="20"/>
          <w:szCs w:val="20"/>
        </w:rPr>
        <w:t>non-agar</w:t>
      </w:r>
      <w:r w:rsidRPr="00796FFD">
        <w:rPr>
          <w:rFonts w:ascii="Arial" w:hAnsi="Arial" w:cs="Arial"/>
          <w:sz w:val="20"/>
          <w:szCs w:val="20"/>
        </w:rPr>
        <w:t xml:space="preserve"> diets use alternative binding agents such as cellulose, starch, or carrageenan. These formulations are often more economical but may have different textural properties that affect feed acceptance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69DEA775" w14:textId="58812F52"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Liquid diets are aqueous formulations without solidifying agents, typically used for specific experimental purposes or in automated feeding systems. These require specialized delivery mechanisms to prevent drowning and ensure adequate intake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1DCB1E48"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Powdered or dry diets consist of dry ingredients that must be reconstituted with water before feeding. These offer advantages in terms of storage stability and transportation but require careful preparation to ensure proper consistency (Datta, 2019).</w:t>
      </w:r>
    </w:p>
    <w:p w14:paraId="1455746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3.3 Classification Based on Application Purpose</w:t>
      </w:r>
    </w:p>
    <w:p w14:paraId="5C75A498" w14:textId="77777777" w:rsidR="005D4374" w:rsidRDefault="00221E84" w:rsidP="005D4374">
      <w:pPr>
        <w:ind w:firstLine="720"/>
        <w:jc w:val="both"/>
        <w:rPr>
          <w:rFonts w:ascii="Arial" w:hAnsi="Arial" w:cs="Arial"/>
          <w:sz w:val="20"/>
          <w:szCs w:val="20"/>
        </w:rPr>
      </w:pPr>
      <w:r w:rsidRPr="00796FFD">
        <w:rPr>
          <w:rFonts w:ascii="Arial" w:hAnsi="Arial" w:cs="Arial"/>
          <w:sz w:val="20"/>
          <w:szCs w:val="20"/>
        </w:rPr>
        <w:t>Commercial production diets are optimized for maximum silk yield and economic efficiency. These typically contain 20-25% mulberry leaf powder, high-quality protein sources, and complete vitamin-mineral premixes (Hamamura, 2001).</w:t>
      </w:r>
      <w:r w:rsidR="005D4374">
        <w:rPr>
          <w:rFonts w:ascii="Arial" w:hAnsi="Arial" w:cs="Arial"/>
          <w:sz w:val="20"/>
          <w:szCs w:val="20"/>
        </w:rPr>
        <w:t xml:space="preserve"> </w:t>
      </w:r>
      <w:r w:rsidRPr="00796FFD">
        <w:rPr>
          <w:rFonts w:ascii="Arial" w:hAnsi="Arial" w:cs="Arial"/>
          <w:sz w:val="20"/>
          <w:szCs w:val="20"/>
        </w:rPr>
        <w:t>Research and experimental diets are formulated for specific scientific investigations, such as disease modelling, nutritional studies, or toxicology research. The MS-11 diet, containing equal proportions of mulberry leaf powder and soybean flour, exemplifies this category (Popham and Shelby, 2006).</w:t>
      </w:r>
      <w:r w:rsidR="005D4374">
        <w:rPr>
          <w:rFonts w:ascii="Arial" w:hAnsi="Arial" w:cs="Arial"/>
          <w:sz w:val="20"/>
          <w:szCs w:val="20"/>
        </w:rPr>
        <w:t xml:space="preserve"> </w:t>
      </w:r>
      <w:r w:rsidRPr="00796FFD">
        <w:rPr>
          <w:rFonts w:ascii="Arial" w:hAnsi="Arial" w:cs="Arial"/>
          <w:sz w:val="20"/>
          <w:szCs w:val="20"/>
        </w:rPr>
        <w:t>Specific-pathogen-free (SPF) diets are manufactured under strict aseptic conditions for maintaining disease-free silkworm populations essential for biomedical research. These require rigorous sterilization protocols and quality control (Hamamoto et al., 2009).</w:t>
      </w:r>
      <w:r w:rsidR="005D4374">
        <w:rPr>
          <w:rFonts w:ascii="Arial" w:hAnsi="Arial" w:cs="Arial"/>
          <w:sz w:val="20"/>
          <w:szCs w:val="20"/>
        </w:rPr>
        <w:t xml:space="preserve"> </w:t>
      </w:r>
    </w:p>
    <w:p w14:paraId="192AB507" w14:textId="402B695B"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Starter or larval initiation diets are specially formulated for young larvae (first to third instar) with enhanced palatability and digestibility to ensure successful transition from egg hatching to established feeding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12D874FF" w14:textId="336E872C" w:rsidR="005D4374" w:rsidRDefault="00221E84" w:rsidP="005F306A">
      <w:pPr>
        <w:jc w:val="both"/>
        <w:rPr>
          <w:rFonts w:ascii="Arial" w:hAnsi="Arial" w:cs="Arial"/>
          <w:b/>
          <w:bCs/>
          <w:sz w:val="22"/>
        </w:rPr>
      </w:pPr>
      <w:r w:rsidRPr="00796FFD">
        <w:rPr>
          <w:rFonts w:ascii="Arial" w:hAnsi="Arial" w:cs="Arial"/>
          <w:b/>
          <w:bCs/>
          <w:sz w:val="22"/>
        </w:rPr>
        <w:t>4. Nutritional Requirements and Diet Formulation</w:t>
      </w:r>
    </w:p>
    <w:p w14:paraId="4F67A678" w14:textId="0FE69ED5" w:rsidR="00221E84" w:rsidRPr="00796FFD" w:rsidRDefault="00221E84" w:rsidP="005F306A">
      <w:pPr>
        <w:jc w:val="both"/>
        <w:rPr>
          <w:rFonts w:ascii="Arial" w:hAnsi="Arial" w:cs="Arial"/>
          <w:sz w:val="18"/>
          <w:szCs w:val="18"/>
        </w:rPr>
      </w:pPr>
      <w:r w:rsidRPr="00796FFD">
        <w:rPr>
          <w:rFonts w:ascii="Arial" w:hAnsi="Arial" w:cs="Arial"/>
          <w:b/>
          <w:bCs/>
          <w:sz w:val="20"/>
          <w:szCs w:val="20"/>
        </w:rPr>
        <w:t>4.1 Macronutrient Requirements</w:t>
      </w:r>
    </w:p>
    <w:p w14:paraId="566A300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lastRenderedPageBreak/>
        <w:t>4.1.1 Protein and Amino Acids</w:t>
      </w:r>
    </w:p>
    <w:p w14:paraId="42C11545"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Protein constitutes the most critical macronutrient influencing silkworm growth, larval development, cocoon formation, and silk protein synthesis. The optimal dietary protein concentration required for normal growth generally ranges between 22-26%, which is comparable to the protein content naturally present in mulberry leaves. Depending on leaf maturity and cultivar, mulberry foliage typically contains 15-28% crude protein and supplies approximately 72-86% of the amino acid requirements of silkworm larvae (</w:t>
      </w:r>
      <w:proofErr w:type="spellStart"/>
      <w:r w:rsidRPr="00796FFD">
        <w:rPr>
          <w:rFonts w:ascii="Arial" w:hAnsi="Arial" w:cs="Arial"/>
          <w:sz w:val="20"/>
          <w:szCs w:val="20"/>
        </w:rPr>
        <w:t>Rahmathulla</w:t>
      </w:r>
      <w:proofErr w:type="spellEnd"/>
      <w:r w:rsidRPr="00796FFD">
        <w:rPr>
          <w:rFonts w:ascii="Arial" w:hAnsi="Arial" w:cs="Arial"/>
          <w:sz w:val="20"/>
          <w:szCs w:val="20"/>
        </w:rPr>
        <w:t>, 2012).</w:t>
      </w:r>
    </w:p>
    <w:p w14:paraId="0459CFA9" w14:textId="77777777" w:rsidR="00221E84" w:rsidRPr="00796FFD" w:rsidRDefault="00221E84" w:rsidP="005D4374">
      <w:pPr>
        <w:ind w:firstLine="720"/>
        <w:jc w:val="both"/>
        <w:rPr>
          <w:rFonts w:ascii="Arial" w:hAnsi="Arial" w:cs="Arial"/>
          <w:sz w:val="20"/>
          <w:szCs w:val="20"/>
        </w:rPr>
      </w:pPr>
      <w:r w:rsidRPr="00796FFD">
        <w:rPr>
          <w:rFonts w:ascii="Arial" w:hAnsi="Arial" w:cs="Arial"/>
          <w:sz w:val="20"/>
          <w:szCs w:val="20"/>
        </w:rPr>
        <w:t>The qualitative composition of amino acids plays a decisive role in determining larval performance and silk productivity. Essential amino acids such as arginine, histidine, isoleucine, leucine, lysine, methionine, phenylalanine, threonine, tryptophan and valine are indispensable for normal physiological functioning and protein synthesis (Sanchez-Bayo, 2020). In contrast, higher proportions of non-essential amino acids, including alanine, glycine, serine, cystine and tyrosine have been associated with enhanced growth and increased silk production. However, excessive supplementation of essential amino acids may negatively affect larval performance (Nation, 2016). Notably, more than 60% of ingested amino acids are ultimately utilized for silk protein synthesis, highlighting the importance of balanced amino acid composition in artificial diets.</w:t>
      </w:r>
    </w:p>
    <w:p w14:paraId="048046D6"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4.1.2 Carbohydrates and Energy Sources</w:t>
      </w:r>
    </w:p>
    <w:p w14:paraId="482A3B4F"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Carbohydrates serve as the primary energy source supporting metabolic activity, locomotion, and physiological processes in silkworms (</w:t>
      </w:r>
      <w:proofErr w:type="spellStart"/>
      <w:r w:rsidRPr="00796FFD">
        <w:rPr>
          <w:rFonts w:ascii="Arial" w:hAnsi="Arial" w:cs="Arial"/>
          <w:sz w:val="20"/>
          <w:szCs w:val="20"/>
        </w:rPr>
        <w:t>Rahmathulla</w:t>
      </w:r>
      <w:proofErr w:type="spellEnd"/>
      <w:r w:rsidRPr="00796FFD">
        <w:rPr>
          <w:rFonts w:ascii="Arial" w:hAnsi="Arial" w:cs="Arial"/>
          <w:sz w:val="20"/>
          <w:szCs w:val="20"/>
        </w:rPr>
        <w:t>, 2012). The optimal carbohydrate level in artificial diets ranges between 35-40%, closely resembling the carbohydrate content of mulberry leaves. In artificial formulations, carbohydrates are commonly supplied through starch sources such as mulberry leaf powder, corn starch, or other plant-derived ingredients (Nation, 2016; Sanchez-Bayo, 2020).</w:t>
      </w:r>
    </w:p>
    <w:p w14:paraId="17322F0D"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Differences in carbohydrate composition between natural and artificial diets significantly influence digestive efficiency. Mulberry leaves contain complex carbohydrates such as cellulose, hemicellulose, and pectin, which require the involvement of gut microbiota for effective digestion. In contrast, artificial diets frequently rely on readily digestible starches, which may alter metabolic pathways and modify gut microbial composition (</w:t>
      </w:r>
      <w:proofErr w:type="spellStart"/>
      <w:r w:rsidRPr="00796FFD">
        <w:rPr>
          <w:rFonts w:ascii="Arial" w:hAnsi="Arial" w:cs="Arial"/>
          <w:sz w:val="20"/>
          <w:szCs w:val="20"/>
        </w:rPr>
        <w:t>Rahmathulla</w:t>
      </w:r>
      <w:proofErr w:type="spellEnd"/>
      <w:r w:rsidRPr="00796FFD">
        <w:rPr>
          <w:rFonts w:ascii="Arial" w:hAnsi="Arial" w:cs="Arial"/>
          <w:sz w:val="20"/>
          <w:szCs w:val="20"/>
        </w:rPr>
        <w:t>, 2012; Xiang et al., 2021).</w:t>
      </w:r>
    </w:p>
    <w:p w14:paraId="725DD197" w14:textId="1DD5C1F0"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 xml:space="preserve">Recent studies have emphasized the functional importance of dietary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in maintaining gut health. Although silkworms possess limited endogenous cellulolytic activity, gut-associated microorganisms contribute substantially to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degradation. The absence or inadequate inclusion of appropriate </w:t>
      </w:r>
      <w:proofErr w:type="spellStart"/>
      <w:r w:rsidRPr="00796FFD">
        <w:rPr>
          <w:rFonts w:ascii="Arial" w:hAnsi="Arial" w:cs="Arial"/>
          <w:sz w:val="20"/>
          <w:szCs w:val="20"/>
        </w:rPr>
        <w:t>fiber</w:t>
      </w:r>
      <w:proofErr w:type="spellEnd"/>
      <w:r w:rsidRPr="00796FFD">
        <w:rPr>
          <w:rFonts w:ascii="Arial" w:hAnsi="Arial" w:cs="Arial"/>
          <w:sz w:val="20"/>
          <w:szCs w:val="20"/>
        </w:rPr>
        <w:t xml:space="preserve"> sources in artificial diets may therefore result in microbial imbalance and reduced feed efficiency (Xiang et al., 2021; Chen et al., 2018).</w:t>
      </w:r>
    </w:p>
    <w:p w14:paraId="143E834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4.1.3 Lipids and Fatty Acids</w:t>
      </w:r>
    </w:p>
    <w:p w14:paraId="3D3EB9D2"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Lipids are essential dietary components that contribute to energy storage, hormone synthesis, and maintenance of cellular membrane integrity. Mulberry leaves typically contain 2.8-4.0% lipids on a dry matter basis, providing essential fatty acids required for normal development (</w:t>
      </w:r>
      <w:proofErr w:type="spellStart"/>
      <w:r w:rsidRPr="00796FFD">
        <w:rPr>
          <w:rFonts w:ascii="Arial" w:hAnsi="Arial" w:cs="Arial"/>
          <w:sz w:val="20"/>
          <w:szCs w:val="20"/>
        </w:rPr>
        <w:t>Rahmathulla</w:t>
      </w:r>
      <w:proofErr w:type="spellEnd"/>
      <w:r w:rsidRPr="00796FFD">
        <w:rPr>
          <w:rFonts w:ascii="Arial" w:hAnsi="Arial" w:cs="Arial"/>
          <w:sz w:val="20"/>
          <w:szCs w:val="20"/>
        </w:rPr>
        <w:t>, 2012). Among these, linolenic acid is particularly important, as silkworms are unable to synthesize it de novo (Nation, 2016).</w:t>
      </w:r>
    </w:p>
    <w:p w14:paraId="2A6B7945"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The optimal lipid concentration in artificial diets generally ranges between 2-4%. Excessive lipid inclusion may adversely affect growth performance and silk quality, whereas inadequate levels can impair physiological development. Commercial artificial diets commonly incorporate vegetable oils or lipid-rich protein sources such as soybean meal to meet these requirements (Sanchez-Bayo, 2020; Cohen, 2015).</w:t>
      </w:r>
    </w:p>
    <w:p w14:paraId="78180695"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4.2 Micronutrient Requirements</w:t>
      </w:r>
    </w:p>
    <w:p w14:paraId="4CC17D03" w14:textId="77777777" w:rsidR="00221E84" w:rsidRPr="00796FFD" w:rsidRDefault="00221E84" w:rsidP="005F306A">
      <w:pPr>
        <w:jc w:val="both"/>
        <w:rPr>
          <w:rFonts w:ascii="Arial" w:hAnsi="Arial" w:cs="Arial"/>
          <w:i/>
          <w:iCs/>
          <w:sz w:val="18"/>
          <w:szCs w:val="18"/>
        </w:rPr>
      </w:pPr>
      <w:r w:rsidRPr="00796FFD">
        <w:rPr>
          <w:rFonts w:ascii="Arial" w:hAnsi="Arial" w:cs="Arial"/>
          <w:b/>
          <w:bCs/>
          <w:i/>
          <w:iCs/>
          <w:sz w:val="20"/>
          <w:szCs w:val="20"/>
        </w:rPr>
        <w:t>4.2.1 Vitamins</w:t>
      </w:r>
    </w:p>
    <w:p w14:paraId="35E5B1BC" w14:textId="77777777"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 xml:space="preserve">Vitamins function as essential cofactors in numerous metabolic processes governing growth and development in silkworms. The B-vitamin complex plays a particularly critical role, including </w:t>
      </w:r>
      <w:r w:rsidRPr="00796FFD">
        <w:rPr>
          <w:rFonts w:ascii="Arial" w:hAnsi="Arial" w:cs="Arial"/>
          <w:sz w:val="20"/>
          <w:szCs w:val="20"/>
        </w:rPr>
        <w:lastRenderedPageBreak/>
        <w:t xml:space="preserve">thiamine, riboflavin, pyridoxine, pantothenic acid, nicotinic acid, folic acid, and biotin (Nation, 2016; </w:t>
      </w:r>
      <w:proofErr w:type="spellStart"/>
      <w:r w:rsidRPr="00796FFD">
        <w:rPr>
          <w:rFonts w:ascii="Arial" w:hAnsi="Arial" w:cs="Arial"/>
          <w:sz w:val="20"/>
          <w:szCs w:val="20"/>
        </w:rPr>
        <w:t>Rahmathulla</w:t>
      </w:r>
      <w:proofErr w:type="spellEnd"/>
      <w:r w:rsidRPr="00796FFD">
        <w:rPr>
          <w:rFonts w:ascii="Arial" w:hAnsi="Arial" w:cs="Arial"/>
          <w:sz w:val="20"/>
          <w:szCs w:val="20"/>
        </w:rPr>
        <w:t xml:space="preserve">, 2012). Ascorbic acid (vitamin C) is also indispensable due to its antioxidant properties and involvement in physiological processes such as tissue development and </w:t>
      </w:r>
      <w:proofErr w:type="spellStart"/>
      <w:r w:rsidRPr="00796FFD">
        <w:rPr>
          <w:rFonts w:ascii="Arial" w:hAnsi="Arial" w:cs="Arial"/>
          <w:sz w:val="20"/>
          <w:szCs w:val="20"/>
        </w:rPr>
        <w:t>molting</w:t>
      </w:r>
      <w:proofErr w:type="spellEnd"/>
      <w:r w:rsidRPr="00796FFD">
        <w:rPr>
          <w:rFonts w:ascii="Arial" w:hAnsi="Arial" w:cs="Arial"/>
          <w:sz w:val="20"/>
          <w:szCs w:val="20"/>
        </w:rPr>
        <w:t xml:space="preserve"> (</w:t>
      </w:r>
      <w:proofErr w:type="spellStart"/>
      <w:r w:rsidRPr="00796FFD">
        <w:rPr>
          <w:rFonts w:ascii="Arial" w:hAnsi="Arial" w:cs="Arial"/>
          <w:sz w:val="20"/>
          <w:szCs w:val="20"/>
        </w:rPr>
        <w:t>Dadd</w:t>
      </w:r>
      <w:proofErr w:type="spellEnd"/>
      <w:r w:rsidRPr="00796FFD">
        <w:rPr>
          <w:rFonts w:ascii="Arial" w:hAnsi="Arial" w:cs="Arial"/>
          <w:sz w:val="20"/>
          <w:szCs w:val="20"/>
        </w:rPr>
        <w:t>, 1985).</w:t>
      </w:r>
    </w:p>
    <w:p w14:paraId="01ABF0DE" w14:textId="2C7DCE42" w:rsidR="00221E84" w:rsidRPr="00796FFD" w:rsidRDefault="00221E84" w:rsidP="005A1FCD">
      <w:pPr>
        <w:ind w:firstLine="720"/>
        <w:jc w:val="both"/>
        <w:rPr>
          <w:rFonts w:ascii="Arial" w:hAnsi="Arial" w:cs="Arial"/>
          <w:sz w:val="20"/>
          <w:szCs w:val="20"/>
        </w:rPr>
      </w:pPr>
      <w:r w:rsidRPr="00796FFD">
        <w:rPr>
          <w:rFonts w:ascii="Arial" w:hAnsi="Arial" w:cs="Arial"/>
          <w:sz w:val="20"/>
          <w:szCs w:val="20"/>
        </w:rPr>
        <w:t>Artificial diets must supply these vitamins either through natural ingredients such as yeast extract or through synthetic vitamin premixes to ensure adequate nutritional balance. Deficiencies in specific vitamins result in characteristic physiological disorders; for example, thiamine deficiency leads to larval stunting and black larva syndrome, whereas riboflavin deficiency causes poor growth and abnormal larval appearance (Nation, 2016; Dadd, 1985).</w:t>
      </w:r>
    </w:p>
    <w:p w14:paraId="3C442DE5" w14:textId="77777777" w:rsidR="00221E84" w:rsidRPr="00796FFD" w:rsidRDefault="00221E84" w:rsidP="005F306A">
      <w:pPr>
        <w:jc w:val="both"/>
        <w:rPr>
          <w:rFonts w:ascii="Arial" w:hAnsi="Arial" w:cs="Arial"/>
          <w:b/>
          <w:bCs/>
          <w:i/>
          <w:iCs/>
          <w:sz w:val="22"/>
        </w:rPr>
      </w:pPr>
      <w:r w:rsidRPr="00796FFD">
        <w:rPr>
          <w:rFonts w:ascii="Arial" w:hAnsi="Arial" w:cs="Arial"/>
          <w:b/>
          <w:bCs/>
          <w:i/>
          <w:iCs/>
          <w:sz w:val="22"/>
        </w:rPr>
        <w:t>4.2.2 Minerals and Trace Elements</w:t>
      </w:r>
    </w:p>
    <w:p w14:paraId="1EA17B58"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Minerals are essential for enzyme activation, osmoregulation, skeletal development, and metabolic regulation in silkworms. Potassium, phosphorus, and magnesium are required in relatively larger quantities, while trace elements such as iron, zinc, manganese, copper, and selenium are required in smaller amounts but remain equally important for normal physiological functioning (Horie and Nakasone, 1971).</w:t>
      </w:r>
    </w:p>
    <w:p w14:paraId="56A19C22" w14:textId="7EE748C5"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Quantitative studies have established that potassium requirements range between 1.5-2.0% of the diet, phosphorus between 0.5-0.8%, magnesium between 0.3-0.5%, and calcium between 0.5-1.0%. Deficiencies in these minerals lead to distinct physiological abnormalities, including impaired growth, defective </w:t>
      </w:r>
      <w:r w:rsidR="00156F48" w:rsidRPr="00796FFD">
        <w:rPr>
          <w:rFonts w:ascii="Arial" w:hAnsi="Arial" w:cs="Arial"/>
          <w:sz w:val="20"/>
          <w:szCs w:val="20"/>
        </w:rPr>
        <w:t>moulting</w:t>
      </w:r>
      <w:r w:rsidRPr="00796FFD">
        <w:rPr>
          <w:rFonts w:ascii="Arial" w:hAnsi="Arial" w:cs="Arial"/>
          <w:sz w:val="20"/>
          <w:szCs w:val="20"/>
        </w:rPr>
        <w:t>, and poor cocoon formation (Horie and Nakasone, 1971; Dadd, 1985).</w:t>
      </w:r>
    </w:p>
    <w:p w14:paraId="56F2E8AC" w14:textId="530939BA"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4.3 Phagostimulants and Feeding Enhancers</w:t>
      </w:r>
    </w:p>
    <w:p w14:paraId="3FD5058C"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A major challenge in artificial diet formulation lies in ensuring sufficient feed intake, as silkworms exhibit strong feeding preferences shaped by mulberry leaf chemistry (Nation, 2016). Phagostimulants, which stimulate feeding behaviour, are therefore essential components of practical artificial diets. Sucrose and cellulose function as primary feeding stimulants, with sucrose demonstrating particularly strong effects at concentrations ranging between 2-5% (Sanchez-Bayo, 2020).</w:t>
      </w:r>
    </w:p>
    <w:p w14:paraId="17B68E67" w14:textId="62515062"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Organic acids such as citric acid further enhance palatability and may improve nutrient absorption efficiency. Additionally, certain secondary metabolites naturally present in mulberry leaves, including flavonoids and terpenoids, have been identified as important feeding stimulants. The inclusion of mulberry leaf powder at approximately 20 to 25% in commercial artificial diets serves a dual function by supplying essential nutrients while simultaneously providing natural </w:t>
      </w:r>
      <w:r w:rsidR="00156F48" w:rsidRPr="00796FFD">
        <w:rPr>
          <w:rFonts w:ascii="Arial" w:hAnsi="Arial" w:cs="Arial"/>
          <w:sz w:val="20"/>
          <w:szCs w:val="20"/>
        </w:rPr>
        <w:t>photostimulator</w:t>
      </w:r>
      <w:r w:rsidRPr="00796FFD">
        <w:rPr>
          <w:rFonts w:ascii="Arial" w:hAnsi="Arial" w:cs="Arial"/>
          <w:sz w:val="20"/>
          <w:szCs w:val="20"/>
        </w:rPr>
        <w:t xml:space="preserve"> compounds that enhance feed acceptance. This strategy effectively bridges the gap between fully synthetic diets and traditional leaf-based feeding systems (Popham and Shelby, 2006).</w:t>
      </w:r>
    </w:p>
    <w:p w14:paraId="5181CC4D" w14:textId="77777777" w:rsidR="00221E84" w:rsidRPr="00796FFD" w:rsidRDefault="00221E84" w:rsidP="005F306A">
      <w:pPr>
        <w:jc w:val="both"/>
        <w:rPr>
          <w:rFonts w:ascii="Arial" w:hAnsi="Arial" w:cs="Arial"/>
          <w:b/>
          <w:bCs/>
          <w:sz w:val="22"/>
        </w:rPr>
      </w:pPr>
      <w:r w:rsidRPr="00796FFD">
        <w:rPr>
          <w:rFonts w:ascii="Arial" w:hAnsi="Arial" w:cs="Arial"/>
          <w:b/>
          <w:bCs/>
          <w:sz w:val="22"/>
        </w:rPr>
        <w:t>5. Comparative Performance: Artificial Diets versus Mulberry Leaves</w:t>
      </w:r>
    </w:p>
    <w:p w14:paraId="7B87795D" w14:textId="7777777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Comparative studies have consistently demonstrated that modern artificial diets can support complete silkworm development from hatching to cocoon formation, though certain physiological differences remain when compared with silkworms reared on fresh mulberry leaves (Wu et al., 2024).</w:t>
      </w:r>
    </w:p>
    <w:p w14:paraId="1747EB5C"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1. Comparative Growth and Developmental Parameters of Silkworms Reared on Artificial Diets versus Mulberry Leaves</w:t>
      </w:r>
    </w:p>
    <w:tbl>
      <w:tblPr>
        <w:tblStyle w:val="TableGrid"/>
        <w:tblW w:w="0" w:type="auto"/>
        <w:tblLook w:val="04A0" w:firstRow="1" w:lastRow="0" w:firstColumn="1" w:lastColumn="0" w:noHBand="0" w:noVBand="1"/>
      </w:tblPr>
      <w:tblGrid>
        <w:gridCol w:w="2267"/>
        <w:gridCol w:w="1541"/>
        <w:gridCol w:w="1248"/>
        <w:gridCol w:w="1930"/>
        <w:gridCol w:w="2030"/>
      </w:tblGrid>
      <w:tr w:rsidR="00752BFD" w:rsidRPr="00796FFD" w14:paraId="4D3AC215" w14:textId="77777777" w:rsidTr="00752BFD">
        <w:tc>
          <w:tcPr>
            <w:tcW w:w="0" w:type="auto"/>
            <w:hideMark/>
          </w:tcPr>
          <w:p w14:paraId="3D1CE49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Parameter</w:t>
            </w:r>
          </w:p>
        </w:tc>
        <w:tc>
          <w:tcPr>
            <w:tcW w:w="0" w:type="auto"/>
            <w:hideMark/>
          </w:tcPr>
          <w:p w14:paraId="187A493A"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Diet</w:t>
            </w:r>
          </w:p>
        </w:tc>
        <w:tc>
          <w:tcPr>
            <w:tcW w:w="0" w:type="auto"/>
            <w:hideMark/>
          </w:tcPr>
          <w:p w14:paraId="2657FDC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w:t>
            </w:r>
          </w:p>
        </w:tc>
        <w:tc>
          <w:tcPr>
            <w:tcW w:w="0" w:type="auto"/>
            <w:hideMark/>
          </w:tcPr>
          <w:p w14:paraId="18AF8E9E"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Performance Ratio (%)</w:t>
            </w:r>
          </w:p>
        </w:tc>
        <w:tc>
          <w:tcPr>
            <w:tcW w:w="0" w:type="auto"/>
            <w:hideMark/>
          </w:tcPr>
          <w:p w14:paraId="21FEF64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498C2678" w14:textId="77777777" w:rsidTr="00752BFD">
        <w:tc>
          <w:tcPr>
            <w:tcW w:w="0" w:type="auto"/>
            <w:hideMark/>
          </w:tcPr>
          <w:p w14:paraId="6234739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Total larval duration (days)</w:t>
            </w:r>
          </w:p>
        </w:tc>
        <w:tc>
          <w:tcPr>
            <w:tcW w:w="0" w:type="auto"/>
            <w:hideMark/>
          </w:tcPr>
          <w:p w14:paraId="11448C5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24–26</w:t>
            </w:r>
          </w:p>
        </w:tc>
        <w:tc>
          <w:tcPr>
            <w:tcW w:w="0" w:type="auto"/>
            <w:hideMark/>
          </w:tcPr>
          <w:p w14:paraId="0DC940A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26–28</w:t>
            </w:r>
          </w:p>
        </w:tc>
        <w:tc>
          <w:tcPr>
            <w:tcW w:w="0" w:type="auto"/>
            <w:hideMark/>
          </w:tcPr>
          <w:p w14:paraId="7CC0EB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108–115</w:t>
            </w:r>
          </w:p>
        </w:tc>
        <w:tc>
          <w:tcPr>
            <w:tcW w:w="0" w:type="auto"/>
            <w:hideMark/>
          </w:tcPr>
          <w:p w14:paraId="100922E3"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tc>
      </w:tr>
      <w:tr w:rsidR="00752BFD" w:rsidRPr="00796FFD" w14:paraId="437F431A" w14:textId="77777777" w:rsidTr="00752BFD">
        <w:tc>
          <w:tcPr>
            <w:tcW w:w="0" w:type="auto"/>
            <w:hideMark/>
          </w:tcPr>
          <w:p w14:paraId="20ACB8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Fifth instar duration (days)</w:t>
            </w:r>
          </w:p>
        </w:tc>
        <w:tc>
          <w:tcPr>
            <w:tcW w:w="0" w:type="auto"/>
            <w:hideMark/>
          </w:tcPr>
          <w:p w14:paraId="1D39E62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6–7</w:t>
            </w:r>
          </w:p>
        </w:tc>
        <w:tc>
          <w:tcPr>
            <w:tcW w:w="0" w:type="auto"/>
            <w:hideMark/>
          </w:tcPr>
          <w:p w14:paraId="513EB4D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7–8</w:t>
            </w:r>
          </w:p>
        </w:tc>
        <w:tc>
          <w:tcPr>
            <w:tcW w:w="0" w:type="auto"/>
            <w:hideMark/>
          </w:tcPr>
          <w:p w14:paraId="6DAD6E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114–133</w:t>
            </w:r>
          </w:p>
        </w:tc>
        <w:tc>
          <w:tcPr>
            <w:tcW w:w="0" w:type="auto"/>
            <w:hideMark/>
          </w:tcPr>
          <w:p w14:paraId="3177297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Wu et al. (2024)</w:t>
            </w:r>
          </w:p>
        </w:tc>
      </w:tr>
      <w:tr w:rsidR="00752BFD" w:rsidRPr="00796FFD" w14:paraId="7E3186D0" w14:textId="77777777" w:rsidTr="00752BFD">
        <w:tc>
          <w:tcPr>
            <w:tcW w:w="0" w:type="auto"/>
            <w:hideMark/>
          </w:tcPr>
          <w:p w14:paraId="043E1A1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Final larval weight (g)</w:t>
            </w:r>
          </w:p>
        </w:tc>
        <w:tc>
          <w:tcPr>
            <w:tcW w:w="0" w:type="auto"/>
            <w:hideMark/>
          </w:tcPr>
          <w:p w14:paraId="5D7C599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3.5–4.2</w:t>
            </w:r>
          </w:p>
        </w:tc>
        <w:tc>
          <w:tcPr>
            <w:tcW w:w="0" w:type="auto"/>
            <w:hideMark/>
          </w:tcPr>
          <w:p w14:paraId="0686099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3.0–3.8</w:t>
            </w:r>
          </w:p>
        </w:tc>
        <w:tc>
          <w:tcPr>
            <w:tcW w:w="0" w:type="auto"/>
            <w:hideMark/>
          </w:tcPr>
          <w:p w14:paraId="5F2BAD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85–90</w:t>
            </w:r>
          </w:p>
        </w:tc>
        <w:tc>
          <w:tcPr>
            <w:tcW w:w="0" w:type="auto"/>
            <w:hideMark/>
          </w:tcPr>
          <w:p w14:paraId="29A6C71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Popham and Shelby (2006)</w:t>
            </w:r>
          </w:p>
        </w:tc>
      </w:tr>
      <w:tr w:rsidR="00752BFD" w:rsidRPr="00796FFD" w14:paraId="6B9FB9F3" w14:textId="77777777" w:rsidTr="00752BFD">
        <w:tc>
          <w:tcPr>
            <w:tcW w:w="0" w:type="auto"/>
            <w:hideMark/>
          </w:tcPr>
          <w:p w14:paraId="4D0DCD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Survival rate to cocoon (%)</w:t>
            </w:r>
          </w:p>
        </w:tc>
        <w:tc>
          <w:tcPr>
            <w:tcW w:w="0" w:type="auto"/>
            <w:hideMark/>
          </w:tcPr>
          <w:p w14:paraId="2587FB7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95–98</w:t>
            </w:r>
          </w:p>
        </w:tc>
        <w:tc>
          <w:tcPr>
            <w:tcW w:w="0" w:type="auto"/>
            <w:hideMark/>
          </w:tcPr>
          <w:p w14:paraId="6CC728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80–95</w:t>
            </w:r>
          </w:p>
        </w:tc>
        <w:tc>
          <w:tcPr>
            <w:tcW w:w="0" w:type="auto"/>
            <w:hideMark/>
          </w:tcPr>
          <w:p w14:paraId="2F574A9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82–97</w:t>
            </w:r>
          </w:p>
        </w:tc>
        <w:tc>
          <w:tcPr>
            <w:tcW w:w="0" w:type="auto"/>
            <w:hideMark/>
          </w:tcPr>
          <w:p w14:paraId="42D475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0B7750FE" w14:textId="77777777" w:rsidTr="00752BFD">
        <w:tc>
          <w:tcPr>
            <w:tcW w:w="0" w:type="auto"/>
            <w:hideMark/>
          </w:tcPr>
          <w:p w14:paraId="69AD9C7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Cocoon weight (g)</w:t>
            </w:r>
          </w:p>
        </w:tc>
        <w:tc>
          <w:tcPr>
            <w:tcW w:w="0" w:type="auto"/>
            <w:hideMark/>
          </w:tcPr>
          <w:p w14:paraId="445908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1.4–1.8</w:t>
            </w:r>
          </w:p>
        </w:tc>
        <w:tc>
          <w:tcPr>
            <w:tcW w:w="0" w:type="auto"/>
            <w:hideMark/>
          </w:tcPr>
          <w:p w14:paraId="26ABE7B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1.2–1.5</w:t>
            </w:r>
          </w:p>
        </w:tc>
        <w:tc>
          <w:tcPr>
            <w:tcW w:w="0" w:type="auto"/>
            <w:hideMark/>
          </w:tcPr>
          <w:p w14:paraId="2BE452C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80–88</w:t>
            </w:r>
          </w:p>
        </w:tc>
        <w:tc>
          <w:tcPr>
            <w:tcW w:w="0" w:type="auto"/>
            <w:hideMark/>
          </w:tcPr>
          <w:p w14:paraId="7148A8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Wu et al. (2024)</w:t>
            </w:r>
          </w:p>
        </w:tc>
      </w:tr>
      <w:tr w:rsidR="00752BFD" w:rsidRPr="00796FFD" w14:paraId="278AD8C2" w14:textId="77777777" w:rsidTr="00752BFD">
        <w:tc>
          <w:tcPr>
            <w:tcW w:w="0" w:type="auto"/>
            <w:hideMark/>
          </w:tcPr>
          <w:p w14:paraId="7B6AC80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Cocoon shell weight (g)</w:t>
            </w:r>
          </w:p>
        </w:tc>
        <w:tc>
          <w:tcPr>
            <w:tcW w:w="0" w:type="auto"/>
            <w:hideMark/>
          </w:tcPr>
          <w:p w14:paraId="4A89D2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0.28–0.36</w:t>
            </w:r>
          </w:p>
        </w:tc>
        <w:tc>
          <w:tcPr>
            <w:tcW w:w="0" w:type="auto"/>
            <w:hideMark/>
          </w:tcPr>
          <w:p w14:paraId="246107D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0.22–0.30</w:t>
            </w:r>
          </w:p>
        </w:tc>
        <w:tc>
          <w:tcPr>
            <w:tcW w:w="0" w:type="auto"/>
            <w:hideMark/>
          </w:tcPr>
          <w:p w14:paraId="39763E7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75–85</w:t>
            </w:r>
          </w:p>
        </w:tc>
        <w:tc>
          <w:tcPr>
            <w:tcW w:w="0" w:type="auto"/>
            <w:hideMark/>
          </w:tcPr>
          <w:p w14:paraId="084704A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Datta (2019)</w:t>
            </w:r>
          </w:p>
        </w:tc>
      </w:tr>
      <w:tr w:rsidR="00752BFD" w:rsidRPr="00796FFD" w14:paraId="0299B990" w14:textId="77777777" w:rsidTr="00752BFD">
        <w:tc>
          <w:tcPr>
            <w:tcW w:w="0" w:type="auto"/>
            <w:hideMark/>
          </w:tcPr>
          <w:p w14:paraId="14AA4CA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Shell ratio (%)</w:t>
            </w:r>
          </w:p>
        </w:tc>
        <w:tc>
          <w:tcPr>
            <w:tcW w:w="0" w:type="auto"/>
            <w:hideMark/>
          </w:tcPr>
          <w:p w14:paraId="644AF1F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20–24</w:t>
            </w:r>
          </w:p>
        </w:tc>
        <w:tc>
          <w:tcPr>
            <w:tcW w:w="0" w:type="auto"/>
            <w:hideMark/>
          </w:tcPr>
          <w:p w14:paraId="2A31680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18–22</w:t>
            </w:r>
          </w:p>
        </w:tc>
        <w:tc>
          <w:tcPr>
            <w:tcW w:w="0" w:type="auto"/>
            <w:hideMark/>
          </w:tcPr>
          <w:p w14:paraId="4470791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75–92</w:t>
            </w:r>
          </w:p>
        </w:tc>
        <w:tc>
          <w:tcPr>
            <w:tcW w:w="0" w:type="auto"/>
            <w:hideMark/>
          </w:tcPr>
          <w:p w14:paraId="29E2F33A"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tc>
      </w:tr>
      <w:tr w:rsidR="00752BFD" w:rsidRPr="00796FFD" w14:paraId="549F140D" w14:textId="77777777" w:rsidTr="00752BFD">
        <w:tc>
          <w:tcPr>
            <w:tcW w:w="0" w:type="auto"/>
            <w:hideMark/>
          </w:tcPr>
          <w:p w14:paraId="5E70735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Raw silk yield / 10,000 larvae (kg)</w:t>
            </w:r>
          </w:p>
        </w:tc>
        <w:tc>
          <w:tcPr>
            <w:tcW w:w="0" w:type="auto"/>
            <w:hideMark/>
          </w:tcPr>
          <w:p w14:paraId="1B05F35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15–18</w:t>
            </w:r>
          </w:p>
        </w:tc>
        <w:tc>
          <w:tcPr>
            <w:tcW w:w="0" w:type="auto"/>
            <w:hideMark/>
          </w:tcPr>
          <w:p w14:paraId="4E55A2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12–15</w:t>
            </w:r>
          </w:p>
        </w:tc>
        <w:tc>
          <w:tcPr>
            <w:tcW w:w="0" w:type="auto"/>
            <w:hideMark/>
          </w:tcPr>
          <w:p w14:paraId="463E7A4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67–100</w:t>
            </w:r>
          </w:p>
        </w:tc>
        <w:tc>
          <w:tcPr>
            <w:tcW w:w="0" w:type="auto"/>
            <w:hideMark/>
          </w:tcPr>
          <w:p w14:paraId="65E6718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Datta (2019)</w:t>
            </w:r>
          </w:p>
        </w:tc>
      </w:tr>
      <w:tr w:rsidR="00752BFD" w:rsidRPr="00796FFD" w14:paraId="74C2A49D" w14:textId="77777777" w:rsidTr="00752BFD">
        <w:tc>
          <w:tcPr>
            <w:tcW w:w="0" w:type="auto"/>
            <w:hideMark/>
          </w:tcPr>
          <w:p w14:paraId="75D10A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Feed conversion efficiency (%)</w:t>
            </w:r>
          </w:p>
        </w:tc>
        <w:tc>
          <w:tcPr>
            <w:tcW w:w="0" w:type="auto"/>
            <w:hideMark/>
          </w:tcPr>
          <w:p w14:paraId="6F97DFF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18–22</w:t>
            </w:r>
          </w:p>
        </w:tc>
        <w:tc>
          <w:tcPr>
            <w:tcW w:w="0" w:type="auto"/>
            <w:hideMark/>
          </w:tcPr>
          <w:p w14:paraId="3077046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60F1CEB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75–95</w:t>
            </w:r>
          </w:p>
        </w:tc>
        <w:tc>
          <w:tcPr>
            <w:tcW w:w="0" w:type="auto"/>
            <w:hideMark/>
          </w:tcPr>
          <w:p w14:paraId="379546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Horie and Nakasone (1971)</w:t>
            </w:r>
          </w:p>
        </w:tc>
      </w:tr>
    </w:tbl>
    <w:p w14:paraId="6A3201FC" w14:textId="77777777" w:rsidR="00221E84" w:rsidRPr="00796FFD" w:rsidRDefault="00221E84" w:rsidP="005F306A">
      <w:pPr>
        <w:jc w:val="both"/>
        <w:rPr>
          <w:rFonts w:ascii="Arial" w:hAnsi="Arial" w:cs="Arial"/>
          <w:sz w:val="20"/>
          <w:szCs w:val="20"/>
        </w:rPr>
      </w:pPr>
    </w:p>
    <w:p w14:paraId="0E1F535C" w14:textId="26ED422D"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The data reveal that artificial diet-reared silkworms exhibit approximately 8-15% longer developmental periods compared to mulberry-fed counterparts, with the fifth instar showing the most pronounced extension (Wu et al., 2024). Final larval weights on optimized artificial diets achieve 85-90% of natural diet performance, while survival rates range from 80-95% depending on diet quality and environmental control (Chen et al., 2018). Cocoon parameters show greater variation, with shell ratios averaging 18-22% on artificial diets versus 20-24% on mulberry leaves. Notably, raw silk yields per 10,000 larvae range from 12-15 kg on artificial diets compared to 15-18 kg on natural leaves, representing 80-85% efficiency (Datta, 2019). However, when accounting for year-round production capability and reduced </w:t>
      </w:r>
      <w:proofErr w:type="spellStart"/>
      <w:r w:rsidRPr="00796FFD">
        <w:rPr>
          <w:rFonts w:ascii="Arial" w:hAnsi="Arial" w:cs="Arial"/>
          <w:sz w:val="20"/>
          <w:szCs w:val="20"/>
        </w:rPr>
        <w:t>labor</w:t>
      </w:r>
      <w:proofErr w:type="spellEnd"/>
      <w:r w:rsidRPr="00796FFD">
        <w:rPr>
          <w:rFonts w:ascii="Arial" w:hAnsi="Arial" w:cs="Arial"/>
          <w:sz w:val="20"/>
          <w:szCs w:val="20"/>
        </w:rPr>
        <w:t xml:space="preserve"> costs, the overall economic efficiency of artificial diet systems can be comparable or superior to traditional rearing in specific contexts (Hamamura, 2001)</w:t>
      </w:r>
      <w:r w:rsidR="00752BFD" w:rsidRPr="00796FFD">
        <w:rPr>
          <w:rFonts w:ascii="Arial" w:hAnsi="Arial" w:cs="Arial"/>
          <w:sz w:val="20"/>
          <w:szCs w:val="20"/>
        </w:rPr>
        <w:t xml:space="preserve"> as indicated in the table 1.</w:t>
      </w:r>
    </w:p>
    <w:p w14:paraId="072F338E" w14:textId="771092B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5.1 Growth and Developmental Parameters</w:t>
      </w:r>
    </w:p>
    <w:p w14:paraId="0E05D2F8" w14:textId="51D92C34"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Larval Duration: Silkworms reared on artificial diets typically exhibit a slight extension in larval duration, particularly during the fifth instar stage, which may be associated with differences in feed utilization efficiency or metabolic adjustments under artificial feeding conditions (Wu et al., 2024). Studies have reported that the total larval period on artificial diets ranges from 26-28 days compared to 24-26 days on mulberry leaves, representing an approximately 5-10% increase in development time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5D9335C4" w14:textId="1381A9E0"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Growth Trajectories: Growth patterns may also vary between feeding systems. Artificial diet-fed larvae occasionally exhibit slower early growth followed by compensatory growth in later stages, particularly when microbial supplements are provided (Wu et al., 2024). However, final larval weights achieved on optimized artificial diets can approach 85-90% of those obtained with mulberry leaves (Popham and Shelby, 2006).</w:t>
      </w:r>
    </w:p>
    <w:p w14:paraId="6F62CBBC" w14:textId="705EA7D3"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Survival Rates: Survival rates achieved under optimized artificial diet conditions generally range between 80-95%, which remains marginally lower than survival rates observed under optimal mulberry leaf rearing conditions (95-98%). The survival gap is most pronounced during the first three instars, highlighting the importance of proper diet formulation and environmental control during early developmental stages.</w:t>
      </w:r>
    </w:p>
    <w:p w14:paraId="6D63F262" w14:textId="7A59455B"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5.2 Cocoon and Silk Production Characteristics</w:t>
      </w:r>
    </w:p>
    <w:p w14:paraId="4BBBE121" w14:textId="4DC6B010"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Cocoon Parameters: Cocoon characteristics such as cocoon weight, shell weight, and shell ratio are often slightly reduced in artificial diet-reared silkworms compared to mulberry-fed counterparts. Advanced formulations are capable of achieving approximately 85-90% of the performance observed under natural feeding systems (Wu et al., 2024). Typical cocoon weights range from 1.2-1.5 g on artificial diets compared to 1.4-1.8 g on mulberry leaves, while shell ratios (silk content percentage) average 18-22% on artificial diets versus 20-24% on natural leaves.</w:t>
      </w:r>
    </w:p>
    <w:p w14:paraId="22CCF781" w14:textId="7A0ACAA1"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Silk Quality: Although artificial diets are capable of supporting substantial silk production, variations in silk quality parameters such as tenacity, elongation, and </w:t>
      </w:r>
      <w:proofErr w:type="spellStart"/>
      <w:r w:rsidRPr="00796FFD">
        <w:rPr>
          <w:rFonts w:ascii="Arial" w:hAnsi="Arial" w:cs="Arial"/>
          <w:sz w:val="20"/>
          <w:szCs w:val="20"/>
        </w:rPr>
        <w:t>luster</w:t>
      </w:r>
      <w:proofErr w:type="spellEnd"/>
      <w:r w:rsidRPr="00796FFD">
        <w:rPr>
          <w:rFonts w:ascii="Arial" w:hAnsi="Arial" w:cs="Arial"/>
          <w:sz w:val="20"/>
          <w:szCs w:val="20"/>
        </w:rPr>
        <w:t xml:space="preserve"> have been reported when compared with mulberry-fed silkworms. These differences are generally attributed to variations in nutrient availability, metabolic conditions, and spinning environment during cocoon formation (Popham and Shelby, 2006). Recent metabolomic studies have revealed that artificial diet-fed silkworms exhibit altered amino acid profiles in </w:t>
      </w:r>
      <w:r w:rsidR="001768D3" w:rsidRPr="00796FFD">
        <w:rPr>
          <w:rFonts w:ascii="Arial" w:hAnsi="Arial" w:cs="Arial"/>
          <w:sz w:val="20"/>
          <w:szCs w:val="20"/>
        </w:rPr>
        <w:t>haemolymph</w:t>
      </w:r>
      <w:r w:rsidRPr="00796FFD">
        <w:rPr>
          <w:rFonts w:ascii="Arial" w:hAnsi="Arial" w:cs="Arial"/>
          <w:sz w:val="20"/>
          <w:szCs w:val="20"/>
        </w:rPr>
        <w:t xml:space="preserve"> and silk glands, particularly in valine and phenylalanine concentrations, which may influence silk protein synthesis efficiency (Wu et al., 2024).</w:t>
      </w:r>
    </w:p>
    <w:p w14:paraId="27BC8C2F" w14:textId="7DAD8331"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lastRenderedPageBreak/>
        <w:t xml:space="preserve">Raw Silk Yield: The raw silk yield per 10,000 larvae reared on artificial diets typically ranges from 12-15 kg compared to 15-18 kg for mulberry-fed silkworms, representing approximately 80-85% efficiency (Datta, 2019). However, when considering year-round production capability and reduced </w:t>
      </w:r>
      <w:r w:rsidR="00DF1068" w:rsidRPr="00796FFD">
        <w:rPr>
          <w:rFonts w:ascii="Arial" w:hAnsi="Arial" w:cs="Arial"/>
          <w:sz w:val="20"/>
          <w:szCs w:val="20"/>
        </w:rPr>
        <w:t>labour</w:t>
      </w:r>
      <w:r w:rsidRPr="00796FFD">
        <w:rPr>
          <w:rFonts w:ascii="Arial" w:hAnsi="Arial" w:cs="Arial"/>
          <w:sz w:val="20"/>
          <w:szCs w:val="20"/>
        </w:rPr>
        <w:t xml:space="preserve"> costs, the overall economic efficiency of artificial diet systems can be comparable or superior to traditional rearing in specific contexts.</w:t>
      </w:r>
    </w:p>
    <w:p w14:paraId="3D407E5B" w14:textId="5DA72772"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5.3 Physiological and Biochemical Differences</w:t>
      </w:r>
    </w:p>
    <w:p w14:paraId="18BCC4C8" w14:textId="2E5BEC40"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Metabolic Profiles: Comparative metabolomic studies evaluating </w:t>
      </w:r>
      <w:r w:rsidR="001768D3" w:rsidRPr="00796FFD">
        <w:rPr>
          <w:rFonts w:ascii="Arial" w:hAnsi="Arial" w:cs="Arial"/>
          <w:sz w:val="20"/>
          <w:szCs w:val="20"/>
        </w:rPr>
        <w:t>haemolymph</w:t>
      </w:r>
      <w:r w:rsidRPr="00796FFD">
        <w:rPr>
          <w:rFonts w:ascii="Arial" w:hAnsi="Arial" w:cs="Arial"/>
          <w:sz w:val="20"/>
          <w:szCs w:val="20"/>
        </w:rPr>
        <w:t xml:space="preserve"> and cocoon composition between mulberry-fed and artificial diet-fed silkworms have revealed significant differences in metabolic profiles (Wu et al., 2024). Silkworms reared on natural mulberry leaves typically exhibit higher concentrations of essential amino acids, energy-related metabolites such as trehalose and glucose, and tricarboxylic acid (TCA) cycle intermediates. In contrast, artificial diet-fed larvae often display altered amino acid balance, modified carbohydrate metabolism, and variations in lipid composition.</w:t>
      </w:r>
    </w:p>
    <w:p w14:paraId="55A23766" w14:textId="1B40C13E"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Secondary Metabolites: The absence or reduced presence of plant-derived secondary metabolites, including flavonoids and alkaloids, in artificial diets may further influence antioxidant capacity and immune responses (Wu et al., 2024). These compounds, abundant in mulberry leaves, appear to play roles in stress resistance and pathogen </w:t>
      </w:r>
      <w:r w:rsidR="001768D3" w:rsidRPr="00796FFD">
        <w:rPr>
          <w:rFonts w:ascii="Arial" w:hAnsi="Arial" w:cs="Arial"/>
          <w:sz w:val="20"/>
          <w:szCs w:val="20"/>
        </w:rPr>
        <w:t>defence</w:t>
      </w:r>
      <w:r w:rsidRPr="00796FFD">
        <w:rPr>
          <w:rFonts w:ascii="Arial" w:hAnsi="Arial" w:cs="Arial"/>
          <w:sz w:val="20"/>
          <w:szCs w:val="20"/>
        </w:rPr>
        <w:t xml:space="preserve"> that are not fully replicated by current artificial formulations.</w:t>
      </w:r>
    </w:p>
    <w:p w14:paraId="2C684977" w14:textId="661265A4"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Gut Microbial Communities: High-throughput sequencing studies have demonstrated that silkworms reared on artificial diets generally exhibit reduced microbial diversity and notable shifts in community composition compared to mulberry-fed larvae. Artificial diet feeding is commonly associated with a decline in beneficial Firmicutes populations, including </w:t>
      </w:r>
      <w:r w:rsidRPr="001768D3">
        <w:rPr>
          <w:rFonts w:ascii="Arial" w:hAnsi="Arial" w:cs="Arial"/>
          <w:i/>
          <w:iCs/>
          <w:sz w:val="20"/>
          <w:szCs w:val="20"/>
        </w:rPr>
        <w:t>Lactobacillus</w:t>
      </w:r>
      <w:r w:rsidRPr="00796FFD">
        <w:rPr>
          <w:rFonts w:ascii="Arial" w:hAnsi="Arial" w:cs="Arial"/>
          <w:sz w:val="20"/>
          <w:szCs w:val="20"/>
        </w:rPr>
        <w:t xml:space="preserve"> and </w:t>
      </w:r>
      <w:proofErr w:type="spellStart"/>
      <w:r w:rsidRPr="001768D3">
        <w:rPr>
          <w:rFonts w:ascii="Arial" w:hAnsi="Arial" w:cs="Arial"/>
          <w:i/>
          <w:iCs/>
          <w:sz w:val="20"/>
          <w:szCs w:val="20"/>
        </w:rPr>
        <w:t>Weissella</w:t>
      </w:r>
      <w:proofErr w:type="spellEnd"/>
      <w:r w:rsidRPr="00796FFD">
        <w:rPr>
          <w:rFonts w:ascii="Arial" w:hAnsi="Arial" w:cs="Arial"/>
          <w:sz w:val="20"/>
          <w:szCs w:val="20"/>
        </w:rPr>
        <w:t xml:space="preserve"> species, which are known to contribute to digestive efficiency and pathogen resistance (Chen et al., 2018; Xiang et al., 2022).</w:t>
      </w:r>
    </w:p>
    <w:p w14:paraId="52970F02" w14:textId="6AD23AE3"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5.4 Factors Influencing Comparative Performance</w:t>
      </w:r>
    </w:p>
    <w:p w14:paraId="7377531E" w14:textId="1E2A0F67"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 xml:space="preserve">Diet Formulation Quality: The performance gap between artificial and natural feeding systems is heavily dependent on diet formulation quality. Diets containing adequate mulberry leaf powder (20-25%), balanced amino acid profiles, and appropriate probiotic supplementation can achieve performance levels approaching 90-95% of mulberry-fed standards (Xiang et al., 2021;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3839F9D0" w14:textId="4E9D9C7D"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Genetic Adaptation: Silkworm strains specifically bred for artificial diet utilization demonstrate significantly improved performance compared to traditional strains. Japanese breeding programs have developed specialized strains capable of efficient utilization of low-cost artificial diets, thereby enhancing the commercial viability of artificial rearing systems (Krishnaswami et al., 1973).</w:t>
      </w:r>
    </w:p>
    <w:p w14:paraId="3A90C5D8" w14:textId="0F89387C" w:rsidR="00221E84" w:rsidRPr="00796FFD" w:rsidRDefault="00221E84" w:rsidP="00DF1068">
      <w:pPr>
        <w:ind w:firstLine="720"/>
        <w:jc w:val="both"/>
        <w:rPr>
          <w:rFonts w:ascii="Arial" w:hAnsi="Arial" w:cs="Arial"/>
          <w:sz w:val="20"/>
          <w:szCs w:val="20"/>
        </w:rPr>
      </w:pPr>
      <w:r w:rsidRPr="00796FFD">
        <w:rPr>
          <w:rFonts w:ascii="Arial" w:hAnsi="Arial" w:cs="Arial"/>
          <w:sz w:val="20"/>
          <w:szCs w:val="20"/>
        </w:rPr>
        <w:t>Environmental Control: Artificial diet rearing systems benefit significantly from optimized environmental conditions. Temperature, humidity, and sanitation practices must be carefully controlled to compensate for the lack of bioactive compounds present in natural leaves and to minimize stress-related performance losses (Goldsmith et al., 2005).</w:t>
      </w:r>
    </w:p>
    <w:p w14:paraId="1F2404EE" w14:textId="202D21A7" w:rsidR="00221E84" w:rsidRPr="00796FFD" w:rsidRDefault="00221E84" w:rsidP="005F306A">
      <w:pPr>
        <w:jc w:val="both"/>
        <w:rPr>
          <w:rFonts w:ascii="Arial" w:hAnsi="Arial" w:cs="Arial"/>
          <w:b/>
          <w:bCs/>
          <w:sz w:val="22"/>
        </w:rPr>
      </w:pPr>
      <w:r w:rsidRPr="00796FFD">
        <w:rPr>
          <w:rFonts w:ascii="Arial" w:hAnsi="Arial" w:cs="Arial"/>
          <w:b/>
          <w:bCs/>
          <w:sz w:val="22"/>
        </w:rPr>
        <w:t>6. Gut Microbiota and Artificial Diets</w:t>
      </w:r>
    </w:p>
    <w:p w14:paraId="30640F02" w14:textId="7E70C09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6.1 Composition and Functional Role of Silkworm Gut Microbiota</w:t>
      </w:r>
    </w:p>
    <w:p w14:paraId="6D227008" w14:textId="6485B889" w:rsidR="00221E84" w:rsidRPr="00796FFD" w:rsidRDefault="00221E84" w:rsidP="00156F48">
      <w:pPr>
        <w:ind w:firstLine="720"/>
        <w:jc w:val="both"/>
        <w:rPr>
          <w:rFonts w:ascii="Arial" w:hAnsi="Arial" w:cs="Arial"/>
          <w:sz w:val="20"/>
          <w:szCs w:val="20"/>
        </w:rPr>
      </w:pPr>
      <w:r w:rsidRPr="00796FFD">
        <w:rPr>
          <w:rFonts w:ascii="Arial" w:hAnsi="Arial" w:cs="Arial"/>
          <w:sz w:val="20"/>
          <w:szCs w:val="20"/>
        </w:rPr>
        <w:t>The gastrointestinal tract of the silkworm harbours a diverse and functionally significant microbial community that contributes substantially to digestion, nutrient assimilation, immune regulation, and resistance against pathogenic organisms (Chen et al., 2018; Selvaraj et al., 2021). The bacterial community is predominantly composed of members belonging to the phyla Firmicutes, Proteobacteria, and Actinobacteria, with Bacillus and Lactobacillus species being particularly abundant. In addition, fungal communities are mainly represented by Ascomycota and Basidiomycota (Chen et al., 2018; Xiang et al., 2022).</w:t>
      </w:r>
    </w:p>
    <w:p w14:paraId="362F6A3C" w14:textId="469907D1"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lastRenderedPageBreak/>
        <w:t>Gut-associated microorganisms influence silkworm physiology through multiple mechanisms. These include the production of digestive enzymes such as cellulases, pectinases, and proteases that complement host digestive processes; synthesis of essential nutrients including certain amino acids and vitamins; fermentation of complex carbohydrates into short-chain fatty acids; suppression of pathogenic microorganisms through competitive exclusion; and modulation of host immune responses (Selvaraj et al., 2021). Collectively, these microbial functions contribute to improved nutrient utilization and overall larval health.</w:t>
      </w:r>
    </w:p>
    <w:p w14:paraId="512A4304" w14:textId="77CDC825"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6.2 Influence of Artificial Diets on Gut Microbial Composition</w:t>
      </w:r>
    </w:p>
    <w:p w14:paraId="5BE5AC0F" w14:textId="2C8430DF"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The transition from natural mulberry leaf feeding to artificial diets has been shown to significantly alter the diversity and structure of the silkworm gut microbiota (Chen et al., 2018; Xiang et al., 2022). High-throughput sequencing studies have demonstrated that silkworms reared on artificial diets generally exhibit reduced microbial diversity and notable shifts in community composition, particularly during later larval instars when feed consumption is highest.</w:t>
      </w:r>
    </w:p>
    <w:p w14:paraId="1506A39A" w14:textId="77777777"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 xml:space="preserve">Artificial diet feeding is commonly associated with a decline in beneficial Firmicutes populations, including </w:t>
      </w:r>
      <w:r w:rsidRPr="001768D3">
        <w:rPr>
          <w:rFonts w:ascii="Arial" w:hAnsi="Arial" w:cs="Arial"/>
          <w:i/>
          <w:iCs/>
          <w:sz w:val="20"/>
          <w:szCs w:val="20"/>
        </w:rPr>
        <w:t>Lactobacillus</w:t>
      </w:r>
      <w:r w:rsidRPr="00796FFD">
        <w:rPr>
          <w:rFonts w:ascii="Arial" w:hAnsi="Arial" w:cs="Arial"/>
          <w:sz w:val="20"/>
          <w:szCs w:val="20"/>
        </w:rPr>
        <w:t xml:space="preserve"> and </w:t>
      </w:r>
      <w:proofErr w:type="spellStart"/>
      <w:r w:rsidRPr="001768D3">
        <w:rPr>
          <w:rFonts w:ascii="Arial" w:hAnsi="Arial" w:cs="Arial"/>
          <w:i/>
          <w:iCs/>
          <w:sz w:val="20"/>
          <w:szCs w:val="20"/>
        </w:rPr>
        <w:t>Weissella</w:t>
      </w:r>
      <w:proofErr w:type="spellEnd"/>
      <w:r w:rsidRPr="00796FFD">
        <w:rPr>
          <w:rFonts w:ascii="Arial" w:hAnsi="Arial" w:cs="Arial"/>
          <w:sz w:val="20"/>
          <w:szCs w:val="20"/>
        </w:rPr>
        <w:t xml:space="preserve"> species, which are known to contribute to digestive efficiency and pathogen resistance. Concurrent alterations in Proteobacteria populations may influence nitrogen metabolism and nutrient utilization. Furthermore, a reduction in fungal diversity has been reported, along with increased temporal instability in microbial community composition throughout larval development (Xiang et al., 2022). These microbial imbalances are often linked with reduced feed efficiency, slower growth rates, and increased susceptibility to disease in artificial diet-reared silkworms. These findings highlight the importance of maintaining microbial equilibrium when designing artificial diet formulations.</w:t>
      </w:r>
    </w:p>
    <w:p w14:paraId="3ABF10DB" w14:textId="77777777" w:rsidR="00752BFD" w:rsidRPr="00796FFD" w:rsidRDefault="00221E84" w:rsidP="00752BFD">
      <w:pPr>
        <w:jc w:val="both"/>
        <w:rPr>
          <w:rFonts w:ascii="Arial" w:hAnsi="Arial" w:cs="Arial"/>
          <w:b/>
          <w:bCs/>
          <w:sz w:val="20"/>
          <w:szCs w:val="20"/>
        </w:rPr>
      </w:pPr>
      <w:r w:rsidRPr="00796FFD">
        <w:rPr>
          <w:rFonts w:ascii="Arial" w:hAnsi="Arial" w:cs="Arial"/>
          <w:b/>
          <w:bCs/>
          <w:sz w:val="20"/>
          <w:szCs w:val="20"/>
        </w:rPr>
        <w:t>Table 2. Comparative Analysis of Gut Microbial Communities in Silkworms Fed Artificial Diets versus Mulberry Leaves</w:t>
      </w:r>
    </w:p>
    <w:tbl>
      <w:tblPr>
        <w:tblStyle w:val="TableGrid"/>
        <w:tblW w:w="0" w:type="auto"/>
        <w:tblLook w:val="04A0" w:firstRow="1" w:lastRow="0" w:firstColumn="1" w:lastColumn="0" w:noHBand="0" w:noVBand="1"/>
      </w:tblPr>
      <w:tblGrid>
        <w:gridCol w:w="2817"/>
        <w:gridCol w:w="1684"/>
        <w:gridCol w:w="1616"/>
        <w:gridCol w:w="1210"/>
        <w:gridCol w:w="1689"/>
      </w:tblGrid>
      <w:tr w:rsidR="00752BFD" w:rsidRPr="00796FFD" w14:paraId="1B3E46CB" w14:textId="77777777" w:rsidTr="00752BFD">
        <w:tc>
          <w:tcPr>
            <w:tcW w:w="0" w:type="auto"/>
            <w:hideMark/>
          </w:tcPr>
          <w:p w14:paraId="4EF66717"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Microbial Parameter</w:t>
            </w:r>
          </w:p>
        </w:tc>
        <w:tc>
          <w:tcPr>
            <w:tcW w:w="0" w:type="auto"/>
            <w:hideMark/>
          </w:tcPr>
          <w:p w14:paraId="5DDDCCC6"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Fed</w:t>
            </w:r>
          </w:p>
        </w:tc>
        <w:tc>
          <w:tcPr>
            <w:tcW w:w="0" w:type="auto"/>
            <w:hideMark/>
          </w:tcPr>
          <w:p w14:paraId="2105A59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Fed</w:t>
            </w:r>
          </w:p>
        </w:tc>
        <w:tc>
          <w:tcPr>
            <w:tcW w:w="0" w:type="auto"/>
            <w:hideMark/>
          </w:tcPr>
          <w:p w14:paraId="70AE6DA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Change (%)</w:t>
            </w:r>
          </w:p>
        </w:tc>
        <w:tc>
          <w:tcPr>
            <w:tcW w:w="0" w:type="auto"/>
            <w:hideMark/>
          </w:tcPr>
          <w:p w14:paraId="6EB119F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259B92C8" w14:textId="77777777" w:rsidTr="00752BFD">
        <w:tc>
          <w:tcPr>
            <w:tcW w:w="0" w:type="auto"/>
            <w:hideMark/>
          </w:tcPr>
          <w:p w14:paraId="3F2E8B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Bacterial Diversity (Shannon Index)</w:t>
            </w:r>
          </w:p>
        </w:tc>
        <w:tc>
          <w:tcPr>
            <w:tcW w:w="0" w:type="auto"/>
            <w:hideMark/>
          </w:tcPr>
          <w:p w14:paraId="77A7987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3.8–4.5</w:t>
            </w:r>
          </w:p>
        </w:tc>
        <w:tc>
          <w:tcPr>
            <w:tcW w:w="0" w:type="auto"/>
            <w:hideMark/>
          </w:tcPr>
          <w:p w14:paraId="739196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2.9–3.6</w:t>
            </w:r>
          </w:p>
        </w:tc>
        <w:tc>
          <w:tcPr>
            <w:tcW w:w="0" w:type="auto"/>
            <w:hideMark/>
          </w:tcPr>
          <w:p w14:paraId="333E00E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 to −20</w:t>
            </w:r>
          </w:p>
        </w:tc>
        <w:tc>
          <w:tcPr>
            <w:tcW w:w="0" w:type="auto"/>
            <w:hideMark/>
          </w:tcPr>
          <w:p w14:paraId="6CB6385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4325DAB2" w14:textId="77777777" w:rsidTr="00752BFD">
        <w:tc>
          <w:tcPr>
            <w:tcW w:w="0" w:type="auto"/>
            <w:hideMark/>
          </w:tcPr>
          <w:p w14:paraId="5C5AD9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Firmicutes abundance (%)</w:t>
            </w:r>
          </w:p>
        </w:tc>
        <w:tc>
          <w:tcPr>
            <w:tcW w:w="0" w:type="auto"/>
            <w:hideMark/>
          </w:tcPr>
          <w:p w14:paraId="244B4B8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45–55</w:t>
            </w:r>
          </w:p>
        </w:tc>
        <w:tc>
          <w:tcPr>
            <w:tcW w:w="0" w:type="auto"/>
            <w:hideMark/>
          </w:tcPr>
          <w:p w14:paraId="779C3C6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30–42</w:t>
            </w:r>
          </w:p>
        </w:tc>
        <w:tc>
          <w:tcPr>
            <w:tcW w:w="0" w:type="auto"/>
            <w:hideMark/>
          </w:tcPr>
          <w:p w14:paraId="3FC5F92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−33 to −24</w:t>
            </w:r>
          </w:p>
        </w:tc>
        <w:tc>
          <w:tcPr>
            <w:tcW w:w="0" w:type="auto"/>
            <w:hideMark/>
          </w:tcPr>
          <w:p w14:paraId="28F4672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5D6B34BF" w14:textId="77777777" w:rsidTr="00752BFD">
        <w:tc>
          <w:tcPr>
            <w:tcW w:w="0" w:type="auto"/>
            <w:hideMark/>
          </w:tcPr>
          <w:p w14:paraId="1E43B9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w:t>
            </w:r>
            <w:r w:rsidRPr="00796FFD">
              <w:rPr>
                <w:rFonts w:ascii="Arial" w:eastAsia="Times New Roman" w:hAnsi="Arial" w:cs="Arial"/>
                <w:sz w:val="20"/>
                <w:szCs w:val="20"/>
                <w:lang w:eastAsia="en-IN"/>
              </w:rPr>
              <w:t xml:space="preserve"> spp. (%)</w:t>
            </w:r>
          </w:p>
        </w:tc>
        <w:tc>
          <w:tcPr>
            <w:tcW w:w="0" w:type="auto"/>
            <w:hideMark/>
          </w:tcPr>
          <w:p w14:paraId="273DBC3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066A19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2F5541C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 to −44</w:t>
            </w:r>
          </w:p>
        </w:tc>
        <w:tc>
          <w:tcPr>
            <w:tcW w:w="0" w:type="auto"/>
            <w:hideMark/>
          </w:tcPr>
          <w:p w14:paraId="74C8FB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r w:rsidR="00752BFD" w:rsidRPr="00796FFD" w14:paraId="56934300" w14:textId="77777777" w:rsidTr="00752BFD">
        <w:tc>
          <w:tcPr>
            <w:tcW w:w="0" w:type="auto"/>
            <w:hideMark/>
          </w:tcPr>
          <w:p w14:paraId="74D35F9F"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i/>
                <w:iCs/>
                <w:sz w:val="20"/>
                <w:szCs w:val="20"/>
                <w:lang w:eastAsia="en-IN"/>
              </w:rPr>
              <w:t>Weissella</w:t>
            </w:r>
            <w:proofErr w:type="spellEnd"/>
            <w:r w:rsidRPr="00796FFD">
              <w:rPr>
                <w:rFonts w:ascii="Arial" w:eastAsia="Times New Roman" w:hAnsi="Arial" w:cs="Arial"/>
                <w:sz w:val="20"/>
                <w:szCs w:val="20"/>
                <w:lang w:eastAsia="en-IN"/>
              </w:rPr>
              <w:t xml:space="preserve"> spp. (%)</w:t>
            </w:r>
          </w:p>
        </w:tc>
        <w:tc>
          <w:tcPr>
            <w:tcW w:w="0" w:type="auto"/>
            <w:hideMark/>
          </w:tcPr>
          <w:p w14:paraId="6C0847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14AFCE1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3–7</w:t>
            </w:r>
          </w:p>
        </w:tc>
        <w:tc>
          <w:tcPr>
            <w:tcW w:w="0" w:type="auto"/>
            <w:hideMark/>
          </w:tcPr>
          <w:p w14:paraId="3781240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−63 to −42</w:t>
            </w:r>
          </w:p>
        </w:tc>
        <w:tc>
          <w:tcPr>
            <w:tcW w:w="0" w:type="auto"/>
            <w:hideMark/>
          </w:tcPr>
          <w:p w14:paraId="7050608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0E9FE68B" w14:textId="77777777" w:rsidTr="00752BFD">
        <w:tc>
          <w:tcPr>
            <w:tcW w:w="0" w:type="auto"/>
            <w:hideMark/>
          </w:tcPr>
          <w:p w14:paraId="6A7E46D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Proteobacteria abundance (%)</w:t>
            </w:r>
          </w:p>
        </w:tc>
        <w:tc>
          <w:tcPr>
            <w:tcW w:w="0" w:type="auto"/>
            <w:hideMark/>
          </w:tcPr>
          <w:p w14:paraId="097193C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653E3C8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35–48</w:t>
            </w:r>
          </w:p>
        </w:tc>
        <w:tc>
          <w:tcPr>
            <w:tcW w:w="0" w:type="auto"/>
            <w:hideMark/>
          </w:tcPr>
          <w:p w14:paraId="1FA5436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+29 to +37</w:t>
            </w:r>
          </w:p>
        </w:tc>
        <w:tc>
          <w:tcPr>
            <w:tcW w:w="0" w:type="auto"/>
            <w:hideMark/>
          </w:tcPr>
          <w:p w14:paraId="221805B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243D4AB4" w14:textId="77777777" w:rsidTr="00752BFD">
        <w:tc>
          <w:tcPr>
            <w:tcW w:w="0" w:type="auto"/>
            <w:hideMark/>
          </w:tcPr>
          <w:p w14:paraId="275C2A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Pseudomonas</w:t>
            </w:r>
            <w:r w:rsidRPr="00796FFD">
              <w:rPr>
                <w:rFonts w:ascii="Arial" w:eastAsia="Times New Roman" w:hAnsi="Arial" w:cs="Arial"/>
                <w:sz w:val="20"/>
                <w:szCs w:val="20"/>
                <w:lang w:eastAsia="en-IN"/>
              </w:rPr>
              <w:t xml:space="preserve"> spp. (%)</w:t>
            </w:r>
          </w:p>
        </w:tc>
        <w:tc>
          <w:tcPr>
            <w:tcW w:w="0" w:type="auto"/>
            <w:hideMark/>
          </w:tcPr>
          <w:p w14:paraId="15DD1F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5F0BCC3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8–15</w:t>
            </w:r>
          </w:p>
        </w:tc>
        <w:tc>
          <w:tcPr>
            <w:tcW w:w="0" w:type="auto"/>
            <w:hideMark/>
          </w:tcPr>
          <w:p w14:paraId="62A5A9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+60 to +88</w:t>
            </w:r>
          </w:p>
        </w:tc>
        <w:tc>
          <w:tcPr>
            <w:tcW w:w="0" w:type="auto"/>
            <w:hideMark/>
          </w:tcPr>
          <w:p w14:paraId="08619FD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Ren et al. (2025)</w:t>
            </w:r>
          </w:p>
        </w:tc>
      </w:tr>
      <w:tr w:rsidR="00752BFD" w:rsidRPr="00796FFD" w14:paraId="601456A5" w14:textId="77777777" w:rsidTr="00752BFD">
        <w:tc>
          <w:tcPr>
            <w:tcW w:w="0" w:type="auto"/>
            <w:hideMark/>
          </w:tcPr>
          <w:p w14:paraId="5E67A83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Actinobacteria abundance (%)</w:t>
            </w:r>
          </w:p>
        </w:tc>
        <w:tc>
          <w:tcPr>
            <w:tcW w:w="0" w:type="auto"/>
            <w:hideMark/>
          </w:tcPr>
          <w:p w14:paraId="49AC40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70376E3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6–10</w:t>
            </w:r>
          </w:p>
        </w:tc>
        <w:tc>
          <w:tcPr>
            <w:tcW w:w="0" w:type="auto"/>
            <w:hideMark/>
          </w:tcPr>
          <w:p w14:paraId="198C5A7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 to −17</w:t>
            </w:r>
          </w:p>
        </w:tc>
        <w:tc>
          <w:tcPr>
            <w:tcW w:w="0" w:type="auto"/>
            <w:hideMark/>
          </w:tcPr>
          <w:p w14:paraId="38779E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582A0A42" w14:textId="77777777" w:rsidTr="00752BFD">
        <w:tc>
          <w:tcPr>
            <w:tcW w:w="0" w:type="auto"/>
            <w:hideMark/>
          </w:tcPr>
          <w:p w14:paraId="074CE3E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Fungal Diversity (Shannon Index)</w:t>
            </w:r>
          </w:p>
        </w:tc>
        <w:tc>
          <w:tcPr>
            <w:tcW w:w="0" w:type="auto"/>
            <w:hideMark/>
          </w:tcPr>
          <w:p w14:paraId="2BD058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2.5–3.2</w:t>
            </w:r>
          </w:p>
        </w:tc>
        <w:tc>
          <w:tcPr>
            <w:tcW w:w="0" w:type="auto"/>
            <w:hideMark/>
          </w:tcPr>
          <w:p w14:paraId="72CE047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1.8–2.4</w:t>
            </w:r>
          </w:p>
        </w:tc>
        <w:tc>
          <w:tcPr>
            <w:tcW w:w="0" w:type="auto"/>
            <w:hideMark/>
          </w:tcPr>
          <w:p w14:paraId="648D659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 to −25</w:t>
            </w:r>
          </w:p>
        </w:tc>
        <w:tc>
          <w:tcPr>
            <w:tcW w:w="0" w:type="auto"/>
            <w:hideMark/>
          </w:tcPr>
          <w:p w14:paraId="1F7EA26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60AD35E1" w14:textId="77777777" w:rsidTr="00752BFD">
        <w:tc>
          <w:tcPr>
            <w:tcW w:w="0" w:type="auto"/>
            <w:hideMark/>
          </w:tcPr>
          <w:p w14:paraId="5FD87DE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Core bacterial genera (n)</w:t>
            </w:r>
          </w:p>
        </w:tc>
        <w:tc>
          <w:tcPr>
            <w:tcW w:w="0" w:type="auto"/>
            <w:hideMark/>
          </w:tcPr>
          <w:p w14:paraId="0F64329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35–45</w:t>
            </w:r>
          </w:p>
        </w:tc>
        <w:tc>
          <w:tcPr>
            <w:tcW w:w="0" w:type="auto"/>
            <w:hideMark/>
          </w:tcPr>
          <w:p w14:paraId="11F65D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22–32</w:t>
            </w:r>
          </w:p>
        </w:tc>
        <w:tc>
          <w:tcPr>
            <w:tcW w:w="0" w:type="auto"/>
            <w:hideMark/>
          </w:tcPr>
          <w:p w14:paraId="335B54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−37 to −29</w:t>
            </w:r>
          </w:p>
        </w:tc>
        <w:tc>
          <w:tcPr>
            <w:tcW w:w="0" w:type="auto"/>
            <w:hideMark/>
          </w:tcPr>
          <w:p w14:paraId="51B9D1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Chen et al. (2018)</w:t>
            </w:r>
          </w:p>
        </w:tc>
      </w:tr>
      <w:tr w:rsidR="00752BFD" w:rsidRPr="00796FFD" w14:paraId="22B8F182" w14:textId="77777777" w:rsidTr="00752BFD">
        <w:tc>
          <w:tcPr>
            <w:tcW w:w="0" w:type="auto"/>
            <w:hideMark/>
          </w:tcPr>
          <w:p w14:paraId="6FF8F1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Microbial stability (CV%)</w:t>
            </w:r>
          </w:p>
        </w:tc>
        <w:tc>
          <w:tcPr>
            <w:tcW w:w="0" w:type="auto"/>
            <w:hideMark/>
          </w:tcPr>
          <w:p w14:paraId="3C5F13A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268139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46910C9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+40 to +75</w:t>
            </w:r>
          </w:p>
        </w:tc>
        <w:tc>
          <w:tcPr>
            <w:tcW w:w="0" w:type="auto"/>
            <w:hideMark/>
          </w:tcPr>
          <w:p w14:paraId="459C92C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bl>
    <w:p w14:paraId="2C15C7B1" w14:textId="77777777" w:rsidR="00221E84" w:rsidRPr="00796FFD" w:rsidRDefault="00221E84" w:rsidP="005F306A">
      <w:pPr>
        <w:jc w:val="both"/>
        <w:rPr>
          <w:rFonts w:ascii="Arial" w:hAnsi="Arial" w:cs="Arial"/>
          <w:sz w:val="20"/>
          <w:szCs w:val="20"/>
        </w:rPr>
      </w:pPr>
    </w:p>
    <w:p w14:paraId="79C6FFB4" w14:textId="79835B28" w:rsidR="00221E84" w:rsidRPr="00796FFD" w:rsidRDefault="00796FFD" w:rsidP="004C2707">
      <w:pPr>
        <w:ind w:firstLine="720"/>
        <w:jc w:val="both"/>
        <w:rPr>
          <w:rFonts w:ascii="Arial" w:hAnsi="Arial" w:cs="Arial"/>
          <w:sz w:val="20"/>
          <w:szCs w:val="20"/>
        </w:rPr>
      </w:pPr>
      <w:r w:rsidRPr="00796FFD">
        <w:rPr>
          <w:rFonts w:ascii="Arial" w:hAnsi="Arial" w:cs="Arial"/>
          <w:sz w:val="20"/>
          <w:szCs w:val="20"/>
        </w:rPr>
        <w:t>The High</w:t>
      </w:r>
      <w:r w:rsidR="00221E84" w:rsidRPr="00796FFD">
        <w:rPr>
          <w:rFonts w:ascii="Arial" w:hAnsi="Arial" w:cs="Arial"/>
          <w:sz w:val="20"/>
          <w:szCs w:val="20"/>
        </w:rPr>
        <w:t xml:space="preserve">-throughput sequencing analyses reveal that artificial diet feeding results in significant restructuring of gut microbial communities compared to mulberry leaf feeding (Chen et al., 2018). The Shannon diversity index decreases by 20-24% in artificial diet-fed silkworms, indicating reduced microbial richness. Most notably, beneficial Firmicutes populations decline by 24-33%, with </w:t>
      </w:r>
      <w:r w:rsidR="00221E84" w:rsidRPr="00BB609D">
        <w:rPr>
          <w:rFonts w:ascii="Arial" w:hAnsi="Arial" w:cs="Arial"/>
          <w:i/>
          <w:iCs/>
          <w:sz w:val="20"/>
          <w:szCs w:val="20"/>
        </w:rPr>
        <w:t>Lactobacillus</w:t>
      </w:r>
      <w:r w:rsidR="00221E84" w:rsidRPr="00796FFD">
        <w:rPr>
          <w:rFonts w:ascii="Arial" w:hAnsi="Arial" w:cs="Arial"/>
          <w:sz w:val="20"/>
          <w:szCs w:val="20"/>
        </w:rPr>
        <w:t xml:space="preserve"> and </w:t>
      </w:r>
      <w:proofErr w:type="spellStart"/>
      <w:r w:rsidR="00221E84" w:rsidRPr="00BB609D">
        <w:rPr>
          <w:rFonts w:ascii="Arial" w:hAnsi="Arial" w:cs="Arial"/>
          <w:i/>
          <w:iCs/>
          <w:sz w:val="20"/>
          <w:szCs w:val="20"/>
        </w:rPr>
        <w:t>Weissella</w:t>
      </w:r>
      <w:proofErr w:type="spellEnd"/>
      <w:r w:rsidR="00221E84" w:rsidRPr="00796FFD">
        <w:rPr>
          <w:rFonts w:ascii="Arial" w:hAnsi="Arial" w:cs="Arial"/>
          <w:sz w:val="20"/>
          <w:szCs w:val="20"/>
        </w:rPr>
        <w:t xml:space="preserve"> species showing 44-63% reductions in relative abundance (Xiang et al., 2021, 2022). Conversely, Proteobacteria abundance increases by 29-37%, particularly </w:t>
      </w:r>
      <w:r w:rsidR="00221E84" w:rsidRPr="004C2707">
        <w:rPr>
          <w:rFonts w:ascii="Arial" w:hAnsi="Arial" w:cs="Arial"/>
          <w:i/>
          <w:iCs/>
          <w:sz w:val="20"/>
          <w:szCs w:val="20"/>
        </w:rPr>
        <w:t>Pseudomonas</w:t>
      </w:r>
      <w:r w:rsidR="00221E84" w:rsidRPr="00796FFD">
        <w:rPr>
          <w:rFonts w:ascii="Arial" w:hAnsi="Arial" w:cs="Arial"/>
          <w:sz w:val="20"/>
          <w:szCs w:val="20"/>
        </w:rPr>
        <w:t xml:space="preserve"> </w:t>
      </w:r>
      <w:r w:rsidR="00221E84" w:rsidRPr="00796FFD">
        <w:rPr>
          <w:rFonts w:ascii="Arial" w:hAnsi="Arial" w:cs="Arial"/>
          <w:sz w:val="20"/>
          <w:szCs w:val="20"/>
        </w:rPr>
        <w:lastRenderedPageBreak/>
        <w:t>species which may include opportunistic pathogens (Ren et al., 2025). Microbial community stability, measured as temporal variation, decreases by 40-75% in artificial diet-fed larvae, suggesting ecological instability (Xiang et al., 2021)</w:t>
      </w:r>
      <w:r w:rsidR="00752BFD" w:rsidRPr="00796FFD">
        <w:rPr>
          <w:rFonts w:ascii="Arial" w:hAnsi="Arial" w:cs="Arial"/>
          <w:sz w:val="20"/>
          <w:szCs w:val="20"/>
        </w:rPr>
        <w:t xml:space="preserve"> as mentioned in the table 2.</w:t>
      </w:r>
      <w:r w:rsidR="00221E84" w:rsidRPr="00796FFD">
        <w:rPr>
          <w:rFonts w:ascii="Arial" w:hAnsi="Arial" w:cs="Arial"/>
          <w:sz w:val="20"/>
          <w:szCs w:val="20"/>
        </w:rPr>
        <w:t xml:space="preserve"> These alterations in gut microbiota composition are strongly correlated with reduced feed efficiency and compromised immune function, highlighting the critical need for microbial management strategies in artificial diet systems.</w:t>
      </w:r>
    </w:p>
    <w:p w14:paraId="624CA68E"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6.3 Probiotic Supplementation Strategies</w:t>
      </w:r>
    </w:p>
    <w:p w14:paraId="319E93B1" w14:textId="77777777"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The incorporation of beneficial microorganisms into artificial diets has emerged as an effective approach to restoring microbial balance and enhancing silkworm performance (Selvaraj et al., 2021; Xiang et al., 2021). Probiotic supplementation has been reported to improve digestion, growth rate, immune response, and disease resistance in artificial diet-fed silkworms.</w:t>
      </w:r>
    </w:p>
    <w:p w14:paraId="447132DE" w14:textId="3F4CF3F5" w:rsidR="00221E84" w:rsidRPr="00796FFD" w:rsidRDefault="00221E84" w:rsidP="004C2707">
      <w:pPr>
        <w:ind w:firstLine="720"/>
        <w:jc w:val="both"/>
        <w:rPr>
          <w:rFonts w:ascii="Arial" w:hAnsi="Arial" w:cs="Arial"/>
          <w:sz w:val="20"/>
          <w:szCs w:val="20"/>
        </w:rPr>
      </w:pPr>
      <w:r w:rsidRPr="00796FFD">
        <w:rPr>
          <w:rFonts w:ascii="Arial" w:hAnsi="Arial" w:cs="Arial"/>
          <w:sz w:val="20"/>
          <w:szCs w:val="20"/>
        </w:rPr>
        <w:t xml:space="preserve">Species such as </w:t>
      </w:r>
      <w:r w:rsidRPr="00BB609D">
        <w:rPr>
          <w:rFonts w:ascii="Arial" w:hAnsi="Arial" w:cs="Arial"/>
          <w:i/>
          <w:iCs/>
          <w:sz w:val="20"/>
          <w:szCs w:val="20"/>
        </w:rPr>
        <w:t xml:space="preserve">Lactobacillus </w:t>
      </w:r>
      <w:proofErr w:type="spellStart"/>
      <w:r w:rsidRPr="00BB609D">
        <w:rPr>
          <w:rFonts w:ascii="Arial" w:hAnsi="Arial" w:cs="Arial"/>
          <w:i/>
          <w:iCs/>
          <w:sz w:val="20"/>
          <w:szCs w:val="20"/>
        </w:rPr>
        <w:t>casei</w:t>
      </w:r>
      <w:proofErr w:type="spellEnd"/>
      <w:r w:rsidRPr="00796FFD">
        <w:rPr>
          <w:rFonts w:ascii="Arial" w:hAnsi="Arial" w:cs="Arial"/>
          <w:sz w:val="20"/>
          <w:szCs w:val="20"/>
        </w:rPr>
        <w:t xml:space="preserve">, </w:t>
      </w:r>
      <w:r w:rsidRPr="00BB609D">
        <w:rPr>
          <w:rFonts w:ascii="Arial" w:hAnsi="Arial" w:cs="Arial"/>
          <w:i/>
          <w:iCs/>
          <w:sz w:val="20"/>
          <w:szCs w:val="20"/>
        </w:rPr>
        <w:t>Lactobacillus plantarum</w:t>
      </w:r>
      <w:r w:rsidRPr="00796FFD">
        <w:rPr>
          <w:rFonts w:ascii="Arial" w:hAnsi="Arial" w:cs="Arial"/>
          <w:sz w:val="20"/>
          <w:szCs w:val="20"/>
        </w:rPr>
        <w:t xml:space="preserve">, </w:t>
      </w:r>
      <w:proofErr w:type="spellStart"/>
      <w:r w:rsidRPr="00BB609D">
        <w:rPr>
          <w:rFonts w:ascii="Arial" w:hAnsi="Arial" w:cs="Arial"/>
          <w:i/>
          <w:iCs/>
          <w:sz w:val="20"/>
          <w:szCs w:val="20"/>
        </w:rPr>
        <w:t>Weissella</w:t>
      </w:r>
      <w:proofErr w:type="spellEnd"/>
      <w:r w:rsidRPr="00BB609D">
        <w:rPr>
          <w:rFonts w:ascii="Arial" w:hAnsi="Arial" w:cs="Arial"/>
          <w:i/>
          <w:iCs/>
          <w:sz w:val="20"/>
          <w:szCs w:val="20"/>
        </w:rPr>
        <w:t xml:space="preserve"> </w:t>
      </w:r>
      <w:proofErr w:type="spellStart"/>
      <w:r w:rsidRPr="00BB609D">
        <w:rPr>
          <w:rFonts w:ascii="Arial" w:hAnsi="Arial" w:cs="Arial"/>
          <w:i/>
          <w:iCs/>
          <w:sz w:val="20"/>
          <w:szCs w:val="20"/>
        </w:rPr>
        <w:t>cibaria</w:t>
      </w:r>
      <w:proofErr w:type="spellEnd"/>
      <w:r w:rsidRPr="00796FFD">
        <w:rPr>
          <w:rFonts w:ascii="Arial" w:hAnsi="Arial" w:cs="Arial"/>
          <w:sz w:val="20"/>
          <w:szCs w:val="20"/>
        </w:rPr>
        <w:t xml:space="preserve">, </w:t>
      </w:r>
      <w:r w:rsidRPr="00BB609D">
        <w:rPr>
          <w:rFonts w:ascii="Arial" w:hAnsi="Arial" w:cs="Arial"/>
          <w:i/>
          <w:iCs/>
          <w:sz w:val="20"/>
          <w:szCs w:val="20"/>
        </w:rPr>
        <w:t>Bacillus subtilis</w:t>
      </w:r>
      <w:r w:rsidRPr="00796FFD">
        <w:rPr>
          <w:rFonts w:ascii="Arial" w:hAnsi="Arial" w:cs="Arial"/>
          <w:sz w:val="20"/>
          <w:szCs w:val="20"/>
        </w:rPr>
        <w:t xml:space="preserve">, and </w:t>
      </w:r>
      <w:r w:rsidRPr="00BB609D">
        <w:rPr>
          <w:rFonts w:ascii="Arial" w:hAnsi="Arial" w:cs="Arial"/>
          <w:i/>
          <w:iCs/>
          <w:sz w:val="20"/>
          <w:szCs w:val="20"/>
        </w:rPr>
        <w:t>Enterococcus faecalis</w:t>
      </w:r>
      <w:r w:rsidRPr="00796FFD">
        <w:rPr>
          <w:rFonts w:ascii="Arial" w:hAnsi="Arial" w:cs="Arial"/>
          <w:sz w:val="20"/>
          <w:szCs w:val="20"/>
        </w:rPr>
        <w:t xml:space="preserve"> have demonstrated positive effects through mechanisms including organic acid production, secretion of antimicrobial compounds, enhancement of digestive enzyme activity, and competitive exclusion of pathogenic microorganisms. Experimental studies have shown that supplementation with </w:t>
      </w:r>
      <w:r w:rsidRPr="004C2707">
        <w:rPr>
          <w:rFonts w:ascii="Arial" w:hAnsi="Arial" w:cs="Arial"/>
          <w:i/>
          <w:iCs/>
          <w:sz w:val="20"/>
          <w:szCs w:val="20"/>
        </w:rPr>
        <w:t xml:space="preserve">Lactobacillus </w:t>
      </w:r>
      <w:r w:rsidRPr="00796FFD">
        <w:rPr>
          <w:rFonts w:ascii="Arial" w:hAnsi="Arial" w:cs="Arial"/>
          <w:sz w:val="20"/>
          <w:szCs w:val="20"/>
        </w:rPr>
        <w:t xml:space="preserve">species significantly improves gut microbial diversity and enhances resistance to viral infections such as </w:t>
      </w:r>
      <w:r w:rsidRPr="004F69C4">
        <w:rPr>
          <w:rFonts w:ascii="Arial" w:hAnsi="Arial" w:cs="Arial"/>
          <w:i/>
          <w:iCs/>
          <w:sz w:val="20"/>
          <w:szCs w:val="20"/>
        </w:rPr>
        <w:t>Bombyx mori</w:t>
      </w:r>
      <w:r w:rsidRPr="00796FFD">
        <w:rPr>
          <w:rFonts w:ascii="Arial" w:hAnsi="Arial" w:cs="Arial"/>
          <w:sz w:val="20"/>
          <w:szCs w:val="20"/>
        </w:rPr>
        <w:t xml:space="preserve"> </w:t>
      </w:r>
      <w:proofErr w:type="spellStart"/>
      <w:r w:rsidRPr="00796FFD">
        <w:rPr>
          <w:rFonts w:ascii="Arial" w:hAnsi="Arial" w:cs="Arial"/>
          <w:sz w:val="20"/>
          <w:szCs w:val="20"/>
        </w:rPr>
        <w:t>nucleopolyhedrovirus</w:t>
      </w:r>
      <w:proofErr w:type="spellEnd"/>
      <w:r w:rsidRPr="00796FFD">
        <w:rPr>
          <w:rFonts w:ascii="Arial" w:hAnsi="Arial" w:cs="Arial"/>
          <w:sz w:val="20"/>
          <w:szCs w:val="20"/>
        </w:rPr>
        <w:t xml:space="preserve"> (</w:t>
      </w:r>
      <w:proofErr w:type="spellStart"/>
      <w:r w:rsidRPr="00796FFD">
        <w:rPr>
          <w:rFonts w:ascii="Arial" w:hAnsi="Arial" w:cs="Arial"/>
          <w:sz w:val="20"/>
          <w:szCs w:val="20"/>
        </w:rPr>
        <w:t>BmNPV</w:t>
      </w:r>
      <w:proofErr w:type="spellEnd"/>
      <w:r w:rsidRPr="00796FFD">
        <w:rPr>
          <w:rFonts w:ascii="Arial" w:hAnsi="Arial" w:cs="Arial"/>
          <w:sz w:val="20"/>
          <w:szCs w:val="20"/>
        </w:rPr>
        <w:t>) (Selvaraj et al., 2021). The beneficial effects of probiotics are attributed to several mechanisms, including reduction of gut pH through organic acid production, bacteriocin-mediated inhibition of pathogens, enhancement of nutrient availability through enzyme secretion, and modulation of host immune gene expression (Xiang et al., 2021).</w:t>
      </w:r>
    </w:p>
    <w:p w14:paraId="45B95048"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3. Effects of Probiotic Supplementation on Growth Performance and Gut Health in Artificial Diet-Fed Silkworms</w:t>
      </w:r>
    </w:p>
    <w:tbl>
      <w:tblPr>
        <w:tblStyle w:val="TableGrid"/>
        <w:tblW w:w="0" w:type="auto"/>
        <w:tblLook w:val="04A0" w:firstRow="1" w:lastRow="0" w:firstColumn="1" w:lastColumn="0" w:noHBand="0" w:noVBand="1"/>
      </w:tblPr>
      <w:tblGrid>
        <w:gridCol w:w="1473"/>
        <w:gridCol w:w="1583"/>
        <w:gridCol w:w="904"/>
        <w:gridCol w:w="1496"/>
        <w:gridCol w:w="1192"/>
        <w:gridCol w:w="1062"/>
        <w:gridCol w:w="1306"/>
      </w:tblGrid>
      <w:tr w:rsidR="00752BFD" w:rsidRPr="00796FFD" w14:paraId="215370EC" w14:textId="77777777" w:rsidTr="00752BFD">
        <w:tc>
          <w:tcPr>
            <w:tcW w:w="0" w:type="auto"/>
            <w:hideMark/>
          </w:tcPr>
          <w:p w14:paraId="7149A7A1"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Probiotic Strain</w:t>
            </w:r>
          </w:p>
        </w:tc>
        <w:tc>
          <w:tcPr>
            <w:tcW w:w="0" w:type="auto"/>
            <w:hideMark/>
          </w:tcPr>
          <w:p w14:paraId="31B0C4A6"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Concentration (CFU/g)</w:t>
            </w:r>
          </w:p>
        </w:tc>
        <w:tc>
          <w:tcPr>
            <w:tcW w:w="0" w:type="auto"/>
            <w:hideMark/>
          </w:tcPr>
          <w:p w14:paraId="6574E33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Larval Weight Gain (%)</w:t>
            </w:r>
          </w:p>
        </w:tc>
        <w:tc>
          <w:tcPr>
            <w:tcW w:w="0" w:type="auto"/>
            <w:hideMark/>
          </w:tcPr>
          <w:p w14:paraId="503D25F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Survival Rate Improvement (%)</w:t>
            </w:r>
          </w:p>
        </w:tc>
        <w:tc>
          <w:tcPr>
            <w:tcW w:w="0" w:type="auto"/>
            <w:hideMark/>
          </w:tcPr>
          <w:p w14:paraId="54E774E3"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Digestive Enzyme Activity Increase (%)</w:t>
            </w:r>
          </w:p>
        </w:tc>
        <w:tc>
          <w:tcPr>
            <w:tcW w:w="0" w:type="auto"/>
            <w:hideMark/>
          </w:tcPr>
          <w:p w14:paraId="4E7C0CB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Cocoon Shell Weight Increase (%)</w:t>
            </w:r>
          </w:p>
        </w:tc>
        <w:tc>
          <w:tcPr>
            <w:tcW w:w="0" w:type="auto"/>
            <w:hideMark/>
          </w:tcPr>
          <w:p w14:paraId="0800CA0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References</w:t>
            </w:r>
          </w:p>
        </w:tc>
      </w:tr>
      <w:tr w:rsidR="00752BFD" w:rsidRPr="00796FFD" w14:paraId="338551EC" w14:textId="77777777" w:rsidTr="00752BFD">
        <w:tc>
          <w:tcPr>
            <w:tcW w:w="0" w:type="auto"/>
            <w:hideMark/>
          </w:tcPr>
          <w:p w14:paraId="191FC35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Bacillus subtilis</w:t>
            </w:r>
          </w:p>
        </w:tc>
        <w:tc>
          <w:tcPr>
            <w:tcW w:w="0" w:type="auto"/>
            <w:hideMark/>
          </w:tcPr>
          <w:p w14:paraId="729482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 × 10⁵</w:t>
            </w:r>
          </w:p>
        </w:tc>
        <w:tc>
          <w:tcPr>
            <w:tcW w:w="0" w:type="auto"/>
            <w:hideMark/>
          </w:tcPr>
          <w:p w14:paraId="4665B33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9.1–22.1</w:t>
            </w:r>
          </w:p>
        </w:tc>
        <w:tc>
          <w:tcPr>
            <w:tcW w:w="0" w:type="auto"/>
            <w:hideMark/>
          </w:tcPr>
          <w:p w14:paraId="4698F76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8–15</w:t>
            </w:r>
          </w:p>
        </w:tc>
        <w:tc>
          <w:tcPr>
            <w:tcW w:w="0" w:type="auto"/>
            <w:hideMark/>
          </w:tcPr>
          <w:p w14:paraId="755833F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α-amylase: 43%; Trypsin: 60%; Lipase: 12%</w:t>
            </w:r>
          </w:p>
        </w:tc>
        <w:tc>
          <w:tcPr>
            <w:tcW w:w="0" w:type="auto"/>
            <w:hideMark/>
          </w:tcPr>
          <w:p w14:paraId="53CF374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9.77 (female)</w:t>
            </w:r>
          </w:p>
        </w:tc>
        <w:tc>
          <w:tcPr>
            <w:tcW w:w="0" w:type="auto"/>
            <w:hideMark/>
          </w:tcPr>
          <w:p w14:paraId="4F881B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Ren et al. (2025)</w:t>
            </w:r>
          </w:p>
        </w:tc>
      </w:tr>
      <w:tr w:rsidR="00752BFD" w:rsidRPr="00796FFD" w14:paraId="7CF371D5" w14:textId="77777777" w:rsidTr="00752BFD">
        <w:tc>
          <w:tcPr>
            <w:tcW w:w="0" w:type="auto"/>
            <w:hideMark/>
          </w:tcPr>
          <w:p w14:paraId="1CA4A68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 casei</w:t>
            </w:r>
          </w:p>
        </w:tc>
        <w:tc>
          <w:tcPr>
            <w:tcW w:w="0" w:type="auto"/>
            <w:hideMark/>
          </w:tcPr>
          <w:p w14:paraId="739529B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 × 10⁷</w:t>
            </w:r>
          </w:p>
        </w:tc>
        <w:tc>
          <w:tcPr>
            <w:tcW w:w="0" w:type="auto"/>
            <w:hideMark/>
          </w:tcPr>
          <w:p w14:paraId="3C6E0C7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64E06FD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10–18</w:t>
            </w:r>
          </w:p>
        </w:tc>
        <w:tc>
          <w:tcPr>
            <w:tcW w:w="0" w:type="auto"/>
            <w:hideMark/>
          </w:tcPr>
          <w:p w14:paraId="112E8F2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Protease: 25%; Amylase: 30%</w:t>
            </w:r>
          </w:p>
        </w:tc>
        <w:tc>
          <w:tcPr>
            <w:tcW w:w="0" w:type="auto"/>
            <w:hideMark/>
          </w:tcPr>
          <w:p w14:paraId="42377A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65655ED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Selvaraj et al. (2021)</w:t>
            </w:r>
          </w:p>
        </w:tc>
      </w:tr>
      <w:tr w:rsidR="00752BFD" w:rsidRPr="00796FFD" w14:paraId="1C3EFC91" w14:textId="77777777" w:rsidTr="00752BFD">
        <w:tc>
          <w:tcPr>
            <w:tcW w:w="0" w:type="auto"/>
            <w:hideMark/>
          </w:tcPr>
          <w:p w14:paraId="2262E68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Lactobacillus plantarum</w:t>
            </w:r>
          </w:p>
        </w:tc>
        <w:tc>
          <w:tcPr>
            <w:tcW w:w="0" w:type="auto"/>
            <w:hideMark/>
          </w:tcPr>
          <w:p w14:paraId="47327D1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 × 10⁶</w:t>
            </w:r>
          </w:p>
        </w:tc>
        <w:tc>
          <w:tcPr>
            <w:tcW w:w="0" w:type="auto"/>
            <w:hideMark/>
          </w:tcPr>
          <w:p w14:paraId="76F6CAF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10–16</w:t>
            </w:r>
          </w:p>
        </w:tc>
        <w:tc>
          <w:tcPr>
            <w:tcW w:w="0" w:type="auto"/>
            <w:hideMark/>
          </w:tcPr>
          <w:p w14:paraId="74D4D16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12–20</w:t>
            </w:r>
          </w:p>
        </w:tc>
        <w:tc>
          <w:tcPr>
            <w:tcW w:w="0" w:type="auto"/>
            <w:hideMark/>
          </w:tcPr>
          <w:p w14:paraId="237313E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Cellulase: 35%; Pectinase: 28%</w:t>
            </w:r>
          </w:p>
        </w:tc>
        <w:tc>
          <w:tcPr>
            <w:tcW w:w="0" w:type="auto"/>
            <w:hideMark/>
          </w:tcPr>
          <w:p w14:paraId="10CF152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7–11</w:t>
            </w:r>
          </w:p>
        </w:tc>
        <w:tc>
          <w:tcPr>
            <w:tcW w:w="0" w:type="auto"/>
            <w:hideMark/>
          </w:tcPr>
          <w:p w14:paraId="736C492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r w:rsidR="00752BFD" w:rsidRPr="00796FFD" w14:paraId="77A35B82" w14:textId="77777777" w:rsidTr="00752BFD">
        <w:tc>
          <w:tcPr>
            <w:tcW w:w="0" w:type="auto"/>
            <w:hideMark/>
          </w:tcPr>
          <w:p w14:paraId="376BFE59" w14:textId="77777777" w:rsidR="00752BFD" w:rsidRPr="00796FFD" w:rsidRDefault="00752BFD" w:rsidP="00752BFD">
            <w:pPr>
              <w:rPr>
                <w:rFonts w:ascii="Arial" w:eastAsia="Times New Roman" w:hAnsi="Arial" w:cs="Arial"/>
                <w:sz w:val="20"/>
                <w:szCs w:val="20"/>
                <w:lang w:eastAsia="en-IN"/>
              </w:rPr>
            </w:pPr>
            <w:proofErr w:type="spellStart"/>
            <w:r w:rsidRPr="00796FFD">
              <w:rPr>
                <w:rFonts w:ascii="Arial" w:eastAsia="Times New Roman" w:hAnsi="Arial" w:cs="Arial"/>
                <w:i/>
                <w:iCs/>
                <w:sz w:val="20"/>
                <w:szCs w:val="20"/>
                <w:lang w:eastAsia="en-IN"/>
              </w:rPr>
              <w:t>Weissella</w:t>
            </w:r>
            <w:proofErr w:type="spellEnd"/>
            <w:r w:rsidRPr="00796FFD">
              <w:rPr>
                <w:rFonts w:ascii="Arial" w:eastAsia="Times New Roman" w:hAnsi="Arial" w:cs="Arial"/>
                <w:i/>
                <w:iCs/>
                <w:sz w:val="20"/>
                <w:szCs w:val="20"/>
                <w:lang w:eastAsia="en-IN"/>
              </w:rPr>
              <w:t xml:space="preserve"> </w:t>
            </w:r>
            <w:proofErr w:type="spellStart"/>
            <w:r w:rsidRPr="00796FFD">
              <w:rPr>
                <w:rFonts w:ascii="Arial" w:eastAsia="Times New Roman" w:hAnsi="Arial" w:cs="Arial"/>
                <w:i/>
                <w:iCs/>
                <w:sz w:val="20"/>
                <w:szCs w:val="20"/>
                <w:lang w:eastAsia="en-IN"/>
              </w:rPr>
              <w:t>cibaria</w:t>
            </w:r>
            <w:proofErr w:type="spellEnd"/>
          </w:p>
        </w:tc>
        <w:tc>
          <w:tcPr>
            <w:tcW w:w="0" w:type="auto"/>
            <w:hideMark/>
          </w:tcPr>
          <w:p w14:paraId="450974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 × 10⁷</w:t>
            </w:r>
          </w:p>
        </w:tc>
        <w:tc>
          <w:tcPr>
            <w:tcW w:w="0" w:type="auto"/>
            <w:hideMark/>
          </w:tcPr>
          <w:p w14:paraId="16CAEA6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8–14</w:t>
            </w:r>
          </w:p>
        </w:tc>
        <w:tc>
          <w:tcPr>
            <w:tcW w:w="0" w:type="auto"/>
            <w:hideMark/>
          </w:tcPr>
          <w:p w14:paraId="018E21B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44B0563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α-amylase: 22%; Lipase: 18%</w:t>
            </w:r>
          </w:p>
        </w:tc>
        <w:tc>
          <w:tcPr>
            <w:tcW w:w="0" w:type="auto"/>
            <w:hideMark/>
          </w:tcPr>
          <w:p w14:paraId="3BE7D1D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6–10</w:t>
            </w:r>
          </w:p>
        </w:tc>
        <w:tc>
          <w:tcPr>
            <w:tcW w:w="0" w:type="auto"/>
            <w:hideMark/>
          </w:tcPr>
          <w:p w14:paraId="476B3A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(2022)</w:t>
            </w:r>
          </w:p>
        </w:tc>
      </w:tr>
      <w:tr w:rsidR="00752BFD" w:rsidRPr="00796FFD" w14:paraId="513AC4E4" w14:textId="77777777" w:rsidTr="00752BFD">
        <w:tc>
          <w:tcPr>
            <w:tcW w:w="0" w:type="auto"/>
            <w:hideMark/>
          </w:tcPr>
          <w:p w14:paraId="50FA8CE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i/>
                <w:iCs/>
                <w:sz w:val="20"/>
                <w:szCs w:val="20"/>
                <w:lang w:eastAsia="en-IN"/>
              </w:rPr>
              <w:t>Enterococcus faecalis</w:t>
            </w:r>
          </w:p>
        </w:tc>
        <w:tc>
          <w:tcPr>
            <w:tcW w:w="0" w:type="auto"/>
            <w:hideMark/>
          </w:tcPr>
          <w:p w14:paraId="36FC4B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 × 10⁶</w:t>
            </w:r>
          </w:p>
        </w:tc>
        <w:tc>
          <w:tcPr>
            <w:tcW w:w="0" w:type="auto"/>
            <w:hideMark/>
          </w:tcPr>
          <w:p w14:paraId="07E419A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6–12</w:t>
            </w:r>
          </w:p>
        </w:tc>
        <w:tc>
          <w:tcPr>
            <w:tcW w:w="0" w:type="auto"/>
            <w:hideMark/>
          </w:tcPr>
          <w:p w14:paraId="54B836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3A0D57A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Protease: 20%; Amylase: 25%</w:t>
            </w:r>
          </w:p>
        </w:tc>
        <w:tc>
          <w:tcPr>
            <w:tcW w:w="0" w:type="auto"/>
            <w:hideMark/>
          </w:tcPr>
          <w:p w14:paraId="2CE984C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5–9</w:t>
            </w:r>
          </w:p>
        </w:tc>
        <w:tc>
          <w:tcPr>
            <w:tcW w:w="0" w:type="auto"/>
            <w:hideMark/>
          </w:tcPr>
          <w:p w14:paraId="1596B21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Selvaraj et al. (2021)</w:t>
            </w:r>
          </w:p>
        </w:tc>
      </w:tr>
      <w:tr w:rsidR="00752BFD" w:rsidRPr="00796FFD" w14:paraId="4A7522E6" w14:textId="77777777" w:rsidTr="00752BFD">
        <w:tc>
          <w:tcPr>
            <w:tcW w:w="0" w:type="auto"/>
            <w:hideMark/>
          </w:tcPr>
          <w:p w14:paraId="56A042E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Mixed probiotics </w:t>
            </w:r>
            <w:r w:rsidRPr="00796FFD">
              <w:rPr>
                <w:rFonts w:ascii="Arial" w:eastAsia="Times New Roman" w:hAnsi="Arial" w:cs="Arial"/>
                <w:sz w:val="20"/>
                <w:szCs w:val="20"/>
                <w:lang w:eastAsia="en-IN"/>
              </w:rPr>
              <w:lastRenderedPageBreak/>
              <w:t>(</w:t>
            </w:r>
            <w:r w:rsidRPr="00796FFD">
              <w:rPr>
                <w:rFonts w:ascii="Arial" w:eastAsia="Times New Roman" w:hAnsi="Arial" w:cs="Arial"/>
                <w:i/>
                <w:iCs/>
                <w:sz w:val="20"/>
                <w:szCs w:val="20"/>
                <w:lang w:eastAsia="en-IN"/>
              </w:rPr>
              <w:t>Lactobacillus</w:t>
            </w:r>
            <w:r w:rsidRPr="00796FFD">
              <w:rPr>
                <w:rFonts w:ascii="Arial" w:eastAsia="Times New Roman" w:hAnsi="Arial" w:cs="Arial"/>
                <w:sz w:val="20"/>
                <w:szCs w:val="20"/>
                <w:lang w:eastAsia="en-IN"/>
              </w:rPr>
              <w:t xml:space="preserve"> + </w:t>
            </w:r>
            <w:r w:rsidRPr="00796FFD">
              <w:rPr>
                <w:rFonts w:ascii="Arial" w:eastAsia="Times New Roman" w:hAnsi="Arial" w:cs="Arial"/>
                <w:i/>
                <w:iCs/>
                <w:sz w:val="20"/>
                <w:szCs w:val="20"/>
                <w:lang w:eastAsia="en-IN"/>
              </w:rPr>
              <w:t>Bacillus</w:t>
            </w:r>
            <w:r w:rsidRPr="00796FFD">
              <w:rPr>
                <w:rFonts w:ascii="Arial" w:eastAsia="Times New Roman" w:hAnsi="Arial" w:cs="Arial"/>
                <w:sz w:val="20"/>
                <w:szCs w:val="20"/>
                <w:lang w:eastAsia="en-IN"/>
              </w:rPr>
              <w:t>)</w:t>
            </w:r>
          </w:p>
        </w:tc>
        <w:tc>
          <w:tcPr>
            <w:tcW w:w="0" w:type="auto"/>
            <w:hideMark/>
          </w:tcPr>
          <w:p w14:paraId="5D34981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2 × 10⁷</w:t>
            </w:r>
          </w:p>
        </w:tc>
        <w:tc>
          <w:tcPr>
            <w:tcW w:w="0" w:type="auto"/>
            <w:hideMark/>
          </w:tcPr>
          <w:p w14:paraId="45BAF52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305BDA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15–22</w:t>
            </w:r>
          </w:p>
        </w:tc>
        <w:tc>
          <w:tcPr>
            <w:tcW w:w="0" w:type="auto"/>
            <w:hideMark/>
          </w:tcPr>
          <w:p w14:paraId="4EE2A0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Overall digestive </w:t>
            </w:r>
            <w:r w:rsidRPr="00796FFD">
              <w:rPr>
                <w:rFonts w:ascii="Arial" w:eastAsia="Times New Roman" w:hAnsi="Arial" w:cs="Arial"/>
                <w:sz w:val="20"/>
                <w:szCs w:val="20"/>
                <w:lang w:eastAsia="en-IN"/>
              </w:rPr>
              <w:lastRenderedPageBreak/>
              <w:t>efficiency: 35%</w:t>
            </w:r>
          </w:p>
        </w:tc>
        <w:tc>
          <w:tcPr>
            <w:tcW w:w="0" w:type="auto"/>
            <w:hideMark/>
          </w:tcPr>
          <w:p w14:paraId="6741CD7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lastRenderedPageBreak/>
              <w:t>12–18</w:t>
            </w:r>
          </w:p>
        </w:tc>
        <w:tc>
          <w:tcPr>
            <w:tcW w:w="0" w:type="auto"/>
            <w:hideMark/>
          </w:tcPr>
          <w:p w14:paraId="6275561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Xiang et al. (2021)</w:t>
            </w:r>
          </w:p>
        </w:tc>
      </w:tr>
    </w:tbl>
    <w:p w14:paraId="0AC8AA46" w14:textId="77777777" w:rsidR="00221E84" w:rsidRPr="00796FFD" w:rsidRDefault="00221E84" w:rsidP="005F306A">
      <w:pPr>
        <w:jc w:val="both"/>
        <w:rPr>
          <w:rFonts w:ascii="Arial" w:hAnsi="Arial" w:cs="Arial"/>
          <w:sz w:val="20"/>
          <w:szCs w:val="20"/>
        </w:rPr>
      </w:pPr>
    </w:p>
    <w:p w14:paraId="57277BD0" w14:textId="57BAE58D" w:rsidR="00221E84" w:rsidRPr="00796FFD" w:rsidRDefault="00752BFD" w:rsidP="004C2707">
      <w:pPr>
        <w:ind w:firstLine="720"/>
        <w:jc w:val="both"/>
        <w:rPr>
          <w:rFonts w:ascii="Arial" w:hAnsi="Arial" w:cs="Arial"/>
          <w:sz w:val="20"/>
          <w:szCs w:val="20"/>
        </w:rPr>
      </w:pPr>
      <w:r w:rsidRPr="00796FFD">
        <w:rPr>
          <w:rFonts w:ascii="Arial" w:hAnsi="Arial" w:cs="Arial"/>
          <w:sz w:val="20"/>
          <w:szCs w:val="20"/>
        </w:rPr>
        <w:t xml:space="preserve">The </w:t>
      </w:r>
      <w:r w:rsidR="00221E84" w:rsidRPr="00796FFD">
        <w:rPr>
          <w:rFonts w:ascii="Arial" w:hAnsi="Arial" w:cs="Arial"/>
          <w:sz w:val="20"/>
          <w:szCs w:val="20"/>
        </w:rPr>
        <w:t>Probiotic supplementation demonstrates significant dose-dependent improvements in artificial diet-fed silkworm performance (Ren et al., 2025). Bacillus subtilis at 6 x 10^5 CFU/g produces the most pronounced effects, increasing larval body weight by 9.1-22.1% and improving feed utilization efficiency by 4.09-6.80%. The enhancement of digestive enzyme activities is particularly notable, with a-amylase increasing by 43% and trypsin by 60%, directly addressing the impaired digestive capacity observed in artificial diet-fed larvae (Ren et al., 2025). Mixed probiotic formulations show synergistic effects, achieving 15-25% weight gains and 12-18% increases in cocoon shell weight (Xiang et al., 2021)</w:t>
      </w:r>
      <w:r w:rsidRPr="00796FFD">
        <w:rPr>
          <w:rFonts w:ascii="Arial" w:hAnsi="Arial" w:cs="Arial"/>
          <w:sz w:val="20"/>
          <w:szCs w:val="20"/>
        </w:rPr>
        <w:t xml:space="preserve"> as indicated in the table 3. </w:t>
      </w:r>
      <w:r w:rsidR="00221E84" w:rsidRPr="00796FFD">
        <w:rPr>
          <w:rFonts w:ascii="Arial" w:hAnsi="Arial" w:cs="Arial"/>
          <w:sz w:val="20"/>
          <w:szCs w:val="20"/>
        </w:rPr>
        <w:t>These improvements are mechanistically linked to microbial community restructuring, with probiotics reducing potential pathogen abundance (</w:t>
      </w:r>
      <w:r w:rsidR="00221E84" w:rsidRPr="004C2707">
        <w:rPr>
          <w:rFonts w:ascii="Arial" w:hAnsi="Arial" w:cs="Arial"/>
          <w:i/>
          <w:iCs/>
          <w:sz w:val="20"/>
          <w:szCs w:val="20"/>
        </w:rPr>
        <w:t>Pseudomonas</w:t>
      </w:r>
      <w:r w:rsidR="00221E84" w:rsidRPr="00796FFD">
        <w:rPr>
          <w:rFonts w:ascii="Arial" w:hAnsi="Arial" w:cs="Arial"/>
          <w:sz w:val="20"/>
          <w:szCs w:val="20"/>
        </w:rPr>
        <w:t xml:space="preserve"> spp.) while enhancing beneficial metabolic pathways including phenylalanine biosynthesis, which increases 3.1-fold in </w:t>
      </w:r>
      <w:r w:rsidR="004C2707" w:rsidRPr="00796FFD">
        <w:rPr>
          <w:rFonts w:ascii="Arial" w:hAnsi="Arial" w:cs="Arial"/>
          <w:sz w:val="20"/>
          <w:szCs w:val="20"/>
        </w:rPr>
        <w:t>haemolymph</w:t>
      </w:r>
      <w:r w:rsidR="00221E84" w:rsidRPr="00796FFD">
        <w:rPr>
          <w:rFonts w:ascii="Arial" w:hAnsi="Arial" w:cs="Arial"/>
          <w:sz w:val="20"/>
          <w:szCs w:val="20"/>
        </w:rPr>
        <w:t xml:space="preserve"> (Ren et al., 2025). The data support the integration of probiotics as a standard component in artificial diet formulations to bridge the performance gap with mulberry-fed systems.</w:t>
      </w:r>
    </w:p>
    <w:p w14:paraId="20C5C98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 xml:space="preserve">6.4 </w:t>
      </w:r>
      <w:proofErr w:type="spellStart"/>
      <w:r w:rsidRPr="00796FFD">
        <w:rPr>
          <w:rFonts w:ascii="Arial" w:hAnsi="Arial" w:cs="Arial"/>
          <w:b/>
          <w:bCs/>
          <w:sz w:val="20"/>
          <w:szCs w:val="20"/>
        </w:rPr>
        <w:t>Synbiotic</w:t>
      </w:r>
      <w:proofErr w:type="spellEnd"/>
      <w:r w:rsidRPr="00796FFD">
        <w:rPr>
          <w:rFonts w:ascii="Arial" w:hAnsi="Arial" w:cs="Arial"/>
          <w:b/>
          <w:bCs/>
          <w:sz w:val="20"/>
          <w:szCs w:val="20"/>
        </w:rPr>
        <w:t xml:space="preserve"> Approaches</w:t>
      </w:r>
    </w:p>
    <w:p w14:paraId="5ED1409E" w14:textId="04D8047B"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Recent research has increasingly focused on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strategies, which involve the combined use of probiotics and prebiotics to enhance gut microbial stability. Prebiotic compounds such as oligosaccharides, inulin, and dietary </w:t>
      </w:r>
      <w:proofErr w:type="spellStart"/>
      <w:r w:rsidRPr="00796FFD">
        <w:rPr>
          <w:rFonts w:ascii="Arial" w:hAnsi="Arial" w:cs="Arial"/>
          <w:sz w:val="20"/>
          <w:szCs w:val="20"/>
        </w:rPr>
        <w:t>fibers</w:t>
      </w:r>
      <w:proofErr w:type="spellEnd"/>
      <w:r w:rsidRPr="00796FFD">
        <w:rPr>
          <w:rFonts w:ascii="Arial" w:hAnsi="Arial" w:cs="Arial"/>
          <w:sz w:val="20"/>
          <w:szCs w:val="20"/>
        </w:rPr>
        <w:t xml:space="preserve"> selectively promote the proliferation of beneficial microbial populations, particularly </w:t>
      </w:r>
      <w:r w:rsidRPr="004C2707">
        <w:rPr>
          <w:rFonts w:ascii="Arial" w:hAnsi="Arial" w:cs="Arial"/>
          <w:i/>
          <w:iCs/>
          <w:sz w:val="20"/>
          <w:szCs w:val="20"/>
        </w:rPr>
        <w:t>Lactobacillus</w:t>
      </w:r>
      <w:r w:rsidRPr="00796FFD">
        <w:rPr>
          <w:rFonts w:ascii="Arial" w:hAnsi="Arial" w:cs="Arial"/>
          <w:sz w:val="20"/>
          <w:szCs w:val="20"/>
        </w:rPr>
        <w:t xml:space="preserve"> </w:t>
      </w:r>
      <w:proofErr w:type="spellStart"/>
      <w:r w:rsidR="004C2707" w:rsidRPr="004C2707">
        <w:rPr>
          <w:rFonts w:ascii="Arial" w:hAnsi="Arial" w:cs="Arial"/>
          <w:i/>
          <w:iCs/>
          <w:sz w:val="20"/>
          <w:szCs w:val="20"/>
        </w:rPr>
        <w:t>Lactobacillus</w:t>
      </w:r>
      <w:proofErr w:type="spellEnd"/>
      <w:r w:rsidR="004C2707" w:rsidRPr="00796FFD">
        <w:rPr>
          <w:rFonts w:ascii="Arial" w:hAnsi="Arial" w:cs="Arial"/>
          <w:sz w:val="20"/>
          <w:szCs w:val="20"/>
        </w:rPr>
        <w:t xml:space="preserve"> </w:t>
      </w:r>
      <w:r w:rsidRPr="00796FFD">
        <w:rPr>
          <w:rFonts w:ascii="Arial" w:hAnsi="Arial" w:cs="Arial"/>
          <w:sz w:val="20"/>
          <w:szCs w:val="20"/>
        </w:rPr>
        <w:t xml:space="preserve">and </w:t>
      </w:r>
      <w:r w:rsidRPr="004C2707">
        <w:rPr>
          <w:rFonts w:ascii="Arial" w:hAnsi="Arial" w:cs="Arial"/>
          <w:i/>
          <w:iCs/>
          <w:sz w:val="20"/>
          <w:szCs w:val="20"/>
        </w:rPr>
        <w:t>Bifidobacterium</w:t>
      </w:r>
      <w:r w:rsidRPr="00796FFD">
        <w:rPr>
          <w:rFonts w:ascii="Arial" w:hAnsi="Arial" w:cs="Arial"/>
          <w:sz w:val="20"/>
          <w:szCs w:val="20"/>
        </w:rPr>
        <w:t xml:space="preserve"> species (Xiang et al., 2021). The incorporation of fermented ingredients and microbial metabolites into artificial diets has shown promising results in improving gut microbial balance and larval performance. These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formulations represent an emerging approach aimed at minimizing the performance gap between artificial diet rearing and traditional mulberry leaf feeding systems.</w:t>
      </w:r>
    </w:p>
    <w:p w14:paraId="1CA8E1EA" w14:textId="77777777" w:rsidR="00221E84" w:rsidRPr="00796FFD" w:rsidRDefault="00221E84" w:rsidP="005F306A">
      <w:pPr>
        <w:jc w:val="both"/>
        <w:rPr>
          <w:rFonts w:ascii="Arial" w:hAnsi="Arial" w:cs="Arial"/>
          <w:b/>
          <w:bCs/>
          <w:sz w:val="22"/>
        </w:rPr>
      </w:pPr>
      <w:r w:rsidRPr="00796FFD">
        <w:rPr>
          <w:rFonts w:ascii="Arial" w:hAnsi="Arial" w:cs="Arial"/>
          <w:b/>
          <w:bCs/>
          <w:sz w:val="22"/>
        </w:rPr>
        <w:t>7. Physiological and Metabolic Effects of Artificial Diets</w:t>
      </w:r>
    </w:p>
    <w:p w14:paraId="15EF92C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7.1 Growth and Developmental Responses</w:t>
      </w:r>
    </w:p>
    <w:p w14:paraId="22DF45D9"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diets exert significant influence on the growth pattern, developmental duration, and overall physiological performance of silkworm larvae. Modern artificial diet formulations are capable of supporting complete development from hatching to cocoon formation, though certain physiological differences remain when compared with silkworms reared on fresh mulberry leaves (Popham and Shelby, 2006; Wu et al., 2024). Slight extension in larval duration, particularly during the fifth instar stage, may be associated with differences in feed utilization efficiency or metabolic adjustments under artificial feeding conditions. Growth trajectories may also vary, with artificial diet-fed larvae occasionally exhibiting slower early growth followed by compensatory growth in later stages (Wu et al., 2024).</w:t>
      </w:r>
    </w:p>
    <w:p w14:paraId="6A874FF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7.2 Metabolomic Alterations</w:t>
      </w:r>
    </w:p>
    <w:p w14:paraId="641401DC" w14:textId="6A3A50D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Recent advances in metabolomic analysis have provided deeper insights into the biochemical changes associated with artificial diet feeding. Comparative metabolomic studies evaluating </w:t>
      </w:r>
      <w:r w:rsidR="006F1A7F" w:rsidRPr="00796FFD">
        <w:rPr>
          <w:rFonts w:ascii="Arial" w:hAnsi="Arial" w:cs="Arial"/>
          <w:sz w:val="20"/>
          <w:szCs w:val="20"/>
        </w:rPr>
        <w:t>haemolymph</w:t>
      </w:r>
      <w:r w:rsidRPr="00796FFD">
        <w:rPr>
          <w:rFonts w:ascii="Arial" w:hAnsi="Arial" w:cs="Arial"/>
          <w:sz w:val="20"/>
          <w:szCs w:val="20"/>
        </w:rPr>
        <w:t xml:space="preserve"> and cocoon composition between mulberry-fed and artificial diet-fed silkworms have revealed significant differences in metabolic profiles (Wu et al., 2024).</w:t>
      </w:r>
    </w:p>
    <w:p w14:paraId="6E983F2B" w14:textId="77777777" w:rsidR="00752BFD" w:rsidRPr="00796FFD" w:rsidRDefault="00752BFD" w:rsidP="005F306A">
      <w:pPr>
        <w:jc w:val="both"/>
        <w:rPr>
          <w:rFonts w:ascii="Arial" w:hAnsi="Arial" w:cs="Arial"/>
          <w:b/>
          <w:bCs/>
          <w:sz w:val="20"/>
          <w:szCs w:val="20"/>
        </w:rPr>
      </w:pPr>
      <w:r w:rsidRPr="00796FFD">
        <w:rPr>
          <w:rFonts w:ascii="Arial" w:hAnsi="Arial" w:cs="Arial"/>
          <w:b/>
          <w:bCs/>
          <w:sz w:val="20"/>
          <w:szCs w:val="20"/>
        </w:rPr>
        <w:t>Table 4. Comparative Metabolomic Profiles of Silkworms Fed Artificial Diets versus Mulberry Leaves</w:t>
      </w:r>
    </w:p>
    <w:tbl>
      <w:tblPr>
        <w:tblStyle w:val="TableGrid"/>
        <w:tblW w:w="0" w:type="auto"/>
        <w:tblLook w:val="04A0" w:firstRow="1" w:lastRow="0" w:firstColumn="1" w:lastColumn="0" w:noHBand="0" w:noVBand="1"/>
      </w:tblPr>
      <w:tblGrid>
        <w:gridCol w:w="1841"/>
        <w:gridCol w:w="2015"/>
        <w:gridCol w:w="1958"/>
        <w:gridCol w:w="1941"/>
        <w:gridCol w:w="1261"/>
      </w:tblGrid>
      <w:tr w:rsidR="00752BFD" w:rsidRPr="00796FFD" w14:paraId="1F5E427C" w14:textId="77777777" w:rsidTr="00752BFD">
        <w:tc>
          <w:tcPr>
            <w:tcW w:w="0" w:type="auto"/>
            <w:hideMark/>
          </w:tcPr>
          <w:p w14:paraId="61BC4430"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Metabolite Category</w:t>
            </w:r>
          </w:p>
        </w:tc>
        <w:tc>
          <w:tcPr>
            <w:tcW w:w="0" w:type="auto"/>
            <w:hideMark/>
          </w:tcPr>
          <w:p w14:paraId="0E90D11D"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Specific Compounds</w:t>
            </w:r>
          </w:p>
        </w:tc>
        <w:tc>
          <w:tcPr>
            <w:tcW w:w="0" w:type="auto"/>
            <w:hideMark/>
          </w:tcPr>
          <w:p w14:paraId="64B2F9A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Fed (Relative Abundance)</w:t>
            </w:r>
          </w:p>
        </w:tc>
        <w:tc>
          <w:tcPr>
            <w:tcW w:w="0" w:type="auto"/>
            <w:hideMark/>
          </w:tcPr>
          <w:p w14:paraId="41219899"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Fed (Relative Abundance)</w:t>
            </w:r>
          </w:p>
        </w:tc>
        <w:tc>
          <w:tcPr>
            <w:tcW w:w="0" w:type="auto"/>
            <w:hideMark/>
          </w:tcPr>
          <w:p w14:paraId="40E8003F"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Fold Change (ML/AD)</w:t>
            </w:r>
          </w:p>
        </w:tc>
      </w:tr>
      <w:tr w:rsidR="00752BFD" w:rsidRPr="00796FFD" w14:paraId="03C34AA1" w14:textId="77777777" w:rsidTr="00752BFD">
        <w:tc>
          <w:tcPr>
            <w:tcW w:w="0" w:type="auto"/>
            <w:hideMark/>
          </w:tcPr>
          <w:p w14:paraId="7E2961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Essential Amino Acids</w:t>
            </w:r>
          </w:p>
        </w:tc>
        <w:tc>
          <w:tcPr>
            <w:tcW w:w="0" w:type="auto"/>
            <w:hideMark/>
          </w:tcPr>
          <w:p w14:paraId="148D0AF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L-Methionine</w:t>
            </w:r>
          </w:p>
        </w:tc>
        <w:tc>
          <w:tcPr>
            <w:tcW w:w="0" w:type="auto"/>
            <w:hideMark/>
          </w:tcPr>
          <w:p w14:paraId="01E98B0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12.87</w:t>
            </w:r>
          </w:p>
        </w:tc>
        <w:tc>
          <w:tcPr>
            <w:tcW w:w="0" w:type="auto"/>
            <w:hideMark/>
          </w:tcPr>
          <w:p w14:paraId="77867BD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D49656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12.87×</w:t>
            </w:r>
          </w:p>
        </w:tc>
      </w:tr>
      <w:tr w:rsidR="00752BFD" w:rsidRPr="00796FFD" w14:paraId="3A959208" w14:textId="77777777" w:rsidTr="00752BFD">
        <w:tc>
          <w:tcPr>
            <w:tcW w:w="0" w:type="auto"/>
            <w:hideMark/>
          </w:tcPr>
          <w:p w14:paraId="7612B6DC"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46FE14D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L-Valine</w:t>
            </w:r>
          </w:p>
        </w:tc>
        <w:tc>
          <w:tcPr>
            <w:tcW w:w="0" w:type="auto"/>
            <w:hideMark/>
          </w:tcPr>
          <w:p w14:paraId="1C72BD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3.82</w:t>
            </w:r>
          </w:p>
        </w:tc>
        <w:tc>
          <w:tcPr>
            <w:tcW w:w="0" w:type="auto"/>
            <w:hideMark/>
          </w:tcPr>
          <w:p w14:paraId="78E243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1B482A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3.82×</w:t>
            </w:r>
          </w:p>
        </w:tc>
      </w:tr>
      <w:tr w:rsidR="00752BFD" w:rsidRPr="00796FFD" w14:paraId="553E2DF6" w14:textId="77777777" w:rsidTr="00752BFD">
        <w:tc>
          <w:tcPr>
            <w:tcW w:w="0" w:type="auto"/>
            <w:hideMark/>
          </w:tcPr>
          <w:p w14:paraId="17100DD5"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DEF5E7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L-Leucine</w:t>
            </w:r>
          </w:p>
        </w:tc>
        <w:tc>
          <w:tcPr>
            <w:tcW w:w="0" w:type="auto"/>
            <w:hideMark/>
          </w:tcPr>
          <w:p w14:paraId="430732D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4.22</w:t>
            </w:r>
          </w:p>
        </w:tc>
        <w:tc>
          <w:tcPr>
            <w:tcW w:w="0" w:type="auto"/>
            <w:hideMark/>
          </w:tcPr>
          <w:p w14:paraId="06369D3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8399C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4.22×</w:t>
            </w:r>
          </w:p>
        </w:tc>
      </w:tr>
      <w:tr w:rsidR="00752BFD" w:rsidRPr="00796FFD" w14:paraId="0D48101C" w14:textId="77777777" w:rsidTr="00752BFD">
        <w:tc>
          <w:tcPr>
            <w:tcW w:w="0" w:type="auto"/>
            <w:hideMark/>
          </w:tcPr>
          <w:p w14:paraId="4D761E98"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47807A1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L-Isoleucine</w:t>
            </w:r>
          </w:p>
        </w:tc>
        <w:tc>
          <w:tcPr>
            <w:tcW w:w="0" w:type="auto"/>
            <w:hideMark/>
          </w:tcPr>
          <w:p w14:paraId="26D8D27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c>
          <w:tcPr>
            <w:tcW w:w="0" w:type="auto"/>
            <w:hideMark/>
          </w:tcPr>
          <w:p w14:paraId="67101B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FFE63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r>
      <w:tr w:rsidR="00752BFD" w:rsidRPr="00796FFD" w14:paraId="2D8F4CBE" w14:textId="77777777" w:rsidTr="00752BFD">
        <w:tc>
          <w:tcPr>
            <w:tcW w:w="0" w:type="auto"/>
            <w:hideMark/>
          </w:tcPr>
          <w:p w14:paraId="209ECB3B"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6E74DB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L-Threonine</w:t>
            </w:r>
          </w:p>
        </w:tc>
        <w:tc>
          <w:tcPr>
            <w:tcW w:w="0" w:type="auto"/>
            <w:hideMark/>
          </w:tcPr>
          <w:p w14:paraId="729DDA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2.80</w:t>
            </w:r>
          </w:p>
        </w:tc>
        <w:tc>
          <w:tcPr>
            <w:tcW w:w="0" w:type="auto"/>
            <w:hideMark/>
          </w:tcPr>
          <w:p w14:paraId="2CDCB23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29AEAF7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2.80×</w:t>
            </w:r>
          </w:p>
        </w:tc>
      </w:tr>
      <w:tr w:rsidR="00752BFD" w:rsidRPr="00796FFD" w14:paraId="7D3B81B6" w14:textId="77777777" w:rsidTr="00752BFD">
        <w:tc>
          <w:tcPr>
            <w:tcW w:w="0" w:type="auto"/>
            <w:hideMark/>
          </w:tcPr>
          <w:p w14:paraId="6D7FD1F0"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BA5D7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L-Phenylalanine</w:t>
            </w:r>
          </w:p>
        </w:tc>
        <w:tc>
          <w:tcPr>
            <w:tcW w:w="0" w:type="auto"/>
            <w:hideMark/>
          </w:tcPr>
          <w:p w14:paraId="045797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w:t>
            </w:r>
          </w:p>
        </w:tc>
        <w:tc>
          <w:tcPr>
            <w:tcW w:w="0" w:type="auto"/>
            <w:hideMark/>
          </w:tcPr>
          <w:p w14:paraId="2F5F9F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027C7FB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1.82×</w:t>
            </w:r>
          </w:p>
        </w:tc>
      </w:tr>
      <w:tr w:rsidR="00752BFD" w:rsidRPr="00796FFD" w14:paraId="54CED433" w14:textId="77777777" w:rsidTr="00752BFD">
        <w:tc>
          <w:tcPr>
            <w:tcW w:w="0" w:type="auto"/>
            <w:hideMark/>
          </w:tcPr>
          <w:p w14:paraId="6EEC303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Silk Protein Amino Acids</w:t>
            </w:r>
          </w:p>
        </w:tc>
        <w:tc>
          <w:tcPr>
            <w:tcW w:w="0" w:type="auto"/>
            <w:hideMark/>
          </w:tcPr>
          <w:p w14:paraId="7602533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Glycine</w:t>
            </w:r>
          </w:p>
        </w:tc>
        <w:tc>
          <w:tcPr>
            <w:tcW w:w="0" w:type="auto"/>
            <w:hideMark/>
          </w:tcPr>
          <w:p w14:paraId="523F6FD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2.10</w:t>
            </w:r>
          </w:p>
        </w:tc>
        <w:tc>
          <w:tcPr>
            <w:tcW w:w="0" w:type="auto"/>
            <w:hideMark/>
          </w:tcPr>
          <w:p w14:paraId="66B1BB7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B714E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2.10×</w:t>
            </w:r>
          </w:p>
        </w:tc>
      </w:tr>
      <w:tr w:rsidR="00752BFD" w:rsidRPr="00796FFD" w14:paraId="2AB3F5EF" w14:textId="77777777" w:rsidTr="00752BFD">
        <w:tc>
          <w:tcPr>
            <w:tcW w:w="0" w:type="auto"/>
            <w:hideMark/>
          </w:tcPr>
          <w:p w14:paraId="1DAF99AC"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74A719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L-Alanine</w:t>
            </w:r>
          </w:p>
        </w:tc>
        <w:tc>
          <w:tcPr>
            <w:tcW w:w="0" w:type="auto"/>
            <w:hideMark/>
          </w:tcPr>
          <w:p w14:paraId="498DF2A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6.56</w:t>
            </w:r>
          </w:p>
        </w:tc>
        <w:tc>
          <w:tcPr>
            <w:tcW w:w="0" w:type="auto"/>
            <w:hideMark/>
          </w:tcPr>
          <w:p w14:paraId="65A3A67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23733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6.56×</w:t>
            </w:r>
          </w:p>
        </w:tc>
      </w:tr>
      <w:tr w:rsidR="00752BFD" w:rsidRPr="00796FFD" w14:paraId="42EA2E7A" w14:textId="77777777" w:rsidTr="00752BFD">
        <w:tc>
          <w:tcPr>
            <w:tcW w:w="0" w:type="auto"/>
            <w:hideMark/>
          </w:tcPr>
          <w:p w14:paraId="54EE937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F9BF43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L-Serine</w:t>
            </w:r>
          </w:p>
        </w:tc>
        <w:tc>
          <w:tcPr>
            <w:tcW w:w="0" w:type="auto"/>
            <w:hideMark/>
          </w:tcPr>
          <w:p w14:paraId="7CF43CA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c>
          <w:tcPr>
            <w:tcW w:w="0" w:type="auto"/>
            <w:hideMark/>
          </w:tcPr>
          <w:p w14:paraId="40C8346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B901E6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r>
      <w:tr w:rsidR="00752BFD" w:rsidRPr="00796FFD" w14:paraId="49B1F45E" w14:textId="77777777" w:rsidTr="00752BFD">
        <w:tc>
          <w:tcPr>
            <w:tcW w:w="0" w:type="auto"/>
            <w:hideMark/>
          </w:tcPr>
          <w:p w14:paraId="2D05E3DA"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5602DA6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L-Tyrosine</w:t>
            </w:r>
          </w:p>
        </w:tc>
        <w:tc>
          <w:tcPr>
            <w:tcW w:w="0" w:type="auto"/>
            <w:hideMark/>
          </w:tcPr>
          <w:p w14:paraId="4681110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1.57</w:t>
            </w:r>
          </w:p>
        </w:tc>
        <w:tc>
          <w:tcPr>
            <w:tcW w:w="0" w:type="auto"/>
            <w:hideMark/>
          </w:tcPr>
          <w:p w14:paraId="60765C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37B584B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1.57×</w:t>
            </w:r>
          </w:p>
        </w:tc>
      </w:tr>
      <w:tr w:rsidR="00752BFD" w:rsidRPr="00796FFD" w14:paraId="4C6219C5" w14:textId="77777777" w:rsidTr="00752BFD">
        <w:tc>
          <w:tcPr>
            <w:tcW w:w="0" w:type="auto"/>
            <w:hideMark/>
          </w:tcPr>
          <w:p w14:paraId="4AF88C58"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3C2CEFC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L-Proline</w:t>
            </w:r>
          </w:p>
        </w:tc>
        <w:tc>
          <w:tcPr>
            <w:tcW w:w="0" w:type="auto"/>
            <w:hideMark/>
          </w:tcPr>
          <w:p w14:paraId="22F756A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1.58</w:t>
            </w:r>
          </w:p>
        </w:tc>
        <w:tc>
          <w:tcPr>
            <w:tcW w:w="0" w:type="auto"/>
            <w:hideMark/>
          </w:tcPr>
          <w:p w14:paraId="05C4D2D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ADA1B9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1.58×</w:t>
            </w:r>
          </w:p>
        </w:tc>
      </w:tr>
      <w:tr w:rsidR="00752BFD" w:rsidRPr="00796FFD" w14:paraId="72C6478E" w14:textId="77777777" w:rsidTr="00752BFD">
        <w:tc>
          <w:tcPr>
            <w:tcW w:w="0" w:type="auto"/>
            <w:hideMark/>
          </w:tcPr>
          <w:p w14:paraId="6A837C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Energy Metabolites</w:t>
            </w:r>
          </w:p>
        </w:tc>
        <w:tc>
          <w:tcPr>
            <w:tcW w:w="0" w:type="auto"/>
            <w:hideMark/>
          </w:tcPr>
          <w:p w14:paraId="51407E0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Trehalose</w:t>
            </w:r>
          </w:p>
        </w:tc>
        <w:tc>
          <w:tcPr>
            <w:tcW w:w="0" w:type="auto"/>
            <w:hideMark/>
          </w:tcPr>
          <w:p w14:paraId="322EBF2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2.5–3.0</w:t>
            </w:r>
          </w:p>
        </w:tc>
        <w:tc>
          <w:tcPr>
            <w:tcW w:w="0" w:type="auto"/>
            <w:hideMark/>
          </w:tcPr>
          <w:p w14:paraId="466856B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c>
          <w:tcPr>
            <w:tcW w:w="0" w:type="auto"/>
            <w:hideMark/>
          </w:tcPr>
          <w:p w14:paraId="2BD3ADF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1.67×</w:t>
            </w:r>
          </w:p>
        </w:tc>
      </w:tr>
      <w:tr w:rsidR="00752BFD" w:rsidRPr="00796FFD" w14:paraId="133E370C" w14:textId="77777777" w:rsidTr="00752BFD">
        <w:tc>
          <w:tcPr>
            <w:tcW w:w="0" w:type="auto"/>
            <w:hideMark/>
          </w:tcPr>
          <w:p w14:paraId="3BB3F677"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20312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Glucose</w:t>
            </w:r>
          </w:p>
        </w:tc>
        <w:tc>
          <w:tcPr>
            <w:tcW w:w="0" w:type="auto"/>
            <w:hideMark/>
          </w:tcPr>
          <w:p w14:paraId="4AD6F4A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2.2–2.8</w:t>
            </w:r>
          </w:p>
        </w:tc>
        <w:tc>
          <w:tcPr>
            <w:tcW w:w="0" w:type="auto"/>
            <w:hideMark/>
          </w:tcPr>
          <w:p w14:paraId="337566C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39F5515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1.83×</w:t>
            </w:r>
          </w:p>
        </w:tc>
      </w:tr>
      <w:tr w:rsidR="00752BFD" w:rsidRPr="00796FFD" w14:paraId="55050F04" w14:textId="77777777" w:rsidTr="00752BFD">
        <w:tc>
          <w:tcPr>
            <w:tcW w:w="0" w:type="auto"/>
            <w:hideMark/>
          </w:tcPr>
          <w:p w14:paraId="54D282ED"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2AF5A77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TCA cycle intermediates</w:t>
            </w:r>
          </w:p>
        </w:tc>
        <w:tc>
          <w:tcPr>
            <w:tcW w:w="0" w:type="auto"/>
            <w:hideMark/>
          </w:tcPr>
          <w:p w14:paraId="2D25A91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2.0–2.5</w:t>
            </w:r>
          </w:p>
        </w:tc>
        <w:tc>
          <w:tcPr>
            <w:tcW w:w="0" w:type="auto"/>
            <w:hideMark/>
          </w:tcPr>
          <w:p w14:paraId="18D4A7A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31318D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2.00×</w:t>
            </w:r>
          </w:p>
        </w:tc>
      </w:tr>
      <w:tr w:rsidR="00752BFD" w:rsidRPr="00796FFD" w14:paraId="139C648C" w14:textId="77777777" w:rsidTr="00752BFD">
        <w:tc>
          <w:tcPr>
            <w:tcW w:w="0" w:type="auto"/>
            <w:hideMark/>
          </w:tcPr>
          <w:p w14:paraId="3E1DF7D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Fatty Acids</w:t>
            </w:r>
          </w:p>
        </w:tc>
        <w:tc>
          <w:tcPr>
            <w:tcW w:w="0" w:type="auto"/>
            <w:hideMark/>
          </w:tcPr>
          <w:p w14:paraId="1EB93EA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9,12,15-Octadecatrienoic acid</w:t>
            </w:r>
          </w:p>
        </w:tc>
        <w:tc>
          <w:tcPr>
            <w:tcW w:w="0" w:type="auto"/>
            <w:hideMark/>
          </w:tcPr>
          <w:p w14:paraId="43A5872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6.51</w:t>
            </w:r>
          </w:p>
        </w:tc>
        <w:tc>
          <w:tcPr>
            <w:tcW w:w="0" w:type="auto"/>
            <w:hideMark/>
          </w:tcPr>
          <w:p w14:paraId="403FA28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44A5B4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6.51×</w:t>
            </w:r>
          </w:p>
        </w:tc>
      </w:tr>
      <w:tr w:rsidR="00752BFD" w:rsidRPr="00796FFD" w14:paraId="2D0BDBBB" w14:textId="77777777" w:rsidTr="00752BFD">
        <w:tc>
          <w:tcPr>
            <w:tcW w:w="0" w:type="auto"/>
            <w:hideMark/>
          </w:tcPr>
          <w:p w14:paraId="71CA19B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7149469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β-Sitosterol</w:t>
            </w:r>
          </w:p>
        </w:tc>
        <w:tc>
          <w:tcPr>
            <w:tcW w:w="0" w:type="auto"/>
            <w:hideMark/>
          </w:tcPr>
          <w:p w14:paraId="2324EE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c>
          <w:tcPr>
            <w:tcW w:w="0" w:type="auto"/>
            <w:hideMark/>
          </w:tcPr>
          <w:p w14:paraId="5ADBF65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386FF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2.78×</w:t>
            </w:r>
          </w:p>
        </w:tc>
      </w:tr>
      <w:tr w:rsidR="00752BFD" w:rsidRPr="00796FFD" w14:paraId="419DC584" w14:textId="77777777" w:rsidTr="00752BFD">
        <w:tc>
          <w:tcPr>
            <w:tcW w:w="0" w:type="auto"/>
            <w:hideMark/>
          </w:tcPr>
          <w:p w14:paraId="3AF951C7"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9C305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9,12-Octadecadienoic acid (</w:t>
            </w:r>
            <w:proofErr w:type="gramStart"/>
            <w:r w:rsidRPr="00796FFD">
              <w:rPr>
                <w:rFonts w:ascii="Arial" w:eastAsia="Times New Roman" w:hAnsi="Arial" w:cs="Arial"/>
                <w:sz w:val="20"/>
                <w:szCs w:val="20"/>
                <w:lang w:eastAsia="en-IN"/>
              </w:rPr>
              <w:t>Z,Z</w:t>
            </w:r>
            <w:proofErr w:type="gramEnd"/>
            <w:r w:rsidRPr="00796FFD">
              <w:rPr>
                <w:rFonts w:ascii="Arial" w:eastAsia="Times New Roman" w:hAnsi="Arial" w:cs="Arial"/>
                <w:sz w:val="20"/>
                <w:szCs w:val="20"/>
                <w:lang w:eastAsia="en-IN"/>
              </w:rPr>
              <w:t>)</w:t>
            </w:r>
          </w:p>
        </w:tc>
        <w:tc>
          <w:tcPr>
            <w:tcW w:w="0" w:type="auto"/>
            <w:hideMark/>
          </w:tcPr>
          <w:p w14:paraId="19BCA0A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1.99</w:t>
            </w:r>
          </w:p>
        </w:tc>
        <w:tc>
          <w:tcPr>
            <w:tcW w:w="0" w:type="auto"/>
            <w:hideMark/>
          </w:tcPr>
          <w:p w14:paraId="746BD6F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6823D48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1.99×</w:t>
            </w:r>
          </w:p>
        </w:tc>
      </w:tr>
      <w:tr w:rsidR="00752BFD" w:rsidRPr="00796FFD" w14:paraId="788D7A2F" w14:textId="77777777" w:rsidTr="00752BFD">
        <w:tc>
          <w:tcPr>
            <w:tcW w:w="0" w:type="auto"/>
            <w:hideMark/>
          </w:tcPr>
          <w:p w14:paraId="5CAF3DC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Organic Acids</w:t>
            </w:r>
          </w:p>
        </w:tc>
        <w:tc>
          <w:tcPr>
            <w:tcW w:w="0" w:type="auto"/>
            <w:hideMark/>
          </w:tcPr>
          <w:p w14:paraId="49E2F46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Citric acid</w:t>
            </w:r>
          </w:p>
        </w:tc>
        <w:tc>
          <w:tcPr>
            <w:tcW w:w="0" w:type="auto"/>
            <w:hideMark/>
          </w:tcPr>
          <w:p w14:paraId="22C71B3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4B6ADF5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2.5–3.5</w:t>
            </w:r>
          </w:p>
        </w:tc>
        <w:tc>
          <w:tcPr>
            <w:tcW w:w="0" w:type="auto"/>
            <w:hideMark/>
          </w:tcPr>
          <w:p w14:paraId="5E081EA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0.29×</w:t>
            </w:r>
          </w:p>
        </w:tc>
      </w:tr>
      <w:tr w:rsidR="00752BFD" w:rsidRPr="00796FFD" w14:paraId="78C5FD53" w14:textId="77777777" w:rsidTr="00752BFD">
        <w:tc>
          <w:tcPr>
            <w:tcW w:w="0" w:type="auto"/>
            <w:hideMark/>
          </w:tcPr>
          <w:p w14:paraId="669544C6"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77C48C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Urea</w:t>
            </w:r>
          </w:p>
        </w:tc>
        <w:tc>
          <w:tcPr>
            <w:tcW w:w="0" w:type="auto"/>
            <w:hideMark/>
          </w:tcPr>
          <w:p w14:paraId="45FFF25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070213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3.0–4.0</w:t>
            </w:r>
          </w:p>
        </w:tc>
        <w:tc>
          <w:tcPr>
            <w:tcW w:w="0" w:type="auto"/>
            <w:hideMark/>
          </w:tcPr>
          <w:p w14:paraId="75B9ED0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0.25×</w:t>
            </w:r>
          </w:p>
        </w:tc>
      </w:tr>
      <w:tr w:rsidR="00752BFD" w:rsidRPr="00796FFD" w14:paraId="451672EC" w14:textId="77777777" w:rsidTr="00752BFD">
        <w:tc>
          <w:tcPr>
            <w:tcW w:w="0" w:type="auto"/>
            <w:hideMark/>
          </w:tcPr>
          <w:p w14:paraId="5E9461B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Carbohydrates</w:t>
            </w:r>
          </w:p>
        </w:tc>
        <w:tc>
          <w:tcPr>
            <w:tcW w:w="0" w:type="auto"/>
            <w:hideMark/>
          </w:tcPr>
          <w:p w14:paraId="7D76BB5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D-Sorbitol</w:t>
            </w:r>
          </w:p>
        </w:tc>
        <w:tc>
          <w:tcPr>
            <w:tcW w:w="0" w:type="auto"/>
            <w:hideMark/>
          </w:tcPr>
          <w:p w14:paraId="4EFD17F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1.69</w:t>
            </w:r>
          </w:p>
        </w:tc>
        <w:tc>
          <w:tcPr>
            <w:tcW w:w="0" w:type="auto"/>
            <w:hideMark/>
          </w:tcPr>
          <w:p w14:paraId="5E8C93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51F528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1.69×</w:t>
            </w:r>
          </w:p>
        </w:tc>
      </w:tr>
      <w:tr w:rsidR="00752BFD" w:rsidRPr="00796FFD" w14:paraId="441A86A4" w14:textId="77777777" w:rsidTr="00752BFD">
        <w:tc>
          <w:tcPr>
            <w:tcW w:w="0" w:type="auto"/>
            <w:hideMark/>
          </w:tcPr>
          <w:p w14:paraId="0943A6BF"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360AD2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Myo-inositol</w:t>
            </w:r>
          </w:p>
        </w:tc>
        <w:tc>
          <w:tcPr>
            <w:tcW w:w="0" w:type="auto"/>
            <w:hideMark/>
          </w:tcPr>
          <w:p w14:paraId="2EDF7AC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1.40</w:t>
            </w:r>
          </w:p>
        </w:tc>
        <w:tc>
          <w:tcPr>
            <w:tcW w:w="0" w:type="auto"/>
            <w:hideMark/>
          </w:tcPr>
          <w:p w14:paraId="4E74D97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3C7692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1.40×</w:t>
            </w:r>
          </w:p>
        </w:tc>
      </w:tr>
      <w:tr w:rsidR="00752BFD" w:rsidRPr="00796FFD" w14:paraId="5B7A5465" w14:textId="77777777" w:rsidTr="00752BFD">
        <w:tc>
          <w:tcPr>
            <w:tcW w:w="0" w:type="auto"/>
            <w:hideMark/>
          </w:tcPr>
          <w:p w14:paraId="48AC0A55" w14:textId="77777777" w:rsidR="00752BFD" w:rsidRPr="00796FFD" w:rsidRDefault="00752BFD" w:rsidP="00752BFD">
            <w:pPr>
              <w:rPr>
                <w:rFonts w:ascii="Arial" w:eastAsia="Times New Roman" w:hAnsi="Arial" w:cs="Arial"/>
                <w:sz w:val="20"/>
                <w:szCs w:val="20"/>
                <w:lang w:eastAsia="en-IN"/>
              </w:rPr>
            </w:pPr>
          </w:p>
        </w:tc>
        <w:tc>
          <w:tcPr>
            <w:tcW w:w="0" w:type="auto"/>
            <w:hideMark/>
          </w:tcPr>
          <w:p w14:paraId="0B1547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w:t>
            </w:r>
            <w:proofErr w:type="gramStart"/>
            <w:r w:rsidRPr="00796FFD">
              <w:rPr>
                <w:rFonts w:ascii="Arial" w:eastAsia="Times New Roman" w:hAnsi="Arial" w:cs="Arial"/>
                <w:sz w:val="20"/>
                <w:szCs w:val="20"/>
                <w:lang w:eastAsia="en-IN"/>
              </w:rPr>
              <w:t>-(</w:t>
            </w:r>
            <w:proofErr w:type="gramEnd"/>
            <w:r w:rsidRPr="00796FFD">
              <w:rPr>
                <w:rFonts w:ascii="Arial" w:eastAsia="Times New Roman" w:hAnsi="Arial" w:cs="Arial"/>
                <w:sz w:val="20"/>
                <w:szCs w:val="20"/>
                <w:lang w:eastAsia="en-IN"/>
              </w:rPr>
              <w:t>–)-Fucose</w:t>
            </w:r>
          </w:p>
        </w:tc>
        <w:tc>
          <w:tcPr>
            <w:tcW w:w="0" w:type="auto"/>
            <w:hideMark/>
          </w:tcPr>
          <w:p w14:paraId="4A52C3D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2.19</w:t>
            </w:r>
          </w:p>
        </w:tc>
        <w:tc>
          <w:tcPr>
            <w:tcW w:w="0" w:type="auto"/>
            <w:hideMark/>
          </w:tcPr>
          <w:p w14:paraId="642EEE7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1.00</w:t>
            </w:r>
          </w:p>
        </w:tc>
        <w:tc>
          <w:tcPr>
            <w:tcW w:w="0" w:type="auto"/>
            <w:hideMark/>
          </w:tcPr>
          <w:p w14:paraId="777EEDE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2.19×</w:t>
            </w:r>
          </w:p>
        </w:tc>
      </w:tr>
    </w:tbl>
    <w:p w14:paraId="6B142F74" w14:textId="2920B6F8" w:rsidR="00221E84" w:rsidRPr="00796FFD" w:rsidRDefault="00752BFD" w:rsidP="005F306A">
      <w:pPr>
        <w:jc w:val="both"/>
        <w:rPr>
          <w:rFonts w:ascii="Arial" w:hAnsi="Arial" w:cs="Arial"/>
          <w:sz w:val="20"/>
          <w:szCs w:val="20"/>
        </w:rPr>
      </w:pPr>
      <w:r w:rsidRPr="00796FFD">
        <w:rPr>
          <w:rStyle w:val="Strong"/>
          <w:rFonts w:ascii="Arial" w:hAnsi="Arial" w:cs="Arial"/>
          <w:sz w:val="20"/>
          <w:szCs w:val="20"/>
        </w:rPr>
        <w:t>Source:</w:t>
      </w:r>
      <w:r w:rsidRPr="00796FFD">
        <w:rPr>
          <w:rFonts w:ascii="Arial" w:hAnsi="Arial" w:cs="Arial"/>
          <w:sz w:val="20"/>
          <w:szCs w:val="20"/>
        </w:rPr>
        <w:t xml:space="preserve"> Qin et al. (2020); Wu et al. (2024)</w:t>
      </w:r>
    </w:p>
    <w:p w14:paraId="006D74BF" w14:textId="0EEEC96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Metabolomic profiling reveals profound differences in metabolic pathways between artificial diet and mulberry leaf feeding systems (Qin et al., 2020). Essential amino acids show dramatic reductions in artificial diet-fed silkworms, with L-methionine being 12.87-fold lower and L-alanine 6.56-fold lower compared to mulberry-fed larvae. These deficiencies directly impact silk protein synthesis, as glycine, alanine, serine, and tyrosine constitute the majority of fibroin protein (</w:t>
      </w:r>
      <w:proofErr w:type="spellStart"/>
      <w:r w:rsidRPr="00796FFD">
        <w:rPr>
          <w:rFonts w:ascii="Arial" w:hAnsi="Arial" w:cs="Arial"/>
          <w:sz w:val="20"/>
          <w:szCs w:val="20"/>
        </w:rPr>
        <w:t>Rahmathulla</w:t>
      </w:r>
      <w:proofErr w:type="spellEnd"/>
      <w:r w:rsidRPr="00796FFD">
        <w:rPr>
          <w:rFonts w:ascii="Arial" w:hAnsi="Arial" w:cs="Arial"/>
          <w:sz w:val="20"/>
          <w:szCs w:val="20"/>
        </w:rPr>
        <w:t xml:space="preserve">, 2012). Energy metabolism is similarly compromised, with trehalose and glucose levels reduced by 33-45% in artificial diet-fed larvae, potentially limiting the substantial energy demands of fifth instar growth and silk spinning (Wu et al., 2024). Notably, organic acid profiles are inverted, with citric acid and urea accumulating 2.5-4.0-fold higher in artificial diet </w:t>
      </w:r>
      <w:r w:rsidR="006F1A7F" w:rsidRPr="00796FFD">
        <w:rPr>
          <w:rFonts w:ascii="Arial" w:hAnsi="Arial" w:cs="Arial"/>
          <w:sz w:val="20"/>
          <w:szCs w:val="20"/>
        </w:rPr>
        <w:t>faeces</w:t>
      </w:r>
      <w:r w:rsidRPr="00796FFD">
        <w:rPr>
          <w:rFonts w:ascii="Arial" w:hAnsi="Arial" w:cs="Arial"/>
          <w:sz w:val="20"/>
          <w:szCs w:val="20"/>
        </w:rPr>
        <w:t>, suggesting altered nitrogen metabolism and potential metabolic stress (Qin et al., 2020). The 6.51-fold reduction in 9,12,15-octadecatrienoic acid (linolenic acid) is particularly significant given that silkworms cannot synthesize this essential fatty acid de novo (Nation, 2016). These metabolic deficits provide quantitative targets for artificial diet optimization, particularly emphasizing amino acid supplementation strategies</w:t>
      </w:r>
      <w:r w:rsidR="00752BFD" w:rsidRPr="00796FFD">
        <w:rPr>
          <w:rFonts w:ascii="Arial" w:hAnsi="Arial" w:cs="Arial"/>
          <w:sz w:val="20"/>
          <w:szCs w:val="20"/>
        </w:rPr>
        <w:t xml:space="preserve"> as indicated in the table 4.</w:t>
      </w:r>
    </w:p>
    <w:p w14:paraId="022483C1"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Silkworms reared on natural mulberry leaves typically exhibit higher concentrations of essential amino acids, energy-related metabolites such as trehalose and glucose, and tricarboxylic acid (TCA) cycle intermediates. In contrast, artificial diet-fed larvae often display altered amino acid balance, modified carbohydrate metabolism, and variations in lipid composition. The absence or reduced presence of plant-derived secondary metabolites, including flavonoids and alkaloids, in artificial diets may further influence antioxidant capacity and immune responses.</w:t>
      </w:r>
    </w:p>
    <w:p w14:paraId="4DDF37B7"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Metabolomic investigations have also identified valine as a potentially limiting amino acid in artificial diet systems. Supplementation of valine has been shown to improve feed efficiency and growth performance. Similarly, phenylalanine supplementation has demonstrated growth-enhancing effects comparable to probiotic supplementation, indicating complex interactions between nutrition, metabolism, and gut microbial dynamics (Wu et al., 2024; Zhang et al., 2023).</w:t>
      </w:r>
    </w:p>
    <w:p w14:paraId="07693A1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7.3 Silk Protein Synthesis and Cocoon Formation</w:t>
      </w:r>
    </w:p>
    <w:p w14:paraId="1DE46D73" w14:textId="67180469"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Silk production represents the primary economic objective of silkworm rearing, and efficient silk protein synthesis is strongly dependent on dietary composition. The synthesis of fibroin and sericin proteins requires adequate availability of specific amino acids, particularly glycine, alanine, serine, and tyrosine, which collectively constitute the majority of fibroin protein (</w:t>
      </w:r>
      <w:proofErr w:type="spellStart"/>
      <w:r w:rsidRPr="00796FFD">
        <w:rPr>
          <w:rFonts w:ascii="Arial" w:hAnsi="Arial" w:cs="Arial"/>
          <w:sz w:val="20"/>
          <w:szCs w:val="20"/>
        </w:rPr>
        <w:t>Rahmathulla</w:t>
      </w:r>
      <w:proofErr w:type="spellEnd"/>
      <w:r w:rsidRPr="00796FFD">
        <w:rPr>
          <w:rFonts w:ascii="Arial" w:hAnsi="Arial" w:cs="Arial"/>
          <w:sz w:val="20"/>
          <w:szCs w:val="20"/>
        </w:rPr>
        <w:t>, 2012).</w:t>
      </w:r>
    </w:p>
    <w:p w14:paraId="5F478F25" w14:textId="59771C38"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lastRenderedPageBreak/>
        <w:t xml:space="preserve">Artificial diets designed for optimal silk production must therefore ensure high protein quality, with sufficient levels of non-essential amino acids preferentially incorporated into silk </w:t>
      </w:r>
      <w:r w:rsidR="00156F48" w:rsidRPr="00796FFD">
        <w:rPr>
          <w:rFonts w:ascii="Arial" w:hAnsi="Arial" w:cs="Arial"/>
          <w:sz w:val="20"/>
          <w:szCs w:val="20"/>
        </w:rPr>
        <w:t>fibres</w:t>
      </w:r>
      <w:r w:rsidRPr="00796FFD">
        <w:rPr>
          <w:rFonts w:ascii="Arial" w:hAnsi="Arial" w:cs="Arial"/>
          <w:sz w:val="20"/>
          <w:szCs w:val="20"/>
        </w:rPr>
        <w:t>. In addition, an adequate carbohydrate supply is essential to meet the substantial energy demands associated with silk spinning. Minerals such as zinc and copper also play important roles in silk gland activity and protein processing (Nation, 2016).</w:t>
      </w:r>
    </w:p>
    <w:p w14:paraId="574B6B63"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Although artificial diets are capable of supporting substantial silk production, variations in silk quality parameters such as tenacity, elongation, and </w:t>
      </w:r>
      <w:proofErr w:type="spellStart"/>
      <w:r w:rsidRPr="00796FFD">
        <w:rPr>
          <w:rFonts w:ascii="Arial" w:hAnsi="Arial" w:cs="Arial"/>
          <w:sz w:val="20"/>
          <w:szCs w:val="20"/>
        </w:rPr>
        <w:t>luster</w:t>
      </w:r>
      <w:proofErr w:type="spellEnd"/>
      <w:r w:rsidRPr="00796FFD">
        <w:rPr>
          <w:rFonts w:ascii="Arial" w:hAnsi="Arial" w:cs="Arial"/>
          <w:sz w:val="20"/>
          <w:szCs w:val="20"/>
        </w:rPr>
        <w:t xml:space="preserve"> have been reported when compared with mulberry-fed silkworms. These differences are generally attributed to variations in nutrient availability, metabolic conditions, and spinning environment during cocoon formation (Popham and Shelby, 2006).</w:t>
      </w:r>
    </w:p>
    <w:p w14:paraId="036392DB" w14:textId="77777777" w:rsidR="00221E84" w:rsidRPr="00796FFD" w:rsidRDefault="00221E84" w:rsidP="005F306A">
      <w:pPr>
        <w:jc w:val="both"/>
        <w:rPr>
          <w:rFonts w:ascii="Arial" w:hAnsi="Arial" w:cs="Arial"/>
          <w:b/>
          <w:bCs/>
          <w:sz w:val="20"/>
          <w:szCs w:val="20"/>
        </w:rPr>
      </w:pPr>
      <w:r w:rsidRPr="00796FFD">
        <w:rPr>
          <w:rFonts w:ascii="Arial" w:hAnsi="Arial" w:cs="Arial"/>
          <w:b/>
          <w:bCs/>
          <w:sz w:val="22"/>
        </w:rPr>
        <w:t>8. Disease Prevention and Aseptic Rearing</w:t>
      </w:r>
    </w:p>
    <w:p w14:paraId="1E057F8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8.1 Advantages of Artificial Diets in Disease Management</w:t>
      </w:r>
    </w:p>
    <w:p w14:paraId="53FA18B6"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diet-based rearing systems provide significant advantages in disease prevention and health management within sericulture operations (Popham and Shelby, 2006). Unlike mulberry leaves collected from field conditions, which may carry pathogenic microorganisms, pesticide residues, and environmental contaminants, artificial diets can be prepared under controlled and hygienic conditions, thereby minimizing microbial contamination.</w:t>
      </w:r>
    </w:p>
    <w:p w14:paraId="69BE34CD" w14:textId="79C3934E"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implementation of specific-pathogen-free (SPF) rearing systems has been made feasible through the use of artificial diets. Such systems enable effective control over environmental parameters and microbial exposure, thereby reducing the risk of disease transmission. The absence of contaminated natural feed sources limits both horizontal and vertical transmission of pathogens, allowing the maintenance of silkworm populations with defined health status. These advantages are particularly important in research settings where standardized experimental conditions and reproducibility are essential (Hamamoto et al., 2009). Furthermore, controlled rearing environments facilitate optimization of temperature, humidity, and sanitation practices, collectively contributing to improved larval survival and reduced disease incidence.</w:t>
      </w:r>
    </w:p>
    <w:p w14:paraId="40FC8EA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8.2 Disinfection and Sterilization Procedures</w:t>
      </w:r>
    </w:p>
    <w:p w14:paraId="33F9E2B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Successful aseptic rearing using artificial diets requires strict adherence to disinfection and sterilization protocols throughout the production cycle. Surface sterilization of silkworm eggs is commonly performed using 2-3% formaldehyde solution for a short duration, followed by thorough rinsing with sterile water. This procedure effectively eliminates surface-borne pathogens, including viral and microsporidian agents such as </w:t>
      </w:r>
      <w:r w:rsidRPr="006F1A7F">
        <w:rPr>
          <w:rFonts w:ascii="Arial" w:hAnsi="Arial" w:cs="Arial"/>
          <w:i/>
          <w:iCs/>
          <w:sz w:val="20"/>
          <w:szCs w:val="20"/>
        </w:rPr>
        <w:t>Bombyx mori</w:t>
      </w:r>
      <w:r w:rsidRPr="00796FFD">
        <w:rPr>
          <w:rFonts w:ascii="Arial" w:hAnsi="Arial" w:cs="Arial"/>
          <w:sz w:val="20"/>
          <w:szCs w:val="20"/>
        </w:rPr>
        <w:t xml:space="preserve"> cytoplasmic polyhedrosis virus (</w:t>
      </w:r>
      <w:proofErr w:type="spellStart"/>
      <w:r w:rsidRPr="00796FFD">
        <w:rPr>
          <w:rFonts w:ascii="Arial" w:hAnsi="Arial" w:cs="Arial"/>
          <w:sz w:val="20"/>
          <w:szCs w:val="20"/>
        </w:rPr>
        <w:t>BmCPV</w:t>
      </w:r>
      <w:proofErr w:type="spellEnd"/>
      <w:r w:rsidRPr="00796FFD">
        <w:rPr>
          <w:rFonts w:ascii="Arial" w:hAnsi="Arial" w:cs="Arial"/>
          <w:sz w:val="20"/>
          <w:szCs w:val="20"/>
        </w:rPr>
        <w:t xml:space="preserve">) and </w:t>
      </w:r>
      <w:r w:rsidRPr="006F1A7F">
        <w:rPr>
          <w:rFonts w:ascii="Arial" w:hAnsi="Arial" w:cs="Arial"/>
          <w:i/>
          <w:iCs/>
          <w:sz w:val="20"/>
          <w:szCs w:val="20"/>
        </w:rPr>
        <w:t xml:space="preserve">Nosema </w:t>
      </w:r>
      <w:proofErr w:type="spellStart"/>
      <w:r w:rsidRPr="006F1A7F">
        <w:rPr>
          <w:rFonts w:ascii="Arial" w:hAnsi="Arial" w:cs="Arial"/>
          <w:i/>
          <w:iCs/>
          <w:sz w:val="20"/>
          <w:szCs w:val="20"/>
        </w:rPr>
        <w:t>bombycis</w:t>
      </w:r>
      <w:proofErr w:type="spellEnd"/>
      <w:r w:rsidRPr="006F1A7F">
        <w:rPr>
          <w:rFonts w:ascii="Arial" w:hAnsi="Arial" w:cs="Arial"/>
          <w:i/>
          <w:iCs/>
          <w:sz w:val="20"/>
          <w:szCs w:val="20"/>
        </w:rPr>
        <w:t xml:space="preserve">. </w:t>
      </w:r>
      <w:r w:rsidRPr="00796FFD">
        <w:rPr>
          <w:rFonts w:ascii="Arial" w:hAnsi="Arial" w:cs="Arial"/>
          <w:sz w:val="20"/>
          <w:szCs w:val="20"/>
        </w:rPr>
        <w:t>Diet preparation also necessitates sterilization of ingredients to prevent microbial growth. Heat-based sterilization methods such as autoclaving at 121C for 15-20 minutes are widely employed, while heat-sensitive components, including vitamins and certain additives, are sterilized through filtration and incorporated after cooling. Maintenance of sterile rearing environments through the use of laminar airflow systems, sterilized equipment, and disposable containers further reduces the risk of contamination during larval handling (Hamamoto et al., 2009; Popham and Shelby, 2006).</w:t>
      </w:r>
    </w:p>
    <w:p w14:paraId="147AF02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8.3 Antibiotic and Alternative Antimicrobial Approaches</w:t>
      </w:r>
    </w:p>
    <w:p w14:paraId="4B5BDD10"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Although antibiotics may be incorporated into artificial diets to suppress microbial contamination, their routine use in commercial sericulture is generally discouraged due to economic considerations and concerns regarding antimicrobial resistance. In controlled research environments, however, antibiotics such as streptomycin may be used at regulated concentrations to maintain microbial stability (Popham and Shelby, 2006).</w:t>
      </w:r>
    </w:p>
    <w:p w14:paraId="1E3C80F0"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Recent research has increasingly focused on natural antimicrobial alternatives as sustainable substitutes for synthetic antibiotics. These include plant-derived compounds, propolis extracts, essential oils, and probiotic-derived metabolites, which exhibit antimicrobial activity while minimizing adverse environmental and resistance-related effects. Such approaches are gaining importance in the development of environmentally sustainable artificial diet systems (Selvaraj et al., 2021; Xiang et al., 2021).</w:t>
      </w:r>
    </w:p>
    <w:p w14:paraId="122B2DAA" w14:textId="77777777" w:rsidR="00221E84" w:rsidRPr="00796FFD" w:rsidRDefault="00221E84" w:rsidP="005F306A">
      <w:pPr>
        <w:jc w:val="both"/>
        <w:rPr>
          <w:rFonts w:ascii="Arial" w:hAnsi="Arial" w:cs="Arial"/>
          <w:b/>
          <w:bCs/>
          <w:sz w:val="22"/>
        </w:rPr>
      </w:pPr>
      <w:r w:rsidRPr="00796FFD">
        <w:rPr>
          <w:rFonts w:ascii="Arial" w:hAnsi="Arial" w:cs="Arial"/>
          <w:b/>
          <w:bCs/>
          <w:sz w:val="22"/>
        </w:rPr>
        <w:lastRenderedPageBreak/>
        <w:t>9. Commercial Applications and Economic Considerations</w:t>
      </w:r>
    </w:p>
    <w:p w14:paraId="1D838842"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9.1 Commercial Production Systems</w:t>
      </w:r>
    </w:p>
    <w:p w14:paraId="5A0F19F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diet-based silkworm rearing systems have been developed and implemented at varying scales across major sericulture-producing countries, particularly Japan, China, and India (Zhang et al., 2023). The extent of adoption and operational objectives differ among these regions, reflecting variations in production priorities, economic conditions, and technological advancement.</w:t>
      </w:r>
    </w:p>
    <w:p w14:paraId="10646909"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Japanese model primarily emphasizes high-quality silk production supported by advanced infrastructure and automated rearing systems. These systems focus on maintaining uniform environmental conditions and strict hygiene standards to achieve premium silk quality. In contrast, Chinese production systems generally prioritize large-scale operations and cost efficiency, incorporating locally available ingredients and moderate levels of mechanization to enhance productivity. Indian sericulture systems, on the other hand, often utilize artificial diets as a supplementary approach, mainly to overcome seasonal shortages of mulberry leaves and to support small- to medium-scale rearing operations (Datta, 2019).</w:t>
      </w:r>
    </w:p>
    <w:p w14:paraId="771E303E"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Differences among these systems are also reflected in levels of automation, production scale, disease management practices and product quality standards. Nevertheless, artificial diet technology has demonstrated considerable potential for supporting year-round production and improving operational flexibility across diverse sericultural environments.</w:t>
      </w:r>
    </w:p>
    <w:p w14:paraId="5C2DC0A5" w14:textId="77777777" w:rsidR="00752BFD" w:rsidRPr="00796FFD" w:rsidRDefault="00752BFD" w:rsidP="00752BFD">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Table 5. Economic Comparison of Artificial Diet versus Mulberry Leaf Rearing Systems</w:t>
      </w:r>
    </w:p>
    <w:tbl>
      <w:tblPr>
        <w:tblStyle w:val="TableGrid"/>
        <w:tblW w:w="0" w:type="auto"/>
        <w:tblLook w:val="04A0" w:firstRow="1" w:lastRow="0" w:firstColumn="1" w:lastColumn="0" w:noHBand="0" w:noVBand="1"/>
      </w:tblPr>
      <w:tblGrid>
        <w:gridCol w:w="2751"/>
        <w:gridCol w:w="2424"/>
        <w:gridCol w:w="2404"/>
        <w:gridCol w:w="1437"/>
      </w:tblGrid>
      <w:tr w:rsidR="00752BFD" w:rsidRPr="00796FFD" w14:paraId="52119F6B" w14:textId="77777777" w:rsidTr="00752BFD">
        <w:tc>
          <w:tcPr>
            <w:tcW w:w="0" w:type="auto"/>
            <w:hideMark/>
          </w:tcPr>
          <w:p w14:paraId="6244592C"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Cost Component</w:t>
            </w:r>
          </w:p>
        </w:tc>
        <w:tc>
          <w:tcPr>
            <w:tcW w:w="0" w:type="auto"/>
            <w:hideMark/>
          </w:tcPr>
          <w:p w14:paraId="731DE804"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Mulberry Leaf System (USD/1000 larvae)</w:t>
            </w:r>
          </w:p>
        </w:tc>
        <w:tc>
          <w:tcPr>
            <w:tcW w:w="0" w:type="auto"/>
            <w:hideMark/>
          </w:tcPr>
          <w:p w14:paraId="5D5AC508"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Artificial Diet System (USD/1000 larvae)</w:t>
            </w:r>
          </w:p>
        </w:tc>
        <w:tc>
          <w:tcPr>
            <w:tcW w:w="0" w:type="auto"/>
            <w:hideMark/>
          </w:tcPr>
          <w:p w14:paraId="7E45AD2D" w14:textId="77777777" w:rsidR="00752BFD" w:rsidRPr="00796FFD" w:rsidRDefault="00752BFD" w:rsidP="00752BFD">
            <w:pPr>
              <w:jc w:val="center"/>
              <w:rPr>
                <w:rFonts w:ascii="Arial" w:eastAsia="Times New Roman" w:hAnsi="Arial" w:cs="Arial"/>
                <w:b/>
                <w:bCs/>
                <w:sz w:val="20"/>
                <w:szCs w:val="20"/>
                <w:lang w:eastAsia="en-IN"/>
              </w:rPr>
            </w:pPr>
            <w:r w:rsidRPr="00796FFD">
              <w:rPr>
                <w:rFonts w:ascii="Arial" w:eastAsia="Times New Roman" w:hAnsi="Arial" w:cs="Arial"/>
                <w:b/>
                <w:bCs/>
                <w:sz w:val="20"/>
                <w:szCs w:val="20"/>
                <w:lang w:eastAsia="en-IN"/>
              </w:rPr>
              <w:t>Cost Ratio (AD/ML)</w:t>
            </w:r>
          </w:p>
        </w:tc>
      </w:tr>
      <w:tr w:rsidR="00752BFD" w:rsidRPr="00796FFD" w14:paraId="43B83FB7" w14:textId="77777777" w:rsidTr="00752BFD">
        <w:tc>
          <w:tcPr>
            <w:tcW w:w="0" w:type="auto"/>
            <w:hideMark/>
          </w:tcPr>
          <w:p w14:paraId="091DA05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Feed ingredients</w:t>
            </w:r>
          </w:p>
        </w:tc>
        <w:tc>
          <w:tcPr>
            <w:tcW w:w="0" w:type="auto"/>
            <w:hideMark/>
          </w:tcPr>
          <w:p w14:paraId="509C121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0E6F3EA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12–18</w:t>
            </w:r>
          </w:p>
        </w:tc>
        <w:tc>
          <w:tcPr>
            <w:tcW w:w="0" w:type="auto"/>
            <w:hideMark/>
          </w:tcPr>
          <w:p w14:paraId="5CC319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r>
      <w:tr w:rsidR="00752BFD" w:rsidRPr="00796FFD" w14:paraId="137CCC51" w14:textId="77777777" w:rsidTr="00752BFD">
        <w:tc>
          <w:tcPr>
            <w:tcW w:w="0" w:type="auto"/>
            <w:hideMark/>
          </w:tcPr>
          <w:p w14:paraId="0E7135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Mulberry leaf powder</w:t>
            </w:r>
          </w:p>
        </w:tc>
        <w:tc>
          <w:tcPr>
            <w:tcW w:w="0" w:type="auto"/>
            <w:hideMark/>
          </w:tcPr>
          <w:p w14:paraId="28140BE6"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24194C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79A6EA7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44B3E00B" w14:textId="77777777" w:rsidTr="00752BFD">
        <w:tc>
          <w:tcPr>
            <w:tcW w:w="0" w:type="auto"/>
            <w:hideMark/>
          </w:tcPr>
          <w:p w14:paraId="35B6FC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Protein supplements (soybean/fish meal)</w:t>
            </w:r>
          </w:p>
        </w:tc>
        <w:tc>
          <w:tcPr>
            <w:tcW w:w="0" w:type="auto"/>
            <w:hideMark/>
          </w:tcPr>
          <w:p w14:paraId="47F5C98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3B4219B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w:t>
            </w:r>
          </w:p>
        </w:tc>
        <w:tc>
          <w:tcPr>
            <w:tcW w:w="0" w:type="auto"/>
            <w:hideMark/>
          </w:tcPr>
          <w:p w14:paraId="71E04B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9F3D9BB" w14:textId="77777777" w:rsidTr="00752BFD">
        <w:tc>
          <w:tcPr>
            <w:tcW w:w="0" w:type="auto"/>
            <w:hideMark/>
          </w:tcPr>
          <w:p w14:paraId="43A6E15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Carbohydrate sources</w:t>
            </w:r>
          </w:p>
        </w:tc>
        <w:tc>
          <w:tcPr>
            <w:tcW w:w="0" w:type="auto"/>
            <w:hideMark/>
          </w:tcPr>
          <w:p w14:paraId="741F63D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3458FB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1–2</w:t>
            </w:r>
          </w:p>
        </w:tc>
        <w:tc>
          <w:tcPr>
            <w:tcW w:w="0" w:type="auto"/>
            <w:hideMark/>
          </w:tcPr>
          <w:p w14:paraId="4EA70EE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00D9ACD1" w14:textId="77777777" w:rsidTr="00752BFD">
        <w:tc>
          <w:tcPr>
            <w:tcW w:w="0" w:type="auto"/>
            <w:hideMark/>
          </w:tcPr>
          <w:p w14:paraId="1AF4DA0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Vitamin–mineral premixes</w:t>
            </w:r>
          </w:p>
        </w:tc>
        <w:tc>
          <w:tcPr>
            <w:tcW w:w="0" w:type="auto"/>
            <w:hideMark/>
          </w:tcPr>
          <w:p w14:paraId="3E5C815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DDA3DF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2–3</w:t>
            </w:r>
          </w:p>
        </w:tc>
        <w:tc>
          <w:tcPr>
            <w:tcW w:w="0" w:type="auto"/>
            <w:hideMark/>
          </w:tcPr>
          <w:p w14:paraId="3889283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6025ADD0" w14:textId="77777777" w:rsidTr="00752BFD">
        <w:tc>
          <w:tcPr>
            <w:tcW w:w="0" w:type="auto"/>
            <w:hideMark/>
          </w:tcPr>
          <w:p w14:paraId="39C77C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Gelling agents (agar/carrageenan)</w:t>
            </w:r>
          </w:p>
        </w:tc>
        <w:tc>
          <w:tcPr>
            <w:tcW w:w="0" w:type="auto"/>
            <w:hideMark/>
          </w:tcPr>
          <w:p w14:paraId="350706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69872E1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02004A0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62D5E180" w14:textId="77777777" w:rsidTr="00752BFD">
        <w:tc>
          <w:tcPr>
            <w:tcW w:w="0" w:type="auto"/>
            <w:hideMark/>
          </w:tcPr>
          <w:p w14:paraId="2089DD4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Labor costs</w:t>
            </w:r>
          </w:p>
        </w:tc>
        <w:tc>
          <w:tcPr>
            <w:tcW w:w="0" w:type="auto"/>
            <w:hideMark/>
          </w:tcPr>
          <w:p w14:paraId="63FAE0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2A717A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5E7C550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0.4–0.6</w:t>
            </w:r>
          </w:p>
        </w:tc>
      </w:tr>
      <w:tr w:rsidR="00752BFD" w:rsidRPr="00796FFD" w14:paraId="55B0ADD8" w14:textId="77777777" w:rsidTr="00752BFD">
        <w:tc>
          <w:tcPr>
            <w:tcW w:w="0" w:type="auto"/>
            <w:hideMark/>
          </w:tcPr>
          <w:p w14:paraId="4238D90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Leaf harvesting/plucking</w:t>
            </w:r>
          </w:p>
        </w:tc>
        <w:tc>
          <w:tcPr>
            <w:tcW w:w="0" w:type="auto"/>
            <w:hideMark/>
          </w:tcPr>
          <w:p w14:paraId="19EB6A4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8–12</w:t>
            </w:r>
          </w:p>
        </w:tc>
        <w:tc>
          <w:tcPr>
            <w:tcW w:w="0" w:type="auto"/>
            <w:hideMark/>
          </w:tcPr>
          <w:p w14:paraId="7758826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199073A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217DF5DC" w14:textId="77777777" w:rsidTr="00752BFD">
        <w:tc>
          <w:tcPr>
            <w:tcW w:w="0" w:type="auto"/>
            <w:hideMark/>
          </w:tcPr>
          <w:p w14:paraId="760A26C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 xml:space="preserve">Feeding frequency (daily </w:t>
            </w:r>
            <w:proofErr w:type="spellStart"/>
            <w:r w:rsidRPr="00796FFD">
              <w:rPr>
                <w:rFonts w:ascii="Arial" w:eastAsia="Times New Roman" w:hAnsi="Arial" w:cs="Arial"/>
                <w:sz w:val="20"/>
                <w:szCs w:val="20"/>
                <w:lang w:eastAsia="en-IN"/>
              </w:rPr>
              <w:t>labor</w:t>
            </w:r>
            <w:proofErr w:type="spellEnd"/>
            <w:r w:rsidRPr="00796FFD">
              <w:rPr>
                <w:rFonts w:ascii="Arial" w:eastAsia="Times New Roman" w:hAnsi="Arial" w:cs="Arial"/>
                <w:sz w:val="20"/>
                <w:szCs w:val="20"/>
                <w:lang w:eastAsia="en-IN"/>
              </w:rPr>
              <w:t>)</w:t>
            </w:r>
          </w:p>
        </w:tc>
        <w:tc>
          <w:tcPr>
            <w:tcW w:w="0" w:type="auto"/>
            <w:hideMark/>
          </w:tcPr>
          <w:p w14:paraId="7E7FD04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08652D9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2C93144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2102D8D" w14:textId="77777777" w:rsidTr="00752BFD">
        <w:tc>
          <w:tcPr>
            <w:tcW w:w="0" w:type="auto"/>
            <w:hideMark/>
          </w:tcPr>
          <w:p w14:paraId="784DBB6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Infrastructure investment</w:t>
            </w:r>
          </w:p>
        </w:tc>
        <w:tc>
          <w:tcPr>
            <w:tcW w:w="0" w:type="auto"/>
            <w:hideMark/>
          </w:tcPr>
          <w:p w14:paraId="591A7CD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6834F1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15–25</w:t>
            </w:r>
          </w:p>
        </w:tc>
        <w:tc>
          <w:tcPr>
            <w:tcW w:w="0" w:type="auto"/>
            <w:hideMark/>
          </w:tcPr>
          <w:p w14:paraId="5217B1E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1.5–3.0</w:t>
            </w:r>
          </w:p>
        </w:tc>
      </w:tr>
      <w:tr w:rsidR="00752BFD" w:rsidRPr="00796FFD" w14:paraId="7D679572" w14:textId="77777777" w:rsidTr="00752BFD">
        <w:tc>
          <w:tcPr>
            <w:tcW w:w="0" w:type="auto"/>
            <w:hideMark/>
          </w:tcPr>
          <w:p w14:paraId="71B05D2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Rearing house construction</w:t>
            </w:r>
          </w:p>
        </w:tc>
        <w:tc>
          <w:tcPr>
            <w:tcW w:w="0" w:type="auto"/>
            <w:hideMark/>
          </w:tcPr>
          <w:p w14:paraId="15F18BD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3–5</w:t>
            </w:r>
          </w:p>
        </w:tc>
        <w:tc>
          <w:tcPr>
            <w:tcW w:w="0" w:type="auto"/>
            <w:hideMark/>
          </w:tcPr>
          <w:p w14:paraId="6E8E6A4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5–8</w:t>
            </w:r>
          </w:p>
        </w:tc>
        <w:tc>
          <w:tcPr>
            <w:tcW w:w="0" w:type="auto"/>
            <w:hideMark/>
          </w:tcPr>
          <w:p w14:paraId="6890285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129593A" w14:textId="77777777" w:rsidTr="00752BFD">
        <w:tc>
          <w:tcPr>
            <w:tcW w:w="0" w:type="auto"/>
            <w:hideMark/>
          </w:tcPr>
          <w:p w14:paraId="09DD377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Sterilization equipment</w:t>
            </w:r>
          </w:p>
        </w:tc>
        <w:tc>
          <w:tcPr>
            <w:tcW w:w="0" w:type="auto"/>
            <w:hideMark/>
          </w:tcPr>
          <w:p w14:paraId="06A4BBC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78C561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5–10</w:t>
            </w:r>
          </w:p>
        </w:tc>
        <w:tc>
          <w:tcPr>
            <w:tcW w:w="0" w:type="auto"/>
            <w:hideMark/>
          </w:tcPr>
          <w:p w14:paraId="473902B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5871674C" w14:textId="77777777" w:rsidTr="00752BFD">
        <w:tc>
          <w:tcPr>
            <w:tcW w:w="0" w:type="auto"/>
            <w:hideMark/>
          </w:tcPr>
          <w:p w14:paraId="5A50FBD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Environmental control systems</w:t>
            </w:r>
          </w:p>
        </w:tc>
        <w:tc>
          <w:tcPr>
            <w:tcW w:w="0" w:type="auto"/>
            <w:hideMark/>
          </w:tcPr>
          <w:p w14:paraId="6FDAEF1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2–5</w:t>
            </w:r>
          </w:p>
        </w:tc>
        <w:tc>
          <w:tcPr>
            <w:tcW w:w="0" w:type="auto"/>
            <w:hideMark/>
          </w:tcPr>
          <w:p w14:paraId="3D12A90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5–7</w:t>
            </w:r>
          </w:p>
        </w:tc>
        <w:tc>
          <w:tcPr>
            <w:tcW w:w="0" w:type="auto"/>
            <w:hideMark/>
          </w:tcPr>
          <w:p w14:paraId="0FEB7EF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0BB6F14" w14:textId="77777777" w:rsidTr="00752BFD">
        <w:tc>
          <w:tcPr>
            <w:tcW w:w="0" w:type="auto"/>
            <w:hideMark/>
          </w:tcPr>
          <w:p w14:paraId="1194AB9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Disease management</w:t>
            </w:r>
          </w:p>
        </w:tc>
        <w:tc>
          <w:tcPr>
            <w:tcW w:w="0" w:type="auto"/>
            <w:hideMark/>
          </w:tcPr>
          <w:p w14:paraId="0F87D005"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3–6</w:t>
            </w:r>
          </w:p>
        </w:tc>
        <w:tc>
          <w:tcPr>
            <w:tcW w:w="0" w:type="auto"/>
            <w:hideMark/>
          </w:tcPr>
          <w:p w14:paraId="6844159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1–3</w:t>
            </w:r>
          </w:p>
        </w:tc>
        <w:tc>
          <w:tcPr>
            <w:tcW w:w="0" w:type="auto"/>
            <w:hideMark/>
          </w:tcPr>
          <w:p w14:paraId="16FC865E"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0.2–0.5</w:t>
            </w:r>
          </w:p>
        </w:tc>
      </w:tr>
      <w:tr w:rsidR="00752BFD" w:rsidRPr="00796FFD" w14:paraId="17F968CC" w14:textId="77777777" w:rsidTr="00752BFD">
        <w:tc>
          <w:tcPr>
            <w:tcW w:w="0" w:type="auto"/>
            <w:hideMark/>
          </w:tcPr>
          <w:p w14:paraId="61A1558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Pesticide application</w:t>
            </w:r>
          </w:p>
        </w:tc>
        <w:tc>
          <w:tcPr>
            <w:tcW w:w="0" w:type="auto"/>
            <w:hideMark/>
          </w:tcPr>
          <w:p w14:paraId="055B71F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2–4</w:t>
            </w:r>
          </w:p>
        </w:tc>
        <w:tc>
          <w:tcPr>
            <w:tcW w:w="0" w:type="auto"/>
            <w:hideMark/>
          </w:tcPr>
          <w:p w14:paraId="202FDA9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66E2704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7E3978A1" w14:textId="77777777" w:rsidTr="00752BFD">
        <w:tc>
          <w:tcPr>
            <w:tcW w:w="0" w:type="auto"/>
            <w:hideMark/>
          </w:tcPr>
          <w:p w14:paraId="56362543"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Probiotic supplementation</w:t>
            </w:r>
          </w:p>
        </w:tc>
        <w:tc>
          <w:tcPr>
            <w:tcW w:w="0" w:type="auto"/>
            <w:hideMark/>
          </w:tcPr>
          <w:p w14:paraId="76405C4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c>
          <w:tcPr>
            <w:tcW w:w="0" w:type="auto"/>
            <w:hideMark/>
          </w:tcPr>
          <w:p w14:paraId="1E21AB19"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1–3</w:t>
            </w:r>
          </w:p>
        </w:tc>
        <w:tc>
          <w:tcPr>
            <w:tcW w:w="0" w:type="auto"/>
            <w:hideMark/>
          </w:tcPr>
          <w:p w14:paraId="0CADAFA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w:t>
            </w:r>
          </w:p>
        </w:tc>
      </w:tr>
      <w:tr w:rsidR="00752BFD" w:rsidRPr="00796FFD" w14:paraId="3A7DE765" w14:textId="77777777" w:rsidTr="00752BFD">
        <w:tc>
          <w:tcPr>
            <w:tcW w:w="0" w:type="auto"/>
            <w:hideMark/>
          </w:tcPr>
          <w:p w14:paraId="7DD5B132"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Total operational costs</w:t>
            </w:r>
          </w:p>
        </w:tc>
        <w:tc>
          <w:tcPr>
            <w:tcW w:w="0" w:type="auto"/>
            <w:hideMark/>
          </w:tcPr>
          <w:p w14:paraId="09FBBCFC"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31–53</w:t>
            </w:r>
          </w:p>
        </w:tc>
        <w:tc>
          <w:tcPr>
            <w:tcW w:w="0" w:type="auto"/>
            <w:hideMark/>
          </w:tcPr>
          <w:p w14:paraId="198DBFB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36–58</w:t>
            </w:r>
          </w:p>
        </w:tc>
        <w:tc>
          <w:tcPr>
            <w:tcW w:w="0" w:type="auto"/>
            <w:hideMark/>
          </w:tcPr>
          <w:p w14:paraId="6E01148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0.9–1.3</w:t>
            </w:r>
          </w:p>
        </w:tc>
      </w:tr>
      <w:tr w:rsidR="00752BFD" w:rsidRPr="00796FFD" w14:paraId="4AAF25A6" w14:textId="77777777" w:rsidTr="00752BFD">
        <w:tc>
          <w:tcPr>
            <w:tcW w:w="0" w:type="auto"/>
            <w:hideMark/>
          </w:tcPr>
          <w:p w14:paraId="0B22F1E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Production output value</w:t>
            </w:r>
          </w:p>
        </w:tc>
        <w:tc>
          <w:tcPr>
            <w:tcW w:w="0" w:type="auto"/>
            <w:hideMark/>
          </w:tcPr>
          <w:p w14:paraId="56A5CC3B"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45–65</w:t>
            </w:r>
          </w:p>
        </w:tc>
        <w:tc>
          <w:tcPr>
            <w:tcW w:w="0" w:type="auto"/>
            <w:hideMark/>
          </w:tcPr>
          <w:p w14:paraId="3198D39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40–60</w:t>
            </w:r>
          </w:p>
        </w:tc>
        <w:tc>
          <w:tcPr>
            <w:tcW w:w="0" w:type="auto"/>
            <w:hideMark/>
          </w:tcPr>
          <w:p w14:paraId="4EF93D3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0.8–1.0</w:t>
            </w:r>
          </w:p>
        </w:tc>
      </w:tr>
      <w:tr w:rsidR="00752BFD" w:rsidRPr="00796FFD" w14:paraId="0CF65BB1" w14:textId="77777777" w:rsidTr="00752BFD">
        <w:tc>
          <w:tcPr>
            <w:tcW w:w="0" w:type="auto"/>
            <w:hideMark/>
          </w:tcPr>
          <w:p w14:paraId="3C443F00"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Net economic efficiency</w:t>
            </w:r>
          </w:p>
        </w:tc>
        <w:tc>
          <w:tcPr>
            <w:tcW w:w="0" w:type="auto"/>
            <w:hideMark/>
          </w:tcPr>
          <w:p w14:paraId="2131B9D8"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1.0–1.5</w:t>
            </w:r>
          </w:p>
        </w:tc>
        <w:tc>
          <w:tcPr>
            <w:tcW w:w="0" w:type="auto"/>
            <w:hideMark/>
          </w:tcPr>
          <w:p w14:paraId="0BB35AF4"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0.9–1.4</w:t>
            </w:r>
          </w:p>
        </w:tc>
        <w:tc>
          <w:tcPr>
            <w:tcW w:w="0" w:type="auto"/>
            <w:hideMark/>
          </w:tcPr>
          <w:p w14:paraId="7AB5010D"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0.7–1.0</w:t>
            </w:r>
          </w:p>
        </w:tc>
      </w:tr>
      <w:tr w:rsidR="00752BFD" w:rsidRPr="00796FFD" w14:paraId="26E307BA" w14:textId="77777777" w:rsidTr="00752BFD">
        <w:tc>
          <w:tcPr>
            <w:tcW w:w="0" w:type="auto"/>
            <w:hideMark/>
          </w:tcPr>
          <w:p w14:paraId="62285477"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b/>
                <w:bCs/>
                <w:sz w:val="20"/>
                <w:szCs w:val="20"/>
                <w:lang w:eastAsia="en-IN"/>
              </w:rPr>
              <w:t>Year-round production capacity</w:t>
            </w:r>
          </w:p>
        </w:tc>
        <w:tc>
          <w:tcPr>
            <w:tcW w:w="0" w:type="auto"/>
            <w:hideMark/>
          </w:tcPr>
          <w:p w14:paraId="403D37CA"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Seasonal (6–8 months)</w:t>
            </w:r>
          </w:p>
        </w:tc>
        <w:tc>
          <w:tcPr>
            <w:tcW w:w="0" w:type="auto"/>
            <w:hideMark/>
          </w:tcPr>
          <w:p w14:paraId="07922311"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Continuous (12 months)</w:t>
            </w:r>
          </w:p>
        </w:tc>
        <w:tc>
          <w:tcPr>
            <w:tcW w:w="0" w:type="auto"/>
            <w:hideMark/>
          </w:tcPr>
          <w:p w14:paraId="0C57FF1F" w14:textId="77777777" w:rsidR="00752BFD" w:rsidRPr="00796FFD" w:rsidRDefault="00752BFD" w:rsidP="00752BFD">
            <w:pPr>
              <w:rPr>
                <w:rFonts w:ascii="Arial" w:eastAsia="Times New Roman" w:hAnsi="Arial" w:cs="Arial"/>
                <w:sz w:val="20"/>
                <w:szCs w:val="20"/>
                <w:lang w:eastAsia="en-IN"/>
              </w:rPr>
            </w:pPr>
            <w:r w:rsidRPr="00796FFD">
              <w:rPr>
                <w:rFonts w:ascii="Arial" w:eastAsia="Times New Roman" w:hAnsi="Arial" w:cs="Arial"/>
                <w:sz w:val="20"/>
                <w:szCs w:val="20"/>
                <w:lang w:eastAsia="en-IN"/>
              </w:rPr>
              <w:t>1.5–2.0×</w:t>
            </w:r>
          </w:p>
        </w:tc>
      </w:tr>
    </w:tbl>
    <w:p w14:paraId="60EBEBC6" w14:textId="498286F4" w:rsidR="00752BFD" w:rsidRPr="00156F48" w:rsidRDefault="00752BFD" w:rsidP="00156F48">
      <w:pPr>
        <w:spacing w:before="100" w:beforeAutospacing="1" w:after="100" w:afterAutospacing="1" w:line="240" w:lineRule="auto"/>
        <w:rPr>
          <w:rFonts w:ascii="Arial" w:eastAsia="Times New Roman" w:hAnsi="Arial" w:cs="Arial"/>
          <w:sz w:val="20"/>
          <w:szCs w:val="20"/>
          <w:lang w:eastAsia="en-IN"/>
        </w:rPr>
      </w:pPr>
      <w:r w:rsidRPr="00796FFD">
        <w:rPr>
          <w:rFonts w:ascii="Arial" w:eastAsia="Times New Roman" w:hAnsi="Arial" w:cs="Arial"/>
          <w:b/>
          <w:bCs/>
          <w:sz w:val="20"/>
          <w:szCs w:val="20"/>
          <w:lang w:eastAsia="en-IN"/>
        </w:rPr>
        <w:t>Sources:</w:t>
      </w:r>
      <w:r w:rsidRPr="00796FFD">
        <w:rPr>
          <w:rFonts w:ascii="Arial" w:eastAsia="Times New Roman" w:hAnsi="Arial" w:cs="Arial"/>
          <w:sz w:val="20"/>
          <w:szCs w:val="20"/>
          <w:lang w:eastAsia="en-IN"/>
        </w:rPr>
        <w:t xml:space="preserve"> Hamamura (2001); Popham and Shelby (2006); Goldsmith et al. (2005); Hamamoto et al. (2009); Nation (2016); Datta (2019); Selvaraj et al. (2021); </w:t>
      </w:r>
      <w:proofErr w:type="spellStart"/>
      <w:r w:rsidRPr="00796FFD">
        <w:rPr>
          <w:rFonts w:ascii="Arial" w:eastAsia="Times New Roman" w:hAnsi="Arial" w:cs="Arial"/>
          <w:sz w:val="20"/>
          <w:szCs w:val="20"/>
          <w:lang w:eastAsia="en-IN"/>
        </w:rPr>
        <w:t>Fapetu</w:t>
      </w:r>
      <w:proofErr w:type="spellEnd"/>
      <w:r w:rsidRPr="00796FFD">
        <w:rPr>
          <w:rFonts w:ascii="Arial" w:eastAsia="Times New Roman" w:hAnsi="Arial" w:cs="Arial"/>
          <w:sz w:val="20"/>
          <w:szCs w:val="20"/>
          <w:lang w:eastAsia="en-IN"/>
        </w:rPr>
        <w:t xml:space="preserve"> et al. (2024)</w:t>
      </w:r>
    </w:p>
    <w:p w14:paraId="659659E8" w14:textId="1506E135"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Economic analysis reveals that artificial diet systems require 50-150% higher initial infrastructure investment compared to traditional mulberry cultivation, primarily due to sterilization </w:t>
      </w:r>
      <w:r w:rsidRPr="00796FFD">
        <w:rPr>
          <w:rFonts w:ascii="Arial" w:hAnsi="Arial" w:cs="Arial"/>
          <w:sz w:val="20"/>
          <w:szCs w:val="20"/>
        </w:rPr>
        <w:lastRenderedPageBreak/>
        <w:t xml:space="preserve">equipment and environmental control systems (Datta, 2019). However, feed ingredient costs show regional variation, with artificial diets costing 20-50% more per 1000 larvae, though </w:t>
      </w:r>
      <w:r w:rsidR="006F1A7F" w:rsidRPr="00796FFD">
        <w:rPr>
          <w:rFonts w:ascii="Arial" w:hAnsi="Arial" w:cs="Arial"/>
          <w:sz w:val="20"/>
          <w:szCs w:val="20"/>
        </w:rPr>
        <w:t>these differential narrows</w:t>
      </w:r>
      <w:r w:rsidRPr="00796FFD">
        <w:rPr>
          <w:rFonts w:ascii="Arial" w:hAnsi="Arial" w:cs="Arial"/>
          <w:sz w:val="20"/>
          <w:szCs w:val="20"/>
        </w:rPr>
        <w:t xml:space="preserve"> when accounting for year-round production capability. Labor costs are substantially reduced (40-60% lower) in artificial diet systems due to elimination of leaf harvesting and reduced feeding frequencies (Hamamura, 2001). Disease management costs decrease by 50-80% due to controlled rearing environments and reduced pesticide requirements (Popham and Shelby, 2006). When normalized for year-round production capacity, artificial diet systems demonstrate 1.5-2.0x higher annual output potential, effectively offsetting higher per-cycle costs (Datta, 2019). The integration of probiotic supplementation adds 1-3 USD per 1000 larvae but generates 8-18% improvements in cocoon yield, improving overall economic returns (Selvaraj et al., 2021). Net economic efficiency ratios approach parity between systems when optimized, though artificial diets provide greater production stability and risk mitigation against seasonal leaf shortages</w:t>
      </w:r>
      <w:r w:rsidR="00752BFD" w:rsidRPr="00796FFD">
        <w:rPr>
          <w:rFonts w:ascii="Arial" w:hAnsi="Arial" w:cs="Arial"/>
          <w:sz w:val="20"/>
          <w:szCs w:val="20"/>
        </w:rPr>
        <w:t xml:space="preserve"> as indicated in the table 5.</w:t>
      </w:r>
    </w:p>
    <w:p w14:paraId="540409E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9.2 Economic Feasibility and Cost Components</w:t>
      </w:r>
    </w:p>
    <w:p w14:paraId="39FC969F"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The economic viability of artificial diet rearing is influenced by several interrelated factors, including ingredient costs, labour requirements, infrastructure investment, and market demand for silk products (Hamamura, 2001). Major cost components include mulberry leaf powder, protein sources such as soybean meal or fish meal, carbohydrate sources, vitamin and mineral premixes, and gelling agents such as agar. Processing costs associated with mixing, sterilization, and diet preparation also contribute significantly to overall expenditure. Although artificial diet systems typically require higher initial investment due to infrastructure and equipment requirements, operational costs may be reduced through decreased </w:t>
      </w:r>
      <w:proofErr w:type="spellStart"/>
      <w:r w:rsidRPr="00796FFD">
        <w:rPr>
          <w:rFonts w:ascii="Arial" w:hAnsi="Arial" w:cs="Arial"/>
          <w:sz w:val="20"/>
          <w:szCs w:val="20"/>
        </w:rPr>
        <w:t>labor</w:t>
      </w:r>
      <w:proofErr w:type="spellEnd"/>
      <w:r w:rsidRPr="00796FFD">
        <w:rPr>
          <w:rFonts w:ascii="Arial" w:hAnsi="Arial" w:cs="Arial"/>
          <w:sz w:val="20"/>
          <w:szCs w:val="20"/>
        </w:rPr>
        <w:t xml:space="preserve"> demand and elimination of expenses related to mulberry cultivation and leaf harvesting. However, the relatively high cost of specialized ingredients, particularly agar and micronutrient supplements, continues to limit widespread adoption in commercial silk production (Selvaraj et al., 2021).</w:t>
      </w:r>
    </w:p>
    <w:p w14:paraId="2A2B11F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Economic feasibility therefore depends largely on the development of cost-effective formulations utilizing locally available raw materials without compromising nutritional quality or silkworm performance.</w:t>
      </w:r>
    </w:p>
    <w:p w14:paraId="515D70D9"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9.3 Research and Biomedical Applications</w:t>
      </w:r>
    </w:p>
    <w:p w14:paraId="08BF042F"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Beyond traditional silk production, artificial diets have expanded the role of silkworms as valuable experimental models in biomedical and biotechnological research (Hamamoto et al., 2009; Popham and Shelby, 2006). Artificial diet-based rearing enables the maintenance of standardized and pathogen-free experimental populations, which is essential for reproducible scientific studies.</w:t>
      </w:r>
    </w:p>
    <w:p w14:paraId="2310404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Silkworms have increasingly been employed as in vivo models for studying infectious diseases, evaluating antimicrobial agents, and investigating host-pathogen interactions involving microorganisms such as </w:t>
      </w:r>
      <w:r w:rsidRPr="006F1A7F">
        <w:rPr>
          <w:rFonts w:ascii="Arial" w:hAnsi="Arial" w:cs="Arial"/>
          <w:i/>
          <w:iCs/>
          <w:sz w:val="20"/>
          <w:szCs w:val="20"/>
        </w:rPr>
        <w:t>Staphylococcus aureus</w:t>
      </w:r>
      <w:r w:rsidRPr="00796FFD">
        <w:rPr>
          <w:rFonts w:ascii="Arial" w:hAnsi="Arial" w:cs="Arial"/>
          <w:sz w:val="20"/>
          <w:szCs w:val="20"/>
        </w:rPr>
        <w:t xml:space="preserve">, </w:t>
      </w:r>
      <w:r w:rsidRPr="006F1A7F">
        <w:rPr>
          <w:rFonts w:ascii="Arial" w:hAnsi="Arial" w:cs="Arial"/>
          <w:i/>
          <w:iCs/>
          <w:sz w:val="20"/>
          <w:szCs w:val="20"/>
        </w:rPr>
        <w:t>Pseudomonas aeruginosa</w:t>
      </w:r>
      <w:r w:rsidRPr="00796FFD">
        <w:rPr>
          <w:rFonts w:ascii="Arial" w:hAnsi="Arial" w:cs="Arial"/>
          <w:sz w:val="20"/>
          <w:szCs w:val="20"/>
        </w:rPr>
        <w:t xml:space="preserve">, and </w:t>
      </w:r>
      <w:r w:rsidRPr="006F1A7F">
        <w:rPr>
          <w:rFonts w:ascii="Arial" w:hAnsi="Arial" w:cs="Arial"/>
          <w:i/>
          <w:iCs/>
          <w:sz w:val="20"/>
          <w:szCs w:val="20"/>
        </w:rPr>
        <w:t>Candida albicans</w:t>
      </w:r>
      <w:r w:rsidRPr="00796FFD">
        <w:rPr>
          <w:rFonts w:ascii="Arial" w:hAnsi="Arial" w:cs="Arial"/>
          <w:sz w:val="20"/>
          <w:szCs w:val="20"/>
        </w:rPr>
        <w:t>. Additionally, artificial diet systems facilitate drug screening studies by providing consistent experimental conditions and reducing biological variability (Hamamoto et al., 2009).</w:t>
      </w:r>
    </w:p>
    <w:p w14:paraId="417E253A"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Furthermore, the maintenance of transgenic silkworm lines for recombinant protein production has been made feasible through artificial diet rearing. These applications extend the economic and scientific significance of artificial diets beyond sericulture, positioning silkworms as versatile biological platforms in pharmaceutical and industrial biotechnology research.</w:t>
      </w:r>
    </w:p>
    <w:p w14:paraId="1F670893" w14:textId="77777777" w:rsidR="00221E84" w:rsidRPr="00796FFD" w:rsidRDefault="00221E84" w:rsidP="005F306A">
      <w:pPr>
        <w:jc w:val="both"/>
        <w:rPr>
          <w:rFonts w:ascii="Arial" w:hAnsi="Arial" w:cs="Arial"/>
          <w:b/>
          <w:bCs/>
          <w:sz w:val="22"/>
        </w:rPr>
      </w:pPr>
      <w:r w:rsidRPr="00796FFD">
        <w:rPr>
          <w:rFonts w:ascii="Arial" w:hAnsi="Arial" w:cs="Arial"/>
          <w:b/>
          <w:bCs/>
          <w:sz w:val="22"/>
        </w:rPr>
        <w:t>10. Challenges and Limitations</w:t>
      </w:r>
    </w:p>
    <w:p w14:paraId="4EC0B576"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10.1 Nutritional Optimization Constraints</w:t>
      </w:r>
    </w:p>
    <w:p w14:paraId="51FE4356"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Despite substantial progress in artificial diet formulation, current diets are still unable to fully replicate the complex nutritional composition of fresh mulberry leaves. Mulberry foliage contains numerous bioactive compounds, including flavonoids, alkaloids, and terpenoids, many of which remain insufficiently characterized but are believed to contribute to growth promotion, immunity, and physiological regulation in silkworms (Nation, 2016). The absence of these components in artificial diets </w:t>
      </w:r>
      <w:r w:rsidRPr="00796FFD">
        <w:rPr>
          <w:rFonts w:ascii="Arial" w:hAnsi="Arial" w:cs="Arial"/>
          <w:sz w:val="20"/>
          <w:szCs w:val="20"/>
        </w:rPr>
        <w:lastRenderedPageBreak/>
        <w:t>may partly explain the remaining performance differences between artificial and natural feeding systems.</w:t>
      </w:r>
    </w:p>
    <w:p w14:paraId="226A216C"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Additionally, nutrient interactions within natural plant matrices are highly complex and difficult to reproduce through formulated diets. Variations in nutritional requirements across developmental stages further complicate formulation strategies, as static diet compositions may not adequately meet changing physiological demands during larval growth (Sanchez-Bayo, 2020).</w:t>
      </w:r>
    </w:p>
    <w:p w14:paraId="5C90E44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10.2 Palatability and Feed Acceptance</w:t>
      </w:r>
    </w:p>
    <w:p w14:paraId="3D9272E7" w14:textId="18F709B6"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Ensuring adequate feed intake remains a persistent challenge in artificial diet-based rearing. Silkworms exhibit strong feeding preferences shaped by mulberry leaf chemistry, and even minor alterations in diet composition can significantly influence consumption </w:t>
      </w:r>
      <w:proofErr w:type="spellStart"/>
      <w:r w:rsidRPr="00796FFD">
        <w:rPr>
          <w:rFonts w:ascii="Arial" w:hAnsi="Arial" w:cs="Arial"/>
          <w:sz w:val="20"/>
          <w:szCs w:val="20"/>
        </w:rPr>
        <w:t>behavior</w:t>
      </w:r>
      <w:proofErr w:type="spellEnd"/>
      <w:r w:rsidRPr="00796FFD">
        <w:rPr>
          <w:rFonts w:ascii="Arial" w:hAnsi="Arial" w:cs="Arial"/>
          <w:sz w:val="20"/>
          <w:szCs w:val="20"/>
        </w:rPr>
        <w:t xml:space="preserve"> (Nation, 2016). Although the incorporation of mulberry leaf powder and </w:t>
      </w:r>
      <w:proofErr w:type="spellStart"/>
      <w:r w:rsidRPr="00796FFD">
        <w:rPr>
          <w:rFonts w:ascii="Arial" w:hAnsi="Arial" w:cs="Arial"/>
          <w:sz w:val="20"/>
          <w:szCs w:val="20"/>
        </w:rPr>
        <w:t>phagostimulatory</w:t>
      </w:r>
      <w:proofErr w:type="spellEnd"/>
      <w:r w:rsidRPr="00796FFD">
        <w:rPr>
          <w:rFonts w:ascii="Arial" w:hAnsi="Arial" w:cs="Arial"/>
          <w:sz w:val="20"/>
          <w:szCs w:val="20"/>
        </w:rPr>
        <w:t xml:space="preserve"> compounds improves acceptance, further research is required to optimize sensory and chemical properties that promote consistent feeding </w:t>
      </w:r>
      <w:r w:rsidR="006F1A7F" w:rsidRPr="00796FFD">
        <w:rPr>
          <w:rFonts w:ascii="Arial" w:hAnsi="Arial" w:cs="Arial"/>
          <w:sz w:val="20"/>
          <w:szCs w:val="20"/>
        </w:rPr>
        <w:t>behaviour</w:t>
      </w:r>
      <w:r w:rsidRPr="00796FFD">
        <w:rPr>
          <w:rFonts w:ascii="Arial" w:hAnsi="Arial" w:cs="Arial"/>
          <w:sz w:val="20"/>
          <w:szCs w:val="20"/>
        </w:rPr>
        <w:t>.</w:t>
      </w:r>
    </w:p>
    <w:p w14:paraId="364ECC1B"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10.3 Gut Microbial Imbalance</w:t>
      </w:r>
    </w:p>
    <w:p w14:paraId="07F8E687"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diets frequently alter the diversity and stability of gut microbial communities, leading to microbial dysbiosis that may negatively affect digestion, immunity, and growth performance (Chen et al., 2018; Xiang et al., 2022). While probiotic supplementation has demonstrated promising results, achieving microbial diversity and stability comparable to mulberry-fed silkworms remains a major challenge in artificial diet systems.</w:t>
      </w:r>
    </w:p>
    <w:p w14:paraId="72B07DC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10.4 Economic and Scalability Issues</w:t>
      </w:r>
    </w:p>
    <w:p w14:paraId="013C8A85" w14:textId="3CB4915B"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large-scale adoption of artificial diets in commercial sericulture is constrained by the cost of specialized ingredients such as agar, vitamin premixes, and high-quality protein sources (Xiang et al., 2021). For developing countries, where sericulture often operates at small or medium scales, economic feasibility depends on the development of low-cost formulations utilizing locally available resources without compromising nutritional adequacy or productivity.</w:t>
      </w:r>
    </w:p>
    <w:p w14:paraId="0A9AC59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10.5 Environmental and Sustainability Concerns</w:t>
      </w:r>
    </w:p>
    <w:p w14:paraId="6E9B1150"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Artificial diet production relies heavily on agricultural commodities such as soybean and corn, as well as energy-intensive processing and sterilization procedures. These factors raise concerns regarding environmental sustainability and resource efficiency. Future research must therefore address the environmental footprint of artificial diet production through improved ingredient sourcing and energy-efficient processing methods (Wu et al., 2024).</w:t>
      </w:r>
    </w:p>
    <w:p w14:paraId="4DF41F23" w14:textId="77777777" w:rsidR="00221E84" w:rsidRPr="00796FFD" w:rsidRDefault="00221E84" w:rsidP="005F306A">
      <w:pPr>
        <w:jc w:val="both"/>
        <w:rPr>
          <w:rFonts w:ascii="Arial" w:hAnsi="Arial" w:cs="Arial"/>
          <w:b/>
          <w:bCs/>
          <w:sz w:val="22"/>
        </w:rPr>
      </w:pPr>
      <w:r w:rsidRPr="00796FFD">
        <w:rPr>
          <w:rFonts w:ascii="Arial" w:hAnsi="Arial" w:cs="Arial"/>
          <w:b/>
          <w:bCs/>
          <w:sz w:val="22"/>
        </w:rPr>
        <w:t>11. Future Prospects and Emerging Technologies</w:t>
      </w:r>
    </w:p>
    <w:p w14:paraId="295B67B2" w14:textId="77777777" w:rsidR="00221E84" w:rsidRPr="00796FFD" w:rsidRDefault="00221E84" w:rsidP="006F1A7F">
      <w:pPr>
        <w:ind w:firstLine="720"/>
        <w:jc w:val="both"/>
        <w:rPr>
          <w:rFonts w:ascii="Arial" w:hAnsi="Arial" w:cs="Arial"/>
          <w:b/>
          <w:bCs/>
          <w:sz w:val="20"/>
          <w:szCs w:val="20"/>
        </w:rPr>
      </w:pPr>
      <w:r w:rsidRPr="00796FFD">
        <w:rPr>
          <w:rFonts w:ascii="Arial" w:hAnsi="Arial" w:cs="Arial"/>
          <w:b/>
          <w:bCs/>
          <w:sz w:val="20"/>
          <w:szCs w:val="20"/>
        </w:rPr>
        <w:t>11.1 Precision Nutrition Approaches</w:t>
      </w:r>
    </w:p>
    <w:p w14:paraId="32A5D34F"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Future advancements in artificial diet development are expected to be driven by precision nutrition strategies tailored to specific silkworm strains, developmental stages, and production objectives (Wu et al., 2024). Emerging tools such as metabolomics, transcriptomics, and microbiome analysis enable identification of limiting nutrients and metabolic bottlenecks, facilitating the design of optimized and customized diet formulations.</w:t>
      </w:r>
    </w:p>
    <w:p w14:paraId="1EA847A8"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11.2 Sustainable and Alternative Ingredient Sources</w:t>
      </w:r>
    </w:p>
    <w:p w14:paraId="38D1B639"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Increasing attention is being directed toward the use of sustainable and alternative nutrient sources to reduce production costs and environmental impact. Potential alternatives include insect-derived proteins, microbial or single-cell proteins, and agricultural byproducts derived from food processing industries. Advances in synthetic biology may further enable microbial production of essential nutrients, amino acids, and feeding stimulants, thereby improving sustainability and supply stability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60487967"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11.3 Functional Ingredients and Bioactive Supplementation</w:t>
      </w:r>
    </w:p>
    <w:p w14:paraId="5766564F" w14:textId="558BB013"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lastRenderedPageBreak/>
        <w:t xml:space="preserve">The incorporation of functional ingredients beyond basic nutritional requirements represents a promising direction for artificial diet innovation. Immunomodulatory compounds, antioxidants, and gut health-promoting substances may enhance disease resistance and physiological resilience. Additionally, neuroactive compounds influencing feeding </w:t>
      </w:r>
      <w:r w:rsidR="006F1A7F" w:rsidRPr="00796FFD">
        <w:rPr>
          <w:rFonts w:ascii="Arial" w:hAnsi="Arial" w:cs="Arial"/>
          <w:sz w:val="20"/>
          <w:szCs w:val="20"/>
        </w:rPr>
        <w:t>behaviour</w:t>
      </w:r>
      <w:r w:rsidRPr="00796FFD">
        <w:rPr>
          <w:rFonts w:ascii="Arial" w:hAnsi="Arial" w:cs="Arial"/>
          <w:sz w:val="20"/>
          <w:szCs w:val="20"/>
        </w:rPr>
        <w:t xml:space="preserve"> and silk spinning efficiency are being explored as potential dietary supplements to improve productivity (Sanchez-Bayo, 2020).</w:t>
      </w:r>
    </w:p>
    <w:p w14:paraId="0C09F223"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11.4 Automation and Smart Rearing Technologies</w:t>
      </w:r>
    </w:p>
    <w:p w14:paraId="7AFCF808" w14:textId="5EA290FF" w:rsidR="00752BFD"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Integration of artificial diets with automated rearing systems is expected to enhance efficiency and reduce </w:t>
      </w:r>
      <w:r w:rsidR="006F1A7F" w:rsidRPr="00796FFD">
        <w:rPr>
          <w:rFonts w:ascii="Arial" w:hAnsi="Arial" w:cs="Arial"/>
          <w:sz w:val="20"/>
          <w:szCs w:val="20"/>
        </w:rPr>
        <w:t>labour</w:t>
      </w:r>
      <w:r w:rsidRPr="00796FFD">
        <w:rPr>
          <w:rFonts w:ascii="Arial" w:hAnsi="Arial" w:cs="Arial"/>
          <w:sz w:val="20"/>
          <w:szCs w:val="20"/>
        </w:rPr>
        <w:t xml:space="preserve"> dependency in future sericulture operations. Technologies such as precision feeding systems, sensor-based environmental monitoring, robotic handling, and data-driven management approaches have the potential to optimize feeding schedules, improve health monitoring, and increase overall production efficiency (</w:t>
      </w:r>
      <w:proofErr w:type="spellStart"/>
      <w:r w:rsidRPr="00796FFD">
        <w:rPr>
          <w:rFonts w:ascii="Arial" w:hAnsi="Arial" w:cs="Arial"/>
          <w:sz w:val="20"/>
          <w:szCs w:val="20"/>
        </w:rPr>
        <w:t>Fapetu</w:t>
      </w:r>
      <w:proofErr w:type="spellEnd"/>
      <w:r w:rsidRPr="00796FFD">
        <w:rPr>
          <w:rFonts w:ascii="Arial" w:hAnsi="Arial" w:cs="Arial"/>
          <w:sz w:val="20"/>
          <w:szCs w:val="20"/>
        </w:rPr>
        <w:t xml:space="preserve"> et al., 2024).</w:t>
      </w:r>
    </w:p>
    <w:p w14:paraId="55C4353A" w14:textId="77777777" w:rsidR="00221E84" w:rsidRPr="00796FFD" w:rsidRDefault="00221E84" w:rsidP="005F306A">
      <w:pPr>
        <w:jc w:val="both"/>
        <w:rPr>
          <w:rFonts w:ascii="Arial" w:hAnsi="Arial" w:cs="Arial"/>
          <w:b/>
          <w:bCs/>
          <w:sz w:val="20"/>
          <w:szCs w:val="20"/>
        </w:rPr>
      </w:pPr>
      <w:r w:rsidRPr="00796FFD">
        <w:rPr>
          <w:rFonts w:ascii="Arial" w:hAnsi="Arial" w:cs="Arial"/>
          <w:b/>
          <w:bCs/>
          <w:sz w:val="20"/>
          <w:szCs w:val="20"/>
        </w:rPr>
        <w:t>11.5 Expanding Biomedical and Biotechnological Applications</w:t>
      </w:r>
    </w:p>
    <w:p w14:paraId="633AE8AE"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continued use of silkworms as model organisms and biological production systems is likely to increase demand for specialized artificial diets. Applications include pharmaceutical protein production, silk-based biomaterial development, and environmental toxicity assessment. Artificial diets provide the consistency and control necessary for these advanced applications, thereby expanding the role of sericulture within biotechnology and biomedical research (Hamamoto et al., 2009).</w:t>
      </w:r>
    </w:p>
    <w:p w14:paraId="65FD49A7" w14:textId="77777777" w:rsidR="00221E84" w:rsidRPr="00796FFD" w:rsidRDefault="00221E84" w:rsidP="005F306A">
      <w:pPr>
        <w:jc w:val="both"/>
        <w:rPr>
          <w:rFonts w:ascii="Arial" w:hAnsi="Arial" w:cs="Arial"/>
          <w:b/>
          <w:bCs/>
          <w:sz w:val="22"/>
        </w:rPr>
      </w:pPr>
      <w:r w:rsidRPr="00796FFD">
        <w:rPr>
          <w:rFonts w:ascii="Arial" w:hAnsi="Arial" w:cs="Arial"/>
          <w:b/>
          <w:bCs/>
          <w:sz w:val="22"/>
        </w:rPr>
        <w:t>12. Conclusion</w:t>
      </w:r>
    </w:p>
    <w:p w14:paraId="40FF81D5"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The development of artificial diets for silkworm rearing represents a significant advancement in insect nutrition and sericulture technology. From early experimental formulations developed during the 1960s to contemporary diet systems incorporating probiotics, precision nutrition concepts, and functional ingredients, artificial diets have evolved into practical tools supporting both commercial production and scientific research</w:t>
      </w:r>
    </w:p>
    <w:p w14:paraId="25248D04" w14:textId="77777777"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 xml:space="preserve">Modern artificial diets are capable of sustaining complete silkworm development with performance approaching that achieved under natural mulberry leaf feeding, particularly when microbial balance is maintained through probiotic or </w:t>
      </w:r>
      <w:proofErr w:type="spellStart"/>
      <w:r w:rsidRPr="00796FFD">
        <w:rPr>
          <w:rFonts w:ascii="Arial" w:hAnsi="Arial" w:cs="Arial"/>
          <w:sz w:val="20"/>
          <w:szCs w:val="20"/>
        </w:rPr>
        <w:t>synbiotic</w:t>
      </w:r>
      <w:proofErr w:type="spellEnd"/>
      <w:r w:rsidRPr="00796FFD">
        <w:rPr>
          <w:rFonts w:ascii="Arial" w:hAnsi="Arial" w:cs="Arial"/>
          <w:sz w:val="20"/>
          <w:szCs w:val="20"/>
        </w:rPr>
        <w:t xml:space="preserve"> strategies (Xiang et al., 2021). Nevertheless, challenges remain in achieving optimal palatability, reducing production costs, and fully replicating the complex bioactive composition of natural mulberry leaves (Nation, 2016).</w:t>
      </w:r>
    </w:p>
    <w:p w14:paraId="434C33C9" w14:textId="0BAFBB38" w:rsidR="00221E84" w:rsidRPr="00796FFD" w:rsidRDefault="00221E84" w:rsidP="006F1A7F">
      <w:pPr>
        <w:ind w:firstLine="720"/>
        <w:jc w:val="both"/>
        <w:rPr>
          <w:rFonts w:ascii="Arial" w:hAnsi="Arial" w:cs="Arial"/>
          <w:sz w:val="20"/>
          <w:szCs w:val="20"/>
        </w:rPr>
      </w:pPr>
      <w:r w:rsidRPr="00796FFD">
        <w:rPr>
          <w:rFonts w:ascii="Arial" w:hAnsi="Arial" w:cs="Arial"/>
          <w:sz w:val="20"/>
          <w:szCs w:val="20"/>
        </w:rPr>
        <w:t>Future progress in artificial diet technology will depend on interdisciplinary collaboration integrating advances in nutrition science, microbiology, biotechnology, and engineering. Emphasis should be placed on sustainable ingredient sourcing, precision nutrition tailored to genetic and developmental requirements, improved gut health management, and the adoption of automated rearing systems. As global demand for silk and silkworm-derived products continues to expand, artificial diets are expected to play an increasingly important role in ensuring sustainable, efficient, and technologically advanced sericulture systems.</w:t>
      </w:r>
    </w:p>
    <w:p w14:paraId="5D6B7D4F" w14:textId="77777777" w:rsidR="005F306A" w:rsidRPr="00796FFD" w:rsidRDefault="005F306A" w:rsidP="00752BFD">
      <w:pPr>
        <w:spacing w:after="0" w:line="240" w:lineRule="auto"/>
        <w:jc w:val="both"/>
        <w:rPr>
          <w:rFonts w:ascii="Arial" w:hAnsi="Arial" w:cs="Arial"/>
          <w:b/>
          <w:bCs/>
          <w:sz w:val="22"/>
        </w:rPr>
      </w:pPr>
      <w:r w:rsidRPr="00796FFD">
        <w:rPr>
          <w:rFonts w:ascii="Arial" w:hAnsi="Arial" w:cs="Arial"/>
          <w:b/>
          <w:bCs/>
          <w:sz w:val="22"/>
        </w:rPr>
        <w:t>References</w:t>
      </w:r>
    </w:p>
    <w:p w14:paraId="7FB330FD" w14:textId="77777777" w:rsidR="00752BFD" w:rsidRPr="00796FFD" w:rsidRDefault="00752BFD" w:rsidP="00752BFD">
      <w:pPr>
        <w:spacing w:after="0" w:line="240" w:lineRule="auto"/>
        <w:jc w:val="both"/>
        <w:rPr>
          <w:rFonts w:ascii="Arial" w:hAnsi="Arial" w:cs="Arial"/>
          <w:b/>
          <w:bCs/>
          <w:sz w:val="22"/>
        </w:rPr>
      </w:pPr>
    </w:p>
    <w:p w14:paraId="5092AFF4"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Ahn, H.Y., Cha, J.Y., Park, K.R., Kim, Y.R., and Cho, Y.S. (2013). Improvement effect of fermented silkworm (Bombyx mori L.) powder against </w:t>
      </w:r>
      <w:proofErr w:type="spellStart"/>
      <w:r w:rsidRPr="00073ABA">
        <w:rPr>
          <w:rFonts w:ascii="Arial" w:hAnsi="Arial" w:cs="Arial"/>
          <w:sz w:val="20"/>
          <w:szCs w:val="20"/>
        </w:rPr>
        <w:t>orotic</w:t>
      </w:r>
      <w:proofErr w:type="spellEnd"/>
      <w:r w:rsidRPr="00073ABA">
        <w:rPr>
          <w:rFonts w:ascii="Arial" w:hAnsi="Arial" w:cs="Arial"/>
          <w:sz w:val="20"/>
          <w:szCs w:val="20"/>
        </w:rPr>
        <w:t xml:space="preserve"> acid-induced fatty liver in rats. Journal of Life Science, 23, 789–795.</w:t>
      </w:r>
    </w:p>
    <w:p w14:paraId="26750DF7" w14:textId="77777777" w:rsidR="00073ABA" w:rsidRPr="00073ABA" w:rsidRDefault="00073ABA" w:rsidP="0019296B">
      <w:pPr>
        <w:spacing w:after="0" w:line="240" w:lineRule="auto"/>
        <w:ind w:hanging="720"/>
        <w:jc w:val="both"/>
        <w:rPr>
          <w:rFonts w:ascii="Arial" w:hAnsi="Arial" w:cs="Arial"/>
          <w:sz w:val="20"/>
          <w:szCs w:val="20"/>
        </w:rPr>
      </w:pPr>
    </w:p>
    <w:p w14:paraId="73A58CE7"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t>Asaoka</w:t>
      </w:r>
      <w:proofErr w:type="spellEnd"/>
      <w:r w:rsidRPr="00073ABA">
        <w:rPr>
          <w:rFonts w:ascii="Arial" w:hAnsi="Arial" w:cs="Arial"/>
          <w:sz w:val="20"/>
          <w:szCs w:val="20"/>
        </w:rPr>
        <w:t>, K., and Mano, Y. (1992). Breeding of polyphagous silkworms by early selection for feeding ability on LP-I artificial diet. Journal of Sericultural Science of Japan, 61, 1–5.</w:t>
      </w:r>
    </w:p>
    <w:p w14:paraId="311B6165" w14:textId="77777777" w:rsidR="00073ABA" w:rsidRPr="00073ABA" w:rsidRDefault="00073ABA" w:rsidP="0019296B">
      <w:pPr>
        <w:spacing w:after="0" w:line="240" w:lineRule="auto"/>
        <w:ind w:hanging="720"/>
        <w:jc w:val="both"/>
        <w:rPr>
          <w:rFonts w:ascii="Arial" w:hAnsi="Arial" w:cs="Arial"/>
          <w:sz w:val="20"/>
          <w:szCs w:val="20"/>
        </w:rPr>
      </w:pPr>
    </w:p>
    <w:p w14:paraId="027433B1"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Bae, S.M., Jo, Y.Y., Lee, K.G., Kim, H.B., and Kweon, H.Y. (2016). Antioxidant activity of silkworm powder treated with protease. International Journal of Industrial Entomology, 33, 78–84.</w:t>
      </w:r>
    </w:p>
    <w:p w14:paraId="3EEFB22A" w14:textId="77777777" w:rsidR="00073ABA" w:rsidRPr="00073ABA" w:rsidRDefault="00073ABA" w:rsidP="0019296B">
      <w:pPr>
        <w:spacing w:after="0" w:line="240" w:lineRule="auto"/>
        <w:ind w:hanging="720"/>
        <w:jc w:val="both"/>
        <w:rPr>
          <w:rFonts w:ascii="Arial" w:hAnsi="Arial" w:cs="Arial"/>
          <w:sz w:val="20"/>
          <w:szCs w:val="20"/>
        </w:rPr>
      </w:pPr>
    </w:p>
    <w:p w14:paraId="0C92DD3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Bhattacharyya, A., Ghosh, A., and Chakrabarti, S. (2016). Protein quality and amino acid balance in silkworm nutrition. Indian Journal of Sericulture, 55, 12–18.</w:t>
      </w:r>
    </w:p>
    <w:p w14:paraId="793C4271" w14:textId="77777777" w:rsidR="00073ABA" w:rsidRPr="00073ABA" w:rsidRDefault="00073ABA" w:rsidP="0019296B">
      <w:pPr>
        <w:spacing w:after="0" w:line="240" w:lineRule="auto"/>
        <w:ind w:hanging="720"/>
        <w:jc w:val="both"/>
        <w:rPr>
          <w:rFonts w:ascii="Arial" w:hAnsi="Arial" w:cs="Arial"/>
          <w:sz w:val="20"/>
          <w:szCs w:val="20"/>
        </w:rPr>
      </w:pPr>
    </w:p>
    <w:p w14:paraId="17CDD83F"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lastRenderedPageBreak/>
        <w:t>Bulet</w:t>
      </w:r>
      <w:proofErr w:type="spellEnd"/>
      <w:r w:rsidRPr="00073ABA">
        <w:rPr>
          <w:rFonts w:ascii="Arial" w:hAnsi="Arial" w:cs="Arial"/>
          <w:sz w:val="20"/>
          <w:szCs w:val="20"/>
        </w:rPr>
        <w:t xml:space="preserve">, P., Hetru, C., </w:t>
      </w:r>
      <w:proofErr w:type="spellStart"/>
      <w:r w:rsidRPr="00073ABA">
        <w:rPr>
          <w:rFonts w:ascii="Arial" w:hAnsi="Arial" w:cs="Arial"/>
          <w:sz w:val="20"/>
          <w:szCs w:val="20"/>
        </w:rPr>
        <w:t>Dimarcq</w:t>
      </w:r>
      <w:proofErr w:type="spellEnd"/>
      <w:r w:rsidRPr="00073ABA">
        <w:rPr>
          <w:rFonts w:ascii="Arial" w:hAnsi="Arial" w:cs="Arial"/>
          <w:sz w:val="20"/>
          <w:szCs w:val="20"/>
        </w:rPr>
        <w:t>, J.L., and Hoffmann, D. (1999). Antimicrobial peptides in insects: Structure and function. Developmental and Comparative Immunology, 23, 329–344.</w:t>
      </w:r>
    </w:p>
    <w:p w14:paraId="4EEDB1A4" w14:textId="77777777" w:rsidR="00073ABA" w:rsidRPr="00073ABA" w:rsidRDefault="00073ABA" w:rsidP="0019296B">
      <w:pPr>
        <w:spacing w:after="0" w:line="240" w:lineRule="auto"/>
        <w:ind w:hanging="720"/>
        <w:jc w:val="both"/>
        <w:rPr>
          <w:rFonts w:ascii="Arial" w:hAnsi="Arial" w:cs="Arial"/>
          <w:sz w:val="20"/>
          <w:szCs w:val="20"/>
        </w:rPr>
      </w:pPr>
    </w:p>
    <w:p w14:paraId="0FC4C8BB"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t>Cappellozza</w:t>
      </w:r>
      <w:proofErr w:type="spellEnd"/>
      <w:r w:rsidRPr="00073ABA">
        <w:rPr>
          <w:rFonts w:ascii="Arial" w:hAnsi="Arial" w:cs="Arial"/>
          <w:sz w:val="20"/>
          <w:szCs w:val="20"/>
        </w:rPr>
        <w:t xml:space="preserve">, L., </w:t>
      </w:r>
      <w:proofErr w:type="spellStart"/>
      <w:r w:rsidRPr="00073ABA">
        <w:rPr>
          <w:rFonts w:ascii="Arial" w:hAnsi="Arial" w:cs="Arial"/>
          <w:sz w:val="20"/>
          <w:szCs w:val="20"/>
        </w:rPr>
        <w:t>Cappellozza</w:t>
      </w:r>
      <w:proofErr w:type="spellEnd"/>
      <w:r w:rsidRPr="00073ABA">
        <w:rPr>
          <w:rFonts w:ascii="Arial" w:hAnsi="Arial" w:cs="Arial"/>
          <w:sz w:val="20"/>
          <w:szCs w:val="20"/>
        </w:rPr>
        <w:t xml:space="preserve">, S., </w:t>
      </w:r>
      <w:proofErr w:type="spellStart"/>
      <w:r w:rsidRPr="00073ABA">
        <w:rPr>
          <w:rFonts w:ascii="Arial" w:hAnsi="Arial" w:cs="Arial"/>
          <w:sz w:val="20"/>
          <w:szCs w:val="20"/>
        </w:rPr>
        <w:t>Saviane</w:t>
      </w:r>
      <w:proofErr w:type="spellEnd"/>
      <w:r w:rsidRPr="00073ABA">
        <w:rPr>
          <w:rFonts w:ascii="Arial" w:hAnsi="Arial" w:cs="Arial"/>
          <w:sz w:val="20"/>
          <w:szCs w:val="20"/>
        </w:rPr>
        <w:t xml:space="preserve">, A., and </w:t>
      </w:r>
      <w:proofErr w:type="spellStart"/>
      <w:r w:rsidRPr="00073ABA">
        <w:rPr>
          <w:rFonts w:ascii="Arial" w:hAnsi="Arial" w:cs="Arial"/>
          <w:sz w:val="20"/>
          <w:szCs w:val="20"/>
        </w:rPr>
        <w:t>Sbrenna</w:t>
      </w:r>
      <w:proofErr w:type="spellEnd"/>
      <w:r w:rsidRPr="00073ABA">
        <w:rPr>
          <w:rFonts w:ascii="Arial" w:hAnsi="Arial" w:cs="Arial"/>
          <w:sz w:val="20"/>
          <w:szCs w:val="20"/>
        </w:rPr>
        <w:t>, G. (2005). Artificial diet rearing system for the silkworm Bombyx mori (Lepidoptera: Bombycidae): Effect of vitamin C deprivation on larval growth and cocoon production. Applied Entomology and Zoology, 40, 405–412.</w:t>
      </w:r>
    </w:p>
    <w:p w14:paraId="0B5573D8" w14:textId="77777777" w:rsidR="00073ABA" w:rsidRPr="00073ABA" w:rsidRDefault="00073ABA" w:rsidP="0019296B">
      <w:pPr>
        <w:spacing w:after="0" w:line="240" w:lineRule="auto"/>
        <w:ind w:hanging="720"/>
        <w:jc w:val="both"/>
        <w:rPr>
          <w:rFonts w:ascii="Arial" w:hAnsi="Arial" w:cs="Arial"/>
          <w:sz w:val="20"/>
          <w:szCs w:val="20"/>
        </w:rPr>
      </w:pPr>
    </w:p>
    <w:p w14:paraId="6849EB0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Chen, X.D., Ye, A.H., Wu, X.H., Qu, Z.G., Xu, S.Q., Sima, Y.H., and Li, B. (2022). Combined analysis of silk synthesis and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amino acid metabolism reveal key roles for glycine in increasing silkworm silk yields. International Journal of Biological Macromolecules, 209, 1760–1770.</w:t>
      </w:r>
    </w:p>
    <w:p w14:paraId="76C94E6A" w14:textId="77777777" w:rsidR="00073ABA" w:rsidRPr="00073ABA" w:rsidRDefault="00073ABA" w:rsidP="0019296B">
      <w:pPr>
        <w:spacing w:after="0" w:line="240" w:lineRule="auto"/>
        <w:ind w:hanging="720"/>
        <w:jc w:val="both"/>
        <w:rPr>
          <w:rFonts w:ascii="Arial" w:hAnsi="Arial" w:cs="Arial"/>
          <w:sz w:val="20"/>
          <w:szCs w:val="20"/>
        </w:rPr>
      </w:pPr>
    </w:p>
    <w:p w14:paraId="23D23C8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Chen, Y., Chen, Y., Zhang, H., Wang, Y., Li, Y., and Li, Z. (2018). Gut bacterial and fungal communities of the domesticated silkworm (Bombyx mori) and wild mulberry-feeding relatives. ISME Journal, 12, 2252–2262.</w:t>
      </w:r>
    </w:p>
    <w:p w14:paraId="53690958" w14:textId="77777777" w:rsidR="00073ABA" w:rsidRPr="00073ABA" w:rsidRDefault="00073ABA" w:rsidP="0019296B">
      <w:pPr>
        <w:spacing w:after="0" w:line="240" w:lineRule="auto"/>
        <w:ind w:hanging="720"/>
        <w:jc w:val="both"/>
        <w:rPr>
          <w:rFonts w:ascii="Arial" w:hAnsi="Arial" w:cs="Arial"/>
          <w:sz w:val="20"/>
          <w:szCs w:val="20"/>
        </w:rPr>
      </w:pPr>
    </w:p>
    <w:p w14:paraId="7F9849E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Cho, H.J., Lee, S.L., Shin, M.S., Lee, J.W., and Lee, S.H. (2023). Development and validation of a unique HPLC-ELSD method for analysis of 1-Deoxynojirimycin derived from silkworms. Korean Journal of Pharmacognosy, 54, 38–43.</w:t>
      </w:r>
    </w:p>
    <w:p w14:paraId="10595548" w14:textId="77777777" w:rsidR="00073ABA" w:rsidRPr="00073ABA" w:rsidRDefault="00073ABA" w:rsidP="0019296B">
      <w:pPr>
        <w:spacing w:after="0" w:line="240" w:lineRule="auto"/>
        <w:ind w:hanging="720"/>
        <w:jc w:val="both"/>
        <w:rPr>
          <w:rFonts w:ascii="Arial" w:hAnsi="Arial" w:cs="Arial"/>
          <w:sz w:val="20"/>
          <w:szCs w:val="20"/>
        </w:rPr>
      </w:pPr>
    </w:p>
    <w:p w14:paraId="4E295D95"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Cohen, A.C. (2015). Insect Diets: Science and Technology. 2nd ed. CRC Press.</w:t>
      </w:r>
    </w:p>
    <w:p w14:paraId="23F80056" w14:textId="77777777" w:rsidR="00073ABA" w:rsidRPr="00073ABA" w:rsidRDefault="00073ABA" w:rsidP="0019296B">
      <w:pPr>
        <w:spacing w:after="0" w:line="240" w:lineRule="auto"/>
        <w:ind w:hanging="720"/>
        <w:jc w:val="both"/>
        <w:rPr>
          <w:rFonts w:ascii="Arial" w:hAnsi="Arial" w:cs="Arial"/>
          <w:sz w:val="20"/>
          <w:szCs w:val="20"/>
        </w:rPr>
      </w:pPr>
    </w:p>
    <w:p w14:paraId="7C31A99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Coon, M.J., Ding, X., Pernecky, S.J., and Vaz, A.D. (1996). Cytochrome P450: Progress and predictions. FASEB Journal, 10, 428–434.</w:t>
      </w:r>
    </w:p>
    <w:p w14:paraId="184441EE" w14:textId="77777777" w:rsidR="00073ABA" w:rsidRPr="00073ABA" w:rsidRDefault="00073ABA" w:rsidP="0019296B">
      <w:pPr>
        <w:spacing w:after="0" w:line="240" w:lineRule="auto"/>
        <w:ind w:hanging="720"/>
        <w:jc w:val="both"/>
        <w:rPr>
          <w:rFonts w:ascii="Arial" w:hAnsi="Arial" w:cs="Arial"/>
          <w:sz w:val="20"/>
          <w:szCs w:val="20"/>
        </w:rPr>
      </w:pPr>
    </w:p>
    <w:p w14:paraId="0DA1F7F1"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Costantin, E., Rossi, D., and </w:t>
      </w:r>
      <w:proofErr w:type="spellStart"/>
      <w:r w:rsidRPr="00073ABA">
        <w:rPr>
          <w:rFonts w:ascii="Arial" w:hAnsi="Arial" w:cs="Arial"/>
          <w:sz w:val="20"/>
          <w:szCs w:val="20"/>
        </w:rPr>
        <w:t>Ferracini</w:t>
      </w:r>
      <w:proofErr w:type="spellEnd"/>
      <w:r w:rsidRPr="00073ABA">
        <w:rPr>
          <w:rFonts w:ascii="Arial" w:hAnsi="Arial" w:cs="Arial"/>
          <w:sz w:val="20"/>
          <w:szCs w:val="20"/>
        </w:rPr>
        <w:t>, C. (2022). Immune responses in laboratory-reared insects: Implications for ecological studies. Journal of Insect Physiology, 138, 104321.</w:t>
      </w:r>
    </w:p>
    <w:p w14:paraId="19B1A009" w14:textId="77777777" w:rsidR="00073ABA" w:rsidRPr="00073ABA" w:rsidRDefault="00073ABA" w:rsidP="0019296B">
      <w:pPr>
        <w:spacing w:after="0" w:line="240" w:lineRule="auto"/>
        <w:ind w:hanging="720"/>
        <w:jc w:val="both"/>
        <w:rPr>
          <w:rFonts w:ascii="Arial" w:hAnsi="Arial" w:cs="Arial"/>
          <w:sz w:val="20"/>
          <w:szCs w:val="20"/>
        </w:rPr>
      </w:pPr>
    </w:p>
    <w:p w14:paraId="4E5537A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Dadd, R.H. (1985). Nutrition: Organisms. In: </w:t>
      </w:r>
      <w:proofErr w:type="spellStart"/>
      <w:r w:rsidRPr="00073ABA">
        <w:rPr>
          <w:rFonts w:ascii="Arial" w:hAnsi="Arial" w:cs="Arial"/>
          <w:sz w:val="20"/>
          <w:szCs w:val="20"/>
        </w:rPr>
        <w:t>Kerkut</w:t>
      </w:r>
      <w:proofErr w:type="spellEnd"/>
      <w:r w:rsidRPr="00073ABA">
        <w:rPr>
          <w:rFonts w:ascii="Arial" w:hAnsi="Arial" w:cs="Arial"/>
          <w:sz w:val="20"/>
          <w:szCs w:val="20"/>
        </w:rPr>
        <w:t>, G.A., and Gilbert, L.I. (Eds.), Comprehensive Insect Physiology, Biochemistry and Pharmacology, Vol. 4. Pergamon Press, pp. 313–390.</w:t>
      </w:r>
    </w:p>
    <w:p w14:paraId="36461A2E" w14:textId="77777777" w:rsidR="00073ABA" w:rsidRPr="00073ABA" w:rsidRDefault="00073ABA" w:rsidP="0019296B">
      <w:pPr>
        <w:spacing w:after="0" w:line="240" w:lineRule="auto"/>
        <w:ind w:hanging="720"/>
        <w:jc w:val="both"/>
        <w:rPr>
          <w:rFonts w:ascii="Arial" w:hAnsi="Arial" w:cs="Arial"/>
          <w:sz w:val="20"/>
          <w:szCs w:val="20"/>
        </w:rPr>
      </w:pPr>
    </w:p>
    <w:p w14:paraId="3A6715E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Datta, R.K. (2019). Global Silk Industry: A Complete Source Book. APH Publishing.</w:t>
      </w:r>
    </w:p>
    <w:p w14:paraId="1FBF10F0" w14:textId="77777777" w:rsidR="00073ABA" w:rsidRPr="00073ABA" w:rsidRDefault="00073ABA" w:rsidP="0019296B">
      <w:pPr>
        <w:spacing w:after="0" w:line="240" w:lineRule="auto"/>
        <w:ind w:hanging="720"/>
        <w:jc w:val="both"/>
        <w:rPr>
          <w:rFonts w:ascii="Arial" w:hAnsi="Arial" w:cs="Arial"/>
          <w:sz w:val="20"/>
          <w:szCs w:val="20"/>
        </w:rPr>
      </w:pPr>
    </w:p>
    <w:p w14:paraId="7FF98380"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Dong, Z.M., Chen, Y., Wang, H., and Zhao, P. (2021). Nutritional requirements and amino acid metabolism in silkworm larvae. Journal of Economic Entomology, 114, 2345–2353.</w:t>
      </w:r>
    </w:p>
    <w:p w14:paraId="2236CE2C" w14:textId="77777777" w:rsidR="00073ABA" w:rsidRPr="00073ABA" w:rsidRDefault="00073ABA" w:rsidP="0019296B">
      <w:pPr>
        <w:spacing w:after="0" w:line="240" w:lineRule="auto"/>
        <w:ind w:hanging="720"/>
        <w:jc w:val="both"/>
        <w:rPr>
          <w:rFonts w:ascii="Arial" w:hAnsi="Arial" w:cs="Arial"/>
          <w:sz w:val="20"/>
          <w:szCs w:val="20"/>
        </w:rPr>
      </w:pPr>
    </w:p>
    <w:p w14:paraId="2B902D73"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Eguchi, M., Ito, T., and Horie, Y. (1982). Sterol requirements for the silkworm, Bombyx mori L. Journal of Insect Physiology, 28, 847–852.</w:t>
      </w:r>
    </w:p>
    <w:p w14:paraId="552C68D9" w14:textId="77777777" w:rsidR="00073ABA" w:rsidRPr="00073ABA" w:rsidRDefault="00073ABA" w:rsidP="0019296B">
      <w:pPr>
        <w:spacing w:after="0" w:line="240" w:lineRule="auto"/>
        <w:ind w:hanging="720"/>
        <w:jc w:val="both"/>
        <w:rPr>
          <w:rFonts w:ascii="Arial" w:hAnsi="Arial" w:cs="Arial"/>
          <w:sz w:val="20"/>
          <w:szCs w:val="20"/>
        </w:rPr>
      </w:pPr>
    </w:p>
    <w:p w14:paraId="23BF1F08" w14:textId="77777777" w:rsidR="00073ABA" w:rsidRPr="00073ABA" w:rsidRDefault="00073ABA" w:rsidP="0019296B">
      <w:pPr>
        <w:spacing w:after="0" w:line="240" w:lineRule="auto"/>
        <w:ind w:left="360" w:hanging="720"/>
        <w:jc w:val="both"/>
        <w:rPr>
          <w:rFonts w:ascii="Arial" w:hAnsi="Arial" w:cs="Arial"/>
          <w:sz w:val="20"/>
          <w:szCs w:val="20"/>
        </w:rPr>
      </w:pPr>
      <w:proofErr w:type="spellStart"/>
      <w:r w:rsidRPr="00073ABA">
        <w:rPr>
          <w:rFonts w:ascii="Arial" w:hAnsi="Arial" w:cs="Arial"/>
          <w:sz w:val="20"/>
          <w:szCs w:val="20"/>
        </w:rPr>
        <w:t>Fapetu</w:t>
      </w:r>
      <w:proofErr w:type="spellEnd"/>
      <w:r w:rsidRPr="00073ABA">
        <w:rPr>
          <w:rFonts w:ascii="Arial" w:hAnsi="Arial" w:cs="Arial"/>
          <w:sz w:val="20"/>
          <w:szCs w:val="20"/>
        </w:rPr>
        <w:t xml:space="preserve">, F.A., </w:t>
      </w:r>
      <w:proofErr w:type="spellStart"/>
      <w:r w:rsidRPr="00073ABA">
        <w:rPr>
          <w:rFonts w:ascii="Arial" w:hAnsi="Arial" w:cs="Arial"/>
          <w:sz w:val="20"/>
          <w:szCs w:val="20"/>
        </w:rPr>
        <w:t>Odeyinka</w:t>
      </w:r>
      <w:proofErr w:type="spellEnd"/>
      <w:r w:rsidRPr="00073ABA">
        <w:rPr>
          <w:rFonts w:ascii="Arial" w:hAnsi="Arial" w:cs="Arial"/>
          <w:sz w:val="20"/>
          <w:szCs w:val="20"/>
        </w:rPr>
        <w:t xml:space="preserve">, S.M., </w:t>
      </w:r>
      <w:proofErr w:type="spellStart"/>
      <w:r w:rsidRPr="00073ABA">
        <w:rPr>
          <w:rFonts w:ascii="Arial" w:hAnsi="Arial" w:cs="Arial"/>
          <w:sz w:val="20"/>
          <w:szCs w:val="20"/>
        </w:rPr>
        <w:t>Adewumi</w:t>
      </w:r>
      <w:proofErr w:type="spellEnd"/>
      <w:r w:rsidRPr="00073ABA">
        <w:rPr>
          <w:rFonts w:ascii="Arial" w:hAnsi="Arial" w:cs="Arial"/>
          <w:sz w:val="20"/>
          <w:szCs w:val="20"/>
        </w:rPr>
        <w:t>, O.O., and Lawal, O.I. (2024). Nutritional requirements of silkworm (Bombyx mori L.) and the potential of artificial diet in sericulture: A review. Journal of Agriculture and Food Research, 17, 101405.</w:t>
      </w:r>
    </w:p>
    <w:p w14:paraId="76163358" w14:textId="77777777" w:rsidR="00073ABA" w:rsidRPr="00073ABA" w:rsidRDefault="00073ABA" w:rsidP="0019296B">
      <w:pPr>
        <w:spacing w:after="0" w:line="240" w:lineRule="auto"/>
        <w:ind w:hanging="720"/>
        <w:jc w:val="both"/>
        <w:rPr>
          <w:rFonts w:ascii="Arial" w:hAnsi="Arial" w:cs="Arial"/>
          <w:sz w:val="20"/>
          <w:szCs w:val="20"/>
        </w:rPr>
      </w:pPr>
    </w:p>
    <w:p w14:paraId="4CBCB513"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Gheorghe, A., Badescu, O., and Stoian, C. (2023). Nutritional optimization in artificial diets for silkworm rearing. Scientific Reports, 13, 14567.</w:t>
      </w:r>
    </w:p>
    <w:p w14:paraId="7E7B6859" w14:textId="77777777" w:rsidR="00073ABA" w:rsidRPr="00073ABA" w:rsidRDefault="00073ABA" w:rsidP="0019296B">
      <w:pPr>
        <w:spacing w:after="0" w:line="240" w:lineRule="auto"/>
        <w:ind w:hanging="720"/>
        <w:jc w:val="both"/>
        <w:rPr>
          <w:rFonts w:ascii="Arial" w:hAnsi="Arial" w:cs="Arial"/>
          <w:sz w:val="20"/>
          <w:szCs w:val="20"/>
        </w:rPr>
      </w:pPr>
    </w:p>
    <w:p w14:paraId="5F5F255A"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Goldsmith, M.R., Shimada, T., and Abe, H. (2005). The genetics and genomics of the silkworm, Bombyx mori. Annual Review of Entomology, 50, 71–100.</w:t>
      </w:r>
    </w:p>
    <w:p w14:paraId="6028D3D2" w14:textId="77777777" w:rsidR="00073ABA" w:rsidRPr="00073ABA" w:rsidRDefault="00073ABA" w:rsidP="0019296B">
      <w:pPr>
        <w:spacing w:after="0" w:line="240" w:lineRule="auto"/>
        <w:ind w:hanging="720"/>
        <w:jc w:val="both"/>
        <w:rPr>
          <w:rFonts w:ascii="Arial" w:hAnsi="Arial" w:cs="Arial"/>
          <w:sz w:val="20"/>
          <w:szCs w:val="20"/>
        </w:rPr>
      </w:pPr>
    </w:p>
    <w:p w14:paraId="19530F3C"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 xml:space="preserve">Hamamoto, H., Kurokawa, K., Kaito, C., Kamura, K., </w:t>
      </w:r>
      <w:proofErr w:type="spellStart"/>
      <w:r w:rsidRPr="00073ABA">
        <w:rPr>
          <w:rFonts w:ascii="Arial" w:hAnsi="Arial" w:cs="Arial"/>
          <w:sz w:val="20"/>
          <w:szCs w:val="20"/>
        </w:rPr>
        <w:t>Razanajatovo</w:t>
      </w:r>
      <w:proofErr w:type="spellEnd"/>
      <w:r w:rsidRPr="00073ABA">
        <w:rPr>
          <w:rFonts w:ascii="Arial" w:hAnsi="Arial" w:cs="Arial"/>
          <w:sz w:val="20"/>
          <w:szCs w:val="20"/>
        </w:rPr>
        <w:t xml:space="preserve">, I.M., </w:t>
      </w:r>
      <w:proofErr w:type="spellStart"/>
      <w:r w:rsidRPr="00073ABA">
        <w:rPr>
          <w:rFonts w:ascii="Arial" w:hAnsi="Arial" w:cs="Arial"/>
          <w:sz w:val="20"/>
          <w:szCs w:val="20"/>
        </w:rPr>
        <w:t>Kusuhara</w:t>
      </w:r>
      <w:proofErr w:type="spellEnd"/>
      <w:r w:rsidRPr="00073ABA">
        <w:rPr>
          <w:rFonts w:ascii="Arial" w:hAnsi="Arial" w:cs="Arial"/>
          <w:sz w:val="20"/>
          <w:szCs w:val="20"/>
        </w:rPr>
        <w:t>, H., Santa, T., and Sekimizu, K. (2009). Quantitative evaluation of the therapeutic effects of antibiotics using silkworms infected with human pathogenic microorganisms. Antimicrobial Agents and Chemotherapy, 53, 4998–4999.</w:t>
      </w:r>
    </w:p>
    <w:p w14:paraId="227C3283" w14:textId="77777777" w:rsidR="00073ABA" w:rsidRPr="00073ABA" w:rsidRDefault="00073ABA" w:rsidP="0019296B">
      <w:pPr>
        <w:spacing w:after="0" w:line="240" w:lineRule="auto"/>
        <w:ind w:hanging="720"/>
        <w:jc w:val="both"/>
        <w:rPr>
          <w:rFonts w:ascii="Arial" w:hAnsi="Arial" w:cs="Arial"/>
          <w:sz w:val="20"/>
          <w:szCs w:val="20"/>
        </w:rPr>
      </w:pPr>
    </w:p>
    <w:p w14:paraId="11AA8A88"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Hamamura, K. (2001). Silkworm artificial diet. Japan Agricultural Research Quarterly, 35, 75–82.</w:t>
      </w:r>
    </w:p>
    <w:p w14:paraId="56914D0F" w14:textId="77777777" w:rsidR="00073ABA" w:rsidRPr="00073ABA" w:rsidRDefault="00073ABA" w:rsidP="0019296B">
      <w:pPr>
        <w:spacing w:after="0" w:line="240" w:lineRule="auto"/>
        <w:ind w:hanging="720"/>
        <w:jc w:val="both"/>
        <w:rPr>
          <w:rFonts w:ascii="Arial" w:hAnsi="Arial" w:cs="Arial"/>
          <w:sz w:val="20"/>
          <w:szCs w:val="20"/>
        </w:rPr>
      </w:pPr>
    </w:p>
    <w:p w14:paraId="1F46277F"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Horie, Y., and Nakasone, S. (1971). The mineral requirements for the silkworm, Bombyx mori L. Journal of Insect Physiology, 17, 2415–2423.</w:t>
      </w:r>
    </w:p>
    <w:p w14:paraId="6165EDF4" w14:textId="77777777" w:rsidR="00073ABA" w:rsidRPr="00073ABA" w:rsidRDefault="00073ABA" w:rsidP="0019296B">
      <w:pPr>
        <w:spacing w:after="0" w:line="240" w:lineRule="auto"/>
        <w:ind w:hanging="720"/>
        <w:jc w:val="both"/>
        <w:rPr>
          <w:rFonts w:ascii="Arial" w:hAnsi="Arial" w:cs="Arial"/>
          <w:sz w:val="20"/>
          <w:szCs w:val="20"/>
        </w:rPr>
      </w:pPr>
    </w:p>
    <w:p w14:paraId="1E669A09"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lastRenderedPageBreak/>
        <w:t>Horie, Y., Nakasone, S., Watanabe, K., Nakamura, M., and Suda, H. (1985). Daily ingestion and utilization of various kinds of nutrients by the silkworm, Bombyx mori (Lepidoptera: Bombycidae). Applied Entomology and Zoology, 20, 159–172.</w:t>
      </w:r>
    </w:p>
    <w:p w14:paraId="6130106D" w14:textId="77777777" w:rsidR="00073ABA" w:rsidRPr="00073ABA" w:rsidRDefault="00073ABA" w:rsidP="0019296B">
      <w:pPr>
        <w:spacing w:after="0" w:line="240" w:lineRule="auto"/>
        <w:ind w:hanging="720"/>
        <w:jc w:val="both"/>
        <w:rPr>
          <w:rFonts w:ascii="Arial" w:hAnsi="Arial" w:cs="Arial"/>
          <w:sz w:val="20"/>
          <w:szCs w:val="20"/>
        </w:rPr>
      </w:pPr>
    </w:p>
    <w:p w14:paraId="0BF3188B" w14:textId="77777777" w:rsidR="00073AB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Ito, T. (1967). Feeding stimulation in the silkworm: Role of carbohydrates. Journal of Insect Physiology, 13, 1145–1154.</w:t>
      </w:r>
    </w:p>
    <w:p w14:paraId="0801320A" w14:textId="77777777" w:rsidR="00073ABA" w:rsidRPr="00073ABA" w:rsidRDefault="00073ABA" w:rsidP="0019296B">
      <w:pPr>
        <w:spacing w:after="0" w:line="240" w:lineRule="auto"/>
        <w:ind w:hanging="720"/>
        <w:jc w:val="both"/>
        <w:rPr>
          <w:rFonts w:ascii="Arial" w:hAnsi="Arial" w:cs="Arial"/>
          <w:sz w:val="20"/>
          <w:szCs w:val="20"/>
        </w:rPr>
      </w:pPr>
    </w:p>
    <w:p w14:paraId="31EF8C15" w14:textId="30E95D2F" w:rsidR="005F306A" w:rsidRPr="00073ABA" w:rsidRDefault="00073ABA" w:rsidP="0019296B">
      <w:pPr>
        <w:spacing w:after="0" w:line="240" w:lineRule="auto"/>
        <w:ind w:left="360" w:hanging="720"/>
        <w:jc w:val="both"/>
        <w:rPr>
          <w:rFonts w:ascii="Arial" w:hAnsi="Arial" w:cs="Arial"/>
          <w:sz w:val="20"/>
          <w:szCs w:val="20"/>
        </w:rPr>
      </w:pPr>
      <w:r w:rsidRPr="00073ABA">
        <w:rPr>
          <w:rFonts w:ascii="Arial" w:hAnsi="Arial" w:cs="Arial"/>
          <w:sz w:val="20"/>
          <w:szCs w:val="20"/>
        </w:rPr>
        <w:t>Ito, T. (1978). Silkworm nutrition and artificial diet. Japan Agricultural Research Quarterly, 12, 158–164.</w:t>
      </w:r>
    </w:p>
    <w:p w14:paraId="78F6BDBF" w14:textId="77777777" w:rsidR="00073ABA" w:rsidRPr="00796FFD" w:rsidRDefault="00073ABA" w:rsidP="0019296B">
      <w:pPr>
        <w:spacing w:after="0" w:line="240" w:lineRule="auto"/>
        <w:ind w:hanging="720"/>
        <w:jc w:val="both"/>
        <w:rPr>
          <w:rFonts w:ascii="Arial" w:hAnsi="Arial" w:cs="Arial"/>
          <w:sz w:val="20"/>
          <w:szCs w:val="20"/>
        </w:rPr>
      </w:pPr>
    </w:p>
    <w:p w14:paraId="0BD1A3ED"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Ito, T., Horie, Y., and Nakasone, S. (1975). Deterrent effect of soybean meal on feeding of the silkworm, Bombyx mori. Journal of Insect Physiology, 21, 995–1006.</w:t>
      </w:r>
    </w:p>
    <w:p w14:paraId="048A84FB"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Ji, S.D., Kim, N.S., Kweon, H.Y., Choi, B.H., Kim, K.Y., and Koh, Y.H. (2016). Nutritional composition differences among steamed and freeze-dried mature silkworm larval powders made from three Bombyx mori varieties weaving different </w:t>
      </w:r>
      <w:proofErr w:type="spellStart"/>
      <w:r w:rsidRPr="00073ABA">
        <w:rPr>
          <w:rFonts w:ascii="Arial" w:hAnsi="Arial" w:cs="Arial"/>
          <w:sz w:val="20"/>
          <w:szCs w:val="20"/>
        </w:rPr>
        <w:t>colored</w:t>
      </w:r>
      <w:proofErr w:type="spellEnd"/>
      <w:r w:rsidRPr="00073ABA">
        <w:rPr>
          <w:rFonts w:ascii="Arial" w:hAnsi="Arial" w:cs="Arial"/>
          <w:sz w:val="20"/>
          <w:szCs w:val="20"/>
        </w:rPr>
        <w:t xml:space="preserve"> cocoons. International Journal of Industrial Entomology, 33, 6–14.</w:t>
      </w:r>
    </w:p>
    <w:p w14:paraId="511C486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Katagiri, K., Horie, Y., and Nakasone, S. (1990). Vitamin requirements for the silkworm, Bombyx mori L. Bulletin of the Sericultural Experiment Station, 31, 45–67.</w:t>
      </w:r>
    </w:p>
    <w:p w14:paraId="4512929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Kim, H.B., Seo, S.D., Gu, H.Y., Seok, Y.S., Kim, S.L., and Sung, G.B. (2013). Quantitative analysis of 1-deoxynojirimycin in mulberry leaves. Journal of Sericultural and Entomological Science, 51, 20–29.</w:t>
      </w:r>
    </w:p>
    <w:p w14:paraId="748EE91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Krishnaswami, S., Kumararaj, S., Vijayaraghavan, K., and </w:t>
      </w:r>
      <w:proofErr w:type="spellStart"/>
      <w:r w:rsidRPr="00073ABA">
        <w:rPr>
          <w:rFonts w:ascii="Arial" w:hAnsi="Arial" w:cs="Arial"/>
          <w:sz w:val="20"/>
          <w:szCs w:val="20"/>
        </w:rPr>
        <w:t>Kasiviswanathan</w:t>
      </w:r>
      <w:proofErr w:type="spellEnd"/>
      <w:r w:rsidRPr="00073ABA">
        <w:rPr>
          <w:rFonts w:ascii="Arial" w:hAnsi="Arial" w:cs="Arial"/>
          <w:sz w:val="20"/>
          <w:szCs w:val="20"/>
        </w:rPr>
        <w:t>, K. (1973). Silkworm Rearing. Central Silk Board, Bangalore.</w:t>
      </w:r>
    </w:p>
    <w:p w14:paraId="2991450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Kweon, H.Y., Jo, Y.Y., Kim, H.B., Ju, W.T., and Lee, J.H. (2019). Proximate and nutritional compositions of freeze-dried silkworm powder as edible insect resources. Journal of Sericultural and Entomological Science, 55, 33–39.</w:t>
      </w:r>
    </w:p>
    <w:p w14:paraId="45126C4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Lavine, M.D., and Strand, M.R. (2002). Insect </w:t>
      </w:r>
      <w:proofErr w:type="spellStart"/>
      <w:r w:rsidRPr="00073ABA">
        <w:rPr>
          <w:rFonts w:ascii="Arial" w:hAnsi="Arial" w:cs="Arial"/>
          <w:sz w:val="20"/>
          <w:szCs w:val="20"/>
        </w:rPr>
        <w:t>hemocytes</w:t>
      </w:r>
      <w:proofErr w:type="spellEnd"/>
      <w:r w:rsidRPr="00073ABA">
        <w:rPr>
          <w:rFonts w:ascii="Arial" w:hAnsi="Arial" w:cs="Arial"/>
          <w:sz w:val="20"/>
          <w:szCs w:val="20"/>
        </w:rPr>
        <w:t xml:space="preserve"> and their role in immunity. Insect Biochemistry and Molecular Biology, 32, 1295–1309.</w:t>
      </w:r>
    </w:p>
    <w:p w14:paraId="6ED07286"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Lee, H.T. (2019). A promising health-promoting natural product, steamed and lyophilized mature silkworm powder: Its various functionalities for humans. Journal of Sericultural and Entomological Science, 55, 40–43.</w:t>
      </w:r>
    </w:p>
    <w:p w14:paraId="4DC6684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Lemaitre, B., and Hoffmann, J. (2007). The host </w:t>
      </w:r>
      <w:proofErr w:type="spellStart"/>
      <w:r w:rsidRPr="00073ABA">
        <w:rPr>
          <w:rFonts w:ascii="Arial" w:hAnsi="Arial" w:cs="Arial"/>
          <w:sz w:val="20"/>
          <w:szCs w:val="20"/>
        </w:rPr>
        <w:t>defense</w:t>
      </w:r>
      <w:proofErr w:type="spellEnd"/>
      <w:r w:rsidRPr="00073ABA">
        <w:rPr>
          <w:rFonts w:ascii="Arial" w:hAnsi="Arial" w:cs="Arial"/>
          <w:sz w:val="20"/>
          <w:szCs w:val="20"/>
        </w:rPr>
        <w:t xml:space="preserve"> of Drosophila melanogaster. Annual Review of Immunology, 25, 697–743.</w:t>
      </w:r>
    </w:p>
    <w:p w14:paraId="4F9A5CE7"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Li, Z., Zhang, H., and Chen, Y. (2022). Artificial diet impacts on immunity of fifth-instar silkworms. Insect Science, 29, 1456–1468.</w:t>
      </w:r>
    </w:p>
    <w:p w14:paraId="6FEAFB3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Nation, J.L. (2016). Insect Physiology and Biochemistry. 3rd ed. CRC Press.</w:t>
      </w:r>
    </w:p>
    <w:p w14:paraId="24B412A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Pan, M.H., Cai, L.J., and Lu, C. (2017). Transcriptome analysis of amino acid metabolism in fifth-instar silkworms. BMC Genomics, 18, 456.</w:t>
      </w:r>
    </w:p>
    <w:p w14:paraId="2B3D120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Park, J.W., Kook, P.R., Park, J.S., Cho, Y.H., Park, S.K., Kwon, H.G., and Kim, S.W. (2024). Changes in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metabolites of silkworms fed artificial diet and mulberry leaves. Journal of Life Science, 34, 892–901.</w:t>
      </w:r>
    </w:p>
    <w:p w14:paraId="60EA2DB9"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Park, J.W., Park, J.S., Jeong, C.Y., Kwon, H.K., Kang, S.K., Kim, S.W., and Lee, H.T. (2022). Identification of domesticated silkworm varieties using whole genome single nucleotide polymorphism-based decision tree. Journal of Life Science, 32, 101–109.</w:t>
      </w:r>
    </w:p>
    <w:p w14:paraId="12E90A78"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Popham, H.J.R., and Shelby, K.S. (2006). Effect of inoculating silkworm larvae with midgut bacterial isolates on susceptibility to oral infection by Bacillus thuringiensis. Journal of Invertebrate Pathology, 92, 168–170.</w:t>
      </w:r>
    </w:p>
    <w:p w14:paraId="11436587"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Qin, D.Y., Wang, G.H., Dong, Z.M., Xia, Q.Y., and Zhao, P. (2020). Comparative </w:t>
      </w:r>
      <w:proofErr w:type="spellStart"/>
      <w:r w:rsidRPr="00073ABA">
        <w:rPr>
          <w:rFonts w:ascii="Arial" w:hAnsi="Arial" w:cs="Arial"/>
          <w:sz w:val="20"/>
          <w:szCs w:val="20"/>
        </w:rPr>
        <w:t>fecal</w:t>
      </w:r>
      <w:proofErr w:type="spellEnd"/>
      <w:r w:rsidRPr="00073ABA">
        <w:rPr>
          <w:rFonts w:ascii="Arial" w:hAnsi="Arial" w:cs="Arial"/>
          <w:sz w:val="20"/>
          <w:szCs w:val="20"/>
        </w:rPr>
        <w:t xml:space="preserve"> metabolomes of silkworms fed mulberry leaf and artificial diet. Insects, 11, 851.</w:t>
      </w:r>
    </w:p>
    <w:p w14:paraId="619AADE7" w14:textId="77777777" w:rsidR="00073ABA" w:rsidRPr="00073ABA" w:rsidRDefault="00073ABA" w:rsidP="0019296B">
      <w:pPr>
        <w:ind w:left="360" w:hanging="720"/>
        <w:jc w:val="both"/>
        <w:rPr>
          <w:rFonts w:ascii="Arial" w:hAnsi="Arial" w:cs="Arial"/>
          <w:sz w:val="20"/>
          <w:szCs w:val="20"/>
        </w:rPr>
      </w:pPr>
      <w:proofErr w:type="spellStart"/>
      <w:r w:rsidRPr="00073ABA">
        <w:rPr>
          <w:rFonts w:ascii="Arial" w:hAnsi="Arial" w:cs="Arial"/>
          <w:sz w:val="20"/>
          <w:szCs w:val="20"/>
        </w:rPr>
        <w:lastRenderedPageBreak/>
        <w:t>Rahmathulla</w:t>
      </w:r>
      <w:proofErr w:type="spellEnd"/>
      <w:r w:rsidRPr="00073ABA">
        <w:rPr>
          <w:rFonts w:ascii="Arial" w:hAnsi="Arial" w:cs="Arial"/>
          <w:sz w:val="20"/>
          <w:szCs w:val="20"/>
        </w:rPr>
        <w:t>, V.K. (2012). Management of climatic factors for successful silkworm (Bombyx mori L.) crop and higher silk production: A review. Psyche: A Journal of Entomology, 2012, 121234.</w:t>
      </w:r>
    </w:p>
    <w:p w14:paraId="060E6A29"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Ren, C., Li, Y., Zhang, H., Wang, Y., Chen, Y., and Li, Z. (2025). Probiotic Bacillus subtilis enhances silkworm (Bombyx mori) growth performance and silk production via modulation of gut microbiota and amino acid metabolism. Animal Microbiome, 7, 23.</w:t>
      </w:r>
    </w:p>
    <w:p w14:paraId="720B684E"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Sanchez-Bayo, F. (2020). Nutritional requirements and artificial diets. In: Insect Physiology and Ecology. Springer, pp. 45–78.</w:t>
      </w:r>
    </w:p>
    <w:p w14:paraId="3AAD682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Scott, J.G., and Wen, Z. (2001). Cytochromes P450 of insects: The tip of the iceberg. Pest Management Science, 57, 958–967.</w:t>
      </w:r>
    </w:p>
    <w:p w14:paraId="2980942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Selvaraj, S., Govindaraju, G., and Kumar, V. (2021). Probiotic potential of Bacillus subtilis isolated from silkworm gut microbiota for sericulture. Journal of Applied Microbiology, 130, 456–468.</w:t>
      </w:r>
    </w:p>
    <w:p w14:paraId="44BF7D2C"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Singh, R., Kumar, P., and Singh, A. (1994). Mineral nutrition and cocoon quality in silkworm. Indian Journal of Sericulture, 33, 45–50.</w:t>
      </w:r>
    </w:p>
    <w:p w14:paraId="0131C9E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Tao, H., Li, X., and Wang, H. (2022). Metabolomics reveals dietary effects on silkworm development. Metabolomics, 18, 45.</w:t>
      </w:r>
    </w:p>
    <w:p w14:paraId="6E1AFF8D"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Wang, H., Yu, Y., and Chen, Y. (2010). Flavonoids and antioxidants in mulberry leaves: Implications for silkworm health. Journal of Agricultural and Food Chemistry, 58, 12434–12440.</w:t>
      </w:r>
    </w:p>
    <w:p w14:paraId="1CCAA841"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Wen, C., Zhang, H., and Li, Z. (2020). Phytochemicals in mulberry leaves and their physiological effects on silkworms. Phytochemistry, 177, 112408.</w:t>
      </w:r>
    </w:p>
    <w:p w14:paraId="25A5978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 xml:space="preserve">Wu, J., Li, Y., Zhang, H., Wang, Y., Chen, Y., and Li, Z. (2024). Comparative metabolomics analysis of </w:t>
      </w:r>
      <w:proofErr w:type="spellStart"/>
      <w:r w:rsidRPr="00073ABA">
        <w:rPr>
          <w:rFonts w:ascii="Arial" w:hAnsi="Arial" w:cs="Arial"/>
          <w:sz w:val="20"/>
          <w:szCs w:val="20"/>
        </w:rPr>
        <w:t>hemolymph</w:t>
      </w:r>
      <w:proofErr w:type="spellEnd"/>
      <w:r w:rsidRPr="00073ABA">
        <w:rPr>
          <w:rFonts w:ascii="Arial" w:hAnsi="Arial" w:cs="Arial"/>
          <w:sz w:val="20"/>
          <w:szCs w:val="20"/>
        </w:rPr>
        <w:t xml:space="preserve"> and cocoon from silkworms fed natural mulberry leaves versus artificial diets. Frontiers in Nutrition, 11, 1444720.</w:t>
      </w:r>
    </w:p>
    <w:p w14:paraId="5CB24485"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Xiang, H., Li, H., Li, C., Wang, D., Bian, Y., and Li, J. (2021). Effect of probiotics on the gut microbiota and metabolomics of silkworm (Bombyx mori). Frontiers in Microbiology, 12, 702656.</w:t>
      </w:r>
    </w:p>
    <w:p w14:paraId="3DFB8A8B"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Xiang, H., Li, H., Li, C., Wang, D., Bian, Y., and Li, J. (2022). Comparative analysis of gut microbial communities and metabolites in silkworms fed mulberry leaves or artificial diets. Frontiers in Microbiology, 13, 957466.</w:t>
      </w:r>
    </w:p>
    <w:p w14:paraId="75FEC35F"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Xin, L., Zhang, H., and Chen, Y. (2024). Gut microbiota composition changes in artificial diet-fed silkworms. Microbial Ecology, 87, 145.</w:t>
      </w:r>
    </w:p>
    <w:p w14:paraId="4999FB4A"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Zhang, Y., Chen, Y., Wang, H., Li, Z., and Chen, Y. (2023). Phenylalanine supplementation mimics probiotic effects on silkworm growth performance through modulation of gut microbiota and host metabolism. Journal of Insect Physiology, 145, 104456.</w:t>
      </w:r>
    </w:p>
    <w:p w14:paraId="334A0F6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Zhang, Y., Li, X., and Wang, H. (2023). Artificial diet systems in major sericulture countries: Comparative analysis. International Journal of Tropical Insect Science, 43, 2345–2358.</w:t>
      </w:r>
    </w:p>
    <w:p w14:paraId="3B3D2A13" w14:textId="77777777" w:rsidR="00073ABA" w:rsidRPr="00073ABA" w:rsidRDefault="00073ABA" w:rsidP="0019296B">
      <w:pPr>
        <w:ind w:left="360" w:hanging="720"/>
        <w:jc w:val="both"/>
        <w:rPr>
          <w:rFonts w:ascii="Arial" w:hAnsi="Arial" w:cs="Arial"/>
          <w:sz w:val="20"/>
          <w:szCs w:val="20"/>
        </w:rPr>
      </w:pPr>
      <w:r w:rsidRPr="00073ABA">
        <w:rPr>
          <w:rFonts w:ascii="Arial" w:hAnsi="Arial" w:cs="Arial"/>
          <w:sz w:val="20"/>
          <w:szCs w:val="20"/>
        </w:rPr>
        <w:t>Zhou, L., Chen, Y., and Wang, H. (2008). Proteomics analysis of artificial diet effects on silkworm immunity and metabolism. Proteomics, 8, 4897–4908.</w:t>
      </w:r>
    </w:p>
    <w:p w14:paraId="7FBF5847" w14:textId="77777777" w:rsidR="005F306A" w:rsidRPr="00796FFD" w:rsidRDefault="005F306A" w:rsidP="0019296B">
      <w:pPr>
        <w:ind w:hanging="720"/>
        <w:jc w:val="both"/>
        <w:rPr>
          <w:rFonts w:ascii="Arial" w:hAnsi="Arial" w:cs="Arial"/>
          <w:sz w:val="20"/>
          <w:szCs w:val="20"/>
        </w:rPr>
      </w:pPr>
    </w:p>
    <w:sectPr w:rsidR="005F306A" w:rsidRPr="00796F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47898" w14:textId="77777777" w:rsidR="00911E9B" w:rsidRDefault="00911E9B" w:rsidP="004057EC">
      <w:pPr>
        <w:spacing w:after="0" w:line="240" w:lineRule="auto"/>
      </w:pPr>
      <w:r>
        <w:separator/>
      </w:r>
    </w:p>
  </w:endnote>
  <w:endnote w:type="continuationSeparator" w:id="0">
    <w:p w14:paraId="353784C6" w14:textId="77777777" w:rsidR="00911E9B" w:rsidRDefault="00911E9B" w:rsidP="0040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4C3B" w14:textId="77777777" w:rsidR="006F5CCE" w:rsidRDefault="006F5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CB4F5" w14:textId="77777777" w:rsidR="006F5CCE" w:rsidRDefault="006F5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0DEBA" w14:textId="77777777" w:rsidR="006F5CCE" w:rsidRDefault="006F5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E2396" w14:textId="77777777" w:rsidR="00911E9B" w:rsidRDefault="00911E9B" w:rsidP="004057EC">
      <w:pPr>
        <w:spacing w:after="0" w:line="240" w:lineRule="auto"/>
      </w:pPr>
      <w:r>
        <w:separator/>
      </w:r>
    </w:p>
  </w:footnote>
  <w:footnote w:type="continuationSeparator" w:id="0">
    <w:p w14:paraId="0FA0BA19" w14:textId="77777777" w:rsidR="00911E9B" w:rsidRDefault="00911E9B" w:rsidP="004057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93757" w14:textId="6B29543C" w:rsidR="006F5CCE" w:rsidRDefault="00911E9B">
    <w:pPr>
      <w:pStyle w:val="Header"/>
    </w:pPr>
    <w:r>
      <w:rPr>
        <w:noProof/>
      </w:rPr>
      <w:pict w14:anchorId="57336E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C4F5" w14:textId="49D67CCF" w:rsidR="006F5CCE" w:rsidRDefault="00911E9B">
    <w:pPr>
      <w:pStyle w:val="Header"/>
    </w:pPr>
    <w:r>
      <w:rPr>
        <w:noProof/>
      </w:rPr>
      <w:pict w14:anchorId="523B5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CC0D" w14:textId="3A9E2CE9" w:rsidR="006F5CCE" w:rsidRDefault="00911E9B">
    <w:pPr>
      <w:pStyle w:val="Header"/>
    </w:pPr>
    <w:r>
      <w:rPr>
        <w:noProof/>
      </w:rPr>
      <w:pict w14:anchorId="0A92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489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B7050"/>
    <w:multiLevelType w:val="hybridMultilevel"/>
    <w:tmpl w:val="1AF80F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F62293C"/>
    <w:multiLevelType w:val="hybridMultilevel"/>
    <w:tmpl w:val="1C72B0E8"/>
    <w:lvl w:ilvl="0" w:tplc="4009000F">
      <w:start w:val="1"/>
      <w:numFmt w:val="decimal"/>
      <w:lvlText w:val="%1."/>
      <w:lvlJc w:val="left"/>
      <w:pPr>
        <w:ind w:left="928"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0sjQ3Nzc0MDA3NTFW0lEKTi0uzszPAykwqgUAAZjWaCwAAAA="/>
  </w:docVars>
  <w:rsids>
    <w:rsidRoot w:val="00221E84"/>
    <w:rsid w:val="00013778"/>
    <w:rsid w:val="00071732"/>
    <w:rsid w:val="00073ABA"/>
    <w:rsid w:val="00117D96"/>
    <w:rsid w:val="00156F48"/>
    <w:rsid w:val="001768D3"/>
    <w:rsid w:val="0019296B"/>
    <w:rsid w:val="001F22E8"/>
    <w:rsid w:val="001F4513"/>
    <w:rsid w:val="00204411"/>
    <w:rsid w:val="00221E84"/>
    <w:rsid w:val="00236801"/>
    <w:rsid w:val="00266381"/>
    <w:rsid w:val="00285EED"/>
    <w:rsid w:val="0033390C"/>
    <w:rsid w:val="003826CB"/>
    <w:rsid w:val="004057EC"/>
    <w:rsid w:val="004133FA"/>
    <w:rsid w:val="004277E4"/>
    <w:rsid w:val="00473ED1"/>
    <w:rsid w:val="004C2707"/>
    <w:rsid w:val="004E3A35"/>
    <w:rsid w:val="004F69C4"/>
    <w:rsid w:val="00523734"/>
    <w:rsid w:val="00567999"/>
    <w:rsid w:val="005A1FCD"/>
    <w:rsid w:val="005D4374"/>
    <w:rsid w:val="005E00CA"/>
    <w:rsid w:val="005F306A"/>
    <w:rsid w:val="00634C0C"/>
    <w:rsid w:val="00643EC5"/>
    <w:rsid w:val="006F1A7F"/>
    <w:rsid w:val="006F5CCE"/>
    <w:rsid w:val="00752BFD"/>
    <w:rsid w:val="00796FFD"/>
    <w:rsid w:val="007B1E1D"/>
    <w:rsid w:val="007E6962"/>
    <w:rsid w:val="00863432"/>
    <w:rsid w:val="008D09C6"/>
    <w:rsid w:val="00911E9B"/>
    <w:rsid w:val="00916949"/>
    <w:rsid w:val="009456E7"/>
    <w:rsid w:val="00A8506F"/>
    <w:rsid w:val="00AA261C"/>
    <w:rsid w:val="00AA3DB8"/>
    <w:rsid w:val="00AF130F"/>
    <w:rsid w:val="00BB59FA"/>
    <w:rsid w:val="00BB609D"/>
    <w:rsid w:val="00D57427"/>
    <w:rsid w:val="00DF1068"/>
    <w:rsid w:val="00F94E7D"/>
    <w:rsid w:val="00FA04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1270B"/>
  <w15:chartTrackingRefBased/>
  <w15:docId w15:val="{C25D18A0-03CA-4633-9C60-A5B4C496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F306A"/>
    <w:rPr>
      <w:b/>
      <w:bCs/>
    </w:rPr>
  </w:style>
  <w:style w:type="table" w:styleId="TableGrid">
    <w:name w:val="Table Grid"/>
    <w:basedOn w:val="TableNormal"/>
    <w:uiPriority w:val="39"/>
    <w:rsid w:val="00752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BFD"/>
    <w:pPr>
      <w:ind w:left="720"/>
      <w:contextualSpacing/>
    </w:pPr>
  </w:style>
  <w:style w:type="paragraph" w:styleId="Header">
    <w:name w:val="header"/>
    <w:basedOn w:val="Normal"/>
    <w:link w:val="HeaderChar"/>
    <w:uiPriority w:val="99"/>
    <w:unhideWhenUsed/>
    <w:rsid w:val="004057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7EC"/>
  </w:style>
  <w:style w:type="paragraph" w:styleId="Footer">
    <w:name w:val="footer"/>
    <w:basedOn w:val="Normal"/>
    <w:link w:val="FooterChar"/>
    <w:uiPriority w:val="99"/>
    <w:unhideWhenUsed/>
    <w:rsid w:val="00405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7EC"/>
  </w:style>
  <w:style w:type="character" w:styleId="Hyperlink">
    <w:name w:val="Hyperlink"/>
    <w:basedOn w:val="DefaultParagraphFont"/>
    <w:uiPriority w:val="99"/>
    <w:unhideWhenUsed/>
    <w:rsid w:val="004057EC"/>
    <w:rPr>
      <w:color w:val="0563C1" w:themeColor="hyperlink"/>
      <w:u w:val="single"/>
    </w:rPr>
  </w:style>
  <w:style w:type="character" w:styleId="UnresolvedMention">
    <w:name w:val="Unresolved Mention"/>
    <w:basedOn w:val="DefaultParagraphFont"/>
    <w:uiPriority w:val="99"/>
    <w:semiHidden/>
    <w:unhideWhenUsed/>
    <w:rsid w:val="00405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741681">
      <w:bodyDiv w:val="1"/>
      <w:marLeft w:val="0"/>
      <w:marRight w:val="0"/>
      <w:marTop w:val="0"/>
      <w:marBottom w:val="0"/>
      <w:divBdr>
        <w:top w:val="none" w:sz="0" w:space="0" w:color="auto"/>
        <w:left w:val="none" w:sz="0" w:space="0" w:color="auto"/>
        <w:bottom w:val="none" w:sz="0" w:space="0" w:color="auto"/>
        <w:right w:val="none" w:sz="0" w:space="0" w:color="auto"/>
      </w:divBdr>
      <w:divsChild>
        <w:div w:id="571768798">
          <w:marLeft w:val="0"/>
          <w:marRight w:val="0"/>
          <w:marTop w:val="0"/>
          <w:marBottom w:val="0"/>
          <w:divBdr>
            <w:top w:val="none" w:sz="0" w:space="0" w:color="auto"/>
            <w:left w:val="none" w:sz="0" w:space="0" w:color="auto"/>
            <w:bottom w:val="none" w:sz="0" w:space="0" w:color="auto"/>
            <w:right w:val="none" w:sz="0" w:space="0" w:color="auto"/>
          </w:divBdr>
          <w:divsChild>
            <w:div w:id="997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59700">
      <w:bodyDiv w:val="1"/>
      <w:marLeft w:val="0"/>
      <w:marRight w:val="0"/>
      <w:marTop w:val="0"/>
      <w:marBottom w:val="0"/>
      <w:divBdr>
        <w:top w:val="none" w:sz="0" w:space="0" w:color="auto"/>
        <w:left w:val="none" w:sz="0" w:space="0" w:color="auto"/>
        <w:bottom w:val="none" w:sz="0" w:space="0" w:color="auto"/>
        <w:right w:val="none" w:sz="0" w:space="0" w:color="auto"/>
      </w:divBdr>
      <w:divsChild>
        <w:div w:id="864714412">
          <w:marLeft w:val="0"/>
          <w:marRight w:val="0"/>
          <w:marTop w:val="0"/>
          <w:marBottom w:val="0"/>
          <w:divBdr>
            <w:top w:val="none" w:sz="0" w:space="0" w:color="auto"/>
            <w:left w:val="none" w:sz="0" w:space="0" w:color="auto"/>
            <w:bottom w:val="none" w:sz="0" w:space="0" w:color="auto"/>
            <w:right w:val="none" w:sz="0" w:space="0" w:color="auto"/>
          </w:divBdr>
          <w:divsChild>
            <w:div w:id="1086224157">
              <w:marLeft w:val="0"/>
              <w:marRight w:val="0"/>
              <w:marTop w:val="0"/>
              <w:marBottom w:val="0"/>
              <w:divBdr>
                <w:top w:val="none" w:sz="0" w:space="0" w:color="auto"/>
                <w:left w:val="none" w:sz="0" w:space="0" w:color="auto"/>
                <w:bottom w:val="none" w:sz="0" w:space="0" w:color="auto"/>
                <w:right w:val="none" w:sz="0" w:space="0" w:color="auto"/>
              </w:divBdr>
              <w:divsChild>
                <w:div w:id="112539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7937">
          <w:marLeft w:val="0"/>
          <w:marRight w:val="0"/>
          <w:marTop w:val="0"/>
          <w:marBottom w:val="0"/>
          <w:divBdr>
            <w:top w:val="single" w:sz="6" w:space="0" w:color="auto"/>
            <w:left w:val="none" w:sz="0" w:space="0" w:color="auto"/>
            <w:bottom w:val="none" w:sz="0" w:space="0" w:color="auto"/>
            <w:right w:val="none" w:sz="0" w:space="0" w:color="auto"/>
          </w:divBdr>
          <w:divsChild>
            <w:div w:id="1039626092">
              <w:marLeft w:val="0"/>
              <w:marRight w:val="0"/>
              <w:marTop w:val="0"/>
              <w:marBottom w:val="0"/>
              <w:divBdr>
                <w:top w:val="none" w:sz="0" w:space="0" w:color="auto"/>
                <w:left w:val="none" w:sz="0" w:space="0" w:color="auto"/>
                <w:bottom w:val="none" w:sz="0" w:space="0" w:color="auto"/>
                <w:right w:val="none" w:sz="0" w:space="0" w:color="auto"/>
              </w:divBdr>
            </w:div>
            <w:div w:id="2021424424">
              <w:marLeft w:val="0"/>
              <w:marRight w:val="0"/>
              <w:marTop w:val="0"/>
              <w:marBottom w:val="0"/>
              <w:divBdr>
                <w:top w:val="none" w:sz="0" w:space="0" w:color="auto"/>
                <w:left w:val="none" w:sz="0" w:space="0" w:color="auto"/>
                <w:bottom w:val="none" w:sz="0" w:space="0" w:color="auto"/>
                <w:right w:val="none" w:sz="0" w:space="0" w:color="auto"/>
              </w:divBdr>
              <w:divsChild>
                <w:div w:id="851991662">
                  <w:marLeft w:val="0"/>
                  <w:marRight w:val="0"/>
                  <w:marTop w:val="0"/>
                  <w:marBottom w:val="0"/>
                  <w:divBdr>
                    <w:top w:val="none" w:sz="0" w:space="0" w:color="auto"/>
                    <w:left w:val="none" w:sz="0" w:space="0" w:color="auto"/>
                    <w:bottom w:val="none" w:sz="0" w:space="0" w:color="auto"/>
                    <w:right w:val="none" w:sz="0" w:space="0" w:color="auto"/>
                  </w:divBdr>
                  <w:divsChild>
                    <w:div w:id="6778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97364">
      <w:bodyDiv w:val="1"/>
      <w:marLeft w:val="0"/>
      <w:marRight w:val="0"/>
      <w:marTop w:val="0"/>
      <w:marBottom w:val="0"/>
      <w:divBdr>
        <w:top w:val="none" w:sz="0" w:space="0" w:color="auto"/>
        <w:left w:val="none" w:sz="0" w:space="0" w:color="auto"/>
        <w:bottom w:val="none" w:sz="0" w:space="0" w:color="auto"/>
        <w:right w:val="none" w:sz="0" w:space="0" w:color="auto"/>
      </w:divBdr>
      <w:divsChild>
        <w:div w:id="413354143">
          <w:marLeft w:val="0"/>
          <w:marRight w:val="0"/>
          <w:marTop w:val="0"/>
          <w:marBottom w:val="0"/>
          <w:divBdr>
            <w:top w:val="none" w:sz="0" w:space="0" w:color="auto"/>
            <w:left w:val="none" w:sz="0" w:space="0" w:color="auto"/>
            <w:bottom w:val="none" w:sz="0" w:space="0" w:color="auto"/>
            <w:right w:val="none" w:sz="0" w:space="0" w:color="auto"/>
          </w:divBdr>
          <w:divsChild>
            <w:div w:id="5710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378433">
      <w:bodyDiv w:val="1"/>
      <w:marLeft w:val="0"/>
      <w:marRight w:val="0"/>
      <w:marTop w:val="0"/>
      <w:marBottom w:val="0"/>
      <w:divBdr>
        <w:top w:val="none" w:sz="0" w:space="0" w:color="auto"/>
        <w:left w:val="none" w:sz="0" w:space="0" w:color="auto"/>
        <w:bottom w:val="none" w:sz="0" w:space="0" w:color="auto"/>
        <w:right w:val="none" w:sz="0" w:space="0" w:color="auto"/>
      </w:divBdr>
    </w:div>
    <w:div w:id="1243642867">
      <w:bodyDiv w:val="1"/>
      <w:marLeft w:val="0"/>
      <w:marRight w:val="0"/>
      <w:marTop w:val="0"/>
      <w:marBottom w:val="0"/>
      <w:divBdr>
        <w:top w:val="none" w:sz="0" w:space="0" w:color="auto"/>
        <w:left w:val="none" w:sz="0" w:space="0" w:color="auto"/>
        <w:bottom w:val="none" w:sz="0" w:space="0" w:color="auto"/>
        <w:right w:val="none" w:sz="0" w:space="0" w:color="auto"/>
      </w:divBdr>
      <w:divsChild>
        <w:div w:id="1715540024">
          <w:marLeft w:val="0"/>
          <w:marRight w:val="0"/>
          <w:marTop w:val="0"/>
          <w:marBottom w:val="0"/>
          <w:divBdr>
            <w:top w:val="none" w:sz="0" w:space="0" w:color="auto"/>
            <w:left w:val="none" w:sz="0" w:space="0" w:color="auto"/>
            <w:bottom w:val="none" w:sz="0" w:space="0" w:color="auto"/>
            <w:right w:val="none" w:sz="0" w:space="0" w:color="auto"/>
          </w:divBdr>
          <w:divsChild>
            <w:div w:id="13524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496996">
      <w:bodyDiv w:val="1"/>
      <w:marLeft w:val="0"/>
      <w:marRight w:val="0"/>
      <w:marTop w:val="0"/>
      <w:marBottom w:val="0"/>
      <w:divBdr>
        <w:top w:val="none" w:sz="0" w:space="0" w:color="auto"/>
        <w:left w:val="none" w:sz="0" w:space="0" w:color="auto"/>
        <w:bottom w:val="none" w:sz="0" w:space="0" w:color="auto"/>
        <w:right w:val="none" w:sz="0" w:space="0" w:color="auto"/>
      </w:divBdr>
      <w:divsChild>
        <w:div w:id="812023333">
          <w:marLeft w:val="0"/>
          <w:marRight w:val="0"/>
          <w:marTop w:val="0"/>
          <w:marBottom w:val="0"/>
          <w:divBdr>
            <w:top w:val="none" w:sz="0" w:space="0" w:color="auto"/>
            <w:left w:val="none" w:sz="0" w:space="0" w:color="auto"/>
            <w:bottom w:val="none" w:sz="0" w:space="0" w:color="auto"/>
            <w:right w:val="none" w:sz="0" w:space="0" w:color="auto"/>
          </w:divBdr>
          <w:divsChild>
            <w:div w:id="11419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378">
      <w:bodyDiv w:val="1"/>
      <w:marLeft w:val="0"/>
      <w:marRight w:val="0"/>
      <w:marTop w:val="0"/>
      <w:marBottom w:val="0"/>
      <w:divBdr>
        <w:top w:val="none" w:sz="0" w:space="0" w:color="auto"/>
        <w:left w:val="none" w:sz="0" w:space="0" w:color="auto"/>
        <w:bottom w:val="none" w:sz="0" w:space="0" w:color="auto"/>
        <w:right w:val="none" w:sz="0" w:space="0" w:color="auto"/>
      </w:divBdr>
    </w:div>
    <w:div w:id="18919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9F21-4814-48B0-ABFE-2D427402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19</Pages>
  <Words>10425</Words>
  <Characters>59427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dc:creator>
  <cp:keywords/>
  <dc:description/>
  <cp:lastModifiedBy>SDI 1166</cp:lastModifiedBy>
  <cp:revision>70</cp:revision>
  <dcterms:created xsi:type="dcterms:W3CDTF">2026-03-10T15:31:00Z</dcterms:created>
  <dcterms:modified xsi:type="dcterms:W3CDTF">2026-03-16T10:19:00Z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d9d63798-b0d2-4856-8bdf-77ae8c34f39e</vt:lpwstr>
  </property>
</Properties>
</file>