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44DA" w:rsidRDefault="00CB6F9E">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Comparative Diagnostic Performance of Short-Term Glycemic Markers and HbA1c for Diabetes and Prediabetes: A Systematic Review</w:t>
      </w:r>
    </w:p>
    <w:p w:rsidR="007F44DA" w:rsidRDefault="007F44DA">
      <w:pPr>
        <w:jc w:val="both"/>
        <w:rPr>
          <w:rFonts w:ascii="Times New Roman" w:eastAsia="Times New Roman" w:hAnsi="Times New Roman" w:cs="Times New Roman"/>
          <w:sz w:val="24"/>
          <w:szCs w:val="24"/>
        </w:rPr>
      </w:pPr>
    </w:p>
    <w:p w:rsidR="007F44DA" w:rsidRDefault="007F44DA">
      <w:pPr>
        <w:jc w:val="both"/>
        <w:rPr>
          <w:sz w:val="24"/>
          <w:szCs w:val="24"/>
          <w:highlight w:val="white"/>
        </w:rPr>
      </w:pPr>
      <w:bookmarkStart w:id="0" w:name="_GoBack"/>
      <w:bookmarkEnd w:id="0"/>
    </w:p>
    <w:p w:rsidR="007F44DA" w:rsidRDefault="00CB6F9E">
      <w:pPr>
        <w:pStyle w:val="Heading2"/>
        <w:keepNext w:val="0"/>
        <w:keepLines w:val="0"/>
        <w:spacing w:after="80"/>
        <w:jc w:val="both"/>
        <w:rPr>
          <w:rFonts w:ascii="Times New Roman" w:eastAsia="Times New Roman" w:hAnsi="Times New Roman" w:cs="Times New Roman"/>
          <w:b/>
          <w:bCs/>
          <w:sz w:val="24"/>
          <w:szCs w:val="24"/>
          <w:highlight w:val="white"/>
        </w:rPr>
      </w:pPr>
      <w:bookmarkStart w:id="1" w:name="_kjgcragcoaxs" w:colFirst="0" w:colLast="0"/>
      <w:bookmarkEnd w:id="1"/>
      <w:r>
        <w:rPr>
          <w:rFonts w:ascii="Times New Roman" w:eastAsia="Times New Roman" w:hAnsi="Times New Roman" w:cs="Times New Roman"/>
          <w:b/>
          <w:bCs/>
          <w:sz w:val="24"/>
          <w:szCs w:val="24"/>
          <w:highlight w:val="white"/>
        </w:rPr>
        <w:t>ABSTRACT</w:t>
      </w:r>
    </w:p>
    <w:p w:rsidR="007F44DA" w:rsidRDefault="00CB6F9E">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Background:</w:t>
      </w:r>
      <w:r>
        <w:rPr>
          <w:rFonts w:ascii="Times New Roman" w:eastAsia="Times New Roman" w:hAnsi="Times New Roman" w:cs="Times New Roman"/>
          <w:sz w:val="24"/>
          <w:szCs w:val="24"/>
          <w:highlight w:val="white"/>
        </w:rPr>
        <w:t xml:space="preserve"> Glycated hemoglobin (HbA1c) is widely used for the diagnosis and monitoring of diabetes, but its diagnostic performance may be affected by conditions such as altered erythrocyte lifespan, hemoglobinopathies, chronic kidney disease, and pregnancy. Short-te</w:t>
      </w:r>
      <w:r>
        <w:rPr>
          <w:rFonts w:ascii="Times New Roman" w:eastAsia="Times New Roman" w:hAnsi="Times New Roman" w:cs="Times New Roman"/>
          <w:sz w:val="24"/>
          <w:szCs w:val="24"/>
          <w:highlight w:val="white"/>
        </w:rPr>
        <w:t xml:space="preserve">rm glycemic markers, including glycated albumin, </w:t>
      </w:r>
      <w:proofErr w:type="spellStart"/>
      <w:r>
        <w:rPr>
          <w:rFonts w:ascii="Times New Roman" w:eastAsia="Times New Roman" w:hAnsi="Times New Roman" w:cs="Times New Roman"/>
          <w:sz w:val="24"/>
          <w:szCs w:val="24"/>
          <w:highlight w:val="white"/>
        </w:rPr>
        <w:t>fructosamine</w:t>
      </w:r>
      <w:proofErr w:type="spellEnd"/>
      <w:r>
        <w:rPr>
          <w:rFonts w:ascii="Times New Roman" w:eastAsia="Times New Roman" w:hAnsi="Times New Roman" w:cs="Times New Roman"/>
          <w:sz w:val="24"/>
          <w:szCs w:val="24"/>
          <w:highlight w:val="white"/>
        </w:rPr>
        <w:t>, and 1,5-anhydroglucitol (1,5-AG), have been proposed as alternative or complementary biomarkers, particularly in settings where HbA1c may be less reliable. This systematic review synthesized ev</w:t>
      </w:r>
      <w:r>
        <w:rPr>
          <w:rFonts w:ascii="Times New Roman" w:eastAsia="Times New Roman" w:hAnsi="Times New Roman" w:cs="Times New Roman"/>
          <w:sz w:val="24"/>
          <w:szCs w:val="24"/>
          <w:highlight w:val="white"/>
        </w:rPr>
        <w:t>idence on the comparative diagnostic performance of HbA1c and short-term glycemic markers for the detection of diabetes and prediabetes.</w:t>
      </w:r>
    </w:p>
    <w:p w:rsidR="007F44DA" w:rsidRDefault="00CB6F9E">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Methods:</w:t>
      </w:r>
      <w:r>
        <w:rPr>
          <w:rFonts w:ascii="Times New Roman" w:eastAsia="Times New Roman" w:hAnsi="Times New Roman" w:cs="Times New Roman"/>
          <w:sz w:val="24"/>
          <w:szCs w:val="24"/>
          <w:highlight w:val="white"/>
        </w:rPr>
        <w:t xml:space="preserve"> A systematic review was conducted in accordance with PRISMA 2020 guidelines. Electronic databases searched inc</w:t>
      </w:r>
      <w:r>
        <w:rPr>
          <w:rFonts w:ascii="Times New Roman" w:eastAsia="Times New Roman" w:hAnsi="Times New Roman" w:cs="Times New Roman"/>
          <w:sz w:val="24"/>
          <w:szCs w:val="24"/>
          <w:highlight w:val="white"/>
        </w:rPr>
        <w:t>luded PubMed/MEDLINE, Scopus, Web of Science, Embase, the Cochrane Library, and Google Scholar for studies published in English from January 2011 to March 2026. Eligible studies evaluated HbA1c and/or at least one short-term glycemic marker against recogni</w:t>
      </w:r>
      <w:r>
        <w:rPr>
          <w:rFonts w:ascii="Times New Roman" w:eastAsia="Times New Roman" w:hAnsi="Times New Roman" w:cs="Times New Roman"/>
          <w:sz w:val="24"/>
          <w:szCs w:val="24"/>
          <w:highlight w:val="white"/>
        </w:rPr>
        <w:t>zed glucose-based reference standards such as fasting plasma glucose or oral glucose tolerance testing. Data on study characteristics, index tests, reference standards, and reported diagnostic performance measures were extracted and synthesized narratively</w:t>
      </w:r>
      <w:r>
        <w:rPr>
          <w:rFonts w:ascii="Times New Roman" w:eastAsia="Times New Roman" w:hAnsi="Times New Roman" w:cs="Times New Roman"/>
          <w:sz w:val="24"/>
          <w:szCs w:val="24"/>
          <w:highlight w:val="white"/>
        </w:rPr>
        <w:t xml:space="preserve"> because of heterogeneity in study populations, assay methods, and diagnostic thresholds.</w:t>
      </w:r>
    </w:p>
    <w:p w:rsidR="007F44DA" w:rsidRDefault="00CB6F9E">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Results:</w:t>
      </w:r>
      <w:r>
        <w:rPr>
          <w:rFonts w:ascii="Times New Roman" w:eastAsia="Times New Roman" w:hAnsi="Times New Roman" w:cs="Times New Roman"/>
          <w:sz w:val="24"/>
          <w:szCs w:val="24"/>
          <w:highlight w:val="white"/>
        </w:rPr>
        <w:t xml:space="preserve"> Nineteen studies met the inclusion criteria. HbA1c was the most extensively evaluated biomarker and generally demonstrated high specificity but variable sens</w:t>
      </w:r>
      <w:r>
        <w:rPr>
          <w:rFonts w:ascii="Times New Roman" w:eastAsia="Times New Roman" w:hAnsi="Times New Roman" w:cs="Times New Roman"/>
          <w:sz w:val="24"/>
          <w:szCs w:val="24"/>
          <w:highlight w:val="white"/>
        </w:rPr>
        <w:t>itivity for diabetes detection across populations. Reported HbA1c sensitivity ranged from 45.5% to 89.4%, specificity from 80.0% to 100%, and area under the curve (AUC) from 0.73 to 0.970. Glycated albumin showed moderate to good diagnostic performance, wi</w:t>
      </w:r>
      <w:r>
        <w:rPr>
          <w:rFonts w:ascii="Times New Roman" w:eastAsia="Times New Roman" w:hAnsi="Times New Roman" w:cs="Times New Roman"/>
          <w:sz w:val="24"/>
          <w:szCs w:val="24"/>
          <w:highlight w:val="white"/>
        </w:rPr>
        <w:t xml:space="preserve">th AUC values ranging from 0.550 to 0.951, sensitivity from 27.3% to 77.5%, and specificity from 65.5% to 99.2%. 1,5-AG demonstrated variable performance depending on population and clinical context, with AUC values up to 0.850. </w:t>
      </w:r>
      <w:proofErr w:type="spellStart"/>
      <w:r>
        <w:rPr>
          <w:rFonts w:ascii="Times New Roman" w:eastAsia="Times New Roman" w:hAnsi="Times New Roman" w:cs="Times New Roman"/>
          <w:sz w:val="24"/>
          <w:szCs w:val="24"/>
          <w:highlight w:val="white"/>
        </w:rPr>
        <w:t>Fructosamine</w:t>
      </w:r>
      <w:proofErr w:type="spellEnd"/>
      <w:r>
        <w:rPr>
          <w:rFonts w:ascii="Times New Roman" w:eastAsia="Times New Roman" w:hAnsi="Times New Roman" w:cs="Times New Roman"/>
          <w:sz w:val="24"/>
          <w:szCs w:val="24"/>
          <w:highlight w:val="white"/>
        </w:rPr>
        <w:t xml:space="preserve"> was less frequ</w:t>
      </w:r>
      <w:r>
        <w:rPr>
          <w:rFonts w:ascii="Times New Roman" w:eastAsia="Times New Roman" w:hAnsi="Times New Roman" w:cs="Times New Roman"/>
          <w:sz w:val="24"/>
          <w:szCs w:val="24"/>
          <w:highlight w:val="white"/>
        </w:rPr>
        <w:t>ently studied but showed promising performance in selected populations, particularly where HbA1c interpretation may be limited, such as in children with β-thalassemia major. Several studies also suggested that combining biomarkers improved diagnostic sensi</w:t>
      </w:r>
      <w:r>
        <w:rPr>
          <w:rFonts w:ascii="Times New Roman" w:eastAsia="Times New Roman" w:hAnsi="Times New Roman" w:cs="Times New Roman"/>
          <w:sz w:val="24"/>
          <w:szCs w:val="24"/>
          <w:highlight w:val="white"/>
        </w:rPr>
        <w:t>tivity and case detection compared with single-test approaches.</w:t>
      </w:r>
    </w:p>
    <w:p w:rsidR="007F44DA" w:rsidRDefault="00CB6F9E">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Conclusion:</w:t>
      </w:r>
      <w:r>
        <w:rPr>
          <w:rFonts w:ascii="Times New Roman" w:eastAsia="Times New Roman" w:hAnsi="Times New Roman" w:cs="Times New Roman"/>
          <w:sz w:val="24"/>
          <w:szCs w:val="24"/>
          <w:highlight w:val="white"/>
        </w:rPr>
        <w:t xml:space="preserve"> HbA1c remains the most established and clinically useful biomarker for diabetes diagnosis because of its convenience, standardization, and generally high specificity. However, its </w:t>
      </w:r>
      <w:r>
        <w:rPr>
          <w:rFonts w:ascii="Times New Roman" w:eastAsia="Times New Roman" w:hAnsi="Times New Roman" w:cs="Times New Roman"/>
          <w:sz w:val="24"/>
          <w:szCs w:val="24"/>
          <w:highlight w:val="white"/>
        </w:rPr>
        <w:t xml:space="preserve">sensitivity is inconsistent across populations and clinical settings. Short-term glycemic markers, particularly glycated albumin and </w:t>
      </w:r>
      <w:proofErr w:type="spellStart"/>
      <w:r>
        <w:rPr>
          <w:rFonts w:ascii="Times New Roman" w:eastAsia="Times New Roman" w:hAnsi="Times New Roman" w:cs="Times New Roman"/>
          <w:sz w:val="24"/>
          <w:szCs w:val="24"/>
          <w:highlight w:val="white"/>
        </w:rPr>
        <w:t>fructosamine</w:t>
      </w:r>
      <w:proofErr w:type="spellEnd"/>
      <w:r>
        <w:rPr>
          <w:rFonts w:ascii="Times New Roman" w:eastAsia="Times New Roman" w:hAnsi="Times New Roman" w:cs="Times New Roman"/>
          <w:sz w:val="24"/>
          <w:szCs w:val="24"/>
          <w:highlight w:val="white"/>
        </w:rPr>
        <w:t xml:space="preserve">, may provide complementary diagnostic value, </w:t>
      </w:r>
      <w:r>
        <w:rPr>
          <w:rFonts w:ascii="Times New Roman" w:eastAsia="Times New Roman" w:hAnsi="Times New Roman" w:cs="Times New Roman"/>
          <w:sz w:val="24"/>
          <w:szCs w:val="24"/>
          <w:highlight w:val="white"/>
        </w:rPr>
        <w:lastRenderedPageBreak/>
        <w:t>especially in conditions where HbA1c is less reliable or where re</w:t>
      </w:r>
      <w:r>
        <w:rPr>
          <w:rFonts w:ascii="Times New Roman" w:eastAsia="Times New Roman" w:hAnsi="Times New Roman" w:cs="Times New Roman"/>
          <w:sz w:val="24"/>
          <w:szCs w:val="24"/>
          <w:highlight w:val="white"/>
        </w:rPr>
        <w:t xml:space="preserve">cent glycemic exposure is of interest. A </w:t>
      </w:r>
      <w:proofErr w:type="spellStart"/>
      <w:r>
        <w:rPr>
          <w:rFonts w:ascii="Times New Roman" w:eastAsia="Times New Roman" w:hAnsi="Times New Roman" w:cs="Times New Roman"/>
          <w:sz w:val="24"/>
          <w:szCs w:val="24"/>
          <w:highlight w:val="white"/>
        </w:rPr>
        <w:t>multimarker</w:t>
      </w:r>
      <w:proofErr w:type="spellEnd"/>
      <w:r>
        <w:rPr>
          <w:rFonts w:ascii="Times New Roman" w:eastAsia="Times New Roman" w:hAnsi="Times New Roman" w:cs="Times New Roman"/>
          <w:sz w:val="24"/>
          <w:szCs w:val="24"/>
          <w:highlight w:val="white"/>
        </w:rPr>
        <w:t xml:space="preserve"> approach may improve the detection of diabetes and prediabetes in selected clinical contexts.</w:t>
      </w:r>
    </w:p>
    <w:p w:rsidR="007F44DA" w:rsidRDefault="00CB6F9E">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highlight w:val="white"/>
        </w:rPr>
        <w:t>Keywords:</w:t>
      </w:r>
      <w:r>
        <w:rPr>
          <w:rFonts w:ascii="Times New Roman" w:eastAsia="Times New Roman" w:hAnsi="Times New Roman" w:cs="Times New Roman"/>
          <w:sz w:val="24"/>
          <w:szCs w:val="24"/>
          <w:highlight w:val="white"/>
        </w:rPr>
        <w:t xml:space="preserve"> HbA1c, glycated albumin, </w:t>
      </w:r>
      <w:proofErr w:type="spellStart"/>
      <w:r>
        <w:rPr>
          <w:rFonts w:ascii="Times New Roman" w:eastAsia="Times New Roman" w:hAnsi="Times New Roman" w:cs="Times New Roman"/>
          <w:sz w:val="24"/>
          <w:szCs w:val="24"/>
          <w:highlight w:val="white"/>
        </w:rPr>
        <w:t>fructosamine</w:t>
      </w:r>
      <w:proofErr w:type="spellEnd"/>
      <w:r>
        <w:rPr>
          <w:rFonts w:ascii="Times New Roman" w:eastAsia="Times New Roman" w:hAnsi="Times New Roman" w:cs="Times New Roman"/>
          <w:sz w:val="24"/>
          <w:szCs w:val="24"/>
          <w:highlight w:val="white"/>
        </w:rPr>
        <w:t>, 1,5-anhydroglucitol, diabetes, prediabetes</w:t>
      </w:r>
    </w:p>
    <w:p w:rsidR="007F44DA" w:rsidRDefault="007F44DA">
      <w:pPr>
        <w:pStyle w:val="Heading2"/>
        <w:keepNext w:val="0"/>
        <w:keepLines w:val="0"/>
        <w:spacing w:after="80"/>
        <w:jc w:val="both"/>
        <w:rPr>
          <w:rFonts w:ascii="Times New Roman" w:eastAsia="Times New Roman" w:hAnsi="Times New Roman" w:cs="Times New Roman"/>
          <w:b/>
          <w:bCs/>
          <w:sz w:val="24"/>
          <w:szCs w:val="24"/>
        </w:rPr>
      </w:pPr>
      <w:bookmarkStart w:id="2" w:name="_s25kkg4wjdwp" w:colFirst="0" w:colLast="0"/>
      <w:bookmarkEnd w:id="2"/>
    </w:p>
    <w:p w:rsidR="007F44DA" w:rsidRDefault="00CB6F9E">
      <w:pPr>
        <w:pStyle w:val="Heading2"/>
        <w:keepNext w:val="0"/>
        <w:keepLines w:val="0"/>
        <w:spacing w:after="80"/>
        <w:jc w:val="both"/>
        <w:rPr>
          <w:rFonts w:ascii="Times New Roman" w:eastAsia="Times New Roman" w:hAnsi="Times New Roman" w:cs="Times New Roman"/>
          <w:b/>
          <w:bCs/>
          <w:sz w:val="24"/>
          <w:szCs w:val="24"/>
        </w:rPr>
      </w:pPr>
      <w:bookmarkStart w:id="3" w:name="_czlqnu1vpmp" w:colFirst="0" w:colLast="0"/>
      <w:bookmarkEnd w:id="3"/>
      <w:r>
        <w:rPr>
          <w:rFonts w:ascii="Times New Roman" w:eastAsia="Times New Roman" w:hAnsi="Times New Roman" w:cs="Times New Roman"/>
          <w:b/>
          <w:bCs/>
          <w:sz w:val="24"/>
          <w:szCs w:val="24"/>
        </w:rPr>
        <w:t>INTRODUCTION</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w:t>
      </w:r>
      <w:r>
        <w:rPr>
          <w:rFonts w:ascii="Times New Roman" w:eastAsia="Times New Roman" w:hAnsi="Times New Roman" w:cs="Times New Roman"/>
          <w:sz w:val="24"/>
          <w:szCs w:val="24"/>
        </w:rPr>
        <w:t>betes mellitus (DM) is a chronic metabolic disorder characterized by persistent hyperglycemia resulting from impaired insulin secretion, impaired insulin action, or both, leading to long-term disturbances in carbohydrate, fat, and protein metabolism (Ameri</w:t>
      </w:r>
      <w:r>
        <w:rPr>
          <w:rFonts w:ascii="Times New Roman" w:eastAsia="Times New Roman" w:hAnsi="Times New Roman" w:cs="Times New Roman"/>
          <w:sz w:val="24"/>
          <w:szCs w:val="24"/>
        </w:rPr>
        <w:t>can Diabetes Association, 2024). Biochemically, glycemic status is assessed using direct glucose measurements or surrogate biomarkers that reflect cumulative glycemic exposure over defined time intervals (</w:t>
      </w:r>
      <w:proofErr w:type="spellStart"/>
      <w:r>
        <w:rPr>
          <w:rFonts w:ascii="Times New Roman" w:eastAsia="Times New Roman" w:hAnsi="Times New Roman" w:cs="Times New Roman"/>
          <w:sz w:val="24"/>
          <w:szCs w:val="24"/>
        </w:rPr>
        <w:t>Krhač</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Lovrenčić</w:t>
      </w:r>
      <w:proofErr w:type="spellEnd"/>
      <w:r>
        <w:rPr>
          <w:rFonts w:ascii="Times New Roman" w:eastAsia="Times New Roman" w:hAnsi="Times New Roman" w:cs="Times New Roman"/>
          <w:sz w:val="24"/>
          <w:szCs w:val="24"/>
        </w:rPr>
        <w:t>, 2019). Glycemic biomarkers are c</w:t>
      </w:r>
      <w:r>
        <w:rPr>
          <w:rFonts w:ascii="Times New Roman" w:eastAsia="Times New Roman" w:hAnsi="Times New Roman" w:cs="Times New Roman"/>
          <w:sz w:val="24"/>
          <w:szCs w:val="24"/>
        </w:rPr>
        <w:t>ommonly categorized into long-term and short-term markers. Glycated hemoglobin (HbA1c) is the most widely used long-term marker, reflecting average plasma glucose over approximately 8–12 weeks through non-enzymatic glycation of hemoglobin within erythrocyt</w:t>
      </w:r>
      <w:r>
        <w:rPr>
          <w:rFonts w:ascii="Times New Roman" w:eastAsia="Times New Roman" w:hAnsi="Times New Roman" w:cs="Times New Roman"/>
          <w:sz w:val="24"/>
          <w:szCs w:val="24"/>
        </w:rPr>
        <w:t xml:space="preserve">es. In contrast, short-term glycemic markers such as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and glycated albumin (GA) reflect glycemic exposure over approximately 2–3 weeks by measuring glycated serum proteins, whereas 1,5-anhydroglucitol (1,5-AG) reflects short-term glycemic excur</w:t>
      </w:r>
      <w:r>
        <w:rPr>
          <w:rFonts w:ascii="Times New Roman" w:eastAsia="Times New Roman" w:hAnsi="Times New Roman" w:cs="Times New Roman"/>
          <w:sz w:val="24"/>
          <w:szCs w:val="24"/>
        </w:rPr>
        <w:t>sions, particularly postprandial hyperglycemia, through competitive renal reabsorption dynamics (American Diabetes Association, 2024; World Health Organization [WHO], 2019; Raghubeer et al., 2022).</w:t>
      </w:r>
    </w:p>
    <w:p w:rsidR="007F44DA" w:rsidRDefault="00CB6F9E">
      <w:pPr>
        <w:spacing w:before="240" w:after="240"/>
        <w:ind w:firstLine="720"/>
        <w:jc w:val="both"/>
        <w:rPr>
          <w:rFonts w:ascii="Times New Roman" w:eastAsia="Times New Roman" w:hAnsi="Times New Roman" w:cs="Times New Roman"/>
          <w:sz w:val="24"/>
          <w:szCs w:val="24"/>
        </w:rPr>
      </w:pPr>
      <w:r w:rsidRPr="006C47AD">
        <w:rPr>
          <w:rFonts w:ascii="Times New Roman" w:eastAsia="Times New Roman" w:hAnsi="Times New Roman" w:cs="Times New Roman"/>
          <w:sz w:val="24"/>
          <w:szCs w:val="24"/>
        </w:rPr>
        <w:t>HbA1c is widely measured using standardized analytical met</w:t>
      </w:r>
      <w:r w:rsidRPr="006C47AD">
        <w:rPr>
          <w:rFonts w:ascii="Times New Roman" w:eastAsia="Times New Roman" w:hAnsi="Times New Roman" w:cs="Times New Roman"/>
          <w:sz w:val="24"/>
          <w:szCs w:val="24"/>
        </w:rPr>
        <w:t xml:space="preserve">hods such as high-performance liquid chromatography, immunoassays, enzymatic assays, or capillary electrophoresis and is recommended for both the diagnosis and long-term monitoring of diabetes, with a diagnostic threshold of ≥6.5% (Eyth et al., 2025; </w:t>
      </w:r>
      <w:proofErr w:type="spellStart"/>
      <w:r w:rsidRPr="006C47AD">
        <w:rPr>
          <w:rFonts w:ascii="Times New Roman" w:eastAsia="Times New Roman" w:hAnsi="Times New Roman" w:cs="Times New Roman"/>
          <w:sz w:val="24"/>
          <w:szCs w:val="24"/>
        </w:rPr>
        <w:t>Sofro</w:t>
      </w:r>
      <w:r w:rsidRPr="006C47AD">
        <w:rPr>
          <w:rFonts w:ascii="Times New Roman" w:eastAsia="Times New Roman" w:hAnsi="Times New Roman" w:cs="Times New Roman"/>
          <w:sz w:val="24"/>
          <w:szCs w:val="24"/>
        </w:rPr>
        <w:t>nescu</w:t>
      </w:r>
      <w:proofErr w:type="spellEnd"/>
      <w:r w:rsidRPr="006C47AD">
        <w:rPr>
          <w:rFonts w:ascii="Times New Roman" w:eastAsia="Times New Roman" w:hAnsi="Times New Roman" w:cs="Times New Roman"/>
          <w:sz w:val="24"/>
          <w:szCs w:val="24"/>
        </w:rPr>
        <w:t>, 2025). However, the diagnostic performance of HbA1c may be influenced by conditions that affect erythrocyte lifespan or hemoglobin structure, including hemoglobin variants, anemia, chronic kidney disease, and pregnancy. These limitations have prompt</w:t>
      </w:r>
      <w:r w:rsidRPr="006C47AD">
        <w:rPr>
          <w:rFonts w:ascii="Times New Roman" w:eastAsia="Times New Roman" w:hAnsi="Times New Roman" w:cs="Times New Roman"/>
          <w:sz w:val="24"/>
          <w:szCs w:val="24"/>
        </w:rPr>
        <w:t xml:space="preserve">ed increasing interest in alternative or complementary glycemic biomarkers that reflect shorter periods of glycemic exposure. Short-term markers such as </w:t>
      </w:r>
      <w:proofErr w:type="spellStart"/>
      <w:r w:rsidRPr="006C47AD">
        <w:rPr>
          <w:rFonts w:ascii="Times New Roman" w:eastAsia="Times New Roman" w:hAnsi="Times New Roman" w:cs="Times New Roman"/>
          <w:sz w:val="24"/>
          <w:szCs w:val="24"/>
        </w:rPr>
        <w:t>fructosamine</w:t>
      </w:r>
      <w:proofErr w:type="spellEnd"/>
      <w:r w:rsidRPr="006C47AD">
        <w:rPr>
          <w:rFonts w:ascii="Times New Roman" w:eastAsia="Times New Roman" w:hAnsi="Times New Roman" w:cs="Times New Roman"/>
          <w:sz w:val="24"/>
          <w:szCs w:val="24"/>
        </w:rPr>
        <w:t>, glycated albumin, and 1,5-AG are measured using established laboratory methods and provid</w:t>
      </w:r>
      <w:r w:rsidRPr="006C47AD">
        <w:rPr>
          <w:rFonts w:ascii="Times New Roman" w:eastAsia="Times New Roman" w:hAnsi="Times New Roman" w:cs="Times New Roman"/>
          <w:sz w:val="24"/>
          <w:szCs w:val="24"/>
        </w:rPr>
        <w:t>e insight into recent glycemic status (Ciaccio, 2019; Gounden et al., 2025). Unlike HbA1c, these biomarkers are less dependent on erythrocyte lifespan but may be influenced by albumin concentration, protein turnover, and renal function (International Diabe</w:t>
      </w:r>
      <w:r w:rsidRPr="006C47AD">
        <w:rPr>
          <w:rFonts w:ascii="Times New Roman" w:eastAsia="Times New Roman" w:hAnsi="Times New Roman" w:cs="Times New Roman"/>
          <w:sz w:val="24"/>
          <w:szCs w:val="24"/>
        </w:rPr>
        <w:t>tes Federation [IDF], 2017; Little, 2016).</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Diabetes represents a substantial global health challenge, affecting approximately 589 million adults aged 20–79 years in 2024, with projections increasing to 853 million by 2050 </w:t>
      </w:r>
      <w:r>
        <w:rPr>
          <w:rFonts w:ascii="Times New Roman" w:eastAsia="Times New Roman" w:hAnsi="Times New Roman" w:cs="Times New Roman"/>
          <w:sz w:val="24"/>
          <w:szCs w:val="24"/>
        </w:rPr>
        <w:lastRenderedPageBreak/>
        <w:t>(International Diabetes Federation</w:t>
      </w:r>
      <w:r>
        <w:rPr>
          <w:rFonts w:ascii="Times New Roman" w:eastAsia="Times New Roman" w:hAnsi="Times New Roman" w:cs="Times New Roman"/>
          <w:sz w:val="24"/>
          <w:szCs w:val="24"/>
        </w:rPr>
        <w:t xml:space="preserve">, 2025). Early detection of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xml:space="preserve"> is essential for timely intervention and for reducing the risk of long-term complications such as cardiovascular disease, nephropathy, retinopathy, and neuropathy (Yen et al., 2023). Although HbA1c has become a conve</w:t>
      </w:r>
      <w:r>
        <w:rPr>
          <w:rFonts w:ascii="Times New Roman" w:eastAsia="Times New Roman" w:hAnsi="Times New Roman" w:cs="Times New Roman"/>
          <w:sz w:val="24"/>
          <w:szCs w:val="24"/>
        </w:rPr>
        <w:t>nient diagnostic tool due to its stability and non-fasting requirement, concerns remain regarding its variability across ethnic groups, age categories, and clinical conditions (</w:t>
      </w:r>
      <w:proofErr w:type="spellStart"/>
      <w:r>
        <w:rPr>
          <w:rFonts w:ascii="Times New Roman" w:eastAsia="Times New Roman" w:hAnsi="Times New Roman" w:cs="Times New Roman"/>
          <w:sz w:val="24"/>
          <w:szCs w:val="24"/>
        </w:rPr>
        <w:t>Kaiafa</w:t>
      </w:r>
      <w:proofErr w:type="spellEnd"/>
      <w:r>
        <w:rPr>
          <w:rFonts w:ascii="Times New Roman" w:eastAsia="Times New Roman" w:hAnsi="Times New Roman" w:cs="Times New Roman"/>
          <w:sz w:val="24"/>
          <w:szCs w:val="24"/>
        </w:rPr>
        <w:t xml:space="preserve"> et al., 2021). In certain settings, including chronic kidney disease, he</w:t>
      </w:r>
      <w:r>
        <w:rPr>
          <w:rFonts w:ascii="Times New Roman" w:eastAsia="Times New Roman" w:hAnsi="Times New Roman" w:cs="Times New Roman"/>
          <w:sz w:val="24"/>
          <w:szCs w:val="24"/>
        </w:rPr>
        <w:t>moglobinopathies, and pregnancy, HbA1c may not accurately reflect glycemic status, highlighting the need to consider alternative biomarkers (American Diabetes Association, 2024).</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Previous comparative studies have examined the diagnostic performance of HbA1</w:t>
      </w:r>
      <w:r>
        <w:rPr>
          <w:rFonts w:ascii="Times New Roman" w:eastAsia="Times New Roman" w:hAnsi="Times New Roman" w:cs="Times New Roman"/>
          <w:sz w:val="24"/>
          <w:szCs w:val="24"/>
        </w:rPr>
        <w:t>c and short-term glycemic markers against established glucose-based reference standards such as fasting plasma glucose (FPG) and the oral glucose tolerance test (OGTT) (</w:t>
      </w:r>
      <w:proofErr w:type="spellStart"/>
      <w:r>
        <w:rPr>
          <w:rFonts w:ascii="Times New Roman" w:eastAsia="Times New Roman" w:hAnsi="Times New Roman" w:cs="Times New Roman"/>
          <w:sz w:val="24"/>
          <w:szCs w:val="24"/>
        </w:rPr>
        <w:t>Chivese</w:t>
      </w:r>
      <w:proofErr w:type="spellEnd"/>
      <w:r>
        <w:rPr>
          <w:rFonts w:ascii="Times New Roman" w:eastAsia="Times New Roman" w:hAnsi="Times New Roman" w:cs="Times New Roman"/>
          <w:sz w:val="24"/>
          <w:szCs w:val="24"/>
        </w:rPr>
        <w:t xml:space="preserve"> et al., 2022). However, the findings remain heterogeneous due to differences in</w:t>
      </w:r>
      <w:r>
        <w:rPr>
          <w:rFonts w:ascii="Times New Roman" w:eastAsia="Times New Roman" w:hAnsi="Times New Roman" w:cs="Times New Roman"/>
          <w:sz w:val="24"/>
          <w:szCs w:val="24"/>
        </w:rPr>
        <w:t xml:space="preserve"> assay methodologies, diagnostic thresholds, population characteristics, and study design (</w:t>
      </w:r>
      <w:proofErr w:type="spellStart"/>
      <w:r>
        <w:rPr>
          <w:rFonts w:ascii="Times New Roman" w:eastAsia="Times New Roman" w:hAnsi="Times New Roman" w:cs="Times New Roman"/>
          <w:sz w:val="24"/>
          <w:szCs w:val="24"/>
        </w:rPr>
        <w:t>Owora</w:t>
      </w:r>
      <w:proofErr w:type="spellEnd"/>
      <w:r>
        <w:rPr>
          <w:rFonts w:ascii="Times New Roman" w:eastAsia="Times New Roman" w:hAnsi="Times New Roman" w:cs="Times New Roman"/>
          <w:sz w:val="24"/>
          <w:szCs w:val="24"/>
        </w:rPr>
        <w:t xml:space="preserve">, 2018). Some recent investigations have suggested that combining multiple glycemic biomarkers may improve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xml:space="preserve"> detection and reduce misclassification in</w:t>
      </w:r>
      <w:r>
        <w:rPr>
          <w:rFonts w:ascii="Times New Roman" w:eastAsia="Times New Roman" w:hAnsi="Times New Roman" w:cs="Times New Roman"/>
          <w:sz w:val="24"/>
          <w:szCs w:val="24"/>
        </w:rPr>
        <w:t xml:space="preserve"> selected clinical settings (Melford et al., 2024).</w:t>
      </w:r>
    </w:p>
    <w:p w:rsidR="007F44DA" w:rsidRDefault="00CB6F9E">
      <w:pPr>
        <w:spacing w:before="240" w:after="240"/>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Despite increasing research on alternative glycemic biomarkers, relatively few systematic reviews have synthesized the comparative diagnostic performance of HbA1c and short-term glycemic markers across di</w:t>
      </w:r>
      <w:r>
        <w:rPr>
          <w:rFonts w:ascii="Times New Roman" w:eastAsia="Times New Roman" w:hAnsi="Times New Roman" w:cs="Times New Roman"/>
          <w:sz w:val="24"/>
          <w:szCs w:val="24"/>
        </w:rPr>
        <w:t>verse populations. Existing reviews often focus on individual biomarkers or specific populations, and variability in reference standards and study methodologies continues to contribute to inconsistent conclusions (Duong et al., 2023; Ford et al., 2019). Th</w:t>
      </w:r>
      <w:r>
        <w:rPr>
          <w:rFonts w:ascii="Times New Roman" w:eastAsia="Times New Roman" w:hAnsi="Times New Roman" w:cs="Times New Roman"/>
          <w:sz w:val="24"/>
          <w:szCs w:val="24"/>
        </w:rPr>
        <w:t>erefore, a comprehensive synthesis of the available evidence is needed to clarify the relative diagnostic performance of these biomarkers and to identify clinical contexts in which short-term glycemic markers may provide complementary diagnostic informatio</w:t>
      </w:r>
      <w:r>
        <w:rPr>
          <w:rFonts w:ascii="Times New Roman" w:eastAsia="Times New Roman" w:hAnsi="Times New Roman" w:cs="Times New Roman"/>
          <w:sz w:val="24"/>
          <w:szCs w:val="24"/>
        </w:rPr>
        <w:t xml:space="preserve">n. Accordingly, this systematic review aimed to synthesize evidence published between 2011 and 2026 on the comparative diagnostic performance of HbA1c and short-term glycemic markers, including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glycated albumin, and 1,5-anhydroglucitol, for t</w:t>
      </w:r>
      <w:r>
        <w:rPr>
          <w:rFonts w:ascii="Times New Roman" w:eastAsia="Times New Roman" w:hAnsi="Times New Roman" w:cs="Times New Roman"/>
          <w:sz w:val="24"/>
          <w:szCs w:val="24"/>
        </w:rPr>
        <w:t>he detection of diabetes and prediabetes. Specifically, the review examined reported measures of diagnostic performance, including sensitivity, specificity, and area under the receiver operating characteristic curve; evaluated biomarker performance against</w:t>
      </w:r>
      <w:r>
        <w:rPr>
          <w:rFonts w:ascii="Times New Roman" w:eastAsia="Times New Roman" w:hAnsi="Times New Roman" w:cs="Times New Roman"/>
          <w:sz w:val="24"/>
          <w:szCs w:val="24"/>
        </w:rPr>
        <w:t xml:space="preserve"> established glucose-based reference standards such as fasting plasma glucose and oral glucose tolerance testing; explored variations across populations and clinical settings, including age, ethnicity, pregnancy, and renal disease; identified potential sou</w:t>
      </w:r>
      <w:r>
        <w:rPr>
          <w:rFonts w:ascii="Times New Roman" w:eastAsia="Times New Roman" w:hAnsi="Times New Roman" w:cs="Times New Roman"/>
          <w:sz w:val="24"/>
          <w:szCs w:val="24"/>
        </w:rPr>
        <w:t>rces of heterogeneity across studies; and considered clinical contexts in which short-term glycemic markers may provide complementary diagnostic information alongside HbA1c.</w:t>
      </w:r>
    </w:p>
    <w:p w:rsidR="007F44DA" w:rsidRDefault="00CB6F9E">
      <w:pPr>
        <w:pStyle w:val="Heading1"/>
        <w:keepNext w:val="0"/>
        <w:keepLines w:val="0"/>
        <w:spacing w:before="480"/>
        <w:jc w:val="both"/>
        <w:rPr>
          <w:rFonts w:ascii="Times New Roman" w:eastAsia="Times New Roman" w:hAnsi="Times New Roman" w:cs="Times New Roman"/>
          <w:b/>
          <w:bCs/>
          <w:sz w:val="24"/>
          <w:szCs w:val="24"/>
        </w:rPr>
      </w:pPr>
      <w:bookmarkStart w:id="4" w:name="_3h5ct7nthj07" w:colFirst="0" w:colLast="0"/>
      <w:bookmarkEnd w:id="4"/>
      <w:r>
        <w:rPr>
          <w:rFonts w:ascii="Times New Roman" w:eastAsia="Times New Roman" w:hAnsi="Times New Roman" w:cs="Times New Roman"/>
          <w:b/>
          <w:bCs/>
          <w:sz w:val="24"/>
          <w:szCs w:val="24"/>
        </w:rPr>
        <w:t>METHODOLOGY</w:t>
      </w:r>
    </w:p>
    <w:p w:rsidR="007F44DA" w:rsidRDefault="00CB6F9E">
      <w:pPr>
        <w:pStyle w:val="Heading2"/>
        <w:keepNext w:val="0"/>
        <w:keepLines w:val="0"/>
        <w:spacing w:after="80"/>
        <w:jc w:val="both"/>
        <w:rPr>
          <w:rFonts w:ascii="Times New Roman" w:eastAsia="Times New Roman" w:hAnsi="Times New Roman" w:cs="Times New Roman"/>
          <w:b/>
          <w:bCs/>
          <w:sz w:val="24"/>
          <w:szCs w:val="24"/>
        </w:rPr>
      </w:pPr>
      <w:bookmarkStart w:id="5" w:name="_52etf5280ok9" w:colFirst="0" w:colLast="0"/>
      <w:bookmarkEnd w:id="5"/>
      <w:r>
        <w:rPr>
          <w:rFonts w:ascii="Times New Roman" w:eastAsia="Times New Roman" w:hAnsi="Times New Roman" w:cs="Times New Roman"/>
          <w:b/>
          <w:bCs/>
          <w:sz w:val="24"/>
          <w:szCs w:val="24"/>
        </w:rPr>
        <w:t>Study Design and Reporting Framework</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study was conducted as a </w:t>
      </w:r>
      <w:r>
        <w:rPr>
          <w:rFonts w:ascii="Times New Roman" w:eastAsia="Times New Roman" w:hAnsi="Times New Roman" w:cs="Times New Roman"/>
          <w:sz w:val="24"/>
          <w:szCs w:val="24"/>
        </w:rPr>
        <w:t>systematic review to synthesize evidence on the diagnostic performance of HbA1c and short-term glycemic markers for the detection of diabetes and prediabetes. The review followed the Preferred Reporting Items for Systematic Reviews and Meta-Analyses (PRISM</w:t>
      </w:r>
      <w:r>
        <w:rPr>
          <w:rFonts w:ascii="Times New Roman" w:eastAsia="Times New Roman" w:hAnsi="Times New Roman" w:cs="Times New Roman"/>
          <w:sz w:val="24"/>
          <w:szCs w:val="24"/>
        </w:rPr>
        <w:t>A 2020) guidelines to ensure transparency and methodological rigor in the identification, screening, and reporting of studies (Page et al., 2021). The review methods specified the eligibility criteria, search strategy, data extraction framework, and eviden</w:t>
      </w:r>
      <w:r>
        <w:rPr>
          <w:rFonts w:ascii="Times New Roman" w:eastAsia="Times New Roman" w:hAnsi="Times New Roman" w:cs="Times New Roman"/>
          <w:sz w:val="24"/>
          <w:szCs w:val="24"/>
        </w:rPr>
        <w:t>ce synthesis approach. This review was not prospectively registered in PROSPERO or another systematic review registry. Principles relevant to diagnostic test accuracy reviews were considered in the design and reporting of the study (</w:t>
      </w:r>
      <w:proofErr w:type="spellStart"/>
      <w:r>
        <w:rPr>
          <w:rFonts w:ascii="Times New Roman" w:eastAsia="Times New Roman" w:hAnsi="Times New Roman" w:cs="Times New Roman"/>
          <w:sz w:val="24"/>
          <w:szCs w:val="24"/>
        </w:rPr>
        <w:t>Schünemann</w:t>
      </w:r>
      <w:proofErr w:type="spellEnd"/>
      <w:r>
        <w:rPr>
          <w:rFonts w:ascii="Times New Roman" w:eastAsia="Times New Roman" w:hAnsi="Times New Roman" w:cs="Times New Roman"/>
          <w:sz w:val="24"/>
          <w:szCs w:val="24"/>
        </w:rPr>
        <w:t xml:space="preserve"> et al., 2013</w:t>
      </w:r>
      <w:r>
        <w:rPr>
          <w:rFonts w:ascii="Times New Roman" w:eastAsia="Times New Roman" w:hAnsi="Times New Roman" w:cs="Times New Roman"/>
          <w:sz w:val="24"/>
          <w:szCs w:val="24"/>
        </w:rPr>
        <w:t>).</w:t>
      </w:r>
    </w:p>
    <w:p w:rsidR="007F44DA" w:rsidRDefault="00CB6F9E">
      <w:pPr>
        <w:pStyle w:val="Heading2"/>
        <w:keepNext w:val="0"/>
        <w:keepLines w:val="0"/>
        <w:spacing w:after="80"/>
        <w:jc w:val="both"/>
        <w:rPr>
          <w:rFonts w:ascii="Times New Roman" w:eastAsia="Times New Roman" w:hAnsi="Times New Roman" w:cs="Times New Roman"/>
          <w:b/>
          <w:bCs/>
          <w:sz w:val="24"/>
          <w:szCs w:val="24"/>
        </w:rPr>
      </w:pPr>
      <w:bookmarkStart w:id="6" w:name="_rdhq5otxbtg7" w:colFirst="0" w:colLast="0"/>
      <w:bookmarkEnd w:id="6"/>
      <w:r>
        <w:rPr>
          <w:rFonts w:ascii="Times New Roman" w:eastAsia="Times New Roman" w:hAnsi="Times New Roman" w:cs="Times New Roman"/>
          <w:b/>
          <w:bCs/>
          <w:sz w:val="24"/>
          <w:szCs w:val="24"/>
        </w:rPr>
        <w:t>Data Sources and Search Strategy</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comprehensive literature search was conducted to identify studies evaluating the diagnostic performance of HbA1c and short-term glycemic markers. Electronic databases searched included PubMed/MEDLINE, Scopus, Web of </w:t>
      </w:r>
      <w:r>
        <w:rPr>
          <w:rFonts w:ascii="Times New Roman" w:eastAsia="Times New Roman" w:hAnsi="Times New Roman" w:cs="Times New Roman"/>
          <w:sz w:val="24"/>
          <w:szCs w:val="24"/>
        </w:rPr>
        <w:t>Science, Embase, the Cochrane Library, and Google Scholar. Additional studies were identified through manual screening of reference lists of eligible articles and relevant review papers.</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search covered studies published between January 2011 and March 2</w:t>
      </w:r>
      <w:r>
        <w:rPr>
          <w:rFonts w:ascii="Times New Roman" w:eastAsia="Times New Roman" w:hAnsi="Times New Roman" w:cs="Times New Roman"/>
          <w:sz w:val="24"/>
          <w:szCs w:val="24"/>
        </w:rPr>
        <w:t xml:space="preserve">026, and was restricted to articles published in English. A combination of controlled vocabulary terms (e.g., </w:t>
      </w:r>
      <w:proofErr w:type="spellStart"/>
      <w:r>
        <w:rPr>
          <w:rFonts w:ascii="Times New Roman" w:eastAsia="Times New Roman" w:hAnsi="Times New Roman" w:cs="Times New Roman"/>
          <w:sz w:val="24"/>
          <w:szCs w:val="24"/>
        </w:rPr>
        <w:t>MeSH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Emtree</w:t>
      </w:r>
      <w:proofErr w:type="spellEnd"/>
      <w:r>
        <w:rPr>
          <w:rFonts w:ascii="Times New Roman" w:eastAsia="Times New Roman" w:hAnsi="Times New Roman" w:cs="Times New Roman"/>
          <w:sz w:val="24"/>
          <w:szCs w:val="24"/>
        </w:rPr>
        <w:t xml:space="preserve">) and free-text keywords was used to maximize search sensitivity. Keywords included HbA1c, glycated hemoglobin,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glyca</w:t>
      </w:r>
      <w:r>
        <w:rPr>
          <w:rFonts w:ascii="Times New Roman" w:eastAsia="Times New Roman" w:hAnsi="Times New Roman" w:cs="Times New Roman"/>
          <w:sz w:val="24"/>
          <w:szCs w:val="24"/>
        </w:rPr>
        <w:t>ted albumin, 1,5-anhydroglucitol, short-term glycemic markers, diagnostic accuracy, sensitivity, specificity, area under the curve, ROC, diabetes diagnosis, and prediabetes. Boolean operators (AND/OR) were applied to combine search terms appropriately. The</w:t>
      </w:r>
      <w:r>
        <w:rPr>
          <w:rFonts w:ascii="Times New Roman" w:eastAsia="Times New Roman" w:hAnsi="Times New Roman" w:cs="Times New Roman"/>
          <w:sz w:val="24"/>
          <w:szCs w:val="24"/>
        </w:rPr>
        <w:t xml:space="preserve"> complete search strategy for each database is provided in the Supplementary Appendix.</w:t>
      </w:r>
    </w:p>
    <w:p w:rsidR="007F44DA" w:rsidRDefault="00CB6F9E">
      <w:pPr>
        <w:pStyle w:val="Heading2"/>
        <w:keepNext w:val="0"/>
        <w:keepLines w:val="0"/>
        <w:spacing w:after="80"/>
        <w:jc w:val="both"/>
        <w:rPr>
          <w:rFonts w:ascii="Times New Roman" w:eastAsia="Times New Roman" w:hAnsi="Times New Roman" w:cs="Times New Roman"/>
          <w:b/>
          <w:bCs/>
          <w:sz w:val="24"/>
          <w:szCs w:val="24"/>
        </w:rPr>
      </w:pPr>
      <w:bookmarkStart w:id="7" w:name="_92j0i1p5cmkq" w:colFirst="0" w:colLast="0"/>
      <w:bookmarkEnd w:id="7"/>
      <w:r>
        <w:rPr>
          <w:rFonts w:ascii="Times New Roman" w:eastAsia="Times New Roman" w:hAnsi="Times New Roman" w:cs="Times New Roman"/>
          <w:b/>
          <w:bCs/>
          <w:sz w:val="24"/>
          <w:szCs w:val="24"/>
        </w:rPr>
        <w:t>Eligibility Criteria</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were included if they evaluated glycated hemoglobin (HbA1c) and/or at least one short-term glycemic marker,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glycated albumin (</w:t>
      </w:r>
      <w:r>
        <w:rPr>
          <w:rFonts w:ascii="Times New Roman" w:eastAsia="Times New Roman" w:hAnsi="Times New Roman" w:cs="Times New Roman"/>
          <w:sz w:val="24"/>
          <w:szCs w:val="24"/>
        </w:rPr>
        <w:t>GA), or 1,5-anhydroglucitol (1,5-AG), for the detection, screening, or classification of diabetes, prediabetes, or abnormal glucose regulation. Eligible studies were required to compare the index test with a recognized glucose-based reference standard, inc</w:t>
      </w:r>
      <w:r>
        <w:rPr>
          <w:rFonts w:ascii="Times New Roman" w:eastAsia="Times New Roman" w:hAnsi="Times New Roman" w:cs="Times New Roman"/>
          <w:sz w:val="24"/>
          <w:szCs w:val="24"/>
        </w:rPr>
        <w:t>luding fasting plasma glucose (FPG), oral glucose tolerance test (OGTT), 2-hour plasma glucose, or diagnostic criteria established by the World Health Organization (WHO) or American Diabetes Association (ADA).</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Primary human studies were considered eligible</w:t>
      </w:r>
      <w:r>
        <w:rPr>
          <w:rFonts w:ascii="Times New Roman" w:eastAsia="Times New Roman" w:hAnsi="Times New Roman" w:cs="Times New Roman"/>
          <w:sz w:val="24"/>
          <w:szCs w:val="24"/>
        </w:rPr>
        <w:t xml:space="preserve"> if they reported diagnostic performance outcomes such as sensitivity, specificity, area under the receiver operating characteristic curve (AUC), predictive values, likelihood ratios, or other comparative diagnostic measures. </w:t>
      </w:r>
      <w:r>
        <w:rPr>
          <w:rFonts w:ascii="Times New Roman" w:eastAsia="Times New Roman" w:hAnsi="Times New Roman" w:cs="Times New Roman"/>
          <w:sz w:val="24"/>
          <w:szCs w:val="24"/>
        </w:rPr>
        <w:lastRenderedPageBreak/>
        <w:t>Observational study designs in</w:t>
      </w:r>
      <w:r>
        <w:rPr>
          <w:rFonts w:ascii="Times New Roman" w:eastAsia="Times New Roman" w:hAnsi="Times New Roman" w:cs="Times New Roman"/>
          <w:sz w:val="24"/>
          <w:szCs w:val="24"/>
        </w:rPr>
        <w:t>cluding cross-sectional, cohort, case-control, retrospective, and prospective studies were included when they provided relevant diagnostic performance data.</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conducted in adult, pediatric, mixed-age, and special clinical populations were eligible pr</w:t>
      </w:r>
      <w:r>
        <w:rPr>
          <w:rFonts w:ascii="Times New Roman" w:eastAsia="Times New Roman" w:hAnsi="Times New Roman" w:cs="Times New Roman"/>
          <w:sz w:val="24"/>
          <w:szCs w:val="24"/>
        </w:rPr>
        <w:t>ovided they evaluated the diagnostic performance of the glycemic biomarkers of interest. These populations included community-based cohorts, hospital-based populations, high-risk groups, pregnancy-related populations, and disease-specific clinical cohorts.</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were excluded if they were animal studies, laboratory-only investigations, narrative reviews without primary diagnostic data, editorials, commentaries, letters without original results, or conference abstracts lacking sufficient methodological inf</w:t>
      </w:r>
      <w:r>
        <w:rPr>
          <w:rFonts w:ascii="Times New Roman" w:eastAsia="Times New Roman" w:hAnsi="Times New Roman" w:cs="Times New Roman"/>
          <w:sz w:val="24"/>
          <w:szCs w:val="24"/>
        </w:rPr>
        <w:t>ormation. Studies evaluating biomarkers unrelated to the scope of this review or those with incomplete outcome reporting or unavailable full texts were also excluded.</w:t>
      </w:r>
    </w:p>
    <w:p w:rsidR="007F44DA" w:rsidRDefault="00CB6F9E">
      <w:pPr>
        <w:pStyle w:val="Heading2"/>
        <w:keepNext w:val="0"/>
        <w:keepLines w:val="0"/>
        <w:spacing w:after="80"/>
        <w:jc w:val="both"/>
        <w:rPr>
          <w:rFonts w:ascii="Times New Roman" w:eastAsia="Times New Roman" w:hAnsi="Times New Roman" w:cs="Times New Roman"/>
          <w:b/>
          <w:bCs/>
          <w:sz w:val="24"/>
          <w:szCs w:val="24"/>
        </w:rPr>
      </w:pPr>
      <w:bookmarkStart w:id="8" w:name="_t4ncji3y1yjg" w:colFirst="0" w:colLast="0"/>
      <w:bookmarkEnd w:id="8"/>
      <w:r>
        <w:rPr>
          <w:rFonts w:ascii="Times New Roman" w:eastAsia="Times New Roman" w:hAnsi="Times New Roman" w:cs="Times New Roman"/>
          <w:b/>
          <w:bCs/>
          <w:sz w:val="24"/>
          <w:szCs w:val="24"/>
        </w:rPr>
        <w:t>Study Selection</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retrieved records were imported into reference management software an</w:t>
      </w:r>
      <w:r>
        <w:rPr>
          <w:rFonts w:ascii="Times New Roman" w:eastAsia="Times New Roman" w:hAnsi="Times New Roman" w:cs="Times New Roman"/>
          <w:sz w:val="24"/>
          <w:szCs w:val="24"/>
        </w:rPr>
        <w:t>d duplicate records were removed prior to screening. Two reviewers independently screened the titles and abstracts of all retrieved studies for eligibility. Studies that appeared relevant were then subjected to full-text review to determine whether they me</w:t>
      </w:r>
      <w:r>
        <w:rPr>
          <w:rFonts w:ascii="Times New Roman" w:eastAsia="Times New Roman" w:hAnsi="Times New Roman" w:cs="Times New Roman"/>
          <w:sz w:val="24"/>
          <w:szCs w:val="24"/>
        </w:rPr>
        <w:t>t the inclusion criteria. Disagreements between reviewers were resolved through discussion and consensus, and when necessary, consultation with a third reviewer. The study selection process was documented using a PRISMA flow diagram.</w:t>
      </w:r>
    </w:p>
    <w:p w:rsidR="007F44DA" w:rsidRDefault="00CB6F9E">
      <w:pPr>
        <w:pStyle w:val="Heading2"/>
        <w:keepNext w:val="0"/>
        <w:keepLines w:val="0"/>
        <w:spacing w:after="80"/>
        <w:jc w:val="both"/>
        <w:rPr>
          <w:rFonts w:ascii="Times New Roman" w:eastAsia="Times New Roman" w:hAnsi="Times New Roman" w:cs="Times New Roman"/>
          <w:b/>
          <w:bCs/>
          <w:sz w:val="24"/>
          <w:szCs w:val="24"/>
        </w:rPr>
      </w:pPr>
      <w:bookmarkStart w:id="9" w:name="_bmsysrp9gbrp" w:colFirst="0" w:colLast="0"/>
      <w:bookmarkEnd w:id="9"/>
      <w:r>
        <w:rPr>
          <w:rFonts w:ascii="Times New Roman" w:eastAsia="Times New Roman" w:hAnsi="Times New Roman" w:cs="Times New Roman"/>
          <w:b/>
          <w:bCs/>
          <w:sz w:val="24"/>
          <w:szCs w:val="24"/>
        </w:rPr>
        <w:t>Data Extraction</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e</w:t>
      </w:r>
      <w:r>
        <w:rPr>
          <w:rFonts w:ascii="Times New Roman" w:eastAsia="Times New Roman" w:hAnsi="Times New Roman" w:cs="Times New Roman"/>
          <w:sz w:val="24"/>
          <w:szCs w:val="24"/>
        </w:rPr>
        <w:t>xtraction was performed independently by two reviewers using a standardized data extraction form developed prior to study selection. Extracted information included the author and year of publication, country and study setting, study design, sample size, an</w:t>
      </w:r>
      <w:r>
        <w:rPr>
          <w:rFonts w:ascii="Times New Roman" w:eastAsia="Times New Roman" w:hAnsi="Times New Roman" w:cs="Times New Roman"/>
          <w:sz w:val="24"/>
          <w:szCs w:val="24"/>
        </w:rPr>
        <w:t>d participant characteristics.</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Details of the index test were also recorded, including the biomarker evaluated (HbA1c,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glycated albumin, or 1,5-AG), assay method, and diagnostic cut-off value when reported. Information regarding the reference</w:t>
      </w:r>
      <w:r>
        <w:rPr>
          <w:rFonts w:ascii="Times New Roman" w:eastAsia="Times New Roman" w:hAnsi="Times New Roman" w:cs="Times New Roman"/>
          <w:sz w:val="24"/>
          <w:szCs w:val="24"/>
        </w:rPr>
        <w:t xml:space="preserve"> standard used for diabetes diagnosis (e.g., fasting plasma glucose, oral glucose tolerance test, or composite diagnostic criteria) was documented.</w:t>
      </w:r>
    </w:p>
    <w:p w:rsidR="007F44DA" w:rsidRDefault="00CB6F9E">
      <w:pPr>
        <w:spacing w:before="240" w:after="240"/>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Where available, diagnostic accuracy outcomes including true positives (TP), false positives (FP), true nega</w:t>
      </w:r>
      <w:r>
        <w:rPr>
          <w:rFonts w:ascii="Times New Roman" w:eastAsia="Times New Roman" w:hAnsi="Times New Roman" w:cs="Times New Roman"/>
          <w:sz w:val="24"/>
          <w:szCs w:val="24"/>
        </w:rPr>
        <w:t>tives (TN), false negatives (FN), sensitivity, specificity, and area under the receiver operating characteristic curve (AUC) were extracted. When complete 2×2 contingency data were not reported, available diagnostic performance metrics were summarized desc</w:t>
      </w:r>
      <w:r>
        <w:rPr>
          <w:rFonts w:ascii="Times New Roman" w:eastAsia="Times New Roman" w:hAnsi="Times New Roman" w:cs="Times New Roman"/>
          <w:sz w:val="24"/>
          <w:szCs w:val="24"/>
        </w:rPr>
        <w:t>riptively.</w:t>
      </w:r>
    </w:p>
    <w:p w:rsidR="007F44DA" w:rsidRDefault="00CB6F9E">
      <w:pPr>
        <w:pStyle w:val="Heading2"/>
        <w:keepNext w:val="0"/>
        <w:keepLines w:val="0"/>
        <w:spacing w:after="80"/>
        <w:jc w:val="both"/>
        <w:rPr>
          <w:rFonts w:ascii="Times New Roman" w:eastAsia="Times New Roman" w:hAnsi="Times New Roman" w:cs="Times New Roman"/>
          <w:b/>
          <w:bCs/>
          <w:sz w:val="24"/>
          <w:szCs w:val="24"/>
        </w:rPr>
      </w:pPr>
      <w:bookmarkStart w:id="10" w:name="_5tj78t948tis" w:colFirst="0" w:colLast="0"/>
      <w:bookmarkEnd w:id="10"/>
      <w:r>
        <w:rPr>
          <w:rFonts w:ascii="Times New Roman" w:eastAsia="Times New Roman" w:hAnsi="Times New Roman" w:cs="Times New Roman"/>
          <w:b/>
          <w:bCs/>
          <w:sz w:val="24"/>
          <w:szCs w:val="24"/>
        </w:rPr>
        <w:t>Data Synthesis</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Because of substantial variation across studies in terms of study populations, biomarker assays, diagnostic thresholds, and reference standards, a quantitative meta-analysis was not considered appropriate. Therefore, a narrative s</w:t>
      </w:r>
      <w:r>
        <w:rPr>
          <w:rFonts w:ascii="Times New Roman" w:eastAsia="Times New Roman" w:hAnsi="Times New Roman" w:cs="Times New Roman"/>
          <w:sz w:val="24"/>
          <w:szCs w:val="24"/>
        </w:rPr>
        <w:t>ynthesis approach was used to summarize and compare the reported findings. Diagnostic performance measures reported in the included studies, such as sensitivity, specificity, and AUC values, were examined and compared across different glycemic biomarkers.</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Findings were organized according to biomarker type, including HbA1c, glycated albumin,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and 1,5-anhydroglucitol. Where relevant, results were also summarized according to population characteristics and clinical contexts, such as pregnancy, re</w:t>
      </w:r>
      <w:r>
        <w:rPr>
          <w:rFonts w:ascii="Times New Roman" w:eastAsia="Times New Roman" w:hAnsi="Times New Roman" w:cs="Times New Roman"/>
          <w:sz w:val="24"/>
          <w:szCs w:val="24"/>
        </w:rPr>
        <w:t>nal disease, and population-based screening settings. This approach allowed for a structured comparison of the reported diagnostic performance of long-term and short-term glycemic markers across different study populations.</w:t>
      </w:r>
    </w:p>
    <w:p w:rsidR="007F44DA" w:rsidRDefault="007F44DA">
      <w:pPr>
        <w:spacing w:before="240" w:after="240"/>
        <w:jc w:val="both"/>
        <w:rPr>
          <w:rFonts w:ascii="Times New Roman" w:eastAsia="Times New Roman" w:hAnsi="Times New Roman" w:cs="Times New Roman"/>
          <w:sz w:val="24"/>
          <w:szCs w:val="24"/>
        </w:rPr>
      </w:pPr>
    </w:p>
    <w:p w:rsidR="007F44DA" w:rsidRDefault="007F44DA">
      <w:pPr>
        <w:spacing w:before="240" w:after="240"/>
        <w:jc w:val="both"/>
        <w:rPr>
          <w:rFonts w:ascii="Times New Roman" w:eastAsia="Times New Roman" w:hAnsi="Times New Roman" w:cs="Times New Roman"/>
          <w:b/>
          <w:bCs/>
          <w:sz w:val="24"/>
          <w:szCs w:val="24"/>
        </w:rPr>
      </w:pPr>
    </w:p>
    <w:p w:rsidR="007F44DA" w:rsidRDefault="00CB6F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extent cx="4895850" cy="4686707"/>
                <wp:effectExtent l="0" t="0" r="0" b="0"/>
                <wp:docPr id="1" name="Group 1"/>
                <wp:cNvGraphicFramePr/>
                <a:graphic xmlns:a="http://schemas.openxmlformats.org/drawingml/2006/main">
                  <a:graphicData uri="http://schemas.microsoft.com/office/word/2010/wordprocessingGroup">
                    <wpg:wgp>
                      <wpg:cNvGrpSpPr/>
                      <wpg:grpSpPr>
                        <a:xfrm>
                          <a:off x="0" y="0"/>
                          <a:ext cx="4895850" cy="4686707"/>
                          <a:chOff x="898750" y="230950"/>
                          <a:chExt cx="4895575" cy="4688500"/>
                        </a:xfrm>
                      </wpg:grpSpPr>
                      <wps:wsp>
                        <wps:cNvPr id="771056041" name="Rectangle 771056041"/>
                        <wps:cNvSpPr/>
                        <wps:spPr>
                          <a:xfrm rot="-5400000">
                            <a:off x="524175" y="615075"/>
                            <a:ext cx="1055400" cy="296700"/>
                          </a:xfrm>
                          <a:prstGeom prst="rect">
                            <a:avLst/>
                          </a:prstGeom>
                          <a:solidFill>
                            <a:srgbClr val="CFE2F3"/>
                          </a:solidFill>
                          <a:ln w="9525" cap="flat" cmpd="sng">
                            <a:solidFill>
                              <a:srgbClr val="000000"/>
                            </a:solidFill>
                            <a:prstDash val="solid"/>
                            <a:round/>
                            <a:headEnd type="none" w="sm" len="sm"/>
                            <a:tailEnd type="none" w="sm" len="sm"/>
                          </a:ln>
                        </wps:spPr>
                        <wps:txbx>
                          <w:txbxContent>
                            <w:p w:rsidR="007F44DA" w:rsidRDefault="00CB6F9E">
                              <w:pPr>
                                <w:spacing w:line="240" w:lineRule="auto"/>
                                <w:jc w:val="center"/>
                                <w:textDirection w:val="btLr"/>
                              </w:pPr>
                              <w:r>
                                <w:rPr>
                                  <w:color w:val="000000"/>
                                  <w:sz w:val="24"/>
                                </w:rPr>
                                <w:t>Identification</w:t>
                              </w:r>
                            </w:p>
                          </w:txbxContent>
                        </wps:txbx>
                        <wps:bodyPr spcFirstLastPara="1" wrap="square" lIns="91425" tIns="91425" rIns="91425" bIns="91425" anchor="ctr" anchorCtr="0">
                          <a:noAutofit/>
                        </wps:bodyPr>
                      </wps:wsp>
                      <wps:wsp>
                        <wps:cNvPr id="1335750944" name="Rectangle 1335750944"/>
                        <wps:cNvSpPr/>
                        <wps:spPr>
                          <a:xfrm rot="-5400000">
                            <a:off x="524175" y="1822925"/>
                            <a:ext cx="1055400" cy="296700"/>
                          </a:xfrm>
                          <a:prstGeom prst="rect">
                            <a:avLst/>
                          </a:prstGeom>
                          <a:solidFill>
                            <a:srgbClr val="CFE2F3"/>
                          </a:solidFill>
                          <a:ln w="9525" cap="flat" cmpd="sng">
                            <a:solidFill>
                              <a:srgbClr val="000000"/>
                            </a:solidFill>
                            <a:prstDash val="solid"/>
                            <a:round/>
                            <a:headEnd type="none" w="sm" len="sm"/>
                            <a:tailEnd type="none" w="sm" len="sm"/>
                          </a:ln>
                        </wps:spPr>
                        <wps:txbx>
                          <w:txbxContent>
                            <w:p w:rsidR="007F44DA" w:rsidRDefault="00CB6F9E">
                              <w:pPr>
                                <w:spacing w:line="240" w:lineRule="auto"/>
                                <w:jc w:val="center"/>
                                <w:textDirection w:val="btLr"/>
                              </w:pPr>
                              <w:r>
                                <w:rPr>
                                  <w:color w:val="000000"/>
                                  <w:sz w:val="24"/>
                                </w:rPr>
                                <w:t>Screening</w:t>
                              </w:r>
                            </w:p>
                          </w:txbxContent>
                        </wps:txbx>
                        <wps:bodyPr spcFirstLastPara="1" wrap="square" lIns="91425" tIns="91425" rIns="91425" bIns="91425" anchor="ctr" anchorCtr="0">
                          <a:noAutofit/>
                        </wps:bodyPr>
                      </wps:wsp>
                      <wps:wsp>
                        <wps:cNvPr id="1972401239" name="Rectangle 1972401239"/>
                        <wps:cNvSpPr/>
                        <wps:spPr>
                          <a:xfrm rot="-5400000">
                            <a:off x="524175" y="4238625"/>
                            <a:ext cx="1055400" cy="296700"/>
                          </a:xfrm>
                          <a:prstGeom prst="rect">
                            <a:avLst/>
                          </a:prstGeom>
                          <a:solidFill>
                            <a:srgbClr val="CFE2F3"/>
                          </a:solidFill>
                          <a:ln w="9525" cap="flat" cmpd="sng">
                            <a:solidFill>
                              <a:srgbClr val="000000"/>
                            </a:solidFill>
                            <a:prstDash val="solid"/>
                            <a:round/>
                            <a:headEnd type="none" w="sm" len="sm"/>
                            <a:tailEnd type="none" w="sm" len="sm"/>
                          </a:ln>
                        </wps:spPr>
                        <wps:txbx>
                          <w:txbxContent>
                            <w:p w:rsidR="007F44DA" w:rsidRDefault="00CB6F9E">
                              <w:pPr>
                                <w:spacing w:line="240" w:lineRule="auto"/>
                                <w:jc w:val="center"/>
                                <w:textDirection w:val="btLr"/>
                              </w:pPr>
                              <w:r>
                                <w:rPr>
                                  <w:color w:val="000000"/>
                                  <w:sz w:val="24"/>
                                </w:rPr>
                                <w:t>Included</w:t>
                              </w:r>
                            </w:p>
                          </w:txbxContent>
                        </wps:txbx>
                        <wps:bodyPr spcFirstLastPara="1" wrap="square" lIns="91425" tIns="91425" rIns="91425" bIns="91425" anchor="ctr" anchorCtr="0">
                          <a:noAutofit/>
                        </wps:bodyPr>
                      </wps:wsp>
                      <wps:wsp>
                        <wps:cNvPr id="896129642" name="Rectangle 896129642"/>
                        <wps:cNvSpPr/>
                        <wps:spPr>
                          <a:xfrm rot="-5400000">
                            <a:off x="524175" y="3030775"/>
                            <a:ext cx="1055400" cy="296700"/>
                          </a:xfrm>
                          <a:prstGeom prst="rect">
                            <a:avLst/>
                          </a:prstGeom>
                          <a:solidFill>
                            <a:srgbClr val="CFE2F3"/>
                          </a:solidFill>
                          <a:ln w="9525" cap="flat" cmpd="sng">
                            <a:solidFill>
                              <a:srgbClr val="000000"/>
                            </a:solidFill>
                            <a:prstDash val="solid"/>
                            <a:round/>
                            <a:headEnd type="none" w="sm" len="sm"/>
                            <a:tailEnd type="none" w="sm" len="sm"/>
                          </a:ln>
                        </wps:spPr>
                        <wps:txbx>
                          <w:txbxContent>
                            <w:p w:rsidR="007F44DA" w:rsidRDefault="00CB6F9E">
                              <w:pPr>
                                <w:spacing w:line="240" w:lineRule="auto"/>
                                <w:jc w:val="center"/>
                                <w:textDirection w:val="btLr"/>
                              </w:pPr>
                              <w:r>
                                <w:rPr>
                                  <w:color w:val="000000"/>
                                  <w:sz w:val="24"/>
                                </w:rPr>
                                <w:t>Eligibility</w:t>
                              </w:r>
                            </w:p>
                          </w:txbxContent>
                        </wps:txbx>
                        <wps:bodyPr spcFirstLastPara="1" wrap="square" lIns="91425" tIns="91425" rIns="91425" bIns="91425" anchor="ctr" anchorCtr="0">
                          <a:noAutofit/>
                        </wps:bodyPr>
                      </wps:wsp>
                      <wps:wsp>
                        <wps:cNvPr id="1750383581" name="Rectangle 1750383581"/>
                        <wps:cNvSpPr/>
                        <wps:spPr>
                          <a:xfrm>
                            <a:off x="1485425" y="235725"/>
                            <a:ext cx="1503300" cy="861300"/>
                          </a:xfrm>
                          <a:prstGeom prst="rect">
                            <a:avLst/>
                          </a:prstGeom>
                          <a:solidFill>
                            <a:srgbClr val="CFE2F3"/>
                          </a:solidFill>
                          <a:ln w="9525" cap="flat" cmpd="sng">
                            <a:solidFill>
                              <a:srgbClr val="000000"/>
                            </a:solidFill>
                            <a:prstDash val="solid"/>
                            <a:round/>
                            <a:headEnd type="none" w="sm" len="sm"/>
                            <a:tailEnd type="none" w="sm" len="sm"/>
                          </a:ln>
                        </wps:spPr>
                        <wps:txbx>
                          <w:txbxContent>
                            <w:p w:rsidR="007F44DA" w:rsidRDefault="00CB6F9E">
                              <w:pPr>
                                <w:spacing w:line="240" w:lineRule="auto"/>
                                <w:textDirection w:val="btLr"/>
                              </w:pPr>
                              <w:r>
                                <w:rPr>
                                  <w:color w:val="000000"/>
                                  <w:sz w:val="24"/>
                                </w:rPr>
                                <w:t xml:space="preserve">Records identified through database search (n = </w:t>
                              </w:r>
                              <w:r>
                                <w:rPr>
                                  <w:rFonts w:ascii="Times New Roman" w:eastAsia="Times New Roman" w:hAnsi="Times New Roman" w:cs="Times New Roman"/>
                                  <w:color w:val="000000"/>
                                  <w:sz w:val="24"/>
                                </w:rPr>
                                <w:t>2,146</w:t>
                              </w:r>
                              <w:r>
                                <w:rPr>
                                  <w:color w:val="000000"/>
                                  <w:sz w:val="24"/>
                                </w:rPr>
                                <w:t xml:space="preserve">) </w:t>
                              </w:r>
                            </w:p>
                          </w:txbxContent>
                        </wps:txbx>
                        <wps:bodyPr spcFirstLastPara="1" wrap="square" lIns="91425" tIns="91425" rIns="91425" bIns="91425" anchor="ctr" anchorCtr="0">
                          <a:noAutofit/>
                        </wps:bodyPr>
                      </wps:wsp>
                      <wps:wsp>
                        <wps:cNvPr id="1567456235" name="Rectangle 1567456235"/>
                        <wps:cNvSpPr/>
                        <wps:spPr>
                          <a:xfrm>
                            <a:off x="3273925" y="235825"/>
                            <a:ext cx="1503300" cy="861300"/>
                          </a:xfrm>
                          <a:prstGeom prst="rect">
                            <a:avLst/>
                          </a:prstGeom>
                          <a:solidFill>
                            <a:srgbClr val="CFE2F3"/>
                          </a:solidFill>
                          <a:ln w="9525" cap="flat" cmpd="sng">
                            <a:solidFill>
                              <a:srgbClr val="000000"/>
                            </a:solidFill>
                            <a:prstDash val="solid"/>
                            <a:round/>
                            <a:headEnd type="none" w="sm" len="sm"/>
                            <a:tailEnd type="none" w="sm" len="sm"/>
                          </a:ln>
                        </wps:spPr>
                        <wps:txbx>
                          <w:txbxContent>
                            <w:p w:rsidR="007F44DA" w:rsidRDefault="00CB6F9E">
                              <w:pPr>
                                <w:spacing w:line="240" w:lineRule="auto"/>
                                <w:jc w:val="center"/>
                                <w:textDirection w:val="btLr"/>
                              </w:pPr>
                              <w:r>
                                <w:rPr>
                                  <w:color w:val="000000"/>
                                  <w:sz w:val="24"/>
                                </w:rPr>
                                <w:t xml:space="preserve">Additional records identified through other sources </w:t>
                              </w:r>
                              <w:r>
                                <w:rPr>
                                  <w:color w:val="000000"/>
                                  <w:sz w:val="24"/>
                                </w:rPr>
                                <w:br/>
                                <w:t>(n = 27)</w:t>
                              </w:r>
                            </w:p>
                          </w:txbxContent>
                        </wps:txbx>
                        <wps:bodyPr spcFirstLastPara="1" wrap="square" lIns="91425" tIns="91425" rIns="91425" bIns="91425" anchor="ctr" anchorCtr="0">
                          <a:noAutofit/>
                        </wps:bodyPr>
                      </wps:wsp>
                      <wps:wsp>
                        <wps:cNvPr id="1017457825" name="Rectangle 1017457825"/>
                        <wps:cNvSpPr/>
                        <wps:spPr>
                          <a:xfrm>
                            <a:off x="1485425" y="1480500"/>
                            <a:ext cx="3291900" cy="450000"/>
                          </a:xfrm>
                          <a:prstGeom prst="rect">
                            <a:avLst/>
                          </a:prstGeom>
                          <a:solidFill>
                            <a:srgbClr val="CFE2F3"/>
                          </a:solidFill>
                          <a:ln w="9525" cap="flat" cmpd="sng">
                            <a:solidFill>
                              <a:srgbClr val="000000"/>
                            </a:solidFill>
                            <a:prstDash val="solid"/>
                            <a:round/>
                            <a:headEnd type="none" w="sm" len="sm"/>
                            <a:tailEnd type="none" w="sm" len="sm"/>
                          </a:ln>
                        </wps:spPr>
                        <wps:txbx>
                          <w:txbxContent>
                            <w:p w:rsidR="007F44DA" w:rsidRDefault="00CB6F9E">
                              <w:pPr>
                                <w:spacing w:line="240" w:lineRule="auto"/>
                                <w:jc w:val="center"/>
                                <w:textDirection w:val="btLr"/>
                              </w:pPr>
                              <w:r>
                                <w:rPr>
                                  <w:color w:val="000000"/>
                                  <w:sz w:val="24"/>
                                </w:rPr>
                                <w:t>Records after duplicates removed (n = 1,874)</w:t>
                              </w:r>
                            </w:p>
                          </w:txbxContent>
                        </wps:txbx>
                        <wps:bodyPr spcFirstLastPara="1" wrap="square" lIns="91425" tIns="91425" rIns="91425" bIns="91425" anchor="ctr" anchorCtr="0">
                          <a:noAutofit/>
                        </wps:bodyPr>
                      </wps:wsp>
                      <wps:wsp>
                        <wps:cNvPr id="1655860518" name="Rectangle 1655860518"/>
                        <wps:cNvSpPr/>
                        <wps:spPr>
                          <a:xfrm>
                            <a:off x="2456850" y="2313875"/>
                            <a:ext cx="1503300" cy="388500"/>
                          </a:xfrm>
                          <a:prstGeom prst="rect">
                            <a:avLst/>
                          </a:prstGeom>
                          <a:solidFill>
                            <a:srgbClr val="CFE2F3"/>
                          </a:solidFill>
                          <a:ln w="9525" cap="flat" cmpd="sng">
                            <a:solidFill>
                              <a:srgbClr val="000000"/>
                            </a:solidFill>
                            <a:prstDash val="solid"/>
                            <a:round/>
                            <a:headEnd type="none" w="sm" len="sm"/>
                            <a:tailEnd type="none" w="sm" len="sm"/>
                          </a:ln>
                        </wps:spPr>
                        <wps:txbx>
                          <w:txbxContent>
                            <w:p w:rsidR="007F44DA" w:rsidRDefault="00CB6F9E">
                              <w:pPr>
                                <w:spacing w:line="240" w:lineRule="auto"/>
                                <w:jc w:val="center"/>
                                <w:textDirection w:val="btLr"/>
                              </w:pPr>
                              <w:r>
                                <w:rPr>
                                  <w:color w:val="000000"/>
                                  <w:sz w:val="24"/>
                                </w:rPr>
                                <w:t>Records screened (n = 1,874)</w:t>
                              </w:r>
                            </w:p>
                          </w:txbxContent>
                        </wps:txbx>
                        <wps:bodyPr spcFirstLastPara="1" wrap="square" lIns="91425" tIns="91425" rIns="91425" bIns="91425" anchor="ctr" anchorCtr="0">
                          <a:noAutofit/>
                        </wps:bodyPr>
                      </wps:wsp>
                      <wps:wsp>
                        <wps:cNvPr id="391075420" name="Rectangle 391075420"/>
                        <wps:cNvSpPr/>
                        <wps:spPr>
                          <a:xfrm>
                            <a:off x="4286250" y="2313875"/>
                            <a:ext cx="1503300" cy="388500"/>
                          </a:xfrm>
                          <a:prstGeom prst="rect">
                            <a:avLst/>
                          </a:prstGeom>
                          <a:solidFill>
                            <a:srgbClr val="CFE2F3"/>
                          </a:solidFill>
                          <a:ln w="9525" cap="flat" cmpd="sng">
                            <a:solidFill>
                              <a:srgbClr val="000000"/>
                            </a:solidFill>
                            <a:prstDash val="solid"/>
                            <a:round/>
                            <a:headEnd type="none" w="sm" len="sm"/>
                            <a:tailEnd type="none" w="sm" len="sm"/>
                          </a:ln>
                        </wps:spPr>
                        <wps:txbx>
                          <w:txbxContent>
                            <w:p w:rsidR="007F44DA" w:rsidRDefault="00CB6F9E">
                              <w:pPr>
                                <w:spacing w:line="240" w:lineRule="auto"/>
                                <w:jc w:val="center"/>
                                <w:textDirection w:val="btLr"/>
                              </w:pPr>
                              <w:r>
                                <w:rPr>
                                  <w:color w:val="000000"/>
                                  <w:sz w:val="24"/>
                                </w:rPr>
                                <w:t>Records excluded (n = 1,823)</w:t>
                              </w:r>
                            </w:p>
                          </w:txbxContent>
                        </wps:txbx>
                        <wps:bodyPr spcFirstLastPara="1" wrap="square" lIns="91425" tIns="91425" rIns="91425" bIns="91425" anchor="ctr" anchorCtr="0">
                          <a:noAutofit/>
                        </wps:bodyPr>
                      </wps:wsp>
                      <wps:wsp>
                        <wps:cNvPr id="1711369298" name="Rectangle 1711369298"/>
                        <wps:cNvSpPr/>
                        <wps:spPr>
                          <a:xfrm>
                            <a:off x="2436500" y="3085750"/>
                            <a:ext cx="1462200" cy="621000"/>
                          </a:xfrm>
                          <a:prstGeom prst="rect">
                            <a:avLst/>
                          </a:prstGeom>
                          <a:solidFill>
                            <a:srgbClr val="CFE2F3"/>
                          </a:solidFill>
                          <a:ln w="9525" cap="flat" cmpd="sng">
                            <a:solidFill>
                              <a:srgbClr val="000000"/>
                            </a:solidFill>
                            <a:prstDash val="solid"/>
                            <a:round/>
                            <a:headEnd type="none" w="sm" len="sm"/>
                            <a:tailEnd type="none" w="sm" len="sm"/>
                          </a:ln>
                        </wps:spPr>
                        <wps:txbx>
                          <w:txbxContent>
                            <w:p w:rsidR="007F44DA" w:rsidRDefault="00CB6F9E">
                              <w:pPr>
                                <w:spacing w:line="240" w:lineRule="auto"/>
                                <w:jc w:val="center"/>
                                <w:textDirection w:val="btLr"/>
                              </w:pPr>
                              <w:r>
                                <w:rPr>
                                  <w:color w:val="000000"/>
                                  <w:sz w:val="24"/>
                                </w:rPr>
                                <w:t>Full-text reports assessed for eligibility (n = 51)</w:t>
                              </w:r>
                            </w:p>
                          </w:txbxContent>
                        </wps:txbx>
                        <wps:bodyPr spcFirstLastPara="1" wrap="square" lIns="91425" tIns="91425" rIns="91425" bIns="91425" anchor="ctr" anchorCtr="0">
                          <a:noAutofit/>
                        </wps:bodyPr>
                      </wps:wsp>
                      <wps:wsp>
                        <wps:cNvPr id="1291676485" name="Rectangle 1291676485"/>
                        <wps:cNvSpPr/>
                        <wps:spPr>
                          <a:xfrm>
                            <a:off x="2477300" y="4062375"/>
                            <a:ext cx="1380600" cy="542100"/>
                          </a:xfrm>
                          <a:prstGeom prst="rect">
                            <a:avLst/>
                          </a:prstGeom>
                          <a:solidFill>
                            <a:srgbClr val="CFE2F3"/>
                          </a:solidFill>
                          <a:ln w="9525" cap="flat" cmpd="sng">
                            <a:solidFill>
                              <a:srgbClr val="000000"/>
                            </a:solidFill>
                            <a:prstDash val="solid"/>
                            <a:round/>
                            <a:headEnd type="none" w="sm" len="sm"/>
                            <a:tailEnd type="none" w="sm" len="sm"/>
                          </a:ln>
                        </wps:spPr>
                        <wps:txbx>
                          <w:txbxContent>
                            <w:p w:rsidR="007F44DA" w:rsidRDefault="00CB6F9E">
                              <w:pPr>
                                <w:spacing w:line="240" w:lineRule="auto"/>
                                <w:jc w:val="center"/>
                                <w:textDirection w:val="btLr"/>
                              </w:pPr>
                              <w:r>
                                <w:rPr>
                                  <w:color w:val="000000"/>
                                  <w:sz w:val="24"/>
                                </w:rPr>
                                <w:t>Studies included in the synthesis (n = 19)</w:t>
                              </w:r>
                            </w:p>
                          </w:txbxContent>
                        </wps:txbx>
                        <wps:bodyPr spcFirstLastPara="1" wrap="square" lIns="91425" tIns="91425" rIns="91425" bIns="91425" anchor="ctr" anchorCtr="0">
                          <a:noAutofit/>
                        </wps:bodyPr>
                      </wps:wsp>
                      <wps:wsp>
                        <wps:cNvPr id="738906231" name="Arrow: Down 738906231"/>
                        <wps:cNvSpPr/>
                        <wps:spPr>
                          <a:xfrm>
                            <a:off x="2190975" y="1117400"/>
                            <a:ext cx="102300" cy="3261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7F44DA" w:rsidRDefault="007F44DA">
                              <w:pPr>
                                <w:spacing w:line="240" w:lineRule="auto"/>
                                <w:jc w:val="center"/>
                                <w:textDirection w:val="btLr"/>
                              </w:pPr>
                            </w:p>
                          </w:txbxContent>
                        </wps:txbx>
                        <wps:bodyPr spcFirstLastPara="1" wrap="square" lIns="91425" tIns="91425" rIns="91425" bIns="91425" anchor="ctr" anchorCtr="0">
                          <a:noAutofit/>
                        </wps:bodyPr>
                      </wps:wsp>
                      <wps:wsp>
                        <wps:cNvPr id="1868314874" name="Arrow: Down 1868314874"/>
                        <wps:cNvSpPr/>
                        <wps:spPr>
                          <a:xfrm>
                            <a:off x="3974425" y="1125763"/>
                            <a:ext cx="102300" cy="3261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7F44DA" w:rsidRDefault="007F44DA">
                              <w:pPr>
                                <w:spacing w:line="240" w:lineRule="auto"/>
                                <w:jc w:val="center"/>
                                <w:textDirection w:val="btLr"/>
                              </w:pPr>
                            </w:p>
                          </w:txbxContent>
                        </wps:txbx>
                        <wps:bodyPr spcFirstLastPara="1" wrap="square" lIns="91425" tIns="91425" rIns="91425" bIns="91425" anchor="ctr" anchorCtr="0">
                          <a:noAutofit/>
                        </wps:bodyPr>
                      </wps:wsp>
                      <wps:wsp>
                        <wps:cNvPr id="1699545151" name="Arrow: Down 1699545151"/>
                        <wps:cNvSpPr/>
                        <wps:spPr>
                          <a:xfrm>
                            <a:off x="3080225" y="1959125"/>
                            <a:ext cx="102300" cy="3261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7F44DA" w:rsidRDefault="007F44DA">
                              <w:pPr>
                                <w:spacing w:line="240" w:lineRule="auto"/>
                                <w:jc w:val="center"/>
                                <w:textDirection w:val="btLr"/>
                              </w:pPr>
                            </w:p>
                          </w:txbxContent>
                        </wps:txbx>
                        <wps:bodyPr spcFirstLastPara="1" wrap="square" lIns="91425" tIns="91425" rIns="91425" bIns="91425" anchor="ctr" anchorCtr="0">
                          <a:noAutofit/>
                        </wps:bodyPr>
                      </wps:wsp>
                      <wps:wsp>
                        <wps:cNvPr id="1204404578" name="Arrow: Down 1204404578"/>
                        <wps:cNvSpPr/>
                        <wps:spPr>
                          <a:xfrm>
                            <a:off x="3080225" y="2743800"/>
                            <a:ext cx="102300" cy="3261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7F44DA" w:rsidRDefault="007F44DA">
                              <w:pPr>
                                <w:spacing w:line="240" w:lineRule="auto"/>
                                <w:jc w:val="center"/>
                                <w:textDirection w:val="btLr"/>
                              </w:pPr>
                            </w:p>
                          </w:txbxContent>
                        </wps:txbx>
                        <wps:bodyPr spcFirstLastPara="1" wrap="square" lIns="91425" tIns="91425" rIns="91425" bIns="91425" anchor="ctr" anchorCtr="0">
                          <a:noAutofit/>
                        </wps:bodyPr>
                      </wps:wsp>
                      <wps:wsp>
                        <wps:cNvPr id="1039471630" name="Arrow: Down 1039471630"/>
                        <wps:cNvSpPr/>
                        <wps:spPr>
                          <a:xfrm>
                            <a:off x="3080225" y="3736275"/>
                            <a:ext cx="102300" cy="3261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7F44DA" w:rsidRDefault="007F44DA">
                              <w:pPr>
                                <w:spacing w:line="240" w:lineRule="auto"/>
                                <w:jc w:val="center"/>
                                <w:textDirection w:val="btLr"/>
                              </w:pPr>
                            </w:p>
                          </w:txbxContent>
                        </wps:txbx>
                        <wps:bodyPr spcFirstLastPara="1" wrap="square" lIns="91425" tIns="91425" rIns="91425" bIns="91425" anchor="ctr" anchorCtr="0">
                          <a:noAutofit/>
                        </wps:bodyPr>
                      </wps:wsp>
                      <wps:wsp>
                        <wps:cNvPr id="2008309587" name="Arrow: Down 2008309587"/>
                        <wps:cNvSpPr/>
                        <wps:spPr>
                          <a:xfrm rot="-5400000">
                            <a:off x="4072041" y="2345067"/>
                            <a:ext cx="102300" cy="3261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7F44DA" w:rsidRDefault="007F44DA">
                              <w:pPr>
                                <w:spacing w:line="240" w:lineRule="auto"/>
                                <w:jc w:val="center"/>
                                <w:textDirection w:val="btLr"/>
                              </w:pPr>
                            </w:p>
                          </w:txbxContent>
                        </wps:txbx>
                        <wps:bodyPr spcFirstLastPara="1" wrap="square" lIns="91425" tIns="91425" rIns="91425" bIns="91425" anchor="ctr" anchorCtr="0">
                          <a:noAutofit/>
                        </wps:bodyPr>
                      </wps:wsp>
                    </wpg:wgp>
                  </a:graphicData>
                </a:graphic>
              </wp:inline>
            </w:drawing>
          </mc:Choice>
          <mc:Fallback>
            <w:pict>
              <v:group id="Group 1" o:spid="_x0000_s1026" style="width:385.5pt;height:369.05pt;mso-position-horizontal-relative:char;mso-position-vertical-relative:line" coordorigin="8987,2309" coordsize="48955,4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">
                <v:rect id="Rectangle 771056041" o:spid="_x0000_s1027" style="position:absolute;left:5242;top:6150;width:10554;height:29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" fillcolor="#cfe2f3">
                  <v:stroke startarrowwidth="narrow" startarrowlength="short" endarrowwidth="narrow" endarrowlength="short" joinstyle="round"/>
                  <v:textbox inset="2.53958mm,2.53958mm,2.53958mm,2.53958mm">
                    <w:txbxContent>
                      <w:p w:rsidR="007F44DA" w:rsidRDefault="00CB6F9E">
                        <w:pPr>
                          <w:spacing w:line="240" w:lineRule="auto"/>
                          <w:jc w:val="center"/>
                          <w:textDirection w:val="btLr"/>
                        </w:pPr>
                        <w:r>
                          <w:rPr>
                            <w:color w:val="000000"/>
                            <w:sz w:val="24"/>
                          </w:rPr>
                          <w:t>Identification</w:t>
                        </w:r>
                      </w:p>
                    </w:txbxContent>
                  </v:textbox>
                </v:rect>
                <v:rect id="Rectangle 1335750944" o:spid="_x0000_s1028" style="position:absolute;left:5242;top:18228;width:10554;height:29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" fillcolor="#cfe2f3">
                  <v:stroke startarrowwidth="narrow" startarrowlength="short" endarrowwidth="narrow" endarrowlength="short" joinstyle="round"/>
                  <v:textbox inset="2.53958mm,2.53958mm,2.53958mm,2.53958mm">
                    <w:txbxContent>
                      <w:p w:rsidR="007F44DA" w:rsidRDefault="00CB6F9E">
                        <w:pPr>
                          <w:spacing w:line="240" w:lineRule="auto"/>
                          <w:jc w:val="center"/>
                          <w:textDirection w:val="btLr"/>
                        </w:pPr>
                        <w:r>
                          <w:rPr>
                            <w:color w:val="000000"/>
                            <w:sz w:val="24"/>
                          </w:rPr>
                          <w:t>Screening</w:t>
                        </w:r>
                      </w:p>
                    </w:txbxContent>
                  </v:textbox>
                </v:rect>
                <v:rect id="Rectangle 1972401239" o:spid="_x0000_s1029" style="position:absolute;left:5242;top:42385;width:10554;height:29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" fillcolor="#cfe2f3">
                  <v:stroke startarrowwidth="narrow" startarrowlength="short" endarrowwidth="narrow" endarrowlength="short" joinstyle="round"/>
                  <v:textbox inset="2.53958mm,2.53958mm,2.53958mm,2.53958mm">
                    <w:txbxContent>
                      <w:p w:rsidR="007F44DA" w:rsidRDefault="00CB6F9E">
                        <w:pPr>
                          <w:spacing w:line="240" w:lineRule="auto"/>
                          <w:jc w:val="center"/>
                          <w:textDirection w:val="btLr"/>
                        </w:pPr>
                        <w:r>
                          <w:rPr>
                            <w:color w:val="000000"/>
                            <w:sz w:val="24"/>
                          </w:rPr>
                          <w:t>Included</w:t>
                        </w:r>
                      </w:p>
                    </w:txbxContent>
                  </v:textbox>
                </v:rect>
                <v:rect id="Rectangle 896129642" o:spid="_x0000_s1030" style="position:absolute;left:5242;top:30307;width:10554;height:29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" fillcolor="#cfe2f3">
                  <v:stroke startarrowwidth="narrow" startarrowlength="short" endarrowwidth="narrow" endarrowlength="short" joinstyle="round"/>
                  <v:textbox inset="2.53958mm,2.53958mm,2.53958mm,2.53958mm">
                    <w:txbxContent>
                      <w:p w:rsidR="007F44DA" w:rsidRDefault="00CB6F9E">
                        <w:pPr>
                          <w:spacing w:line="240" w:lineRule="auto"/>
                          <w:jc w:val="center"/>
                          <w:textDirection w:val="btLr"/>
                        </w:pPr>
                        <w:r>
                          <w:rPr>
                            <w:color w:val="000000"/>
                            <w:sz w:val="24"/>
                          </w:rPr>
                          <w:t>Eligibility</w:t>
                        </w:r>
                      </w:p>
                    </w:txbxContent>
                  </v:textbox>
                </v:rect>
                <v:rect id="Rectangle 1750383581" o:spid="_x0000_s1031" style="position:absolute;left:14854;top:2357;width:15033;height:8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" fillcolor="#cfe2f3">
                  <v:stroke startarrowwidth="narrow" startarrowlength="short" endarrowwidth="narrow" endarrowlength="short" joinstyle="round"/>
                  <v:textbox inset="2.53958mm,2.53958mm,2.53958mm,2.53958mm">
                    <w:txbxContent>
                      <w:p w:rsidR="007F44DA" w:rsidRDefault="00CB6F9E">
                        <w:pPr>
                          <w:spacing w:line="240" w:lineRule="auto"/>
                          <w:textDirection w:val="btLr"/>
                        </w:pPr>
                        <w:r>
                          <w:rPr>
                            <w:color w:val="000000"/>
                            <w:sz w:val="24"/>
                          </w:rPr>
                          <w:t xml:space="preserve">Records identified through database search (n = </w:t>
                        </w:r>
                        <w:r>
                          <w:rPr>
                            <w:rFonts w:ascii="Times New Roman" w:eastAsia="Times New Roman" w:hAnsi="Times New Roman" w:cs="Times New Roman"/>
                            <w:color w:val="000000"/>
                            <w:sz w:val="24"/>
                          </w:rPr>
                          <w:t>2,146</w:t>
                        </w:r>
                        <w:r>
                          <w:rPr>
                            <w:color w:val="000000"/>
                            <w:sz w:val="24"/>
                          </w:rPr>
                          <w:t xml:space="preserve">) </w:t>
                        </w:r>
                      </w:p>
                    </w:txbxContent>
                  </v:textbox>
                </v:rect>
                <v:rect id="Rectangle 1567456235" o:spid="_x0000_s1032" style="position:absolute;left:32739;top:2358;width:15033;height:8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" fillcolor="#cfe2f3">
                  <v:stroke startarrowwidth="narrow" startarrowlength="short" endarrowwidth="narrow" endarrowlength="short" joinstyle="round"/>
                  <v:textbox inset="2.53958mm,2.53958mm,2.53958mm,2.53958mm">
                    <w:txbxContent>
                      <w:p w:rsidR="007F44DA" w:rsidRDefault="00CB6F9E">
                        <w:pPr>
                          <w:spacing w:line="240" w:lineRule="auto"/>
                          <w:jc w:val="center"/>
                          <w:textDirection w:val="btLr"/>
                        </w:pPr>
                        <w:r>
                          <w:rPr>
                            <w:color w:val="000000"/>
                            <w:sz w:val="24"/>
                          </w:rPr>
                          <w:t xml:space="preserve">Additional records identified through other sources </w:t>
                        </w:r>
                        <w:r>
                          <w:rPr>
                            <w:color w:val="000000"/>
                            <w:sz w:val="24"/>
                          </w:rPr>
                          <w:br/>
                          <w:t>(n = 27)</w:t>
                        </w:r>
                      </w:p>
                    </w:txbxContent>
                  </v:textbox>
                </v:rect>
                <v:rect id="Rectangle 1017457825" o:spid="_x0000_s1033" style="position:absolute;left:14854;top:14805;width:32919;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" fillcolor="#cfe2f3">
                  <v:stroke startarrowwidth="narrow" startarrowlength="short" endarrowwidth="narrow" endarrowlength="short" joinstyle="round"/>
                  <v:textbox inset="2.53958mm,2.53958mm,2.53958mm,2.53958mm">
                    <w:txbxContent>
                      <w:p w:rsidR="007F44DA" w:rsidRDefault="00CB6F9E">
                        <w:pPr>
                          <w:spacing w:line="240" w:lineRule="auto"/>
                          <w:jc w:val="center"/>
                          <w:textDirection w:val="btLr"/>
                        </w:pPr>
                        <w:r>
                          <w:rPr>
                            <w:color w:val="000000"/>
                            <w:sz w:val="24"/>
                          </w:rPr>
                          <w:t>Records after duplicates removed (n = 1,874)</w:t>
                        </w:r>
                      </w:p>
                    </w:txbxContent>
                  </v:textbox>
                </v:rect>
                <v:rect id="Rectangle 1655860518" o:spid="_x0000_s1034" style="position:absolute;left:24568;top:23138;width:15033;height:3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" fillcolor="#cfe2f3">
                  <v:stroke startarrowwidth="narrow" startarrowlength="short" endarrowwidth="narrow" endarrowlength="short" joinstyle="round"/>
                  <v:textbox inset="2.53958mm,2.53958mm,2.53958mm,2.53958mm">
                    <w:txbxContent>
                      <w:p w:rsidR="007F44DA" w:rsidRDefault="00CB6F9E">
                        <w:pPr>
                          <w:spacing w:line="240" w:lineRule="auto"/>
                          <w:jc w:val="center"/>
                          <w:textDirection w:val="btLr"/>
                        </w:pPr>
                        <w:r>
                          <w:rPr>
                            <w:color w:val="000000"/>
                            <w:sz w:val="24"/>
                          </w:rPr>
                          <w:t>Records screened (n = 1,874)</w:t>
                        </w:r>
                      </w:p>
                    </w:txbxContent>
                  </v:textbox>
                </v:rect>
                <v:rect id="Rectangle 391075420" o:spid="_x0000_s1035" style="position:absolute;left:42862;top:23138;width:15033;height:3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" fillcolor="#cfe2f3">
                  <v:stroke startarrowwidth="narrow" startarrowlength="short" endarrowwidth="narrow" endarrowlength="short" joinstyle="round"/>
                  <v:textbox inset="2.53958mm,2.53958mm,2.53958mm,2.53958mm">
                    <w:txbxContent>
                      <w:p w:rsidR="007F44DA" w:rsidRDefault="00CB6F9E">
                        <w:pPr>
                          <w:spacing w:line="240" w:lineRule="auto"/>
                          <w:jc w:val="center"/>
                          <w:textDirection w:val="btLr"/>
                        </w:pPr>
                        <w:r>
                          <w:rPr>
                            <w:color w:val="000000"/>
                            <w:sz w:val="24"/>
                          </w:rPr>
                          <w:t>Records excluded (n = 1,823)</w:t>
                        </w:r>
                      </w:p>
                    </w:txbxContent>
                  </v:textbox>
                </v:rect>
                <v:rect id="Rectangle 1711369298" o:spid="_x0000_s1036" style="position:absolute;left:24365;top:30857;width:14622;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" fillcolor="#cfe2f3">
                  <v:stroke startarrowwidth="narrow" startarrowlength="short" endarrowwidth="narrow" endarrowlength="short" joinstyle="round"/>
                  <v:textbox inset="2.53958mm,2.53958mm,2.53958mm,2.53958mm">
                    <w:txbxContent>
                      <w:p w:rsidR="007F44DA" w:rsidRDefault="00CB6F9E">
                        <w:pPr>
                          <w:spacing w:line="240" w:lineRule="auto"/>
                          <w:jc w:val="center"/>
                          <w:textDirection w:val="btLr"/>
                        </w:pPr>
                        <w:r>
                          <w:rPr>
                            <w:color w:val="000000"/>
                            <w:sz w:val="24"/>
                          </w:rPr>
                          <w:t>Full-text reports assessed for eligibility (n = 51)</w:t>
                        </w:r>
                      </w:p>
                    </w:txbxContent>
                  </v:textbox>
                </v:rect>
                <v:rect id="Rectangle 1291676485" o:spid="_x0000_s1037" style="position:absolute;left:24773;top:40623;width:13806;height:5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" fillcolor="#cfe2f3">
                  <v:stroke startarrowwidth="narrow" startarrowlength="short" endarrowwidth="narrow" endarrowlength="short" joinstyle="round"/>
                  <v:textbox inset="2.53958mm,2.53958mm,2.53958mm,2.53958mm">
                    <w:txbxContent>
                      <w:p w:rsidR="007F44DA" w:rsidRDefault="00CB6F9E">
                        <w:pPr>
                          <w:spacing w:line="240" w:lineRule="auto"/>
                          <w:jc w:val="center"/>
                          <w:textDirection w:val="btLr"/>
                        </w:pPr>
                        <w:r>
                          <w:rPr>
                            <w:color w:val="000000"/>
                            <w:sz w:val="24"/>
                          </w:rPr>
                          <w:t>Studies included in the synthesis (n = 19)</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38906231" o:spid="_x0000_s1038" type="#_x0000_t67" style="position:absolute;left:21909;top:11174;width:1023;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" adj="18212" fillcolor="#cfe2f3">
                  <v:stroke startarrowwidth="narrow" startarrowlength="short" endarrowwidth="narrow" endarrowlength="short" joinstyle="round"/>
                  <v:textbox inset="2.53958mm,2.53958mm,2.53958mm,2.53958mm">
                    <w:txbxContent>
                      <w:p w:rsidR="007F44DA" w:rsidRDefault="007F44DA">
                        <w:pPr>
                          <w:spacing w:line="240" w:lineRule="auto"/>
                          <w:jc w:val="center"/>
                          <w:textDirection w:val="btLr"/>
                        </w:pPr>
                      </w:p>
                    </w:txbxContent>
                  </v:textbox>
                </v:shape>
                <v:shape id="Arrow: Down 1868314874" o:spid="_x0000_s1039" type="#_x0000_t67" style="position:absolute;left:39744;top:11257;width:1023;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" adj="18212" fillcolor="#cfe2f3">
                  <v:stroke startarrowwidth="narrow" startarrowlength="short" endarrowwidth="narrow" endarrowlength="short" joinstyle="round"/>
                  <v:textbox inset="2.53958mm,2.53958mm,2.53958mm,2.53958mm">
                    <w:txbxContent>
                      <w:p w:rsidR="007F44DA" w:rsidRDefault="007F44DA">
                        <w:pPr>
                          <w:spacing w:line="240" w:lineRule="auto"/>
                          <w:jc w:val="center"/>
                          <w:textDirection w:val="btLr"/>
                        </w:pPr>
                      </w:p>
                    </w:txbxContent>
                  </v:textbox>
                </v:shape>
                <v:shape id="Arrow: Down 1699545151" o:spid="_x0000_s1040" type="#_x0000_t67" style="position:absolute;left:30802;top:19591;width:1023;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" adj="18212" fillcolor="#cfe2f3">
                  <v:stroke startarrowwidth="narrow" startarrowlength="short" endarrowwidth="narrow" endarrowlength="short" joinstyle="round"/>
                  <v:textbox inset="2.53958mm,2.53958mm,2.53958mm,2.53958mm">
                    <w:txbxContent>
                      <w:p w:rsidR="007F44DA" w:rsidRDefault="007F44DA">
                        <w:pPr>
                          <w:spacing w:line="240" w:lineRule="auto"/>
                          <w:jc w:val="center"/>
                          <w:textDirection w:val="btLr"/>
                        </w:pPr>
                      </w:p>
                    </w:txbxContent>
                  </v:textbox>
                </v:shape>
                <v:shape id="Arrow: Down 1204404578" o:spid="_x0000_s1041" type="#_x0000_t67" style="position:absolute;left:30802;top:27438;width:1023;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" adj="18212" fillcolor="#cfe2f3">
                  <v:stroke startarrowwidth="narrow" startarrowlength="short" endarrowwidth="narrow" endarrowlength="short" joinstyle="round"/>
                  <v:textbox inset="2.53958mm,2.53958mm,2.53958mm,2.53958mm">
                    <w:txbxContent>
                      <w:p w:rsidR="007F44DA" w:rsidRDefault="007F44DA">
                        <w:pPr>
                          <w:spacing w:line="240" w:lineRule="auto"/>
                          <w:jc w:val="center"/>
                          <w:textDirection w:val="btLr"/>
                        </w:pPr>
                      </w:p>
                    </w:txbxContent>
                  </v:textbox>
                </v:shape>
                <v:shape id="Arrow: Down 1039471630" o:spid="_x0000_s1042" type="#_x0000_t67" style="position:absolute;left:30802;top:37362;width:1023;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" adj="18212" fillcolor="#cfe2f3">
                  <v:stroke startarrowwidth="narrow" startarrowlength="short" endarrowwidth="narrow" endarrowlength="short" joinstyle="round"/>
                  <v:textbox inset="2.53958mm,2.53958mm,2.53958mm,2.53958mm">
                    <w:txbxContent>
                      <w:p w:rsidR="007F44DA" w:rsidRDefault="007F44DA">
                        <w:pPr>
                          <w:spacing w:line="240" w:lineRule="auto"/>
                          <w:jc w:val="center"/>
                          <w:textDirection w:val="btLr"/>
                        </w:pPr>
                      </w:p>
                    </w:txbxContent>
                  </v:textbox>
                </v:shape>
                <v:shape id="Arrow: Down 2008309587" o:spid="_x0000_s1043" type="#_x0000_t67" style="position:absolute;left:40720;top:23450;width:1023;height:3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" adj="18212" fillcolor="#cfe2f3">
                  <v:stroke startarrowwidth="narrow" startarrowlength="short" endarrowwidth="narrow" endarrowlength="short" joinstyle="round"/>
                  <v:textbox inset="2.53958mm,2.53958mm,2.53958mm,2.53958mm">
                    <w:txbxContent>
                      <w:p w:rsidR="007F44DA" w:rsidRDefault="007F44DA">
                        <w:pPr>
                          <w:spacing w:line="240" w:lineRule="auto"/>
                          <w:jc w:val="center"/>
                          <w:textDirection w:val="btLr"/>
                        </w:pPr>
                      </w:p>
                    </w:txbxContent>
                  </v:textbox>
                </v:shape>
                <w10:anchorlock/>
              </v:group>
            </w:pict>
          </mc:Fallback>
        </mc:AlternateContent>
      </w:r>
    </w:p>
    <w:p w:rsidR="007F44DA" w:rsidRDefault="00CB6F9E">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Figure 1. PRISMA 2020 flow diagram of the study selection process.</w:t>
      </w:r>
    </w:p>
    <w:p w:rsidR="007F44DA" w:rsidRDefault="007F44DA">
      <w:pPr>
        <w:pStyle w:val="Heading1"/>
        <w:keepNext w:val="0"/>
        <w:keepLines w:val="0"/>
        <w:spacing w:before="480"/>
        <w:jc w:val="both"/>
        <w:rPr>
          <w:rFonts w:ascii="Times New Roman" w:eastAsia="Times New Roman" w:hAnsi="Times New Roman" w:cs="Times New Roman"/>
          <w:b/>
          <w:bCs/>
          <w:sz w:val="24"/>
          <w:szCs w:val="24"/>
        </w:rPr>
      </w:pPr>
      <w:bookmarkStart w:id="11" w:name="_hpv47oy1jllw" w:colFirst="0" w:colLast="0"/>
      <w:bookmarkEnd w:id="11"/>
    </w:p>
    <w:p w:rsidR="007F44DA" w:rsidRDefault="00CB6F9E">
      <w:pPr>
        <w:pStyle w:val="Heading1"/>
        <w:keepNext w:val="0"/>
        <w:keepLines w:val="0"/>
        <w:spacing w:before="480"/>
        <w:jc w:val="both"/>
        <w:rPr>
          <w:rFonts w:ascii="Times New Roman" w:eastAsia="Times New Roman" w:hAnsi="Times New Roman" w:cs="Times New Roman"/>
          <w:b/>
          <w:bCs/>
          <w:sz w:val="24"/>
          <w:szCs w:val="24"/>
        </w:rPr>
      </w:pPr>
      <w:bookmarkStart w:id="12" w:name="_3alyvqi8tg6x" w:colFirst="0" w:colLast="0"/>
      <w:bookmarkEnd w:id="12"/>
      <w:r>
        <w:rPr>
          <w:rFonts w:ascii="Times New Roman" w:eastAsia="Times New Roman" w:hAnsi="Times New Roman" w:cs="Times New Roman"/>
          <w:b/>
          <w:bCs/>
          <w:sz w:val="24"/>
          <w:szCs w:val="24"/>
        </w:rPr>
        <w:t>RESULTS</w:t>
      </w:r>
    </w:p>
    <w:p w:rsidR="007F44DA" w:rsidRDefault="00CB6F9E">
      <w:pPr>
        <w:pStyle w:val="Heading2"/>
        <w:keepNext w:val="0"/>
        <w:keepLines w:val="0"/>
        <w:spacing w:after="80"/>
        <w:jc w:val="both"/>
        <w:rPr>
          <w:rFonts w:ascii="Times New Roman" w:eastAsia="Times New Roman" w:hAnsi="Times New Roman" w:cs="Times New Roman"/>
          <w:b/>
          <w:bCs/>
          <w:sz w:val="24"/>
          <w:szCs w:val="24"/>
        </w:rPr>
      </w:pPr>
      <w:bookmarkStart w:id="13" w:name="_sew5c0efei7c" w:colFirst="0" w:colLast="0"/>
      <w:bookmarkEnd w:id="13"/>
      <w:r>
        <w:rPr>
          <w:rFonts w:ascii="Times New Roman" w:eastAsia="Times New Roman" w:hAnsi="Times New Roman" w:cs="Times New Roman"/>
          <w:b/>
          <w:bCs/>
          <w:sz w:val="24"/>
          <w:szCs w:val="24"/>
        </w:rPr>
        <w:t>Study Selection</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systematic literature search identified a total of 2,173 records from six electronic databases and additional manual searches. After the removal of duplicate records, 1,874 unique articles remained for title and abstract screening. Most records were ex</w:t>
      </w:r>
      <w:r>
        <w:rPr>
          <w:rFonts w:ascii="Times New Roman" w:eastAsia="Times New Roman" w:hAnsi="Times New Roman" w:cs="Times New Roman"/>
          <w:sz w:val="24"/>
          <w:szCs w:val="24"/>
        </w:rPr>
        <w:t>cluded during this stage because they did not evaluate the diagnostic accuracy of glycemic biomarkers or did not assess HbA1c or short-term glycemic markers. Following this screening process, 51 full-text articles were retrieved and assessed for eligibilit</w:t>
      </w:r>
      <w:r>
        <w:rPr>
          <w:rFonts w:ascii="Times New Roman" w:eastAsia="Times New Roman" w:hAnsi="Times New Roman" w:cs="Times New Roman"/>
          <w:sz w:val="24"/>
          <w:szCs w:val="24"/>
        </w:rPr>
        <w:t>y. Of these, 32 studies were excluded for reasons including lack of diagnostic accuracy outcomes, evaluation of biomarkers outside the scope of the review, incomplete methodological reporting, or insufficient extractable data. Ultimately, 19 studies met th</w:t>
      </w:r>
      <w:r>
        <w:rPr>
          <w:rFonts w:ascii="Times New Roman" w:eastAsia="Times New Roman" w:hAnsi="Times New Roman" w:cs="Times New Roman"/>
          <w:sz w:val="24"/>
          <w:szCs w:val="24"/>
        </w:rPr>
        <w:t>e predefined inclusion criteria and were included in the qualitative synthesis examining the diagnostic performance of HbA1c and short-term glycemic markers for the detection of diabetes and prediabetes. The study selection process is summarized in the PRI</w:t>
      </w:r>
      <w:r>
        <w:rPr>
          <w:rFonts w:ascii="Times New Roman" w:eastAsia="Times New Roman" w:hAnsi="Times New Roman" w:cs="Times New Roman"/>
          <w:sz w:val="24"/>
          <w:szCs w:val="24"/>
        </w:rPr>
        <w:t>SMA 2020 flow diagram (Figure 1).</w:t>
      </w:r>
    </w:p>
    <w:p w:rsidR="007F44DA" w:rsidRDefault="00CB6F9E">
      <w:pPr>
        <w:pStyle w:val="Heading2"/>
        <w:keepNext w:val="0"/>
        <w:keepLines w:val="0"/>
        <w:spacing w:after="80"/>
        <w:jc w:val="both"/>
        <w:rPr>
          <w:rFonts w:ascii="Times New Roman" w:eastAsia="Times New Roman" w:hAnsi="Times New Roman" w:cs="Times New Roman"/>
          <w:b/>
          <w:bCs/>
          <w:sz w:val="24"/>
          <w:szCs w:val="24"/>
        </w:rPr>
      </w:pPr>
      <w:bookmarkStart w:id="14" w:name="_5oia5xsutfxv" w:colFirst="0" w:colLast="0"/>
      <w:bookmarkEnd w:id="14"/>
      <w:r>
        <w:rPr>
          <w:rFonts w:ascii="Times New Roman" w:eastAsia="Times New Roman" w:hAnsi="Times New Roman" w:cs="Times New Roman"/>
          <w:b/>
          <w:bCs/>
          <w:sz w:val="24"/>
          <w:szCs w:val="24"/>
        </w:rPr>
        <w:t>Characteristics of Included Studies</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19 included studies, published between 2011 and 2026, were conducted across diverse geographic regions including the United States, China, the Philippines/United States, Malaysia, Br</w:t>
      </w:r>
      <w:r>
        <w:rPr>
          <w:rFonts w:ascii="Times New Roman" w:eastAsia="Times New Roman" w:hAnsi="Times New Roman" w:cs="Times New Roman"/>
          <w:sz w:val="24"/>
          <w:szCs w:val="24"/>
        </w:rPr>
        <w:t>azil, Turkey, Norway, South Korea, Pakistan, Thailand, Uganda, Nigeria, and Egypt. Most investigations employed cross-sectional diagnostic accuracy designs, although several prospective and retrospective studies were also represented. Sample sizes varied c</w:t>
      </w:r>
      <w:r>
        <w:rPr>
          <w:rFonts w:ascii="Times New Roman" w:eastAsia="Times New Roman" w:hAnsi="Times New Roman" w:cs="Times New Roman"/>
          <w:sz w:val="24"/>
          <w:szCs w:val="24"/>
        </w:rPr>
        <w:t>onsiderably across studies, ranging from 31 participants in a Nigerian outpatient investigation to 40,667 participants in a Malaysian population-based cohort study, reflecting a wide variation in study scale and design.</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included studies examined hetero</w:t>
      </w:r>
      <w:r>
        <w:rPr>
          <w:rFonts w:ascii="Times New Roman" w:eastAsia="Times New Roman" w:hAnsi="Times New Roman" w:cs="Times New Roman"/>
          <w:sz w:val="24"/>
          <w:szCs w:val="24"/>
        </w:rPr>
        <w:t xml:space="preserve">geneous populations that encompassed community-dwelling adults, high-risk outpatient groups, hypertensive adults, obese individuals with suspected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xml:space="preserve">, vascular surgery patients, Filipino-American populations, pregnant women undergoing gestational </w:t>
      </w:r>
      <w:r>
        <w:rPr>
          <w:rFonts w:ascii="Times New Roman" w:eastAsia="Times New Roman" w:hAnsi="Times New Roman" w:cs="Times New Roman"/>
          <w:sz w:val="24"/>
          <w:szCs w:val="24"/>
        </w:rPr>
        <w:t>diabetes screening, and children with β-thalassemia major. This diversity of study populations allowed evaluation of glycemic biomarker performance across different demographic groups and clinical contexts. Across studies, the reference standards most comm</w:t>
      </w:r>
      <w:r>
        <w:rPr>
          <w:rFonts w:ascii="Times New Roman" w:eastAsia="Times New Roman" w:hAnsi="Times New Roman" w:cs="Times New Roman"/>
          <w:sz w:val="24"/>
          <w:szCs w:val="24"/>
        </w:rPr>
        <w:t xml:space="preserve">only used for diagnosing diabetes or abnormal glucose regulation included the 75-g oral glucose tolerance test (OGTT), fasting plasma glucose (FPG), 2-hour post-load glucose, or diagnostic </w:t>
      </w:r>
      <w:r>
        <w:rPr>
          <w:rFonts w:ascii="Times New Roman" w:eastAsia="Times New Roman" w:hAnsi="Times New Roman" w:cs="Times New Roman"/>
          <w:sz w:val="24"/>
          <w:szCs w:val="24"/>
        </w:rPr>
        <w:lastRenderedPageBreak/>
        <w:t xml:space="preserve">criteria established by the World Health Organization (WHO) or the </w:t>
      </w:r>
      <w:r>
        <w:rPr>
          <w:rFonts w:ascii="Times New Roman" w:eastAsia="Times New Roman" w:hAnsi="Times New Roman" w:cs="Times New Roman"/>
          <w:sz w:val="24"/>
          <w:szCs w:val="24"/>
        </w:rPr>
        <w:t>American Diabetes Association (ADA).</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Regarding index tests, HbA1c was the most frequently evaluated biomarker and was generally measured using high-performance liquid chromatography or NGSP/DCCT-standardized laboratory methods. Short-term glycemic markers </w:t>
      </w:r>
      <w:r>
        <w:rPr>
          <w:rFonts w:ascii="Times New Roman" w:eastAsia="Times New Roman" w:hAnsi="Times New Roman" w:cs="Times New Roman"/>
          <w:sz w:val="24"/>
          <w:szCs w:val="24"/>
        </w:rPr>
        <w:t xml:space="preserve">assessed in the included studies included glycated albumin (GA),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and 1,5-anhydroglucitol (1,5-AG), which were measured using enzymatic, colorimetric, spectrophotometric, ELISA-based, or automated biochemical assay platforms. Several studies r</w:t>
      </w:r>
      <w:r>
        <w:rPr>
          <w:rFonts w:ascii="Times New Roman" w:eastAsia="Times New Roman" w:hAnsi="Times New Roman" w:cs="Times New Roman"/>
          <w:sz w:val="24"/>
          <w:szCs w:val="24"/>
        </w:rPr>
        <w:t>eported receiver operating characteristic (ROC) analyses, including area under the curve (AUC), sensitivity, specificity, predictive values, and likelihood ratios, whereas other studies primarily reported comparative case detection rates or discordance bet</w:t>
      </w:r>
      <w:r>
        <w:rPr>
          <w:rFonts w:ascii="Times New Roman" w:eastAsia="Times New Roman" w:hAnsi="Times New Roman" w:cs="Times New Roman"/>
          <w:sz w:val="24"/>
          <w:szCs w:val="24"/>
        </w:rPr>
        <w:t>ween glycemic tests.</w:t>
      </w:r>
    </w:p>
    <w:p w:rsidR="007F44DA" w:rsidRDefault="007F44DA">
      <w:pPr>
        <w:pStyle w:val="Heading2"/>
        <w:keepNext w:val="0"/>
        <w:keepLines w:val="0"/>
        <w:spacing w:after="80"/>
        <w:jc w:val="both"/>
        <w:rPr>
          <w:rFonts w:ascii="Times New Roman" w:eastAsia="Times New Roman" w:hAnsi="Times New Roman" w:cs="Times New Roman"/>
          <w:b/>
          <w:bCs/>
          <w:sz w:val="24"/>
          <w:szCs w:val="24"/>
        </w:rPr>
      </w:pPr>
      <w:bookmarkStart w:id="15" w:name="_y3zngfyotaof" w:colFirst="0" w:colLast="0"/>
      <w:bookmarkEnd w:id="15"/>
    </w:p>
    <w:p w:rsidR="007F44DA" w:rsidRDefault="007F44DA">
      <w:pPr>
        <w:pStyle w:val="Heading2"/>
        <w:keepNext w:val="0"/>
        <w:keepLines w:val="0"/>
        <w:spacing w:after="80"/>
        <w:jc w:val="both"/>
        <w:rPr>
          <w:rFonts w:ascii="Times New Roman" w:eastAsia="Times New Roman" w:hAnsi="Times New Roman" w:cs="Times New Roman"/>
          <w:b/>
          <w:bCs/>
          <w:sz w:val="24"/>
          <w:szCs w:val="24"/>
        </w:rPr>
      </w:pPr>
      <w:bookmarkStart w:id="16" w:name="_qbsldkvgrf3g" w:colFirst="0" w:colLast="0"/>
      <w:bookmarkEnd w:id="16"/>
    </w:p>
    <w:p w:rsidR="007F44DA" w:rsidRDefault="00CB6F9E">
      <w:pPr>
        <w:pStyle w:val="Heading2"/>
        <w:keepNext w:val="0"/>
        <w:keepLines w:val="0"/>
        <w:spacing w:after="80"/>
        <w:jc w:val="both"/>
        <w:rPr>
          <w:rFonts w:ascii="Times New Roman" w:eastAsia="Times New Roman" w:hAnsi="Times New Roman" w:cs="Times New Roman"/>
          <w:b/>
          <w:bCs/>
          <w:sz w:val="24"/>
          <w:szCs w:val="24"/>
        </w:rPr>
      </w:pPr>
      <w:bookmarkStart w:id="17" w:name="_qa72daj27eoy" w:colFirst="0" w:colLast="0"/>
      <w:bookmarkEnd w:id="17"/>
      <w:r>
        <w:rPr>
          <w:rFonts w:ascii="Times New Roman" w:eastAsia="Times New Roman" w:hAnsi="Times New Roman" w:cs="Times New Roman"/>
          <w:b/>
          <w:bCs/>
          <w:sz w:val="24"/>
          <w:szCs w:val="24"/>
        </w:rPr>
        <w:t>Diagnostic Performance of HbA1c</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Across the included studies, HbA1c was the most extensively evaluated biomarker for the detection of diabetes and prediabetes when compared with glucose-based reference standards such as OGTT and fasti</w:t>
      </w:r>
      <w:r>
        <w:rPr>
          <w:rFonts w:ascii="Times New Roman" w:eastAsia="Times New Roman" w:hAnsi="Times New Roman" w:cs="Times New Roman"/>
          <w:sz w:val="24"/>
          <w:szCs w:val="24"/>
        </w:rPr>
        <w:t>ng plasma glucose. Overall, HbA1c consistently demonstrated high specificity but variable sensitivity for diabetes detection across populations.</w:t>
      </w:r>
    </w:p>
    <w:p w:rsidR="007F44DA" w:rsidRDefault="00CB6F9E">
      <w:pPr>
        <w:spacing w:before="240" w:after="240"/>
        <w:ind w:firstLine="720"/>
        <w:jc w:val="both"/>
        <w:rPr>
          <w:rFonts w:ascii="Times New Roman" w:eastAsia="Times New Roman" w:hAnsi="Times New Roman" w:cs="Times New Roman"/>
          <w:sz w:val="24"/>
          <w:szCs w:val="24"/>
        </w:rPr>
      </w:pPr>
      <w:r w:rsidRPr="00F97670">
        <w:rPr>
          <w:rFonts w:ascii="Times New Roman" w:eastAsia="Times New Roman" w:hAnsi="Times New Roman" w:cs="Times New Roman"/>
          <w:sz w:val="24"/>
          <w:szCs w:val="24"/>
        </w:rPr>
        <w:t>Reported sensitivity for HbA1c ranged from 45.5% to 89.4%, while specificity ranged from 89.0% to 100%. For exa</w:t>
      </w:r>
      <w:r w:rsidRPr="00F97670">
        <w:rPr>
          <w:rFonts w:ascii="Times New Roman" w:eastAsia="Times New Roman" w:hAnsi="Times New Roman" w:cs="Times New Roman"/>
          <w:sz w:val="24"/>
          <w:szCs w:val="24"/>
        </w:rPr>
        <w:t xml:space="preserve">mple, </w:t>
      </w:r>
      <w:proofErr w:type="spellStart"/>
      <w:r w:rsidRPr="00F97670">
        <w:rPr>
          <w:rFonts w:ascii="Times New Roman" w:eastAsia="Times New Roman" w:hAnsi="Times New Roman" w:cs="Times New Roman"/>
          <w:sz w:val="24"/>
          <w:szCs w:val="24"/>
        </w:rPr>
        <w:t>Hjellestad</w:t>
      </w:r>
      <w:proofErr w:type="spellEnd"/>
      <w:r w:rsidRPr="00F97670">
        <w:rPr>
          <w:rFonts w:ascii="Times New Roman" w:eastAsia="Times New Roman" w:hAnsi="Times New Roman" w:cs="Times New Roman"/>
          <w:sz w:val="24"/>
          <w:szCs w:val="24"/>
        </w:rPr>
        <w:t xml:space="preserve"> et al. (2013) reported that HbA1c ≥6.5% demonstrated 45.5% sensitivity and 90.0% specificity for OGTT-defined diabetes among vascular surgery patients. Similarly, Habib et al. (2018) found that HbA1c ≥6.5% yielded 70.0% sensitivity and 89.</w:t>
      </w:r>
      <w:r w:rsidRPr="00F97670">
        <w:rPr>
          <w:rFonts w:ascii="Times New Roman" w:eastAsia="Times New Roman" w:hAnsi="Times New Roman" w:cs="Times New Roman"/>
          <w:sz w:val="24"/>
          <w:szCs w:val="24"/>
        </w:rPr>
        <w:t>0% specificity compared with 2-hour OGTT glucose in a Pakistani cohort. In obese adults in Turkey, Budak et al. (2026) reported an AUC of 0.881, with an optimized threshold of 6.15% producing 83.3% sensitivity and 80.0% specificity. In a pediatric populati</w:t>
      </w:r>
      <w:r w:rsidRPr="00F97670">
        <w:rPr>
          <w:rFonts w:ascii="Times New Roman" w:eastAsia="Times New Roman" w:hAnsi="Times New Roman" w:cs="Times New Roman"/>
          <w:sz w:val="24"/>
          <w:szCs w:val="24"/>
        </w:rPr>
        <w:t>on undergoing OGTT testing, Kim et al. (2019) reported 89.4% sensitivity and 100% specificity, with an AUC of 0.970 for diabetes detection using HbA1c ≥6.5%.</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studies also reported strong discriminatory performance for HbA1c in adult populations. Ca</w:t>
      </w:r>
      <w:r>
        <w:rPr>
          <w:rFonts w:ascii="Times New Roman" w:eastAsia="Times New Roman" w:hAnsi="Times New Roman" w:cs="Times New Roman"/>
          <w:sz w:val="24"/>
          <w:szCs w:val="24"/>
        </w:rPr>
        <w:t xml:space="preserve">margo et al. (2021) reported an AUC of 0.951, with 87.4% sensitivity and 94.2% specificity, outperforming serum 1,5-AG and fasting glycemia. Similarly, </w:t>
      </w:r>
      <w:proofErr w:type="spellStart"/>
      <w:r>
        <w:rPr>
          <w:rFonts w:ascii="Times New Roman" w:eastAsia="Times New Roman" w:hAnsi="Times New Roman" w:cs="Times New Roman"/>
          <w:sz w:val="24"/>
          <w:szCs w:val="24"/>
        </w:rPr>
        <w:t>Chume</w:t>
      </w:r>
      <w:proofErr w:type="spellEnd"/>
      <w:r>
        <w:rPr>
          <w:rFonts w:ascii="Times New Roman" w:eastAsia="Times New Roman" w:hAnsi="Times New Roman" w:cs="Times New Roman"/>
          <w:sz w:val="24"/>
          <w:szCs w:val="24"/>
        </w:rPr>
        <w:t xml:space="preserve"> et al. (2019) observed that HbA1c achieved an AUC of 0.802, which was higher than that reported fo</w:t>
      </w:r>
      <w:r>
        <w:rPr>
          <w:rFonts w:ascii="Times New Roman" w:eastAsia="Times New Roman" w:hAnsi="Times New Roman" w:cs="Times New Roman"/>
          <w:sz w:val="24"/>
          <w:szCs w:val="24"/>
        </w:rPr>
        <w:t xml:space="preserve">r glycated albumin (AUC 0.703). However, other investigations demonstrated that HbA1c alone may fail to detect a substantial proportion of diabetes cases when compared with OGTT. For instance, Gong </w:t>
      </w:r>
      <w:r>
        <w:rPr>
          <w:rFonts w:ascii="Times New Roman" w:eastAsia="Times New Roman" w:hAnsi="Times New Roman" w:cs="Times New Roman"/>
          <w:sz w:val="24"/>
          <w:szCs w:val="24"/>
        </w:rPr>
        <w:lastRenderedPageBreak/>
        <w:t xml:space="preserve">et al. (2025) reported that HbA1c detected only 40.69% of </w:t>
      </w:r>
      <w:r>
        <w:rPr>
          <w:rFonts w:ascii="Times New Roman" w:eastAsia="Times New Roman" w:hAnsi="Times New Roman" w:cs="Times New Roman"/>
          <w:sz w:val="24"/>
          <w:szCs w:val="24"/>
        </w:rPr>
        <w:t>newly diagnosed diabetes cases, whereas 2-hour post-load glucose identified 89.65%.</w:t>
      </w:r>
    </w:p>
    <w:p w:rsidR="007F44DA" w:rsidRDefault="00CB6F9E">
      <w:pPr>
        <w:spacing w:before="240" w:after="240"/>
        <w:ind w:firstLine="720"/>
        <w:jc w:val="both"/>
        <w:rPr>
          <w:rFonts w:ascii="Times New Roman" w:eastAsia="Times New Roman" w:hAnsi="Times New Roman" w:cs="Times New Roman"/>
          <w:sz w:val="24"/>
          <w:szCs w:val="24"/>
        </w:rPr>
      </w:pPr>
      <w:r w:rsidRPr="00F97670">
        <w:rPr>
          <w:rFonts w:ascii="Times New Roman" w:eastAsia="Times New Roman" w:hAnsi="Times New Roman" w:cs="Times New Roman"/>
          <w:sz w:val="24"/>
          <w:szCs w:val="24"/>
        </w:rPr>
        <w:t xml:space="preserve">For the classification of prediabetes and broader </w:t>
      </w:r>
      <w:proofErr w:type="spellStart"/>
      <w:r w:rsidRPr="00F97670">
        <w:rPr>
          <w:rFonts w:ascii="Times New Roman" w:eastAsia="Times New Roman" w:hAnsi="Times New Roman" w:cs="Times New Roman"/>
          <w:sz w:val="24"/>
          <w:szCs w:val="24"/>
        </w:rPr>
        <w:t>dysglycemia</w:t>
      </w:r>
      <w:proofErr w:type="spellEnd"/>
      <w:r w:rsidRPr="00F97670">
        <w:rPr>
          <w:rFonts w:ascii="Times New Roman" w:eastAsia="Times New Roman" w:hAnsi="Times New Roman" w:cs="Times New Roman"/>
          <w:sz w:val="24"/>
          <w:szCs w:val="24"/>
        </w:rPr>
        <w:t>, HbA1c frequently produced higher prevalence estimates compared with glucose-based tests. Mercado et al. (2026</w:t>
      </w:r>
      <w:r w:rsidRPr="00F97670">
        <w:rPr>
          <w:rFonts w:ascii="Times New Roman" w:eastAsia="Times New Roman" w:hAnsi="Times New Roman" w:cs="Times New Roman"/>
          <w:sz w:val="24"/>
          <w:szCs w:val="24"/>
        </w:rPr>
        <w:t>) reported a prediabetes prevalence of 35.0% using HbA1c, compared with 8.1% using impaired fasting glucose and 8.7% using impaired glucose tolerance. Similarly, Murad et al. (2021) observed higher prevalence estimates for both diabetes and prediabetes whe</w:t>
      </w:r>
      <w:r w:rsidRPr="00F97670">
        <w:rPr>
          <w:rFonts w:ascii="Times New Roman" w:eastAsia="Times New Roman" w:hAnsi="Times New Roman" w:cs="Times New Roman"/>
          <w:sz w:val="24"/>
          <w:szCs w:val="24"/>
        </w:rPr>
        <w:t xml:space="preserve">n HbA1c criteria were applied compared with fasting plasma glucose. When fasting plasma glucose was used as the reference standard, HbA1c ≥6.5% demonstrated high specificity (approximately 98.6%) but moderate sensitivity (approximately 58.2%) for diabetes </w:t>
      </w:r>
      <w:r w:rsidRPr="00F97670">
        <w:rPr>
          <w:rFonts w:ascii="Times New Roman" w:eastAsia="Times New Roman" w:hAnsi="Times New Roman" w:cs="Times New Roman"/>
          <w:sz w:val="24"/>
          <w:szCs w:val="24"/>
        </w:rPr>
        <w:t>detection, while sensitivity for prediabetes detection was considerably lower.</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pregnancy-related studies, HbA1c demonstrated moderate diagnostic performance. Saglam et al. (2017) reported an AUC of 0.756 for detecting gestational diabetes mellitus, sugg</w:t>
      </w:r>
      <w:r>
        <w:rPr>
          <w:rFonts w:ascii="Times New Roman" w:eastAsia="Times New Roman" w:hAnsi="Times New Roman" w:cs="Times New Roman"/>
          <w:sz w:val="24"/>
          <w:szCs w:val="24"/>
        </w:rPr>
        <w:t>esting that HbA1c may have limited value as a standalone screening tool in pregnancy when compared with OGTT-based diagnostic approaches.</w:t>
      </w:r>
    </w:p>
    <w:p w:rsidR="007F44DA" w:rsidRDefault="007F44DA">
      <w:pPr>
        <w:pStyle w:val="Heading2"/>
        <w:keepNext w:val="0"/>
        <w:keepLines w:val="0"/>
        <w:spacing w:after="80"/>
        <w:jc w:val="both"/>
        <w:rPr>
          <w:rFonts w:ascii="Times New Roman" w:eastAsia="Times New Roman" w:hAnsi="Times New Roman" w:cs="Times New Roman"/>
          <w:b/>
          <w:bCs/>
          <w:sz w:val="24"/>
          <w:szCs w:val="24"/>
        </w:rPr>
      </w:pPr>
      <w:bookmarkStart w:id="18" w:name="_iy5chl6nfw4n" w:colFirst="0" w:colLast="0"/>
      <w:bookmarkEnd w:id="18"/>
    </w:p>
    <w:p w:rsidR="007F44DA" w:rsidRDefault="00CB6F9E">
      <w:pPr>
        <w:pStyle w:val="Heading2"/>
        <w:keepNext w:val="0"/>
        <w:keepLines w:val="0"/>
        <w:spacing w:after="80"/>
        <w:jc w:val="both"/>
        <w:rPr>
          <w:rFonts w:ascii="Times New Roman" w:eastAsia="Times New Roman" w:hAnsi="Times New Roman" w:cs="Times New Roman"/>
          <w:b/>
          <w:bCs/>
          <w:sz w:val="24"/>
          <w:szCs w:val="24"/>
        </w:rPr>
      </w:pPr>
      <w:bookmarkStart w:id="19" w:name="_gvlb6buwm01e" w:colFirst="0" w:colLast="0"/>
      <w:bookmarkEnd w:id="19"/>
      <w:r>
        <w:rPr>
          <w:rFonts w:ascii="Times New Roman" w:eastAsia="Times New Roman" w:hAnsi="Times New Roman" w:cs="Times New Roman"/>
          <w:b/>
          <w:bCs/>
          <w:sz w:val="24"/>
          <w:szCs w:val="24"/>
        </w:rPr>
        <w:t>Diagnostic Performance of Short-Term Glycemic Markers</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Short-term glycemic biomarkers assessed in the included studies</w:t>
      </w:r>
      <w:r>
        <w:rPr>
          <w:rFonts w:ascii="Times New Roman" w:eastAsia="Times New Roman" w:hAnsi="Times New Roman" w:cs="Times New Roman"/>
          <w:sz w:val="24"/>
          <w:szCs w:val="24"/>
        </w:rPr>
        <w:t xml:space="preserve"> comprised glycated albumin,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and 1,5-anhydroglucitol. The diagnostic performance of these markers varied substantially across study populations and clinical contexts.</w:t>
      </w:r>
    </w:p>
    <w:p w:rsidR="007F44DA" w:rsidRDefault="00CB6F9E">
      <w:pPr>
        <w:pStyle w:val="Heading3"/>
        <w:keepNext w:val="0"/>
        <w:keepLines w:val="0"/>
        <w:spacing w:before="280"/>
        <w:jc w:val="both"/>
        <w:rPr>
          <w:rFonts w:ascii="Times New Roman" w:eastAsia="Times New Roman" w:hAnsi="Times New Roman" w:cs="Times New Roman"/>
          <w:b/>
          <w:bCs/>
          <w:color w:val="000000"/>
          <w:sz w:val="24"/>
          <w:szCs w:val="24"/>
        </w:rPr>
      </w:pPr>
      <w:bookmarkStart w:id="20" w:name="_70pgjmo3p5nz" w:colFirst="0" w:colLast="0"/>
      <w:bookmarkEnd w:id="20"/>
      <w:r>
        <w:rPr>
          <w:rFonts w:ascii="Times New Roman" w:eastAsia="Times New Roman" w:hAnsi="Times New Roman" w:cs="Times New Roman"/>
          <w:b/>
          <w:bCs/>
          <w:color w:val="000000"/>
          <w:sz w:val="24"/>
          <w:szCs w:val="24"/>
        </w:rPr>
        <w:t>Glycated Albumin</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Glycated albumin demonstrated moderate diagnostic accuracy</w:t>
      </w:r>
      <w:r>
        <w:rPr>
          <w:rFonts w:ascii="Times New Roman" w:eastAsia="Times New Roman" w:hAnsi="Times New Roman" w:cs="Times New Roman"/>
          <w:sz w:val="24"/>
          <w:szCs w:val="24"/>
        </w:rPr>
        <w:t xml:space="preserve"> across several studies, although its performance was generally lower than that of HbA1c when both biomarkers were evaluated within the same population. In a large U.S. population study involving 4,785 adults without previously diagnosed diabetes, Fang et </w:t>
      </w:r>
      <w:r>
        <w:rPr>
          <w:rFonts w:ascii="Times New Roman" w:eastAsia="Times New Roman" w:hAnsi="Times New Roman" w:cs="Times New Roman"/>
          <w:sz w:val="24"/>
          <w:szCs w:val="24"/>
        </w:rPr>
        <w:t xml:space="preserve">al. (2022) reported AUC values ranging from 0.824 to 0.951, depending on the diagnostic definition used. At selected thresholds of 16.5% and 17.8%, glycated albumin demonstrated sensitivity ranging from 27.3% to 70.7% and specificity ranging from 98.0% to </w:t>
      </w:r>
      <w:r>
        <w:rPr>
          <w:rFonts w:ascii="Times New Roman" w:eastAsia="Times New Roman" w:hAnsi="Times New Roman" w:cs="Times New Roman"/>
          <w:sz w:val="24"/>
          <w:szCs w:val="24"/>
        </w:rPr>
        <w:t>99.2%.</w:t>
      </w:r>
    </w:p>
    <w:p w:rsidR="007F44DA" w:rsidRDefault="00CB6F9E">
      <w:pPr>
        <w:spacing w:before="240" w:after="240"/>
        <w:ind w:firstLine="720"/>
        <w:jc w:val="both"/>
        <w:rPr>
          <w:rFonts w:ascii="Times New Roman" w:eastAsia="Times New Roman" w:hAnsi="Times New Roman" w:cs="Times New Roman"/>
          <w:sz w:val="24"/>
          <w:szCs w:val="24"/>
        </w:rPr>
      </w:pPr>
      <w:r w:rsidRPr="00F97670">
        <w:rPr>
          <w:rFonts w:ascii="Times New Roman" w:eastAsia="Times New Roman" w:hAnsi="Times New Roman" w:cs="Times New Roman"/>
          <w:sz w:val="24"/>
          <w:szCs w:val="24"/>
        </w:rPr>
        <w:t xml:space="preserve">Other studies reported more modest performance. </w:t>
      </w:r>
      <w:proofErr w:type="spellStart"/>
      <w:r w:rsidRPr="00F97670">
        <w:rPr>
          <w:rFonts w:ascii="Times New Roman" w:eastAsia="Times New Roman" w:hAnsi="Times New Roman" w:cs="Times New Roman"/>
          <w:sz w:val="24"/>
          <w:szCs w:val="24"/>
        </w:rPr>
        <w:t>Chume</w:t>
      </w:r>
      <w:proofErr w:type="spellEnd"/>
      <w:r w:rsidRPr="00F97670">
        <w:rPr>
          <w:rFonts w:ascii="Times New Roman" w:eastAsia="Times New Roman" w:hAnsi="Times New Roman" w:cs="Times New Roman"/>
          <w:sz w:val="24"/>
          <w:szCs w:val="24"/>
        </w:rPr>
        <w:t xml:space="preserve"> et al. (2019) found that glycated albumin ≥14.8% produced 64.9% sensitivity and 65.5% specificity, with an AUC of 0.703 for OGTT-defined diabetes. Increasing the threshold to ≥16.8% improved spec</w:t>
      </w:r>
      <w:r w:rsidRPr="00F97670">
        <w:rPr>
          <w:rFonts w:ascii="Times New Roman" w:eastAsia="Times New Roman" w:hAnsi="Times New Roman" w:cs="Times New Roman"/>
          <w:sz w:val="24"/>
          <w:szCs w:val="24"/>
        </w:rPr>
        <w:t>ificity to 93.3% but reduced sensitivity to 31.2%, demonstrating the threshold-dependent trade-off between sensitivity and specificity. In Korean adults, Hwang et al. (2014) reported that combining glycated albumin with fasting plasma glucose produced 77.5</w:t>
      </w:r>
      <w:r w:rsidRPr="00F97670">
        <w:rPr>
          <w:rFonts w:ascii="Times New Roman" w:eastAsia="Times New Roman" w:hAnsi="Times New Roman" w:cs="Times New Roman"/>
          <w:sz w:val="24"/>
          <w:szCs w:val="24"/>
        </w:rPr>
        <w:t xml:space="preserve">% sensitivity and 89.9% specificity for diabetes </w:t>
      </w:r>
      <w:r w:rsidRPr="00F97670">
        <w:rPr>
          <w:rFonts w:ascii="Times New Roman" w:eastAsia="Times New Roman" w:hAnsi="Times New Roman" w:cs="Times New Roman"/>
          <w:sz w:val="24"/>
          <w:szCs w:val="24"/>
        </w:rPr>
        <w:lastRenderedPageBreak/>
        <w:t>detection. However, in gestational diabetes screening, glycated albumin demonstrated limited diagnostic value, with Saglam et al. (2017) reporting an AUC of 0.550.</w:t>
      </w:r>
    </w:p>
    <w:p w:rsidR="007F44DA" w:rsidRDefault="00CB6F9E">
      <w:pPr>
        <w:pStyle w:val="Heading3"/>
        <w:keepNext w:val="0"/>
        <w:keepLines w:val="0"/>
        <w:spacing w:before="280"/>
        <w:jc w:val="both"/>
        <w:rPr>
          <w:rFonts w:ascii="Times New Roman" w:eastAsia="Times New Roman" w:hAnsi="Times New Roman" w:cs="Times New Roman"/>
          <w:b/>
          <w:bCs/>
          <w:color w:val="000000"/>
          <w:sz w:val="24"/>
          <w:szCs w:val="24"/>
        </w:rPr>
      </w:pPr>
      <w:bookmarkStart w:id="21" w:name="_ulxnsjl3ml4j" w:colFirst="0" w:colLast="0"/>
      <w:bookmarkEnd w:id="21"/>
      <w:r>
        <w:rPr>
          <w:rFonts w:ascii="Times New Roman" w:eastAsia="Times New Roman" w:hAnsi="Times New Roman" w:cs="Times New Roman"/>
          <w:b/>
          <w:bCs/>
          <w:color w:val="000000"/>
          <w:sz w:val="24"/>
          <w:szCs w:val="24"/>
        </w:rPr>
        <w:t>1,5-Anhydroglucitol</w:t>
      </w:r>
    </w:p>
    <w:p w:rsidR="007F44DA" w:rsidRDefault="00CB6F9E">
      <w:pPr>
        <w:spacing w:before="240" w:after="240"/>
        <w:ind w:firstLine="720"/>
        <w:jc w:val="both"/>
        <w:rPr>
          <w:rFonts w:ascii="Times New Roman" w:eastAsia="Times New Roman" w:hAnsi="Times New Roman" w:cs="Times New Roman"/>
          <w:sz w:val="24"/>
          <w:szCs w:val="24"/>
        </w:rPr>
      </w:pPr>
      <w:r w:rsidRPr="00F97670">
        <w:rPr>
          <w:rFonts w:ascii="Times New Roman" w:eastAsia="Times New Roman" w:hAnsi="Times New Roman" w:cs="Times New Roman"/>
          <w:sz w:val="24"/>
          <w:szCs w:val="24"/>
        </w:rPr>
        <w:t>The diagnostic performa</w:t>
      </w:r>
      <w:r w:rsidRPr="00F97670">
        <w:rPr>
          <w:rFonts w:ascii="Times New Roman" w:eastAsia="Times New Roman" w:hAnsi="Times New Roman" w:cs="Times New Roman"/>
          <w:sz w:val="24"/>
          <w:szCs w:val="24"/>
        </w:rPr>
        <w:t>nce of 1,5-anhydroglucitol (1,5-AG) varied widely across studies. In adult populations, Camargo et al. (2021) reported that serum 1,5-AG at a cutoff of 92 µmol/L demonstrated 65.3% sensitivity, 91.1% specificity, and an AUC of 0.820 for type 2 diabetes det</w:t>
      </w:r>
      <w:r w:rsidRPr="00F97670">
        <w:rPr>
          <w:rFonts w:ascii="Times New Roman" w:eastAsia="Times New Roman" w:hAnsi="Times New Roman" w:cs="Times New Roman"/>
          <w:sz w:val="24"/>
          <w:szCs w:val="24"/>
        </w:rPr>
        <w:t>ection. Similarly, Yuan et al. (2021) reported an AUC of 0.850 for detecting 2-hour post-load glucose ≥11.1 mmol/L, with an optimal cutoff of 13.23 µg/mL producing 89.7% sensitivity and 73.5% specificity.</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diagnostic performance improved when 1</w:t>
      </w:r>
      <w:r>
        <w:rPr>
          <w:rFonts w:ascii="Times New Roman" w:eastAsia="Times New Roman" w:hAnsi="Times New Roman" w:cs="Times New Roman"/>
          <w:sz w:val="24"/>
          <w:szCs w:val="24"/>
        </w:rPr>
        <w:t>,5-AG was combined with other biomarkers. Yuan et al. (2021) reported that combining 1,5-AG with fasting plasma glucose increased sensitivity to 97.1% and specificity to 79.0%, suggesting potential value in multi-marker screening strategies. In gestational</w:t>
      </w:r>
      <w:r>
        <w:rPr>
          <w:rFonts w:ascii="Times New Roman" w:eastAsia="Times New Roman" w:hAnsi="Times New Roman" w:cs="Times New Roman"/>
          <w:sz w:val="24"/>
          <w:szCs w:val="24"/>
        </w:rPr>
        <w:t xml:space="preserve"> diabetes, Saglam et al. (2017) reported an AUC of 0.722, indicating moderate discriminatory ability. In contrast, Malkan et al. (2015) reported poor diagnostic performance for 1,5-AG, with ROC analysis suggesting limited value for detecting diabetes or gl</w:t>
      </w:r>
      <w:r>
        <w:rPr>
          <w:rFonts w:ascii="Times New Roman" w:eastAsia="Times New Roman" w:hAnsi="Times New Roman" w:cs="Times New Roman"/>
          <w:sz w:val="24"/>
          <w:szCs w:val="24"/>
        </w:rPr>
        <w:t>ucose intolerance in that cohort.</w:t>
      </w:r>
    </w:p>
    <w:p w:rsidR="007F44DA" w:rsidRDefault="007F44DA">
      <w:pPr>
        <w:pStyle w:val="Heading3"/>
        <w:keepNext w:val="0"/>
        <w:keepLines w:val="0"/>
        <w:spacing w:before="280"/>
        <w:jc w:val="both"/>
        <w:rPr>
          <w:rFonts w:ascii="Times New Roman" w:eastAsia="Times New Roman" w:hAnsi="Times New Roman" w:cs="Times New Roman"/>
          <w:b/>
          <w:bCs/>
          <w:color w:val="000000"/>
          <w:sz w:val="24"/>
          <w:szCs w:val="24"/>
        </w:rPr>
      </w:pPr>
      <w:bookmarkStart w:id="22" w:name="_19tfruc59mw1" w:colFirst="0" w:colLast="0"/>
      <w:bookmarkEnd w:id="22"/>
    </w:p>
    <w:p w:rsidR="007F44DA" w:rsidRDefault="00CB6F9E">
      <w:pPr>
        <w:pStyle w:val="Heading3"/>
        <w:keepNext w:val="0"/>
        <w:keepLines w:val="0"/>
        <w:spacing w:before="280"/>
        <w:jc w:val="both"/>
        <w:rPr>
          <w:rFonts w:ascii="Times New Roman" w:eastAsia="Times New Roman" w:hAnsi="Times New Roman" w:cs="Times New Roman"/>
          <w:b/>
          <w:bCs/>
          <w:color w:val="000000"/>
          <w:sz w:val="24"/>
          <w:szCs w:val="24"/>
        </w:rPr>
      </w:pPr>
      <w:bookmarkStart w:id="23" w:name="_81xx47zfunds" w:colFirst="0" w:colLast="0"/>
      <w:bookmarkEnd w:id="23"/>
      <w:proofErr w:type="spellStart"/>
      <w:r>
        <w:rPr>
          <w:rFonts w:ascii="Times New Roman" w:eastAsia="Times New Roman" w:hAnsi="Times New Roman" w:cs="Times New Roman"/>
          <w:b/>
          <w:bCs/>
          <w:color w:val="000000"/>
          <w:sz w:val="24"/>
          <w:szCs w:val="24"/>
        </w:rPr>
        <w:t>Fructosamine</w:t>
      </w:r>
      <w:proofErr w:type="spellEnd"/>
    </w:p>
    <w:p w:rsidR="007F44DA" w:rsidRDefault="00CB6F9E">
      <w:pPr>
        <w:spacing w:before="240" w:after="240"/>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was less frequently evaluated than HbA1c or glycated albumin across the included studies. In comparative analyses reported by Malkan et al. (2015),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demonstrated intermediate diagnostic performance, ranking below fasting plasma glucose and HbA1c but above 1,5-AG. However, detailed diagnostic accuracy metrics were not reported in that study.</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contrast, Mahmoud et al. (2024) demonstrated that </w:t>
      </w:r>
      <w:proofErr w:type="spellStart"/>
      <w:r>
        <w:rPr>
          <w:rFonts w:ascii="Times New Roman" w:eastAsia="Times New Roman" w:hAnsi="Times New Roman" w:cs="Times New Roman"/>
          <w:sz w:val="24"/>
          <w:szCs w:val="24"/>
        </w:rPr>
        <w:t>fructosa</w:t>
      </w:r>
      <w:r>
        <w:rPr>
          <w:rFonts w:ascii="Times New Roman" w:eastAsia="Times New Roman" w:hAnsi="Times New Roman" w:cs="Times New Roman"/>
          <w:sz w:val="24"/>
          <w:szCs w:val="24"/>
        </w:rPr>
        <w:t>mine</w:t>
      </w:r>
      <w:proofErr w:type="spellEnd"/>
      <w:r>
        <w:rPr>
          <w:rFonts w:ascii="Times New Roman" w:eastAsia="Times New Roman" w:hAnsi="Times New Roman" w:cs="Times New Roman"/>
          <w:sz w:val="24"/>
          <w:szCs w:val="24"/>
        </w:rPr>
        <w:t xml:space="preserve"> showed clinically relevant diagnostic performance in children with β-thalassemia major, a population in which HbA1c may be unreliable due to altered erythrocyte turnover. In this cohort,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&gt;2.76 mmol/L demonstrated 81.3% sensitivity and 87.</w:t>
      </w:r>
      <w:r>
        <w:rPr>
          <w:rFonts w:ascii="Times New Roman" w:eastAsia="Times New Roman" w:hAnsi="Times New Roman" w:cs="Times New Roman"/>
          <w:sz w:val="24"/>
          <w:szCs w:val="24"/>
        </w:rPr>
        <w:t xml:space="preserve">8% specificity for prediabetes, while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&gt;3.0 mmol/L showed 89.5% sensitivity and 75.0% specificity for diabetes detection. In this population,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demonstrated higher sensitivity than HbA1c for diabetes detection and higher specificity </w:t>
      </w:r>
      <w:r>
        <w:rPr>
          <w:rFonts w:ascii="Times New Roman" w:eastAsia="Times New Roman" w:hAnsi="Times New Roman" w:cs="Times New Roman"/>
          <w:sz w:val="24"/>
          <w:szCs w:val="24"/>
        </w:rPr>
        <w:t>than HbA1c for prediabetes detection.</w:t>
      </w:r>
    </w:p>
    <w:p w:rsidR="007F44DA" w:rsidRDefault="00CB6F9E">
      <w:pPr>
        <w:pStyle w:val="Heading2"/>
        <w:keepNext w:val="0"/>
        <w:keepLines w:val="0"/>
        <w:spacing w:after="80"/>
        <w:jc w:val="both"/>
        <w:rPr>
          <w:rFonts w:ascii="Times New Roman" w:eastAsia="Times New Roman" w:hAnsi="Times New Roman" w:cs="Times New Roman"/>
          <w:b/>
          <w:bCs/>
          <w:sz w:val="24"/>
          <w:szCs w:val="24"/>
        </w:rPr>
      </w:pPr>
      <w:bookmarkStart w:id="24" w:name="_qgrzvjqgufws" w:colFirst="0" w:colLast="0"/>
      <w:bookmarkEnd w:id="24"/>
      <w:r>
        <w:rPr>
          <w:rFonts w:ascii="Times New Roman" w:eastAsia="Times New Roman" w:hAnsi="Times New Roman" w:cs="Times New Roman"/>
          <w:b/>
          <w:bCs/>
          <w:sz w:val="24"/>
          <w:szCs w:val="24"/>
        </w:rPr>
        <w:t>Comparative Diagnostic Accuracy</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 comparisons across biomarkers indicated that HbA1c frequently demonstrated higher diagnostic accuracy than individual short-term glycemic markers in adult populations, </w:t>
      </w:r>
      <w:r>
        <w:rPr>
          <w:rFonts w:ascii="Times New Roman" w:eastAsia="Times New Roman" w:hAnsi="Times New Roman" w:cs="Times New Roman"/>
          <w:sz w:val="24"/>
          <w:szCs w:val="24"/>
        </w:rPr>
        <w:lastRenderedPageBreak/>
        <w:t>although ex</w:t>
      </w:r>
      <w:r>
        <w:rPr>
          <w:rFonts w:ascii="Times New Roman" w:eastAsia="Times New Roman" w:hAnsi="Times New Roman" w:cs="Times New Roman"/>
          <w:sz w:val="24"/>
          <w:szCs w:val="24"/>
        </w:rPr>
        <w:t>ceptions were observed in specific clinical settings. For example, Camargo et al. (2021) reported higher performance for HbA1c (AUC 0.951; sensitivity 87.4%; specificity 94.2%) compared with 1,5-AG (AUC 0.820; sensitivity 65.3%; specificity 91.1%). Similar</w:t>
      </w:r>
      <w:r>
        <w:rPr>
          <w:rFonts w:ascii="Times New Roman" w:eastAsia="Times New Roman" w:hAnsi="Times New Roman" w:cs="Times New Roman"/>
          <w:sz w:val="24"/>
          <w:szCs w:val="24"/>
        </w:rPr>
        <w:t xml:space="preserve">ly, </w:t>
      </w:r>
      <w:proofErr w:type="spellStart"/>
      <w:r>
        <w:rPr>
          <w:rFonts w:ascii="Times New Roman" w:eastAsia="Times New Roman" w:hAnsi="Times New Roman" w:cs="Times New Roman"/>
          <w:sz w:val="24"/>
          <w:szCs w:val="24"/>
        </w:rPr>
        <w:t>Chume</w:t>
      </w:r>
      <w:proofErr w:type="spellEnd"/>
      <w:r>
        <w:rPr>
          <w:rFonts w:ascii="Times New Roman" w:eastAsia="Times New Roman" w:hAnsi="Times New Roman" w:cs="Times New Roman"/>
          <w:sz w:val="24"/>
          <w:szCs w:val="24"/>
        </w:rPr>
        <w:t xml:space="preserve"> et al. (2019) reported that HbA1c (AUC 0.802) outperformed glycated albumin (AUC 0.703) for diabetes detection.</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several studies also demonstrated that combining biomarkers improved diagnostic performance relative to single-test strategie</w:t>
      </w:r>
      <w:r>
        <w:rPr>
          <w:rFonts w:ascii="Times New Roman" w:eastAsia="Times New Roman" w:hAnsi="Times New Roman" w:cs="Times New Roman"/>
          <w:sz w:val="24"/>
          <w:szCs w:val="24"/>
        </w:rPr>
        <w:t>s. For example, Yuan et al. (2021) reported that combining 1,5-AG with fasting plasma glucose increased sensitivity to 97.1%, while Hwang et al. (2014) found that combining glycated albumin with fasting plasma glucose produced sensitivity of 77.5% and spec</w:t>
      </w:r>
      <w:r>
        <w:rPr>
          <w:rFonts w:ascii="Times New Roman" w:eastAsia="Times New Roman" w:hAnsi="Times New Roman" w:cs="Times New Roman"/>
          <w:sz w:val="24"/>
          <w:szCs w:val="24"/>
        </w:rPr>
        <w:t xml:space="preserve">ificity of 89.9%. </w:t>
      </w:r>
      <w:proofErr w:type="spellStart"/>
      <w:r>
        <w:rPr>
          <w:rFonts w:ascii="Times New Roman" w:eastAsia="Times New Roman" w:hAnsi="Times New Roman" w:cs="Times New Roman"/>
          <w:sz w:val="24"/>
          <w:szCs w:val="24"/>
        </w:rPr>
        <w:t>Hjellestad</w:t>
      </w:r>
      <w:proofErr w:type="spellEnd"/>
      <w:r>
        <w:rPr>
          <w:rFonts w:ascii="Times New Roman" w:eastAsia="Times New Roman" w:hAnsi="Times New Roman" w:cs="Times New Roman"/>
          <w:sz w:val="24"/>
          <w:szCs w:val="24"/>
        </w:rPr>
        <w:t xml:space="preserve"> et al. (2013) also reported that combining HbA1c with fasting plasma glucose increased sensitivity from 45.5% to 64.0% while maintaining specificity of approximately 90%.</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Across multiple studies, discordance between HbA1c and g</w:t>
      </w:r>
      <w:r>
        <w:rPr>
          <w:rFonts w:ascii="Times New Roman" w:eastAsia="Times New Roman" w:hAnsi="Times New Roman" w:cs="Times New Roman"/>
          <w:sz w:val="24"/>
          <w:szCs w:val="24"/>
        </w:rPr>
        <w:t>lucose-based diagnostic tests was consistently observed. Mercado et al. (2026) reported that HbA1c identified approximately four times as many individuals with prediabetes compared with fasting glucose or OGTT criteria. Similarly, Murad et al. (2021) obser</w:t>
      </w:r>
      <w:r>
        <w:rPr>
          <w:rFonts w:ascii="Times New Roman" w:eastAsia="Times New Roman" w:hAnsi="Times New Roman" w:cs="Times New Roman"/>
          <w:sz w:val="24"/>
          <w:szCs w:val="24"/>
        </w:rPr>
        <w:t>ved higher diabetes and prediabetes prevalence estimates when HbA1c criteria were applied compared with fasting plasma glucose. Conversely, Gong et al. (2025) reported that HbA1c alone detected substantially fewer newly diagnosed diabetes cases than 2-hour</w:t>
      </w:r>
      <w:r>
        <w:rPr>
          <w:rFonts w:ascii="Times New Roman" w:eastAsia="Times New Roman" w:hAnsi="Times New Roman" w:cs="Times New Roman"/>
          <w:sz w:val="24"/>
          <w:szCs w:val="24"/>
        </w:rPr>
        <w:t xml:space="preserve"> post-load glucose.</w:t>
      </w:r>
    </w:p>
    <w:p w:rsidR="007F44DA" w:rsidRDefault="00CB6F9E">
      <w:pPr>
        <w:pStyle w:val="Heading2"/>
        <w:keepNext w:val="0"/>
        <w:keepLines w:val="0"/>
        <w:spacing w:after="80"/>
        <w:jc w:val="both"/>
        <w:rPr>
          <w:rFonts w:ascii="Times New Roman" w:eastAsia="Times New Roman" w:hAnsi="Times New Roman" w:cs="Times New Roman"/>
          <w:b/>
          <w:bCs/>
          <w:sz w:val="24"/>
          <w:szCs w:val="24"/>
        </w:rPr>
      </w:pPr>
      <w:bookmarkStart w:id="25" w:name="_buu1f1emkylk" w:colFirst="0" w:colLast="0"/>
      <w:bookmarkEnd w:id="25"/>
      <w:r>
        <w:rPr>
          <w:rFonts w:ascii="Times New Roman" w:eastAsia="Times New Roman" w:hAnsi="Times New Roman" w:cs="Times New Roman"/>
          <w:b/>
          <w:bCs/>
          <w:sz w:val="24"/>
          <w:szCs w:val="24"/>
        </w:rPr>
        <w:t>Summary Of Findings</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evidence synthesized in this review indicates that HbA1c remains the most widely studied biomarker and generally demonstrates high specificity but variable sensitivity for diabetes detection, particularl</w:t>
      </w:r>
      <w:r>
        <w:rPr>
          <w:rFonts w:ascii="Times New Roman" w:eastAsia="Times New Roman" w:hAnsi="Times New Roman" w:cs="Times New Roman"/>
          <w:sz w:val="24"/>
          <w:szCs w:val="24"/>
        </w:rPr>
        <w:t>y at the conventional diagnostic threshold of 6.5%. Across studies reporting ROC analysis, HbA1c sensitivity ranged from 45.5% to 89.4%, specificity ranged from 80.0% to 100%, and AUC values ranged from 0.73 to 0.970.</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Among short-term glycemic markers, gly</w:t>
      </w:r>
      <w:r>
        <w:rPr>
          <w:rFonts w:ascii="Times New Roman" w:eastAsia="Times New Roman" w:hAnsi="Times New Roman" w:cs="Times New Roman"/>
          <w:sz w:val="24"/>
          <w:szCs w:val="24"/>
        </w:rPr>
        <w:t xml:space="preserve">cated albumin demonstrated AUC values ranging from 0.550 to 0.951, with sensitivity ranging from 27.3% to 77.5% and specificity ranging from 65.5% to 99.2% depending on population and diagnostic thresholds. 1,5-anhydroglucitol demonstrated AUC values from </w:t>
      </w:r>
      <w:r>
        <w:rPr>
          <w:rFonts w:ascii="Times New Roman" w:eastAsia="Times New Roman" w:hAnsi="Times New Roman" w:cs="Times New Roman"/>
          <w:sz w:val="24"/>
          <w:szCs w:val="24"/>
        </w:rPr>
        <w:t xml:space="preserve">below the reference line to 0.850, with sensitivity ranging from 65.3% to 89.7% and specificity from 73.5% to 91.1%. Although fewer studies evaluated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available evidence suggested sensitivity between 81.3% and 89.5% and specificity between 75.</w:t>
      </w:r>
      <w:r>
        <w:rPr>
          <w:rFonts w:ascii="Times New Roman" w:eastAsia="Times New Roman" w:hAnsi="Times New Roman" w:cs="Times New Roman"/>
          <w:sz w:val="24"/>
          <w:szCs w:val="24"/>
        </w:rPr>
        <w:t>0% and 87.8% in specific populations such as children with β-thalassemia major.</w:t>
      </w:r>
    </w:p>
    <w:p w:rsidR="007F44DA" w:rsidRDefault="00CB6F9E">
      <w:pPr>
        <w:spacing w:before="240" w:after="240"/>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Overall, while HbA1c demonstrated higher diagnostic accuracy than individual short-term markers in many adult populations, substantial discordance was observed between HbA1c an</w:t>
      </w:r>
      <w:r>
        <w:rPr>
          <w:rFonts w:ascii="Times New Roman" w:eastAsia="Times New Roman" w:hAnsi="Times New Roman" w:cs="Times New Roman"/>
          <w:sz w:val="24"/>
          <w:szCs w:val="24"/>
        </w:rPr>
        <w:t xml:space="preserve">d glucose-based diagnostic tests. These findings suggest that short-term glycemic markers may </w:t>
      </w:r>
      <w:r>
        <w:rPr>
          <w:rFonts w:ascii="Times New Roman" w:eastAsia="Times New Roman" w:hAnsi="Times New Roman" w:cs="Times New Roman"/>
          <w:sz w:val="24"/>
          <w:szCs w:val="24"/>
        </w:rPr>
        <w:lastRenderedPageBreak/>
        <w:t xml:space="preserve">provide complementary diagnostic information in selected clinical contexts, particularly where HbA1c measurements may be affected by altered erythrocyte turnover </w:t>
      </w:r>
      <w:r>
        <w:rPr>
          <w:rFonts w:ascii="Times New Roman" w:eastAsia="Times New Roman" w:hAnsi="Times New Roman" w:cs="Times New Roman"/>
          <w:sz w:val="24"/>
          <w:szCs w:val="24"/>
        </w:rPr>
        <w:t>or other clinical conditions.</w:t>
      </w:r>
    </w:p>
    <w:p w:rsidR="007F44DA" w:rsidRDefault="00CB6F9E">
      <w:pPr>
        <w:pStyle w:val="Heading1"/>
        <w:keepNext w:val="0"/>
        <w:keepLines w:val="0"/>
        <w:spacing w:before="480"/>
        <w:jc w:val="both"/>
        <w:rPr>
          <w:rFonts w:ascii="Times New Roman" w:eastAsia="Times New Roman" w:hAnsi="Times New Roman" w:cs="Times New Roman"/>
          <w:b/>
          <w:bCs/>
          <w:sz w:val="24"/>
          <w:szCs w:val="24"/>
        </w:rPr>
      </w:pPr>
      <w:bookmarkStart w:id="26" w:name="_q1k32tp0ktmd" w:colFirst="0" w:colLast="0"/>
      <w:bookmarkEnd w:id="26"/>
      <w:r>
        <w:rPr>
          <w:rFonts w:ascii="Times New Roman" w:eastAsia="Times New Roman" w:hAnsi="Times New Roman" w:cs="Times New Roman"/>
          <w:b/>
          <w:bCs/>
          <w:sz w:val="24"/>
          <w:szCs w:val="24"/>
        </w:rPr>
        <w:t>DISCUSSION</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synthesized evidence from studies published between 2011 and 2026 that compared the diagnostic performance of glycated hemoglobin (HbA1c) with short-term glycemic markers, including glycated a</w:t>
      </w:r>
      <w:r>
        <w:rPr>
          <w:rFonts w:ascii="Times New Roman" w:eastAsia="Times New Roman" w:hAnsi="Times New Roman" w:cs="Times New Roman"/>
          <w:sz w:val="24"/>
          <w:szCs w:val="24"/>
        </w:rPr>
        <w:t xml:space="preserve">lbumin (GA),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and 1,5-anhydroglucitol (1,5-AG), for the detection of diabetes and prediabetes. Overall, the evidence indicates that HbA1c remains the most widely studied and clinically used biomarker, largely because of its convenience, standa</w:t>
      </w:r>
      <w:r>
        <w:rPr>
          <w:rFonts w:ascii="Times New Roman" w:eastAsia="Times New Roman" w:hAnsi="Times New Roman" w:cs="Times New Roman"/>
          <w:sz w:val="24"/>
          <w:szCs w:val="24"/>
        </w:rPr>
        <w:t>rdization, and ability to reflect chronic glycemic exposure. However, the findings of this review show that although HbA1c generally demonstrates high specificity, its sensitivity is variable across populations and clinical settings. In contrast, short-ter</w:t>
      </w:r>
      <w:r>
        <w:rPr>
          <w:rFonts w:ascii="Times New Roman" w:eastAsia="Times New Roman" w:hAnsi="Times New Roman" w:cs="Times New Roman"/>
          <w:sz w:val="24"/>
          <w:szCs w:val="24"/>
        </w:rPr>
        <w:t>m glycemic markers showed heterogeneous but potentially important diagnostic value, particularly in situations where HbA1c may be biologically or clinically limited.</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key finding of this review is that HbA1c consistently demonstrated high specificity but </w:t>
      </w:r>
      <w:r>
        <w:rPr>
          <w:rFonts w:ascii="Times New Roman" w:eastAsia="Times New Roman" w:hAnsi="Times New Roman" w:cs="Times New Roman"/>
          <w:sz w:val="24"/>
          <w:szCs w:val="24"/>
        </w:rPr>
        <w:t xml:space="preserve">only modest to variable sensitivity when evaluated against glucose-based reference standards such as the oral glucose tolerance test (OGTT) or fasting plasma glucose (FPG). This pattern is consistent with earlier evidence. Kaur et al. (2020) reported that </w:t>
      </w:r>
      <w:r>
        <w:rPr>
          <w:rFonts w:ascii="Times New Roman" w:eastAsia="Times New Roman" w:hAnsi="Times New Roman" w:cs="Times New Roman"/>
          <w:sz w:val="24"/>
          <w:szCs w:val="24"/>
        </w:rPr>
        <w:t xml:space="preserve">HbA1c at the conventional diagnostic threshold of 6.5% yielded pooled sensitivity of 50.0% and specificity of 97.3% for previously undiagnosed type 2 diabetes, while lowering the threshold to 6.03% increased sensitivity to 73.9% but reduced specificity to </w:t>
      </w:r>
      <w:r>
        <w:rPr>
          <w:rFonts w:ascii="Times New Roman" w:eastAsia="Times New Roman" w:hAnsi="Times New Roman" w:cs="Times New Roman"/>
          <w:sz w:val="24"/>
          <w:szCs w:val="24"/>
        </w:rPr>
        <w:t>87.2%. The studies included in the present review reflect this same trade-off, with HbA1c performing well for ruling in diabetes but less consistently for case detection. This supports the broader literature suggesting that HbA1c is highly specific for chr</w:t>
      </w:r>
      <w:r>
        <w:rPr>
          <w:rFonts w:ascii="Times New Roman" w:eastAsia="Times New Roman" w:hAnsi="Times New Roman" w:cs="Times New Roman"/>
          <w:sz w:val="24"/>
          <w:szCs w:val="24"/>
        </w:rPr>
        <w:t xml:space="preserve">onic hyperglycemia but may fail to detect a substantial proportion of glucose-defined diabetes cases, particularly when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xml:space="preserve"> is early, intermittent, or predominantly postprandial (Sherwani et al., 2016). Physiologically, this is understandable becau</w:t>
      </w:r>
      <w:r>
        <w:rPr>
          <w:rFonts w:ascii="Times New Roman" w:eastAsia="Times New Roman" w:hAnsi="Times New Roman" w:cs="Times New Roman"/>
          <w:sz w:val="24"/>
          <w:szCs w:val="24"/>
        </w:rPr>
        <w:t>se HbA1c reflects average glycemia over approximately two to three months and depends on erythrocyte lifespan and cumulative glycation, which may not capture transient or recently developed hyperglycemia detected by OGTT or post-load glucose measurements (</w:t>
      </w:r>
      <w:r>
        <w:rPr>
          <w:rFonts w:ascii="Times New Roman" w:eastAsia="Times New Roman" w:hAnsi="Times New Roman" w:cs="Times New Roman"/>
          <w:sz w:val="24"/>
          <w:szCs w:val="24"/>
        </w:rPr>
        <w:t>Xu et al., 2021; American Diabetes Association, 2024).</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important finding was the recurrent discordance between HbA1c and glucose-based diagnostic methods. Several studies in this review showed that HbA1c identified a different subset of individuals</w:t>
      </w:r>
      <w:r>
        <w:rPr>
          <w:rFonts w:ascii="Times New Roman" w:eastAsia="Times New Roman" w:hAnsi="Times New Roman" w:cs="Times New Roman"/>
          <w:sz w:val="24"/>
          <w:szCs w:val="24"/>
        </w:rPr>
        <w:t xml:space="preserve"> with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xml:space="preserve"> than FPG or OGTT. For example, Mercado et al. (2026) reported that HbA1c classified substantially more individuals as having prediabetes than glucose-based criteria, while Murad et al. (2021) similarly found higher prevalence estimates fo</w:t>
      </w:r>
      <w:r>
        <w:rPr>
          <w:rFonts w:ascii="Times New Roman" w:eastAsia="Times New Roman" w:hAnsi="Times New Roman" w:cs="Times New Roman"/>
          <w:sz w:val="24"/>
          <w:szCs w:val="24"/>
        </w:rPr>
        <w:t>r both diabetes and prediabetes when HbA1c thresholds were applied. This discordance is clinically relevant because it suggests that HbA1c and glucose-based tests may not be interchangeable across all populations. Previous work has attributed this inconsis</w:t>
      </w:r>
      <w:r>
        <w:rPr>
          <w:rFonts w:ascii="Times New Roman" w:eastAsia="Times New Roman" w:hAnsi="Times New Roman" w:cs="Times New Roman"/>
          <w:sz w:val="24"/>
          <w:szCs w:val="24"/>
        </w:rPr>
        <w:t xml:space="preserve">tency to biological variation in glycation </w:t>
      </w:r>
      <w:r>
        <w:rPr>
          <w:rFonts w:ascii="Times New Roman" w:eastAsia="Times New Roman" w:hAnsi="Times New Roman" w:cs="Times New Roman"/>
          <w:sz w:val="24"/>
          <w:szCs w:val="24"/>
        </w:rPr>
        <w:lastRenderedPageBreak/>
        <w:t xml:space="preserve">rates, erythrocyte turnover, age, ethnicity, and patterns of glucose exposure (Dunn et al., 2023; Nayak et al., 2019). Ethnic variability is particularly important, as HbA1c distributions and glycation tendencies </w:t>
      </w:r>
      <w:r>
        <w:rPr>
          <w:rFonts w:ascii="Times New Roman" w:eastAsia="Times New Roman" w:hAnsi="Times New Roman" w:cs="Times New Roman"/>
          <w:sz w:val="24"/>
          <w:szCs w:val="24"/>
        </w:rPr>
        <w:t>may differ across populations, raising concerns about the universal applicability of standard HbA1c thresholds derived largely from Western cohorts (Ahmed et al., 2023; Metcalf et al., 2016). In the context of this review, which included diverse population</w:t>
      </w:r>
      <w:r>
        <w:rPr>
          <w:rFonts w:ascii="Times New Roman" w:eastAsia="Times New Roman" w:hAnsi="Times New Roman" w:cs="Times New Roman"/>
          <w:sz w:val="24"/>
          <w:szCs w:val="24"/>
        </w:rPr>
        <w:t>s from Asia, Africa, Europe, and the Americas, these observations reinforce the need for contextual interpretation of HbA1c results rather than uniform diagnostic reliance.</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also support the potential diagnostic role of short-term glycemic mark</w:t>
      </w:r>
      <w:r>
        <w:rPr>
          <w:rFonts w:ascii="Times New Roman" w:eastAsia="Times New Roman" w:hAnsi="Times New Roman" w:cs="Times New Roman"/>
          <w:sz w:val="24"/>
          <w:szCs w:val="24"/>
        </w:rPr>
        <w:t>ers, especially glycated albumin. Glycated albumin showed moderate to high discriminatory ability in several studies, although its performance was inconsistent across settings. In the NHANES-based analysis by Fang et al. (2022), glycated albumin yielded AU</w:t>
      </w:r>
      <w:r>
        <w:rPr>
          <w:rFonts w:ascii="Times New Roman" w:eastAsia="Times New Roman" w:hAnsi="Times New Roman" w:cs="Times New Roman"/>
          <w:sz w:val="24"/>
          <w:szCs w:val="24"/>
        </w:rPr>
        <w:t>C values ranging from 0.824 to 0.951 depending on the definition of undiagnosed diabetes, suggesting good discriminatory power in population screening. However, other studies in this review reported lower performance for glycated albumin than for HbA1c, es</w:t>
      </w:r>
      <w:r>
        <w:rPr>
          <w:rFonts w:ascii="Times New Roman" w:eastAsia="Times New Roman" w:hAnsi="Times New Roman" w:cs="Times New Roman"/>
          <w:sz w:val="24"/>
          <w:szCs w:val="24"/>
        </w:rPr>
        <w:t>pecially when OGTT served as the reference standard. This variability is consistent with the biology of glycated albumin, which reflects glycemic exposure over a shorter period of approximately two to three weeks and may therefore be more responsive to rec</w:t>
      </w:r>
      <w:r>
        <w:rPr>
          <w:rFonts w:ascii="Times New Roman" w:eastAsia="Times New Roman" w:hAnsi="Times New Roman" w:cs="Times New Roman"/>
          <w:sz w:val="24"/>
          <w:szCs w:val="24"/>
        </w:rPr>
        <w:t>ent glucose changes than to long-term metabolic status. At the same time, glycated albumin can be influenced by albumin turnover and conditions such as liver disease, nephrotic syndrome, or altered protein metabolism, which may reduce its diagnostic stabil</w:t>
      </w:r>
      <w:r>
        <w:rPr>
          <w:rFonts w:ascii="Times New Roman" w:eastAsia="Times New Roman" w:hAnsi="Times New Roman" w:cs="Times New Roman"/>
          <w:sz w:val="24"/>
          <w:szCs w:val="24"/>
        </w:rPr>
        <w:t>ity in some patients (Gan et al., 2018; Xie et al., 2025). Thus, glycated albumin appears promising as a complementary rather than replacement biomarker.</w:t>
      </w:r>
    </w:p>
    <w:p w:rsidR="007F44DA" w:rsidRDefault="00CB6F9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diagnostic performance of 1,5-AG was even more context dependent. Some studies included in this re</w:t>
      </w:r>
      <w:r>
        <w:rPr>
          <w:rFonts w:ascii="Times New Roman" w:eastAsia="Times New Roman" w:hAnsi="Times New Roman" w:cs="Times New Roman"/>
          <w:sz w:val="24"/>
          <w:szCs w:val="24"/>
        </w:rPr>
        <w:t>view reported moderate to good discrimination, particularly for postprandial or short-term hyperglycemia. Yuan et al. (2021), for example, reported an AUC of 0.85 and high sensitivity when 1,5-AG was combined with fasting glucose, suggesting that it may ad</w:t>
      </w:r>
      <w:r>
        <w:rPr>
          <w:rFonts w:ascii="Times New Roman" w:eastAsia="Times New Roman" w:hAnsi="Times New Roman" w:cs="Times New Roman"/>
          <w:sz w:val="24"/>
          <w:szCs w:val="24"/>
        </w:rPr>
        <w:t>d value in multi-marker strategies. However, other studies showed limited or poor diagnostic performance for 1,5-AG. This inconsistency likely reflects its biological mechanism. Because 1,5-AG concentrations are strongly influenced by renal glucose reabsor</w:t>
      </w:r>
      <w:r>
        <w:rPr>
          <w:rFonts w:ascii="Times New Roman" w:eastAsia="Times New Roman" w:hAnsi="Times New Roman" w:cs="Times New Roman"/>
          <w:sz w:val="24"/>
          <w:szCs w:val="24"/>
        </w:rPr>
        <w:t>ption, the marker is particularly sensitive to short-term glycemic excursions and postprandial glucose elevations rather than sustained chronic hyperglycemia (Xu et al., 2024; Hashim, 2024). For this reason, 1,5-AG may be less suitable as a standalone diag</w:t>
      </w:r>
      <w:r>
        <w:rPr>
          <w:rFonts w:ascii="Times New Roman" w:eastAsia="Times New Roman" w:hAnsi="Times New Roman" w:cs="Times New Roman"/>
          <w:sz w:val="24"/>
          <w:szCs w:val="24"/>
        </w:rPr>
        <w:t xml:space="preserve">nostic marker for diabetes but may be useful in identifying individuals with early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glycemic variability, or post-load abnormalities that are not adequately captured by HbA1c alone.</w:t>
      </w:r>
    </w:p>
    <w:p w:rsidR="007F44DA" w:rsidRDefault="00CB6F9E">
      <w:pPr>
        <w:spacing w:before="240" w:after="240"/>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was less frequently studied, but the available ev</w:t>
      </w:r>
      <w:r>
        <w:rPr>
          <w:rFonts w:ascii="Times New Roman" w:eastAsia="Times New Roman" w:hAnsi="Times New Roman" w:cs="Times New Roman"/>
          <w:sz w:val="24"/>
          <w:szCs w:val="24"/>
        </w:rPr>
        <w:t xml:space="preserve">idence suggests that it may be particularly useful in selected clinical contexts. In this review,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showed meaningful diagnostic performance in children with β-thalassemia major, where it outperformed HbA1c in sensitivity for diabetes detection.</w:t>
      </w:r>
      <w:r>
        <w:rPr>
          <w:rFonts w:ascii="Times New Roman" w:eastAsia="Times New Roman" w:hAnsi="Times New Roman" w:cs="Times New Roman"/>
          <w:sz w:val="24"/>
          <w:szCs w:val="24"/>
        </w:rPr>
        <w:t xml:space="preserve"> This is biologically plausible because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reflects glycated serum proteins rather than erythrocyte glycation and is therefore less affected by disorders </w:t>
      </w:r>
      <w:r>
        <w:rPr>
          <w:rFonts w:ascii="Times New Roman" w:eastAsia="Times New Roman" w:hAnsi="Times New Roman" w:cs="Times New Roman"/>
          <w:sz w:val="24"/>
          <w:szCs w:val="24"/>
        </w:rPr>
        <w:lastRenderedPageBreak/>
        <w:t>of hemoglobin structure or shortened red cell survival. These findings align with prior stud</w:t>
      </w:r>
      <w:r>
        <w:rPr>
          <w:rFonts w:ascii="Times New Roman" w:eastAsia="Times New Roman" w:hAnsi="Times New Roman" w:cs="Times New Roman"/>
          <w:sz w:val="24"/>
          <w:szCs w:val="24"/>
        </w:rPr>
        <w:t xml:space="preserve">ies indicating that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and glycated albumin may be more reliable than HbA1c in patients with hemoglobinopathies, anemia, chronic kidney disease, or other conditions that alter erythrocyte lifespan (Naik et al., 2024; American Diabetes Association</w:t>
      </w:r>
      <w:r>
        <w:rPr>
          <w:rFonts w:ascii="Times New Roman" w:eastAsia="Times New Roman" w:hAnsi="Times New Roman" w:cs="Times New Roman"/>
          <w:sz w:val="24"/>
          <w:szCs w:val="24"/>
        </w:rPr>
        <w:t xml:space="preserve">, 2024). While the number of studies on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remains limited, the evidence from this review suggests that it should not be overlooked, especially in populations where HbA1c interpretation is compromised.</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important theme emerging from this review</w:t>
      </w:r>
      <w:r>
        <w:rPr>
          <w:rFonts w:ascii="Times New Roman" w:eastAsia="Times New Roman" w:hAnsi="Times New Roman" w:cs="Times New Roman"/>
          <w:sz w:val="24"/>
          <w:szCs w:val="24"/>
        </w:rPr>
        <w:t xml:space="preserve"> is the value of combining biomarkers rather than relying on a single test. Several included studies reported improved sensitivity when short-term markers were combined with fasting glucose or when multiple markers were used together. For example, combinin</w:t>
      </w:r>
      <w:r>
        <w:rPr>
          <w:rFonts w:ascii="Times New Roman" w:eastAsia="Times New Roman" w:hAnsi="Times New Roman" w:cs="Times New Roman"/>
          <w:sz w:val="24"/>
          <w:szCs w:val="24"/>
        </w:rPr>
        <w:t xml:space="preserve">g glycated albumin with fasting plasma glucose improved case detection in Korean adults, while combining 1,5-AG with fasting glucose substantially improved sensitivity in hypertensive populations. These findings support the concept of a </w:t>
      </w:r>
      <w:proofErr w:type="spellStart"/>
      <w:r>
        <w:rPr>
          <w:rFonts w:ascii="Times New Roman" w:eastAsia="Times New Roman" w:hAnsi="Times New Roman" w:cs="Times New Roman"/>
          <w:sz w:val="24"/>
          <w:szCs w:val="24"/>
        </w:rPr>
        <w:t>multimarker</w:t>
      </w:r>
      <w:proofErr w:type="spellEnd"/>
      <w:r>
        <w:rPr>
          <w:rFonts w:ascii="Times New Roman" w:eastAsia="Times New Roman" w:hAnsi="Times New Roman" w:cs="Times New Roman"/>
          <w:sz w:val="24"/>
          <w:szCs w:val="24"/>
        </w:rPr>
        <w:t xml:space="preserve"> diagnos</w:t>
      </w:r>
      <w:r>
        <w:rPr>
          <w:rFonts w:ascii="Times New Roman" w:eastAsia="Times New Roman" w:hAnsi="Times New Roman" w:cs="Times New Roman"/>
          <w:sz w:val="24"/>
          <w:szCs w:val="24"/>
        </w:rPr>
        <w:t xml:space="preserve">tic strategy, in which biomarkers reflecting different physiological dimensions of glycemia are integrated to improve detection. HbA1c reflects long-term average exposure, glycated albumin and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reflect shorter-term glycation, and 1,5-AG may ref</w:t>
      </w:r>
      <w:r>
        <w:rPr>
          <w:rFonts w:ascii="Times New Roman" w:eastAsia="Times New Roman" w:hAnsi="Times New Roman" w:cs="Times New Roman"/>
          <w:sz w:val="24"/>
          <w:szCs w:val="24"/>
        </w:rPr>
        <w:t xml:space="preserve">lect short-term glucose excursions. Taken together, these markers may provide a broader and more clinically informative picture of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xml:space="preserve"> than any single biomarker alone. This interpretation is supported by recent research suggesting that </w:t>
      </w:r>
      <w:proofErr w:type="spellStart"/>
      <w:r>
        <w:rPr>
          <w:rFonts w:ascii="Times New Roman" w:eastAsia="Times New Roman" w:hAnsi="Times New Roman" w:cs="Times New Roman"/>
          <w:sz w:val="24"/>
          <w:szCs w:val="24"/>
        </w:rPr>
        <w:t>multimarker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approaches may improve the identification of early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xml:space="preserve"> and reduce misclassification associated with dependence on one diagnostic measure (Zhang et al., 2023).</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review also carry important clinical and public health implications.</w:t>
      </w:r>
      <w:r>
        <w:rPr>
          <w:rFonts w:ascii="Times New Roman" w:eastAsia="Times New Roman" w:hAnsi="Times New Roman" w:cs="Times New Roman"/>
          <w:sz w:val="24"/>
          <w:szCs w:val="24"/>
        </w:rPr>
        <w:t xml:space="preserve"> With global diabetes prevalence projected to exceed 850 million by 2050, early and accurate detection remains central to prevention and complication reduction (International Diabetes Federation, 2025). HbA1c continues to offer practical advantages, includ</w:t>
      </w:r>
      <w:r>
        <w:rPr>
          <w:rFonts w:ascii="Times New Roman" w:eastAsia="Times New Roman" w:hAnsi="Times New Roman" w:cs="Times New Roman"/>
          <w:sz w:val="24"/>
          <w:szCs w:val="24"/>
        </w:rPr>
        <w:t xml:space="preserve">ing patient convenience, no fasting requirement, and established standardization, and it remains widely recommended by major guidelines (American Diabetes Association, 2024; World Health Organization, 2019). However, the evidence synthesized here suggests </w:t>
      </w:r>
      <w:r>
        <w:rPr>
          <w:rFonts w:ascii="Times New Roman" w:eastAsia="Times New Roman" w:hAnsi="Times New Roman" w:cs="Times New Roman"/>
          <w:sz w:val="24"/>
          <w:szCs w:val="24"/>
        </w:rPr>
        <w:t xml:space="preserve">that reliance on HbA1c alone may lead to underdiagnosis of some glucose-defined diabetes cases and overclassification of prediabetes in certain groups. This has implications for both clinical decision-making and population screening programs, particularly </w:t>
      </w:r>
      <w:r>
        <w:rPr>
          <w:rFonts w:ascii="Times New Roman" w:eastAsia="Times New Roman" w:hAnsi="Times New Roman" w:cs="Times New Roman"/>
          <w:sz w:val="24"/>
          <w:szCs w:val="24"/>
        </w:rPr>
        <w:t>in ethnically diverse populations or in patients with conditions that affect red cell turnover. In such settings, the selective use of short-term glycemic markers may improve diagnostic precision and reduce the limitations associated with a one-test approa</w:t>
      </w:r>
      <w:r>
        <w:rPr>
          <w:rFonts w:ascii="Times New Roman" w:eastAsia="Times New Roman" w:hAnsi="Times New Roman" w:cs="Times New Roman"/>
          <w:sz w:val="24"/>
          <w:szCs w:val="24"/>
        </w:rPr>
        <w:t>ch.</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limitations of this review should be considered when interpreting the findings. First, there was substantial heterogeneity across included studies in terms of assay methods, biomarker thresholds, reference standards, and study populations. This</w:t>
      </w:r>
      <w:r>
        <w:rPr>
          <w:rFonts w:ascii="Times New Roman" w:eastAsia="Times New Roman" w:hAnsi="Times New Roman" w:cs="Times New Roman"/>
          <w:sz w:val="24"/>
          <w:szCs w:val="24"/>
        </w:rPr>
        <w:t xml:space="preserve"> heterogeneity limited direct comparability and was a major reason why a narrative rather than quantitative meta-analytic synthesis was more appropriate. Second, several studies did not report complete diagnostic contingency data, which restricted deeper c</w:t>
      </w:r>
      <w:r>
        <w:rPr>
          <w:rFonts w:ascii="Times New Roman" w:eastAsia="Times New Roman" w:hAnsi="Times New Roman" w:cs="Times New Roman"/>
          <w:sz w:val="24"/>
          <w:szCs w:val="24"/>
        </w:rPr>
        <w:t xml:space="preserve">omparison of pooled diagnostic accuracy measures. </w:t>
      </w:r>
      <w:r>
        <w:rPr>
          <w:rFonts w:ascii="Times New Roman" w:eastAsia="Times New Roman" w:hAnsi="Times New Roman" w:cs="Times New Roman"/>
          <w:sz w:val="24"/>
          <w:szCs w:val="24"/>
        </w:rPr>
        <w:lastRenderedPageBreak/>
        <w:t>Third, many studies focused on specific populations such as pregnant women, hypertensive adults, vascular surgery patients, or individuals with hemoglobinopathies, which may limit the generalizability of fi</w:t>
      </w:r>
      <w:r>
        <w:rPr>
          <w:rFonts w:ascii="Times New Roman" w:eastAsia="Times New Roman" w:hAnsi="Times New Roman" w:cs="Times New Roman"/>
          <w:sz w:val="24"/>
          <w:szCs w:val="24"/>
        </w:rPr>
        <w:t>ndings to the general population. Finally, differences in laboratory standardization and assay platforms may have influenced reported biomarker performance across studies. These issues underscore the need for greater methodological consistency in future di</w:t>
      </w:r>
      <w:r>
        <w:rPr>
          <w:rFonts w:ascii="Times New Roman" w:eastAsia="Times New Roman" w:hAnsi="Times New Roman" w:cs="Times New Roman"/>
          <w:sz w:val="24"/>
          <w:szCs w:val="24"/>
        </w:rPr>
        <w:t>agnostic accuracy research.</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limitations, this review provides an updated synthesis of evidence on the comparative diagnostic performance of HbA1c and short-term glycemic markers across diverse populations and clinical contexts. The overall ev</w:t>
      </w:r>
      <w:r>
        <w:rPr>
          <w:rFonts w:ascii="Times New Roman" w:eastAsia="Times New Roman" w:hAnsi="Times New Roman" w:cs="Times New Roman"/>
          <w:sz w:val="24"/>
          <w:szCs w:val="24"/>
        </w:rPr>
        <w:t>idence suggests that HbA1c remains a highly specific and practical biomarker for diabetes diagnosis, but its sensitivity is inconsistent and its performance is not uniform across all clinical situations. Short-term glycemic markers, particularly glycated a</w:t>
      </w:r>
      <w:r>
        <w:rPr>
          <w:rFonts w:ascii="Times New Roman" w:eastAsia="Times New Roman" w:hAnsi="Times New Roman" w:cs="Times New Roman"/>
          <w:sz w:val="24"/>
          <w:szCs w:val="24"/>
        </w:rPr>
        <w:t xml:space="preserve">lbumin and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may provide clinically useful complementary information, especially where HbA1c is less reliable or where recent glycemic exposure is of interest. Likewise, 1,5-AG may have value in identifying short-term glycemic excursions or pos</w:t>
      </w:r>
      <w:r>
        <w:rPr>
          <w:rFonts w:ascii="Times New Roman" w:eastAsia="Times New Roman" w:hAnsi="Times New Roman" w:cs="Times New Roman"/>
          <w:sz w:val="24"/>
          <w:szCs w:val="24"/>
        </w:rPr>
        <w:t>tprandial abnormalities.</w:t>
      </w:r>
    </w:p>
    <w:p w:rsidR="007F44DA" w:rsidRDefault="00CB6F9E">
      <w:pPr>
        <w:spacing w:before="240" w:after="240"/>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In summary, the findings of this systematic review support a more nuanced approach to glycemic diagnosis. HbA1c should remain central to current diagnostic practice, but it should not necessarily be used in isolation in all patient</w:t>
      </w:r>
      <w:r>
        <w:rPr>
          <w:rFonts w:ascii="Times New Roman" w:eastAsia="Times New Roman" w:hAnsi="Times New Roman" w:cs="Times New Roman"/>
          <w:sz w:val="24"/>
          <w:szCs w:val="24"/>
        </w:rPr>
        <w:t>s or populations. Short-term glycemic markers may offer added value in selected contexts, particularly in the presence of hemoglobinopathies, altered erythrocyte turnover, pregnancy-related glycemic assessment, renal disease, or suspected discordance betwe</w:t>
      </w:r>
      <w:r>
        <w:rPr>
          <w:rFonts w:ascii="Times New Roman" w:eastAsia="Times New Roman" w:hAnsi="Times New Roman" w:cs="Times New Roman"/>
          <w:sz w:val="24"/>
          <w:szCs w:val="24"/>
        </w:rPr>
        <w:t>en HbA1c and glucose-based tests. Future large-scale prospective studies using standardized assays and harmonized diagnostic thresholds are needed to determine how these biomarkers can be optimally integrated into diagnostic algorithms for diabetes and pre</w:t>
      </w:r>
      <w:r>
        <w:rPr>
          <w:rFonts w:ascii="Times New Roman" w:eastAsia="Times New Roman" w:hAnsi="Times New Roman" w:cs="Times New Roman"/>
          <w:sz w:val="24"/>
          <w:szCs w:val="24"/>
        </w:rPr>
        <w:t>diabetes.</w:t>
      </w:r>
    </w:p>
    <w:p w:rsidR="007F44DA" w:rsidRDefault="00CB6F9E">
      <w:pPr>
        <w:pStyle w:val="Heading1"/>
        <w:keepNext w:val="0"/>
        <w:keepLines w:val="0"/>
        <w:spacing w:before="480"/>
        <w:jc w:val="both"/>
        <w:rPr>
          <w:rFonts w:ascii="Times New Roman" w:eastAsia="Times New Roman" w:hAnsi="Times New Roman" w:cs="Times New Roman"/>
          <w:b/>
          <w:bCs/>
          <w:sz w:val="24"/>
          <w:szCs w:val="24"/>
        </w:rPr>
      </w:pPr>
      <w:bookmarkStart w:id="27" w:name="_gj29xn8oeqyh" w:colFirst="0" w:colLast="0"/>
      <w:bookmarkEnd w:id="27"/>
      <w:r>
        <w:rPr>
          <w:rFonts w:ascii="Times New Roman" w:eastAsia="Times New Roman" w:hAnsi="Times New Roman" w:cs="Times New Roman"/>
          <w:b/>
          <w:bCs/>
          <w:sz w:val="24"/>
          <w:szCs w:val="24"/>
        </w:rPr>
        <w:t>CONCLUSION</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systematic review synthesized evidence from studies published between 2011 and 2026 comparing the diagnostic performance of glycated hemoglobin (HbA1c) with short-term glycemic markers, including glycated albumin,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an</w:t>
      </w:r>
      <w:r>
        <w:rPr>
          <w:rFonts w:ascii="Times New Roman" w:eastAsia="Times New Roman" w:hAnsi="Times New Roman" w:cs="Times New Roman"/>
          <w:sz w:val="24"/>
          <w:szCs w:val="24"/>
        </w:rPr>
        <w:t>d 1,5-anhydroglucitol, for the detection of diabetes and prediabetes. The findings indicate that HbA1c remains the most extensively studied biomarker and generally demonstrates high specificity for diagnosing diabetes. However, its sensitivity varies acros</w:t>
      </w:r>
      <w:r>
        <w:rPr>
          <w:rFonts w:ascii="Times New Roman" w:eastAsia="Times New Roman" w:hAnsi="Times New Roman" w:cs="Times New Roman"/>
          <w:sz w:val="24"/>
          <w:szCs w:val="24"/>
        </w:rPr>
        <w:t>s populations and clinical settings, particularly when compared with glucose-based reference standards such as the oral glucose tolerance test and fasting plasma glucose.</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Short-term glycemic markers showed heterogeneous diagnostic performance across studies. Glycated albumin demonstrated moderate to good discriminatory ability in several populations, while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showed promising performance in specific clinical conte</w:t>
      </w:r>
      <w:r>
        <w:rPr>
          <w:rFonts w:ascii="Times New Roman" w:eastAsia="Times New Roman" w:hAnsi="Times New Roman" w:cs="Times New Roman"/>
          <w:sz w:val="24"/>
          <w:szCs w:val="24"/>
        </w:rPr>
        <w:t xml:space="preserve">xts such as hemoglobinopathies. The diagnostic value of 1,5-anhydroglucitol varied widely but appeared </w:t>
      </w:r>
      <w:r>
        <w:rPr>
          <w:rFonts w:ascii="Times New Roman" w:eastAsia="Times New Roman" w:hAnsi="Times New Roman" w:cs="Times New Roman"/>
          <w:sz w:val="24"/>
          <w:szCs w:val="24"/>
        </w:rPr>
        <w:lastRenderedPageBreak/>
        <w:t xml:space="preserve">particularly relevant for detecting short-term glycemic excursions and postprandial hyperglycemia. Importantly, several studies indicated that combining </w:t>
      </w:r>
      <w:r>
        <w:rPr>
          <w:rFonts w:ascii="Times New Roman" w:eastAsia="Times New Roman" w:hAnsi="Times New Roman" w:cs="Times New Roman"/>
          <w:sz w:val="24"/>
          <w:szCs w:val="24"/>
        </w:rPr>
        <w:t xml:space="preserve">biomarkers improved diagnostic sensitivity and overall detection of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xml:space="preserve"> compared with single-test strategies.</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evidence suggests that HbA1c alone may not fully capture the complexity of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xml:space="preserve"> across diverse populations. Short-term</w:t>
      </w:r>
      <w:r>
        <w:rPr>
          <w:rFonts w:ascii="Times New Roman" w:eastAsia="Times New Roman" w:hAnsi="Times New Roman" w:cs="Times New Roman"/>
          <w:sz w:val="24"/>
          <w:szCs w:val="24"/>
        </w:rPr>
        <w:t xml:space="preserve"> glycemic markers may therefore provide complementary diagnostic information, particularly in clinical situations where HbA1c performance is limited or where recent glycemic changes are clinically relevant. Continued research is needed to determine the opt</w:t>
      </w:r>
      <w:r>
        <w:rPr>
          <w:rFonts w:ascii="Times New Roman" w:eastAsia="Times New Roman" w:hAnsi="Times New Roman" w:cs="Times New Roman"/>
          <w:sz w:val="24"/>
          <w:szCs w:val="24"/>
        </w:rPr>
        <w:t>imal integration of these biomarkers into diagnostic frameworks for diabetes and prediabetes.</w:t>
      </w:r>
    </w:p>
    <w:p w:rsidR="007F44DA" w:rsidRDefault="00CB6F9E">
      <w:pPr>
        <w:pStyle w:val="Heading1"/>
        <w:keepNext w:val="0"/>
        <w:keepLines w:val="0"/>
        <w:spacing w:before="480"/>
        <w:jc w:val="both"/>
        <w:rPr>
          <w:rFonts w:ascii="Times New Roman" w:eastAsia="Times New Roman" w:hAnsi="Times New Roman" w:cs="Times New Roman"/>
          <w:b/>
          <w:bCs/>
          <w:sz w:val="24"/>
          <w:szCs w:val="24"/>
        </w:rPr>
      </w:pPr>
      <w:bookmarkStart w:id="28" w:name="_b8tl7yd69o36" w:colFirst="0" w:colLast="0"/>
      <w:bookmarkEnd w:id="28"/>
      <w:r>
        <w:rPr>
          <w:rFonts w:ascii="Times New Roman" w:eastAsia="Times New Roman" w:hAnsi="Times New Roman" w:cs="Times New Roman"/>
          <w:b/>
          <w:bCs/>
          <w:sz w:val="24"/>
          <w:szCs w:val="24"/>
        </w:rPr>
        <w:t>Clinical Implications</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this review have important implications for clinical practice and diabetes screening strategies. HbA1c remains a convenient </w:t>
      </w:r>
      <w:r>
        <w:rPr>
          <w:rFonts w:ascii="Times New Roman" w:eastAsia="Times New Roman" w:hAnsi="Times New Roman" w:cs="Times New Roman"/>
          <w:sz w:val="24"/>
          <w:szCs w:val="24"/>
        </w:rPr>
        <w:t>and standardized biomarker that reflects long-term glycemic exposure and is widely recommended by international guidelines for the diagnosis and monitoring of diabetes (American Diabetes Association, 2024; World Health Organization, 2019). Its advantages i</w:t>
      </w:r>
      <w:r>
        <w:rPr>
          <w:rFonts w:ascii="Times New Roman" w:eastAsia="Times New Roman" w:hAnsi="Times New Roman" w:cs="Times New Roman"/>
          <w:sz w:val="24"/>
          <w:szCs w:val="24"/>
        </w:rPr>
        <w:t>nclude patient convenience, the absence of fasting requirements, and broad laboratory standardization. However, the variability in sensitivity observed across studies suggests that HbA1c alone may fail to detect a subset of individuals with glucose-defined</w:t>
      </w:r>
      <w:r>
        <w:rPr>
          <w:rFonts w:ascii="Times New Roman" w:eastAsia="Times New Roman" w:hAnsi="Times New Roman" w:cs="Times New Roman"/>
          <w:sz w:val="24"/>
          <w:szCs w:val="24"/>
        </w:rPr>
        <w:t xml:space="preserve"> diabetes or early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Short-term glycemic markers may therefore serve as useful adjuncts in selected clinical situations. Glycated albumin and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may be particularly valuable in patients with conditions that alter erythrocyte lifespan, </w:t>
      </w:r>
      <w:r>
        <w:rPr>
          <w:rFonts w:ascii="Times New Roman" w:eastAsia="Times New Roman" w:hAnsi="Times New Roman" w:cs="Times New Roman"/>
          <w:sz w:val="24"/>
          <w:szCs w:val="24"/>
        </w:rPr>
        <w:t>such as hemoglobinopathies, anemia, chronic kidney disease, or pregnancy, where HbA1c may be less reliable. In addition, markers such as 1,5-anhydroglucitol may provide insight into postprandial hyperglycemia or short-term glycemic variability, which may n</w:t>
      </w:r>
      <w:r>
        <w:rPr>
          <w:rFonts w:ascii="Times New Roman" w:eastAsia="Times New Roman" w:hAnsi="Times New Roman" w:cs="Times New Roman"/>
          <w:sz w:val="24"/>
          <w:szCs w:val="24"/>
        </w:rPr>
        <w:t>ot be adequately reflected by HbA1c.</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evidence also supports the potential value of </w:t>
      </w:r>
      <w:proofErr w:type="spellStart"/>
      <w:r>
        <w:rPr>
          <w:rFonts w:ascii="Times New Roman" w:eastAsia="Times New Roman" w:hAnsi="Times New Roman" w:cs="Times New Roman"/>
          <w:sz w:val="24"/>
          <w:szCs w:val="24"/>
        </w:rPr>
        <w:t>multimarker</w:t>
      </w:r>
      <w:proofErr w:type="spellEnd"/>
      <w:r>
        <w:rPr>
          <w:rFonts w:ascii="Times New Roman" w:eastAsia="Times New Roman" w:hAnsi="Times New Roman" w:cs="Times New Roman"/>
          <w:sz w:val="24"/>
          <w:szCs w:val="24"/>
        </w:rPr>
        <w:t xml:space="preserve"> diagnostic strategies, where HbA1c is interpreted alongside glucose-based tests or short-term glycemic markers. Such approaches may improve the detection of </w:t>
      </w:r>
      <w:r>
        <w:rPr>
          <w:rFonts w:ascii="Times New Roman" w:eastAsia="Times New Roman" w:hAnsi="Times New Roman" w:cs="Times New Roman"/>
          <w:sz w:val="24"/>
          <w:szCs w:val="24"/>
        </w:rPr>
        <w:t xml:space="preserve">early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xml:space="preserve"> and reduce misclassification associated with reliance on a single biomarker. In population screening programs and clinical practice, integrating complementary biomarkers may therefore enhance diagnostic accuracy and support earlier identi</w:t>
      </w:r>
      <w:r>
        <w:rPr>
          <w:rFonts w:ascii="Times New Roman" w:eastAsia="Times New Roman" w:hAnsi="Times New Roman" w:cs="Times New Roman"/>
          <w:sz w:val="24"/>
          <w:szCs w:val="24"/>
        </w:rPr>
        <w:t>fication of individuals at risk for diabetes.</w:t>
      </w:r>
    </w:p>
    <w:p w:rsidR="007F44DA" w:rsidRDefault="00CB6F9E">
      <w:pPr>
        <w:pStyle w:val="Heading1"/>
        <w:keepNext w:val="0"/>
        <w:keepLines w:val="0"/>
        <w:spacing w:before="480"/>
        <w:jc w:val="both"/>
        <w:rPr>
          <w:rFonts w:ascii="Times New Roman" w:eastAsia="Times New Roman" w:hAnsi="Times New Roman" w:cs="Times New Roman"/>
          <w:b/>
          <w:bCs/>
          <w:sz w:val="24"/>
          <w:szCs w:val="24"/>
        </w:rPr>
      </w:pPr>
      <w:bookmarkStart w:id="29" w:name="_vt1edf51tb95" w:colFirst="0" w:colLast="0"/>
      <w:bookmarkEnd w:id="29"/>
      <w:r>
        <w:rPr>
          <w:rFonts w:ascii="Times New Roman" w:eastAsia="Times New Roman" w:hAnsi="Times New Roman" w:cs="Times New Roman"/>
          <w:b/>
          <w:bCs/>
          <w:sz w:val="24"/>
          <w:szCs w:val="24"/>
        </w:rPr>
        <w:t>STRENGTHS AND LIMITATIONS</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has several strengths. First, it provides an updated synthesis of evidence published between 2011 and 2026 on the comparative diagnostic performance of HbA1c and</w:t>
      </w:r>
      <w:r>
        <w:rPr>
          <w:rFonts w:ascii="Times New Roman" w:eastAsia="Times New Roman" w:hAnsi="Times New Roman" w:cs="Times New Roman"/>
          <w:sz w:val="24"/>
          <w:szCs w:val="24"/>
        </w:rPr>
        <w:t xml:space="preserve"> short-term glycemic markers across diverse populations and clinical settings. Second, the </w:t>
      </w:r>
      <w:r>
        <w:rPr>
          <w:rFonts w:ascii="Times New Roman" w:eastAsia="Times New Roman" w:hAnsi="Times New Roman" w:cs="Times New Roman"/>
          <w:sz w:val="24"/>
          <w:szCs w:val="24"/>
        </w:rPr>
        <w:lastRenderedPageBreak/>
        <w:t>review followed the PRISMA 2020 reporting framework, ensuring transparency and methodological rigor in the identification, screening, and selection of studies. Third</w:t>
      </w:r>
      <w:r>
        <w:rPr>
          <w:rFonts w:ascii="Times New Roman" w:eastAsia="Times New Roman" w:hAnsi="Times New Roman" w:cs="Times New Roman"/>
          <w:sz w:val="24"/>
          <w:szCs w:val="24"/>
        </w:rPr>
        <w:t xml:space="preserve">, the included studies encompassed a wide range of geographic regions and clinical populations, including community cohorts, high-risk groups, pregnant women, and individuals with specific medical conditions. This diversity allowed a broader assessment of </w:t>
      </w:r>
      <w:r>
        <w:rPr>
          <w:rFonts w:ascii="Times New Roman" w:eastAsia="Times New Roman" w:hAnsi="Times New Roman" w:cs="Times New Roman"/>
          <w:sz w:val="24"/>
          <w:szCs w:val="24"/>
        </w:rPr>
        <w:t>biomarker performance across multiple contexts.</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several limitations should be acknowledged. First, there was considerable heterogeneity among the included studies with respect to study design, population characteristics, biomarker assay methods, a</w:t>
      </w:r>
      <w:r>
        <w:rPr>
          <w:rFonts w:ascii="Times New Roman" w:eastAsia="Times New Roman" w:hAnsi="Times New Roman" w:cs="Times New Roman"/>
          <w:sz w:val="24"/>
          <w:szCs w:val="24"/>
        </w:rPr>
        <w:t xml:space="preserve">nd diagnostic thresholds. This variability limited direct comparison across studies and precluded quantitative meta-analysis. Second, several studies did not report complete diagnostic contingency data (true positives, false positives, true negatives, and </w:t>
      </w:r>
      <w:r>
        <w:rPr>
          <w:rFonts w:ascii="Times New Roman" w:eastAsia="Times New Roman" w:hAnsi="Times New Roman" w:cs="Times New Roman"/>
          <w:sz w:val="24"/>
          <w:szCs w:val="24"/>
        </w:rPr>
        <w:t>false negatives), restricting deeper quantitative assessment of pooled diagnostic accuracy measures. Third, many studies were conducted in specialized or high-risk populations rather than general community samples, which may limit the generalizability of f</w:t>
      </w:r>
      <w:r>
        <w:rPr>
          <w:rFonts w:ascii="Times New Roman" w:eastAsia="Times New Roman" w:hAnsi="Times New Roman" w:cs="Times New Roman"/>
          <w:sz w:val="24"/>
          <w:szCs w:val="24"/>
        </w:rPr>
        <w:t>indings. Finally, variations in laboratory standardization and assay methodologies may have contributed to differences in reported biomarker performance across studies. In addition, the review was not prospectively registered and did not include a formal s</w:t>
      </w:r>
      <w:r>
        <w:rPr>
          <w:rFonts w:ascii="Times New Roman" w:eastAsia="Times New Roman" w:hAnsi="Times New Roman" w:cs="Times New Roman"/>
          <w:sz w:val="24"/>
          <w:szCs w:val="24"/>
        </w:rPr>
        <w:t>tructured risk-of-bias tool such as QUADAS-2 because several included studies lacked sufficient contingency data for structured diagnostic accuracy appraisal.</w:t>
      </w:r>
    </w:p>
    <w:p w:rsidR="007F44DA" w:rsidRDefault="00CB6F9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limitations, the findings of this review provide important insights into the diagno</w:t>
      </w:r>
      <w:r>
        <w:rPr>
          <w:rFonts w:ascii="Times New Roman" w:eastAsia="Times New Roman" w:hAnsi="Times New Roman" w:cs="Times New Roman"/>
          <w:sz w:val="24"/>
          <w:szCs w:val="24"/>
        </w:rPr>
        <w:t>stic roles of HbA1c and short-term glycemic markers and highlight the potential benefits of integrating multiple biomarkers in the detection of diabetes and prediabetes.</w:t>
      </w:r>
    </w:p>
    <w:p w:rsidR="007F44DA" w:rsidRDefault="007F44DA">
      <w:pPr>
        <w:spacing w:before="240" w:after="240"/>
        <w:jc w:val="both"/>
        <w:rPr>
          <w:rFonts w:ascii="Times New Roman" w:eastAsia="Times New Roman" w:hAnsi="Times New Roman" w:cs="Times New Roman"/>
          <w:sz w:val="24"/>
          <w:szCs w:val="24"/>
        </w:rPr>
      </w:pPr>
    </w:p>
    <w:p w:rsidR="007F44DA" w:rsidRDefault="00CB6F9E">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7F44DA" w:rsidRDefault="00CB6F9E">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Abdul Murad, N. A., Abdullah, N., Kamaruddin, M. A., Abd Jalal, N., Ismail</w:t>
      </w:r>
      <w:r>
        <w:rPr>
          <w:rFonts w:ascii="Times New Roman" w:eastAsia="Times New Roman" w:hAnsi="Times New Roman" w:cs="Times New Roman"/>
          <w:sz w:val="24"/>
          <w:szCs w:val="24"/>
        </w:rPr>
        <w:t xml:space="preserve">, N., Yusof, N. A. M., Mustafa, N., &amp; Jamal, R. (2021). </w:t>
      </w:r>
      <w:r>
        <w:rPr>
          <w:rFonts w:ascii="Times New Roman" w:eastAsia="Times New Roman" w:hAnsi="Times New Roman" w:cs="Times New Roman"/>
          <w:i/>
          <w:iCs/>
          <w:sz w:val="24"/>
          <w:szCs w:val="24"/>
        </w:rPr>
        <w:t>Discordance between fasting plasma glucose (FPG) and HbA1c in diagnosing diabetes and pre-diabetes in The Malaysian Cohort</w:t>
      </w:r>
      <w:r>
        <w:rPr>
          <w:rFonts w:ascii="Times New Roman" w:eastAsia="Times New Roman" w:hAnsi="Times New Roman" w:cs="Times New Roman"/>
          <w:sz w:val="24"/>
          <w:szCs w:val="24"/>
        </w:rPr>
        <w:t>. Journal of the ASEAN Federation of Endocrine Societies, 36(2), 127–132. http</w:t>
      </w:r>
      <w:r>
        <w:rPr>
          <w:rFonts w:ascii="Times New Roman" w:eastAsia="Times New Roman" w:hAnsi="Times New Roman" w:cs="Times New Roman"/>
          <w:sz w:val="24"/>
          <w:szCs w:val="24"/>
        </w:rPr>
        <w:t>s://doi.org/10.15605/jafes.036.02.02</w:t>
      </w:r>
    </w:p>
    <w:p w:rsidR="007F44DA" w:rsidRDefault="00CB6F9E">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Ahmed, S. F., Hassan, A. A., Eltayeb, M. M., Omar, S. M., &amp; Adam, I. (2023). Ethnicity, Age, and Gender Differences in Glycated Hemoglobin (HbA1c) Levels among Adults in Northern and Eastern Sudan: A Community-Based Cro</w:t>
      </w:r>
      <w:r>
        <w:rPr>
          <w:rFonts w:ascii="Times New Roman" w:eastAsia="Times New Roman" w:hAnsi="Times New Roman" w:cs="Times New Roman"/>
          <w:sz w:val="24"/>
          <w:szCs w:val="24"/>
        </w:rPr>
        <w:t>ss-Sectional Study. Life, 13(10), 2017. https://doi.org/10.3390/life13102017</w:t>
      </w:r>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American Diabetes Association. (2024, July). </w:t>
      </w:r>
      <w:r>
        <w:rPr>
          <w:rFonts w:ascii="Times New Roman" w:eastAsia="Times New Roman" w:hAnsi="Times New Roman" w:cs="Times New Roman"/>
          <w:i/>
          <w:iCs/>
          <w:sz w:val="24"/>
          <w:szCs w:val="24"/>
        </w:rPr>
        <w:t>Diabetes mellitus: ADA standards of medical care in diabetes (2024)</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NursingCenter</w:t>
      </w:r>
      <w:proofErr w:type="spellEnd"/>
      <w:r>
        <w:rPr>
          <w:rFonts w:ascii="Times New Roman" w:eastAsia="Times New Roman" w:hAnsi="Times New Roman" w:cs="Times New Roman"/>
          <w:sz w:val="24"/>
          <w:szCs w:val="24"/>
        </w:rPr>
        <w:t>.</w:t>
      </w:r>
      <w:hyperlink r:id="rId6">
        <w:r>
          <w:rPr>
            <w:rFonts w:ascii="Times New Roman" w:eastAsia="Times New Roman" w:hAnsi="Times New Roman" w:cs="Times New Roman"/>
            <w:sz w:val="24"/>
            <w:szCs w:val="24"/>
            <w:u w:val="single"/>
          </w:rPr>
          <w:t xml:space="preserve"> </w:t>
        </w:r>
      </w:hyperlink>
      <w:hyperlink r:id="rId7">
        <w:r>
          <w:rPr>
            <w:rFonts w:ascii="Times New Roman" w:eastAsia="Times New Roman" w:hAnsi="Times New Roman" w:cs="Times New Roman"/>
            <w:sz w:val="24"/>
            <w:szCs w:val="24"/>
            <w:u w:val="single"/>
          </w:rPr>
          <w:t>https://www.nursingcenter.com/getattachment/Clinical-Resources/Guideline-Summaries/Diabetes/Guideline-Summary_Diabetes-mellitus_ADA-Standards_2024.pdf.aspx</w:t>
        </w:r>
      </w:hyperlink>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Budak, A., Solmaz, I., </w:t>
      </w:r>
      <w:proofErr w:type="spellStart"/>
      <w:r>
        <w:rPr>
          <w:rFonts w:ascii="Times New Roman" w:eastAsia="Times New Roman" w:hAnsi="Times New Roman" w:cs="Times New Roman"/>
          <w:sz w:val="24"/>
          <w:szCs w:val="24"/>
        </w:rPr>
        <w:t>Alakuş</w:t>
      </w:r>
      <w:proofErr w:type="spellEnd"/>
      <w:r>
        <w:rPr>
          <w:rFonts w:ascii="Times New Roman" w:eastAsia="Times New Roman" w:hAnsi="Times New Roman" w:cs="Times New Roman"/>
          <w:sz w:val="24"/>
          <w:szCs w:val="24"/>
        </w:rPr>
        <w:t>, Ö.</w:t>
      </w:r>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Başgöz</w:t>
      </w:r>
      <w:proofErr w:type="spellEnd"/>
      <w:r>
        <w:rPr>
          <w:rFonts w:ascii="Times New Roman" w:eastAsia="Times New Roman" w:hAnsi="Times New Roman" w:cs="Times New Roman"/>
          <w:sz w:val="24"/>
          <w:szCs w:val="24"/>
        </w:rPr>
        <w:t xml:space="preserve">, B. B. (2026). Diagnostic performance of HbA1c for detecting OGTT-diagnosed diabetes in obese individuals with suspected prediabetes. </w:t>
      </w:r>
      <w:r>
        <w:rPr>
          <w:rFonts w:ascii="Times New Roman" w:eastAsia="Times New Roman" w:hAnsi="Times New Roman" w:cs="Times New Roman"/>
          <w:i/>
          <w:iCs/>
          <w:sz w:val="24"/>
          <w:szCs w:val="24"/>
        </w:rPr>
        <w:t>Journal of Clinical Medicine, 15</w:t>
      </w:r>
      <w:r>
        <w:rPr>
          <w:rFonts w:ascii="Times New Roman" w:eastAsia="Times New Roman" w:hAnsi="Times New Roman" w:cs="Times New Roman"/>
          <w:sz w:val="24"/>
          <w:szCs w:val="24"/>
        </w:rPr>
        <w:t>(1), 374.</w:t>
      </w:r>
      <w:hyperlink r:id="rId8">
        <w:r>
          <w:rPr>
            <w:rFonts w:ascii="Times New Roman" w:eastAsia="Times New Roman" w:hAnsi="Times New Roman" w:cs="Times New Roman"/>
            <w:sz w:val="24"/>
            <w:szCs w:val="24"/>
          </w:rPr>
          <w:t xml:space="preserve"> </w:t>
        </w:r>
      </w:hyperlink>
      <w:hyperlink r:id="rId9">
        <w:r>
          <w:rPr>
            <w:rFonts w:ascii="Times New Roman" w:eastAsia="Times New Roman" w:hAnsi="Times New Roman" w:cs="Times New Roman"/>
            <w:sz w:val="24"/>
            <w:szCs w:val="24"/>
            <w:u w:val="single"/>
          </w:rPr>
          <w:t>https://doi.org/10.3390/jcm15010374</w:t>
        </w:r>
      </w:hyperlink>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Camargo, M. S., Passos, L. C. S., </w:t>
      </w:r>
      <w:proofErr w:type="spellStart"/>
      <w:r>
        <w:rPr>
          <w:rFonts w:ascii="Times New Roman" w:eastAsia="Times New Roman" w:hAnsi="Times New Roman" w:cs="Times New Roman"/>
          <w:sz w:val="24"/>
          <w:szCs w:val="24"/>
        </w:rPr>
        <w:t>Mistro</w:t>
      </w:r>
      <w:proofErr w:type="spellEnd"/>
      <w:r>
        <w:rPr>
          <w:rFonts w:ascii="Times New Roman" w:eastAsia="Times New Roman" w:hAnsi="Times New Roman" w:cs="Times New Roman"/>
          <w:sz w:val="24"/>
          <w:szCs w:val="24"/>
        </w:rPr>
        <w:t>, S., Soares, D. A., Kochergin, C. N., Carvalho, V. C. H. S., Macedo, J. C. L., Cortes, T. B. A., &amp; Oliveira, M. G. (2021). Eva</w:t>
      </w:r>
      <w:r>
        <w:rPr>
          <w:rFonts w:ascii="Times New Roman" w:eastAsia="Times New Roman" w:hAnsi="Times New Roman" w:cs="Times New Roman"/>
          <w:sz w:val="24"/>
          <w:szCs w:val="24"/>
        </w:rPr>
        <w:t xml:space="preserve">luation of 1,5-anhydroglucitol as a biomarker for type 2 diabetes mellitus in patients without overt nephropathy. </w:t>
      </w:r>
      <w:r>
        <w:rPr>
          <w:rFonts w:ascii="Times New Roman" w:eastAsia="Times New Roman" w:hAnsi="Times New Roman" w:cs="Times New Roman"/>
          <w:i/>
          <w:iCs/>
          <w:sz w:val="24"/>
          <w:szCs w:val="24"/>
        </w:rPr>
        <w:t>Brazilian Journal of Pharmaceutical Sciences, 57</w:t>
      </w:r>
      <w:r>
        <w:rPr>
          <w:rFonts w:ascii="Times New Roman" w:eastAsia="Times New Roman" w:hAnsi="Times New Roman" w:cs="Times New Roman"/>
          <w:sz w:val="24"/>
          <w:szCs w:val="24"/>
        </w:rPr>
        <w:t>, e19078.</w:t>
      </w:r>
      <w:hyperlink r:id="rId10">
        <w:r>
          <w:rPr>
            <w:rFonts w:ascii="Times New Roman" w:eastAsia="Times New Roman" w:hAnsi="Times New Roman" w:cs="Times New Roman"/>
            <w:sz w:val="24"/>
            <w:szCs w:val="24"/>
            <w:u w:val="single"/>
          </w:rPr>
          <w:t xml:space="preserve"> https://doi.org/1</w:t>
        </w:r>
        <w:r>
          <w:rPr>
            <w:rFonts w:ascii="Times New Roman" w:eastAsia="Times New Roman" w:hAnsi="Times New Roman" w:cs="Times New Roman"/>
            <w:sz w:val="24"/>
            <w:szCs w:val="24"/>
            <w:u w:val="single"/>
          </w:rPr>
          <w:t>0.1590/s2175-97902020000419078</w:t>
        </w:r>
      </w:hyperlink>
    </w:p>
    <w:p w:rsidR="007F44DA" w:rsidRDefault="00CB6F9E">
      <w:pPr>
        <w:spacing w:before="240" w:after="240"/>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Chivese</w:t>
      </w:r>
      <w:proofErr w:type="spellEnd"/>
      <w:r>
        <w:rPr>
          <w:rFonts w:ascii="Times New Roman" w:eastAsia="Times New Roman" w:hAnsi="Times New Roman" w:cs="Times New Roman"/>
          <w:sz w:val="24"/>
          <w:szCs w:val="24"/>
        </w:rPr>
        <w:t xml:space="preserve">, T., Hirst, J., </w:t>
      </w:r>
      <w:proofErr w:type="spellStart"/>
      <w:r>
        <w:rPr>
          <w:rFonts w:ascii="Times New Roman" w:eastAsia="Times New Roman" w:hAnsi="Times New Roman" w:cs="Times New Roman"/>
          <w:sz w:val="24"/>
          <w:szCs w:val="24"/>
        </w:rPr>
        <w:t>Matizanadzo</w:t>
      </w:r>
      <w:proofErr w:type="spellEnd"/>
      <w:r>
        <w:rPr>
          <w:rFonts w:ascii="Times New Roman" w:eastAsia="Times New Roman" w:hAnsi="Times New Roman" w:cs="Times New Roman"/>
          <w:sz w:val="24"/>
          <w:szCs w:val="24"/>
        </w:rPr>
        <w:t xml:space="preserve">, J. T., Custodio, M., Farmer, A., Norris, S., &amp; Levitt, N. (2022). The diagnostic accuracy of </w:t>
      </w:r>
      <w:proofErr w:type="spellStart"/>
      <w:r>
        <w:rPr>
          <w:rFonts w:ascii="Times New Roman" w:eastAsia="Times New Roman" w:hAnsi="Times New Roman" w:cs="Times New Roman"/>
          <w:sz w:val="24"/>
          <w:szCs w:val="24"/>
        </w:rPr>
        <w:t>HbA₁c</w:t>
      </w:r>
      <w:proofErr w:type="spellEnd"/>
      <w:r>
        <w:rPr>
          <w:rFonts w:ascii="Times New Roman" w:eastAsia="Times New Roman" w:hAnsi="Times New Roman" w:cs="Times New Roman"/>
          <w:sz w:val="24"/>
          <w:szCs w:val="24"/>
        </w:rPr>
        <w:t xml:space="preserve">, compared to the oral glucose tolerance test, for screening for type 2 diabetes mellitus </w:t>
      </w:r>
      <w:r>
        <w:rPr>
          <w:rFonts w:ascii="Times New Roman" w:eastAsia="Times New Roman" w:hAnsi="Times New Roman" w:cs="Times New Roman"/>
          <w:sz w:val="24"/>
          <w:szCs w:val="24"/>
        </w:rPr>
        <w:t xml:space="preserve">in Africa—a systematic review and meta-analysis. </w:t>
      </w:r>
      <w:r>
        <w:rPr>
          <w:rFonts w:ascii="Times New Roman" w:eastAsia="Times New Roman" w:hAnsi="Times New Roman" w:cs="Times New Roman"/>
          <w:i/>
          <w:iCs/>
          <w:sz w:val="24"/>
          <w:szCs w:val="24"/>
        </w:rPr>
        <w:t>Diabetic Medicine, 39</w:t>
      </w:r>
      <w:r>
        <w:rPr>
          <w:rFonts w:ascii="Times New Roman" w:eastAsia="Times New Roman" w:hAnsi="Times New Roman" w:cs="Times New Roman"/>
          <w:sz w:val="24"/>
          <w:szCs w:val="24"/>
        </w:rPr>
        <w:t>(4), e14754. https://doi.org/10.1111/dme.14754</w:t>
      </w:r>
    </w:p>
    <w:p w:rsidR="007F44DA" w:rsidRDefault="00CB6F9E">
      <w:pPr>
        <w:spacing w:before="240" w:after="240"/>
        <w:ind w:left="720" w:hanging="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Chume</w:t>
      </w:r>
      <w:proofErr w:type="spellEnd"/>
      <w:r>
        <w:rPr>
          <w:rFonts w:ascii="Times New Roman" w:eastAsia="Times New Roman" w:hAnsi="Times New Roman" w:cs="Times New Roman"/>
          <w:sz w:val="24"/>
          <w:szCs w:val="24"/>
        </w:rPr>
        <w:t>, F. C., Kieling, M. H., Freitas, P. A. C., Cavagnolli, G., &amp; Camargo, J. L. (2019). Glycated albumin as a diagnostic tool in diabetes</w:t>
      </w:r>
      <w:r>
        <w:rPr>
          <w:rFonts w:ascii="Times New Roman" w:eastAsia="Times New Roman" w:hAnsi="Times New Roman" w:cs="Times New Roman"/>
          <w:sz w:val="24"/>
          <w:szCs w:val="24"/>
        </w:rPr>
        <w:t xml:space="preserve">: An alternative or an additional test? </w:t>
      </w:r>
      <w:r>
        <w:rPr>
          <w:rFonts w:ascii="Times New Roman" w:eastAsia="Times New Roman" w:hAnsi="Times New Roman" w:cs="Times New Roman"/>
          <w:i/>
          <w:iCs/>
          <w:sz w:val="24"/>
          <w:szCs w:val="24"/>
        </w:rPr>
        <w:t>PLOS ONE, 14</w:t>
      </w:r>
      <w:r>
        <w:rPr>
          <w:rFonts w:ascii="Times New Roman" w:eastAsia="Times New Roman" w:hAnsi="Times New Roman" w:cs="Times New Roman"/>
          <w:sz w:val="24"/>
          <w:szCs w:val="24"/>
        </w:rPr>
        <w:t>(12), e0227065.</w:t>
      </w:r>
      <w:hyperlink r:id="rId11">
        <w:r>
          <w:rPr>
            <w:rFonts w:ascii="Times New Roman" w:eastAsia="Times New Roman" w:hAnsi="Times New Roman" w:cs="Times New Roman"/>
            <w:sz w:val="24"/>
            <w:szCs w:val="24"/>
            <w:u w:val="single"/>
          </w:rPr>
          <w:t xml:space="preserve"> https://doi.org/10.1371/journal.pone.0227065</w:t>
        </w:r>
      </w:hyperlink>
    </w:p>
    <w:p w:rsidR="007F44DA" w:rsidRDefault="00CB6F9E">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Ciaccio, M. (2019). </w:t>
      </w:r>
      <w:r>
        <w:rPr>
          <w:rFonts w:ascii="Times New Roman" w:eastAsia="Times New Roman" w:hAnsi="Times New Roman" w:cs="Times New Roman"/>
          <w:i/>
          <w:iCs/>
          <w:sz w:val="24"/>
          <w:szCs w:val="24"/>
        </w:rPr>
        <w:t>Introduction of glycated albumin in clinical practice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w:t>
      </w:r>
      <w:r>
        <w:rPr>
          <w:rFonts w:ascii="Times New Roman" w:eastAsia="Times New Roman" w:hAnsi="Times New Roman" w:cs="Times New Roman"/>
          <w:i/>
          <w:iCs/>
          <w:sz w:val="24"/>
          <w:szCs w:val="24"/>
        </w:rPr>
        <w:t>nal of Laboratory and Precision Medicine, 4</w:t>
      </w:r>
      <w:r>
        <w:rPr>
          <w:rFonts w:ascii="Times New Roman" w:eastAsia="Times New Roman" w:hAnsi="Times New Roman" w:cs="Times New Roman"/>
          <w:sz w:val="24"/>
          <w:szCs w:val="24"/>
        </w:rPr>
        <w:t>, 28. https://doi.org/10.21037/jlpm.2019.08.02</w:t>
      </w:r>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Dunn, T. C., Xu, Y., &amp; </w:t>
      </w:r>
      <w:proofErr w:type="spellStart"/>
      <w:r>
        <w:rPr>
          <w:rFonts w:ascii="Times New Roman" w:eastAsia="Times New Roman" w:hAnsi="Times New Roman" w:cs="Times New Roman"/>
          <w:sz w:val="24"/>
          <w:szCs w:val="24"/>
        </w:rPr>
        <w:t>Ajjan</w:t>
      </w:r>
      <w:proofErr w:type="spellEnd"/>
      <w:r>
        <w:rPr>
          <w:rFonts w:ascii="Times New Roman" w:eastAsia="Times New Roman" w:hAnsi="Times New Roman" w:cs="Times New Roman"/>
          <w:sz w:val="24"/>
          <w:szCs w:val="24"/>
        </w:rPr>
        <w:t xml:space="preserve">, R. A. (2023). Personalized glycated hemoglobin in diabetes management: Closing the gap with glucose management indicator. </w:t>
      </w:r>
      <w:r>
        <w:rPr>
          <w:rFonts w:ascii="Times New Roman" w:eastAsia="Times New Roman" w:hAnsi="Times New Roman" w:cs="Times New Roman"/>
          <w:i/>
          <w:iCs/>
          <w:sz w:val="24"/>
          <w:szCs w:val="24"/>
        </w:rPr>
        <w:t>Diabetes Techn</w:t>
      </w:r>
      <w:r>
        <w:rPr>
          <w:rFonts w:ascii="Times New Roman" w:eastAsia="Times New Roman" w:hAnsi="Times New Roman" w:cs="Times New Roman"/>
          <w:i/>
          <w:iCs/>
          <w:sz w:val="24"/>
          <w:szCs w:val="24"/>
        </w:rPr>
        <w:t>ology &amp; Therapeutics, 25</w:t>
      </w:r>
      <w:r>
        <w:rPr>
          <w:rFonts w:ascii="Times New Roman" w:eastAsia="Times New Roman" w:hAnsi="Times New Roman" w:cs="Times New Roman"/>
          <w:sz w:val="24"/>
          <w:szCs w:val="24"/>
        </w:rPr>
        <w:t>(Suppl. 3).</w:t>
      </w:r>
      <w:hyperlink r:id="rId12">
        <w:r>
          <w:rPr>
            <w:rFonts w:ascii="Times New Roman" w:eastAsia="Times New Roman" w:hAnsi="Times New Roman" w:cs="Times New Roman"/>
            <w:sz w:val="24"/>
            <w:szCs w:val="24"/>
            <w:u w:val="single"/>
          </w:rPr>
          <w:t xml:space="preserve"> https://doi.org/10.1089/dia.2023.01</w:t>
        </w:r>
      </w:hyperlink>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Duong, K. N. C., Tan, C. J., </w:t>
      </w:r>
      <w:proofErr w:type="spellStart"/>
      <w:r>
        <w:rPr>
          <w:rFonts w:ascii="Times New Roman" w:eastAsia="Times New Roman" w:hAnsi="Times New Roman" w:cs="Times New Roman"/>
          <w:sz w:val="24"/>
          <w:szCs w:val="24"/>
        </w:rPr>
        <w:t>Rattanasiri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Thakkinstian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Anothaisintawee</w:t>
      </w:r>
      <w:proofErr w:type="spellEnd"/>
      <w:r>
        <w:rPr>
          <w:rFonts w:ascii="Times New Roman" w:eastAsia="Times New Roman" w:hAnsi="Times New Roman" w:cs="Times New Roman"/>
          <w:sz w:val="24"/>
          <w:szCs w:val="24"/>
        </w:rPr>
        <w:t xml:space="preserve">, T., &amp; </w:t>
      </w:r>
      <w:proofErr w:type="spellStart"/>
      <w:r>
        <w:rPr>
          <w:rFonts w:ascii="Times New Roman" w:eastAsia="Times New Roman" w:hAnsi="Times New Roman" w:cs="Times New Roman"/>
          <w:sz w:val="24"/>
          <w:szCs w:val="24"/>
        </w:rPr>
        <w:t>Chaiyakunapruk</w:t>
      </w:r>
      <w:proofErr w:type="spellEnd"/>
      <w:r>
        <w:rPr>
          <w:rFonts w:ascii="Times New Roman" w:eastAsia="Times New Roman" w:hAnsi="Times New Roman" w:cs="Times New Roman"/>
          <w:sz w:val="24"/>
          <w:szCs w:val="24"/>
        </w:rPr>
        <w:t xml:space="preserve">, N. (2023). </w:t>
      </w:r>
      <w:r>
        <w:rPr>
          <w:rFonts w:ascii="Times New Roman" w:eastAsia="Times New Roman" w:hAnsi="Times New Roman" w:cs="Times New Roman"/>
          <w:i/>
          <w:iCs/>
          <w:sz w:val="24"/>
          <w:szCs w:val="24"/>
        </w:rPr>
        <w:t>Comparison of d</w:t>
      </w:r>
      <w:r>
        <w:rPr>
          <w:rFonts w:ascii="Times New Roman" w:eastAsia="Times New Roman" w:hAnsi="Times New Roman" w:cs="Times New Roman"/>
          <w:i/>
          <w:iCs/>
          <w:sz w:val="24"/>
          <w:szCs w:val="24"/>
        </w:rPr>
        <w:t>iagnostic accuracy for diabetes diagnosis: A systematic review and network meta-analysis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Frontiers in Medicine, 10</w:t>
      </w:r>
      <w:r>
        <w:rPr>
          <w:rFonts w:ascii="Times New Roman" w:eastAsia="Times New Roman" w:hAnsi="Times New Roman" w:cs="Times New Roman"/>
          <w:sz w:val="24"/>
          <w:szCs w:val="24"/>
        </w:rPr>
        <w:t>, Article 1016381. https://doi.org/10.3389/fmed.2023.1016381</w:t>
      </w:r>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Eyth, E., Zubair, M., &amp; Naik, R. (2025). </w:t>
      </w:r>
      <w:r>
        <w:rPr>
          <w:rFonts w:ascii="Times New Roman" w:eastAsia="Times New Roman" w:hAnsi="Times New Roman" w:cs="Times New Roman"/>
          <w:i/>
          <w:iCs/>
          <w:sz w:val="24"/>
          <w:szCs w:val="24"/>
        </w:rPr>
        <w:t>Hemoglobin A1C</w:t>
      </w:r>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i/>
          <w:iCs/>
          <w:sz w:val="24"/>
          <w:szCs w:val="24"/>
        </w:rPr>
        <w:t>StatPearls</w:t>
      </w:r>
      <w:proofErr w:type="spellEnd"/>
      <w:r>
        <w:rPr>
          <w:rFonts w:ascii="Times New Roman" w:eastAsia="Times New Roman" w:hAnsi="Times New Roman" w:cs="Times New Roman"/>
          <w:sz w:val="24"/>
          <w:szCs w:val="24"/>
        </w:rPr>
        <w:t xml:space="preserve"> [Internet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w:t>
      </w:r>
      <w:hyperlink r:id="rId13">
        <w:r>
          <w:rPr>
            <w:rFonts w:ascii="Times New Roman" w:eastAsia="Times New Roman" w:hAnsi="Times New Roman" w:cs="Times New Roman"/>
            <w:sz w:val="24"/>
            <w:szCs w:val="24"/>
            <w:u w:val="single"/>
          </w:rPr>
          <w:t xml:space="preserve"> </w:t>
        </w:r>
      </w:hyperlink>
      <w:hyperlink r:id="rId14">
        <w:r>
          <w:rPr>
            <w:rFonts w:ascii="Times New Roman" w:eastAsia="Times New Roman" w:hAnsi="Times New Roman" w:cs="Times New Roman"/>
            <w:sz w:val="24"/>
            <w:szCs w:val="24"/>
            <w:u w:val="single"/>
          </w:rPr>
          <w:t>https://www.ncbi.nlm.nih.gov/books/NBK549816/</w:t>
        </w:r>
      </w:hyperlink>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Fang, M., Daya, N., Coresh, J.,</w:t>
      </w:r>
      <w:r>
        <w:rPr>
          <w:rFonts w:ascii="Times New Roman" w:eastAsia="Times New Roman" w:hAnsi="Times New Roman" w:cs="Times New Roman"/>
          <w:sz w:val="24"/>
          <w:szCs w:val="24"/>
        </w:rPr>
        <w:t xml:space="preserve"> Christenson, R. H., &amp; Selvin, E. (2022). </w:t>
      </w:r>
      <w:r>
        <w:rPr>
          <w:rFonts w:ascii="Times New Roman" w:eastAsia="Times New Roman" w:hAnsi="Times New Roman" w:cs="Times New Roman"/>
          <w:i/>
          <w:iCs/>
          <w:sz w:val="24"/>
          <w:szCs w:val="24"/>
        </w:rPr>
        <w:t>Glycated albumin for the diagnosis of diabetes in US adults</w:t>
      </w:r>
      <w:r>
        <w:rPr>
          <w:rFonts w:ascii="Times New Roman" w:eastAsia="Times New Roman" w:hAnsi="Times New Roman" w:cs="Times New Roman"/>
          <w:sz w:val="24"/>
          <w:szCs w:val="24"/>
        </w:rPr>
        <w:t>. Clinical Chemistry, 68(3), 413–421.</w:t>
      </w:r>
      <w:hyperlink r:id="rId15">
        <w:r>
          <w:rPr>
            <w:rFonts w:ascii="Times New Roman" w:eastAsia="Times New Roman" w:hAnsi="Times New Roman" w:cs="Times New Roman"/>
            <w:sz w:val="24"/>
            <w:szCs w:val="24"/>
            <w:u w:val="single"/>
          </w:rPr>
          <w:t xml:space="preserve"> https://doi.org/10.1093/clinchem/hvab231</w:t>
        </w:r>
      </w:hyperlink>
    </w:p>
    <w:p w:rsidR="007F44DA" w:rsidRDefault="00CB6F9E">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Ford, C. N., Leet, R. W., Kipling, L. M., Rhee, M. K., Jackson, S. L., Wilson, P. W. F., Phillips, L. S., &amp; </w:t>
      </w:r>
      <w:proofErr w:type="spellStart"/>
      <w:r>
        <w:rPr>
          <w:rFonts w:ascii="Times New Roman" w:eastAsia="Times New Roman" w:hAnsi="Times New Roman" w:cs="Times New Roman"/>
          <w:sz w:val="24"/>
          <w:szCs w:val="24"/>
        </w:rPr>
        <w:t>Staimez</w:t>
      </w:r>
      <w:proofErr w:type="spellEnd"/>
      <w:r>
        <w:rPr>
          <w:rFonts w:ascii="Times New Roman" w:eastAsia="Times New Roman" w:hAnsi="Times New Roman" w:cs="Times New Roman"/>
          <w:sz w:val="24"/>
          <w:szCs w:val="24"/>
        </w:rPr>
        <w:t>, L. R. (2019). Racial differences in performance of HbA1c for the classification of diabetes and prediabetes among US adults of non-Hispanic</w:t>
      </w:r>
      <w:r>
        <w:rPr>
          <w:rFonts w:ascii="Times New Roman" w:eastAsia="Times New Roman" w:hAnsi="Times New Roman" w:cs="Times New Roman"/>
          <w:sz w:val="24"/>
          <w:szCs w:val="24"/>
        </w:rPr>
        <w:t xml:space="preserve"> Black and White race. </w:t>
      </w:r>
      <w:r>
        <w:rPr>
          <w:rFonts w:ascii="Times New Roman" w:eastAsia="Times New Roman" w:hAnsi="Times New Roman" w:cs="Times New Roman"/>
          <w:i/>
          <w:iCs/>
          <w:sz w:val="24"/>
          <w:szCs w:val="24"/>
        </w:rPr>
        <w:t>Diabetic Medicine, 36</w:t>
      </w:r>
      <w:r>
        <w:rPr>
          <w:rFonts w:ascii="Times New Roman" w:eastAsia="Times New Roman" w:hAnsi="Times New Roman" w:cs="Times New Roman"/>
          <w:sz w:val="24"/>
          <w:szCs w:val="24"/>
        </w:rPr>
        <w:t>(10), 1234–1242. https://doi.org/10.1111/dme.13979</w:t>
      </w:r>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Gan, T., Liao, B., &amp; Xu, G. (2018). The clinical usefulness of glycated albumin in patients with diabetes and chronic kidney disease: Progress and challenges. </w:t>
      </w:r>
      <w:r>
        <w:rPr>
          <w:rFonts w:ascii="Times New Roman" w:eastAsia="Times New Roman" w:hAnsi="Times New Roman" w:cs="Times New Roman"/>
          <w:i/>
          <w:iCs/>
          <w:sz w:val="24"/>
          <w:szCs w:val="24"/>
        </w:rPr>
        <w:t>Jo</w:t>
      </w:r>
      <w:r>
        <w:rPr>
          <w:rFonts w:ascii="Times New Roman" w:eastAsia="Times New Roman" w:hAnsi="Times New Roman" w:cs="Times New Roman"/>
          <w:i/>
          <w:iCs/>
          <w:sz w:val="24"/>
          <w:szCs w:val="24"/>
        </w:rPr>
        <w:t>urnal of Diabetes and Its Complications, 32</w:t>
      </w:r>
      <w:r>
        <w:rPr>
          <w:rFonts w:ascii="Times New Roman" w:eastAsia="Times New Roman" w:hAnsi="Times New Roman" w:cs="Times New Roman"/>
          <w:sz w:val="24"/>
          <w:szCs w:val="24"/>
        </w:rPr>
        <w:t>(9), 876–884.</w:t>
      </w:r>
      <w:hyperlink r:id="rId16">
        <w:r>
          <w:rPr>
            <w:rFonts w:ascii="Times New Roman" w:eastAsia="Times New Roman" w:hAnsi="Times New Roman" w:cs="Times New Roman"/>
            <w:sz w:val="24"/>
            <w:szCs w:val="24"/>
            <w:u w:val="single"/>
          </w:rPr>
          <w:t xml:space="preserve"> https://doi.org/10.1016/j.jdiacomp.2018.07.004</w:t>
        </w:r>
      </w:hyperlink>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Gong, J., Wang, J., Xiang, L., Huang, X., Xiao, L., Su, Q., Xu, X., Feng, R., Li, W., </w:t>
      </w:r>
      <w:r>
        <w:rPr>
          <w:rFonts w:ascii="Times New Roman" w:eastAsia="Times New Roman" w:hAnsi="Times New Roman" w:cs="Times New Roman"/>
          <w:sz w:val="24"/>
          <w:szCs w:val="24"/>
        </w:rPr>
        <w:t xml:space="preserve">Du, S., &amp; Ye, W. (2025). Evaluation of the diagnostic efficacy of different glycemic markers and insulin indices for diabetes mellitus in a general population. </w:t>
      </w:r>
      <w:r>
        <w:rPr>
          <w:rFonts w:ascii="Times New Roman" w:eastAsia="Times New Roman" w:hAnsi="Times New Roman" w:cs="Times New Roman"/>
          <w:i/>
          <w:iCs/>
          <w:sz w:val="24"/>
          <w:szCs w:val="24"/>
        </w:rPr>
        <w:t>Annals of Medicine</w:t>
      </w:r>
      <w:r>
        <w:rPr>
          <w:rFonts w:ascii="Times New Roman" w:eastAsia="Times New Roman" w:hAnsi="Times New Roman" w:cs="Times New Roman"/>
          <w:sz w:val="24"/>
          <w:szCs w:val="24"/>
        </w:rPr>
        <w:t>, 57(1), Article 2561226.</w:t>
      </w:r>
      <w:hyperlink r:id="rId17">
        <w:r>
          <w:rPr>
            <w:rFonts w:ascii="Times New Roman" w:eastAsia="Times New Roman" w:hAnsi="Times New Roman" w:cs="Times New Roman"/>
            <w:sz w:val="24"/>
            <w:szCs w:val="24"/>
          </w:rPr>
          <w:t xml:space="preserve"> </w:t>
        </w:r>
      </w:hyperlink>
      <w:hyperlink r:id="rId18">
        <w:r>
          <w:rPr>
            <w:rFonts w:ascii="Times New Roman" w:eastAsia="Times New Roman" w:hAnsi="Times New Roman" w:cs="Times New Roman"/>
            <w:sz w:val="24"/>
            <w:szCs w:val="24"/>
            <w:u w:val="single"/>
          </w:rPr>
          <w:t>https://doi.org/10.1080/07853890.2025.2561226</w:t>
        </w:r>
      </w:hyperlink>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Gounden, V., Anastasopoulou, C., Zubair, M., &amp; </w:t>
      </w:r>
      <w:proofErr w:type="spellStart"/>
      <w:r>
        <w:rPr>
          <w:rFonts w:ascii="Times New Roman" w:eastAsia="Times New Roman" w:hAnsi="Times New Roman" w:cs="Times New Roman"/>
          <w:sz w:val="24"/>
          <w:szCs w:val="24"/>
        </w:rPr>
        <w:t>Jialal</w:t>
      </w:r>
      <w:proofErr w:type="spellEnd"/>
      <w:r>
        <w:rPr>
          <w:rFonts w:ascii="Times New Roman" w:eastAsia="Times New Roman" w:hAnsi="Times New Roman" w:cs="Times New Roman"/>
          <w:sz w:val="24"/>
          <w:szCs w:val="24"/>
        </w:rPr>
        <w:t xml:space="preserve">, I. (2025). </w:t>
      </w:r>
      <w:r>
        <w:rPr>
          <w:rFonts w:ascii="Times New Roman" w:eastAsia="Times New Roman" w:hAnsi="Times New Roman" w:cs="Times New Roman"/>
          <w:i/>
          <w:iCs/>
          <w:sz w:val="24"/>
          <w:szCs w:val="24"/>
        </w:rPr>
        <w:t xml:space="preserve">Clinical utility of </w:t>
      </w:r>
      <w:proofErr w:type="spellStart"/>
      <w:r>
        <w:rPr>
          <w:rFonts w:ascii="Times New Roman" w:eastAsia="Times New Roman" w:hAnsi="Times New Roman" w:cs="Times New Roman"/>
          <w:i/>
          <w:iCs/>
          <w:sz w:val="24"/>
          <w:szCs w:val="24"/>
        </w:rPr>
        <w:t>fructosamine</w:t>
      </w:r>
      <w:proofErr w:type="spellEnd"/>
      <w:r>
        <w:rPr>
          <w:rFonts w:ascii="Times New Roman" w:eastAsia="Times New Roman" w:hAnsi="Times New Roman" w:cs="Times New Roman"/>
          <w:i/>
          <w:iCs/>
          <w:sz w:val="24"/>
          <w:szCs w:val="24"/>
        </w:rPr>
        <w:t xml:space="preserve"> and glycated albumin</w:t>
      </w:r>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i/>
          <w:iCs/>
          <w:sz w:val="24"/>
          <w:szCs w:val="24"/>
        </w:rPr>
        <w:t>StatPear</w:t>
      </w:r>
      <w:r>
        <w:rPr>
          <w:rFonts w:ascii="Times New Roman" w:eastAsia="Times New Roman" w:hAnsi="Times New Roman" w:cs="Times New Roman"/>
          <w:i/>
          <w:iCs/>
          <w:sz w:val="24"/>
          <w:szCs w:val="24"/>
        </w:rPr>
        <w:t>ls</w:t>
      </w:r>
      <w:proofErr w:type="spellEnd"/>
      <w:r>
        <w:rPr>
          <w:rFonts w:ascii="Times New Roman" w:eastAsia="Times New Roman" w:hAnsi="Times New Roman" w:cs="Times New Roman"/>
          <w:i/>
          <w:iCs/>
          <w:sz w:val="24"/>
          <w:szCs w:val="24"/>
        </w:rPr>
        <w:t xml:space="preserve"> [Internet]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w:t>
      </w:r>
      <w:hyperlink r:id="rId19">
        <w:r>
          <w:rPr>
            <w:rFonts w:ascii="Times New Roman" w:eastAsia="Times New Roman" w:hAnsi="Times New Roman" w:cs="Times New Roman"/>
            <w:sz w:val="24"/>
            <w:szCs w:val="24"/>
            <w:u w:val="single"/>
          </w:rPr>
          <w:t xml:space="preserve"> https://www.ncbi.nlm.nih.gov/books/NBK470185/</w:t>
        </w:r>
      </w:hyperlink>
    </w:p>
    <w:p w:rsidR="007F44DA" w:rsidRDefault="00CB6F9E">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Habib, A., Imran, S., Furqan, S., Majid, H., Jafri, L., Islam, N. (2018). Comparison of diagnostic accuracy</w:t>
      </w:r>
      <w:r>
        <w:rPr>
          <w:rFonts w:ascii="Times New Roman" w:eastAsia="Times New Roman" w:hAnsi="Times New Roman" w:cs="Times New Roman"/>
          <w:sz w:val="24"/>
          <w:szCs w:val="24"/>
        </w:rPr>
        <w:t xml:space="preserve"> of glycated hemoglobin (HBA1C) and 2-hour post glucose for diabetes using American Diabetic Association (ADA) cut offs in Pakistani population. </w:t>
      </w:r>
      <w:r>
        <w:rPr>
          <w:rFonts w:ascii="Times New Roman" w:eastAsia="Times New Roman" w:hAnsi="Times New Roman" w:cs="Times New Roman"/>
          <w:i/>
          <w:iCs/>
          <w:sz w:val="24"/>
          <w:szCs w:val="24"/>
        </w:rPr>
        <w:t>Pakistan Armed Forces Medical Journal, 68</w:t>
      </w:r>
      <w:r>
        <w:rPr>
          <w:rFonts w:ascii="Times New Roman" w:eastAsia="Times New Roman" w:hAnsi="Times New Roman" w:cs="Times New Roman"/>
          <w:sz w:val="24"/>
          <w:szCs w:val="24"/>
        </w:rPr>
        <w:t>(5), 1082-1087.</w:t>
      </w:r>
    </w:p>
    <w:p w:rsidR="007F44DA" w:rsidRDefault="00CB6F9E">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Hashim, I. A. (2024). Diabetes mellitus and hypoglycem</w:t>
      </w:r>
      <w:r>
        <w:rPr>
          <w:rFonts w:ascii="Times New Roman" w:eastAsia="Times New Roman" w:hAnsi="Times New Roman" w:cs="Times New Roman"/>
          <w:sz w:val="24"/>
          <w:szCs w:val="24"/>
        </w:rPr>
        <w:t xml:space="preserve">ic disorders. In </w:t>
      </w:r>
      <w:r>
        <w:rPr>
          <w:rFonts w:ascii="Times New Roman" w:eastAsia="Times New Roman" w:hAnsi="Times New Roman" w:cs="Times New Roman"/>
          <w:i/>
          <w:iCs/>
          <w:sz w:val="24"/>
          <w:szCs w:val="24"/>
        </w:rPr>
        <w:t>Tutorials in clinical chemistry</w:t>
      </w:r>
      <w:r>
        <w:rPr>
          <w:rFonts w:ascii="Times New Roman" w:eastAsia="Times New Roman" w:hAnsi="Times New Roman" w:cs="Times New Roman"/>
          <w:sz w:val="24"/>
          <w:szCs w:val="24"/>
        </w:rPr>
        <w:t>. Elsevier. https://doi.org/10.1016/B978-0-12-822949-1.00017-6</w:t>
      </w:r>
    </w:p>
    <w:p w:rsidR="007F44DA" w:rsidRDefault="00CB6F9E">
      <w:pPr>
        <w:spacing w:before="240" w:after="240"/>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Hjellestad</w:t>
      </w:r>
      <w:proofErr w:type="spellEnd"/>
      <w:r>
        <w:rPr>
          <w:rFonts w:ascii="Times New Roman" w:eastAsia="Times New Roman" w:hAnsi="Times New Roman" w:cs="Times New Roman"/>
          <w:sz w:val="24"/>
          <w:szCs w:val="24"/>
        </w:rPr>
        <w:t xml:space="preserve">, I. D., Astor, M. C., Nilsen, R. M., Søfteland, E., &amp; </w:t>
      </w:r>
      <w:proofErr w:type="spellStart"/>
      <w:r>
        <w:rPr>
          <w:rFonts w:ascii="Times New Roman" w:eastAsia="Times New Roman" w:hAnsi="Times New Roman" w:cs="Times New Roman"/>
          <w:sz w:val="24"/>
          <w:szCs w:val="24"/>
        </w:rPr>
        <w:t>Jonung</w:t>
      </w:r>
      <w:proofErr w:type="spellEnd"/>
      <w:r>
        <w:rPr>
          <w:rFonts w:ascii="Times New Roman" w:eastAsia="Times New Roman" w:hAnsi="Times New Roman" w:cs="Times New Roman"/>
          <w:sz w:val="24"/>
          <w:szCs w:val="24"/>
        </w:rPr>
        <w:t>, T. (2013). HbA1c versus oral glucose tolerance test as a method to diagn</w:t>
      </w:r>
      <w:r>
        <w:rPr>
          <w:rFonts w:ascii="Times New Roman" w:eastAsia="Times New Roman" w:hAnsi="Times New Roman" w:cs="Times New Roman"/>
          <w:sz w:val="24"/>
          <w:szCs w:val="24"/>
        </w:rPr>
        <w:t xml:space="preserve">ose diabetes mellitus in vascular surgery patients. </w:t>
      </w:r>
      <w:r>
        <w:rPr>
          <w:rFonts w:ascii="Times New Roman" w:eastAsia="Times New Roman" w:hAnsi="Times New Roman" w:cs="Times New Roman"/>
          <w:i/>
          <w:iCs/>
          <w:sz w:val="24"/>
          <w:szCs w:val="24"/>
        </w:rPr>
        <w:t>Cardiovascular Diabetology, 12</w:t>
      </w:r>
      <w:r>
        <w:rPr>
          <w:rFonts w:ascii="Times New Roman" w:eastAsia="Times New Roman" w:hAnsi="Times New Roman" w:cs="Times New Roman"/>
          <w:sz w:val="24"/>
          <w:szCs w:val="24"/>
        </w:rPr>
        <w:t>, 79. https://doi.org/10.1186/1475-2840-12-79</w:t>
      </w:r>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Hwang, Y.-C., Jung, C. H., Ahn, H.-Y., Jeon, W. S., Jin, S.-M., Woo, J.-T., Cha, B. S., Kim, J. H., Park, C.-Y., &amp; Lee, B.-W. (2</w:t>
      </w:r>
      <w:r>
        <w:rPr>
          <w:rFonts w:ascii="Times New Roman" w:eastAsia="Times New Roman" w:hAnsi="Times New Roman" w:cs="Times New Roman"/>
          <w:sz w:val="24"/>
          <w:szCs w:val="24"/>
        </w:rPr>
        <w:t xml:space="preserve">014). Optimal glycated albumin cutoff value to diagnose diabetes in Korean adults: A retrospective study based on the oral glucose tolerance test. </w:t>
      </w:r>
      <w:proofErr w:type="spellStart"/>
      <w:r>
        <w:rPr>
          <w:rFonts w:ascii="Times New Roman" w:eastAsia="Times New Roman" w:hAnsi="Times New Roman" w:cs="Times New Roman"/>
          <w:i/>
          <w:iCs/>
          <w:sz w:val="24"/>
          <w:szCs w:val="24"/>
        </w:rPr>
        <w:t>Clinica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Chimica</w:t>
      </w:r>
      <w:proofErr w:type="spellEnd"/>
      <w:r>
        <w:rPr>
          <w:rFonts w:ascii="Times New Roman" w:eastAsia="Times New Roman" w:hAnsi="Times New Roman" w:cs="Times New Roman"/>
          <w:i/>
          <w:iCs/>
          <w:sz w:val="24"/>
          <w:szCs w:val="24"/>
        </w:rPr>
        <w:t xml:space="preserve"> Acta, 437</w:t>
      </w:r>
      <w:r>
        <w:rPr>
          <w:rFonts w:ascii="Times New Roman" w:eastAsia="Times New Roman" w:hAnsi="Times New Roman" w:cs="Times New Roman"/>
          <w:sz w:val="24"/>
          <w:szCs w:val="24"/>
        </w:rPr>
        <w:t>, 1–5.</w:t>
      </w:r>
      <w:hyperlink r:id="rId20">
        <w:r>
          <w:rPr>
            <w:rFonts w:ascii="Times New Roman" w:eastAsia="Times New Roman" w:hAnsi="Times New Roman" w:cs="Times New Roman"/>
            <w:sz w:val="24"/>
            <w:szCs w:val="24"/>
            <w:u w:val="single"/>
          </w:rPr>
          <w:t xml:space="preserve"> https://doi.org/</w:t>
        </w:r>
        <w:r>
          <w:rPr>
            <w:rFonts w:ascii="Times New Roman" w:eastAsia="Times New Roman" w:hAnsi="Times New Roman" w:cs="Times New Roman"/>
            <w:sz w:val="24"/>
            <w:szCs w:val="24"/>
            <w:u w:val="single"/>
          </w:rPr>
          <w:t>10.1016/j.cca.2014.06.027</w:t>
        </w:r>
      </w:hyperlink>
    </w:p>
    <w:p w:rsidR="007F44DA" w:rsidRDefault="00CB6F9E">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Diabetes Federation. (2017). </w:t>
      </w:r>
      <w:r>
        <w:rPr>
          <w:rFonts w:ascii="Times New Roman" w:eastAsia="Times New Roman" w:hAnsi="Times New Roman" w:cs="Times New Roman"/>
          <w:i/>
          <w:iCs/>
          <w:sz w:val="24"/>
          <w:szCs w:val="24"/>
        </w:rPr>
        <w:t>IDF clinical practice recommendations for managing type 2 diabetes in primary care</w:t>
      </w:r>
      <w:r>
        <w:rPr>
          <w:rFonts w:ascii="Times New Roman" w:eastAsia="Times New Roman" w:hAnsi="Times New Roman" w:cs="Times New Roman"/>
          <w:sz w:val="24"/>
          <w:szCs w:val="24"/>
        </w:rPr>
        <w:t>. International Diabetes Federation. https://www.idf.org/what-we-do/education/idf-clinical-practice-recom</w:t>
      </w:r>
      <w:r>
        <w:rPr>
          <w:rFonts w:ascii="Times New Roman" w:eastAsia="Times New Roman" w:hAnsi="Times New Roman" w:cs="Times New Roman"/>
          <w:sz w:val="24"/>
          <w:szCs w:val="24"/>
        </w:rPr>
        <w:t>mendations-for-type-2-diabetes-2017/</w:t>
      </w:r>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International Diabetes Federation. (2025, April 14). </w:t>
      </w:r>
      <w:r>
        <w:rPr>
          <w:rFonts w:ascii="Times New Roman" w:eastAsia="Times New Roman" w:hAnsi="Times New Roman" w:cs="Times New Roman"/>
          <w:i/>
          <w:iCs/>
          <w:sz w:val="24"/>
          <w:szCs w:val="24"/>
        </w:rPr>
        <w:t>Over 250 million people worldwide unaware they have diabetes</w:t>
      </w:r>
      <w:r>
        <w:rPr>
          <w:rFonts w:ascii="Times New Roman" w:eastAsia="Times New Roman" w:hAnsi="Times New Roman" w:cs="Times New Roman"/>
          <w:sz w:val="24"/>
          <w:szCs w:val="24"/>
        </w:rPr>
        <w:t>. University of Washington Department of Medicine.</w:t>
      </w:r>
      <w:hyperlink r:id="rId21">
        <w:r>
          <w:rPr>
            <w:rFonts w:ascii="Times New Roman" w:eastAsia="Times New Roman" w:hAnsi="Times New Roman" w:cs="Times New Roman"/>
            <w:sz w:val="24"/>
            <w:szCs w:val="24"/>
            <w:u w:val="single"/>
          </w:rPr>
          <w:t xml:space="preserve"> https://mednews.uw.edu/index.php/news/2025-IDF-diabetes-atlas</w:t>
        </w:r>
      </w:hyperlink>
    </w:p>
    <w:p w:rsidR="007F44DA" w:rsidRDefault="00CB6F9E">
      <w:pPr>
        <w:spacing w:before="240" w:after="240"/>
        <w:ind w:left="720" w:hanging="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lastRenderedPageBreak/>
        <w:t>Kaiafa</w:t>
      </w:r>
      <w:proofErr w:type="spellEnd"/>
      <w:r>
        <w:rPr>
          <w:rFonts w:ascii="Times New Roman" w:eastAsia="Times New Roman" w:hAnsi="Times New Roman" w:cs="Times New Roman"/>
          <w:sz w:val="24"/>
          <w:szCs w:val="24"/>
        </w:rPr>
        <w:t xml:space="preserve">, G., Veneti, S., Polychronopoulos, G., </w:t>
      </w:r>
      <w:proofErr w:type="spellStart"/>
      <w:r>
        <w:rPr>
          <w:rFonts w:ascii="Times New Roman" w:eastAsia="Times New Roman" w:hAnsi="Times New Roman" w:cs="Times New Roman"/>
          <w:sz w:val="24"/>
          <w:szCs w:val="24"/>
        </w:rPr>
        <w:t>Pilalas</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Daios</w:t>
      </w:r>
      <w:proofErr w:type="spellEnd"/>
      <w:r>
        <w:rPr>
          <w:rFonts w:ascii="Times New Roman" w:eastAsia="Times New Roman" w:hAnsi="Times New Roman" w:cs="Times New Roman"/>
          <w:sz w:val="24"/>
          <w:szCs w:val="24"/>
        </w:rPr>
        <w:t xml:space="preserve">, S., Kanellos, I., </w:t>
      </w:r>
      <w:proofErr w:type="spellStart"/>
      <w:r>
        <w:rPr>
          <w:rFonts w:ascii="Times New Roman" w:eastAsia="Times New Roman" w:hAnsi="Times New Roman" w:cs="Times New Roman"/>
          <w:sz w:val="24"/>
          <w:szCs w:val="24"/>
        </w:rPr>
        <w:t>Didangelos</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Pagoni</w:t>
      </w:r>
      <w:proofErr w:type="spellEnd"/>
      <w:r>
        <w:rPr>
          <w:rFonts w:ascii="Times New Roman" w:eastAsia="Times New Roman" w:hAnsi="Times New Roman" w:cs="Times New Roman"/>
          <w:sz w:val="24"/>
          <w:szCs w:val="24"/>
        </w:rPr>
        <w:t xml:space="preserve">, S., &amp; Savopoulos, C. (2021). </w:t>
      </w:r>
      <w:r>
        <w:rPr>
          <w:rFonts w:ascii="Times New Roman" w:eastAsia="Times New Roman" w:hAnsi="Times New Roman" w:cs="Times New Roman"/>
          <w:i/>
          <w:iCs/>
          <w:sz w:val="24"/>
          <w:szCs w:val="24"/>
        </w:rPr>
        <w:t xml:space="preserve">Is HbA1c an ideal biomarker of </w:t>
      </w:r>
      <w:proofErr w:type="spellStart"/>
      <w:r>
        <w:rPr>
          <w:rFonts w:ascii="Times New Roman" w:eastAsia="Times New Roman" w:hAnsi="Times New Roman" w:cs="Times New Roman"/>
          <w:i/>
          <w:iCs/>
          <w:sz w:val="24"/>
          <w:szCs w:val="24"/>
        </w:rPr>
        <w:t>wellcontrolled</w:t>
      </w:r>
      <w:proofErr w:type="spellEnd"/>
      <w:r>
        <w:rPr>
          <w:rFonts w:ascii="Times New Roman" w:eastAsia="Times New Roman" w:hAnsi="Times New Roman" w:cs="Times New Roman"/>
          <w:i/>
          <w:iCs/>
          <w:sz w:val="24"/>
          <w:szCs w:val="24"/>
        </w:rPr>
        <w:t xml:space="preserve"> diabetes?</w:t>
      </w:r>
      <w:r>
        <w:rPr>
          <w:rFonts w:ascii="Times New Roman" w:eastAsia="Times New Roman" w:hAnsi="Times New Roman" w:cs="Times New Roman"/>
          <w:sz w:val="24"/>
          <w:szCs w:val="24"/>
        </w:rPr>
        <w:t xml:space="preserve"> Postgraduate Medical Journal, 97(1148), 380–383.</w:t>
      </w:r>
      <w:hyperlink r:id="rId22">
        <w:r>
          <w:rPr>
            <w:rFonts w:ascii="Times New Roman" w:eastAsia="Times New Roman" w:hAnsi="Times New Roman" w:cs="Times New Roman"/>
            <w:sz w:val="24"/>
            <w:szCs w:val="24"/>
          </w:rPr>
          <w:t xml:space="preserve"> </w:t>
        </w:r>
      </w:hyperlink>
      <w:hyperlink r:id="rId23">
        <w:r>
          <w:rPr>
            <w:rFonts w:ascii="Times New Roman" w:eastAsia="Times New Roman" w:hAnsi="Times New Roman" w:cs="Times New Roman"/>
            <w:sz w:val="24"/>
            <w:szCs w:val="24"/>
            <w:u w:val="single"/>
          </w:rPr>
          <w:t>https://doi.or</w:t>
        </w:r>
        <w:r>
          <w:rPr>
            <w:rFonts w:ascii="Times New Roman" w:eastAsia="Times New Roman" w:hAnsi="Times New Roman" w:cs="Times New Roman"/>
            <w:sz w:val="24"/>
            <w:szCs w:val="24"/>
            <w:u w:val="single"/>
          </w:rPr>
          <w:t>g/10.1136/postgradmedj2020138756</w:t>
        </w:r>
      </w:hyperlink>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Kaur, G., Lakshmi, P. V. M., Rastogi, A., Bhansali, A., Jain, S., </w:t>
      </w:r>
      <w:proofErr w:type="spellStart"/>
      <w:r>
        <w:rPr>
          <w:rFonts w:ascii="Times New Roman" w:eastAsia="Times New Roman" w:hAnsi="Times New Roman" w:cs="Times New Roman"/>
          <w:sz w:val="24"/>
          <w:szCs w:val="24"/>
        </w:rPr>
        <w:t>Teerawattananon</w:t>
      </w:r>
      <w:proofErr w:type="spellEnd"/>
      <w:r>
        <w:rPr>
          <w:rFonts w:ascii="Times New Roman" w:eastAsia="Times New Roman" w:hAnsi="Times New Roman" w:cs="Times New Roman"/>
          <w:sz w:val="24"/>
          <w:szCs w:val="24"/>
        </w:rPr>
        <w:t xml:space="preserve">, Y., Bano, H., &amp; </w:t>
      </w:r>
      <w:proofErr w:type="spellStart"/>
      <w:r>
        <w:rPr>
          <w:rFonts w:ascii="Times New Roman" w:eastAsia="Times New Roman" w:hAnsi="Times New Roman" w:cs="Times New Roman"/>
          <w:sz w:val="24"/>
          <w:szCs w:val="24"/>
        </w:rPr>
        <w:t>Prinja</w:t>
      </w:r>
      <w:proofErr w:type="spellEnd"/>
      <w:r>
        <w:rPr>
          <w:rFonts w:ascii="Times New Roman" w:eastAsia="Times New Roman" w:hAnsi="Times New Roman" w:cs="Times New Roman"/>
          <w:sz w:val="24"/>
          <w:szCs w:val="24"/>
        </w:rPr>
        <w:t xml:space="preserve">, S. (2020). </w:t>
      </w:r>
      <w:r>
        <w:rPr>
          <w:rFonts w:ascii="Times New Roman" w:eastAsia="Times New Roman" w:hAnsi="Times New Roman" w:cs="Times New Roman"/>
          <w:i/>
          <w:iCs/>
          <w:sz w:val="24"/>
          <w:szCs w:val="24"/>
        </w:rPr>
        <w:t>Diagnostic accuracy of tests for type 2 diabetes and prediabetes: A systematic review and meta-analysis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PLOS ONE, 15(11), e0242415.</w:t>
      </w:r>
      <w:hyperlink r:id="rId24">
        <w:r>
          <w:rPr>
            <w:rFonts w:ascii="Times New Roman" w:eastAsia="Times New Roman" w:hAnsi="Times New Roman" w:cs="Times New Roman"/>
            <w:sz w:val="24"/>
            <w:szCs w:val="24"/>
            <w:u w:val="single"/>
          </w:rPr>
          <w:t xml:space="preserve"> https://doi.org/10.1371/journal.pone.0242415</w:t>
        </w:r>
      </w:hyperlink>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Kim, M. S., Jo, D. S., &amp; Lee, D.-Y. (2019). Comparison of HbA1c and OGTT for the diagnosis of type 2 diabetes in childr</w:t>
      </w:r>
      <w:r>
        <w:rPr>
          <w:rFonts w:ascii="Times New Roman" w:eastAsia="Times New Roman" w:hAnsi="Times New Roman" w:cs="Times New Roman"/>
          <w:sz w:val="24"/>
          <w:szCs w:val="24"/>
        </w:rPr>
        <w:t xml:space="preserve">en at risk of diabetes. </w:t>
      </w:r>
      <w:r>
        <w:rPr>
          <w:rFonts w:ascii="Times New Roman" w:eastAsia="Times New Roman" w:hAnsi="Times New Roman" w:cs="Times New Roman"/>
          <w:i/>
          <w:iCs/>
          <w:sz w:val="24"/>
          <w:szCs w:val="24"/>
        </w:rPr>
        <w:t>Pediatrics &amp; Neonatology, 60</w:t>
      </w:r>
      <w:r>
        <w:rPr>
          <w:rFonts w:ascii="Times New Roman" w:eastAsia="Times New Roman" w:hAnsi="Times New Roman" w:cs="Times New Roman"/>
          <w:sz w:val="24"/>
          <w:szCs w:val="24"/>
        </w:rPr>
        <w:t>(4), 428–434.</w:t>
      </w:r>
      <w:hyperlink r:id="rId25">
        <w:r>
          <w:rPr>
            <w:rFonts w:ascii="Times New Roman" w:eastAsia="Times New Roman" w:hAnsi="Times New Roman" w:cs="Times New Roman"/>
            <w:sz w:val="24"/>
            <w:szCs w:val="24"/>
            <w:u w:val="single"/>
          </w:rPr>
          <w:t xml:space="preserve"> https://doi.org/10.1016/j.pedneo.2018.11.002</w:t>
        </w:r>
      </w:hyperlink>
    </w:p>
    <w:p w:rsidR="007F44DA" w:rsidRDefault="00CB6F9E">
      <w:pPr>
        <w:spacing w:before="240" w:after="240"/>
        <w:ind w:left="720" w:hanging="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Krhač</w:t>
      </w:r>
      <w:proofErr w:type="spellEnd"/>
      <w:r>
        <w:rPr>
          <w:rFonts w:ascii="Times New Roman" w:eastAsia="Times New Roman" w:hAnsi="Times New Roman" w:cs="Times New Roman"/>
          <w:sz w:val="24"/>
          <w:szCs w:val="24"/>
        </w:rPr>
        <w:t xml:space="preserve">, M., &amp; Lovrenčić, M. V. (2019). </w:t>
      </w:r>
      <w:r>
        <w:rPr>
          <w:rFonts w:ascii="Times New Roman" w:eastAsia="Times New Roman" w:hAnsi="Times New Roman" w:cs="Times New Roman"/>
          <w:i/>
          <w:iCs/>
          <w:sz w:val="24"/>
          <w:szCs w:val="24"/>
        </w:rPr>
        <w:t>Update on biomarkers of glycemic control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w:t>
      </w:r>
      <w:r>
        <w:rPr>
          <w:rFonts w:ascii="Times New Roman" w:eastAsia="Times New Roman" w:hAnsi="Times New Roman" w:cs="Times New Roman"/>
          <w:i/>
          <w:iCs/>
          <w:sz w:val="24"/>
          <w:szCs w:val="24"/>
        </w:rPr>
        <w:t>orld Journal of Diabetes, 10</w:t>
      </w:r>
      <w:r>
        <w:rPr>
          <w:rFonts w:ascii="Times New Roman" w:eastAsia="Times New Roman" w:hAnsi="Times New Roman" w:cs="Times New Roman"/>
          <w:sz w:val="24"/>
          <w:szCs w:val="24"/>
        </w:rPr>
        <w:t>(1), 1–15.</w:t>
      </w:r>
      <w:hyperlink r:id="rId26">
        <w:r>
          <w:rPr>
            <w:rFonts w:ascii="Times New Roman" w:eastAsia="Times New Roman" w:hAnsi="Times New Roman" w:cs="Times New Roman"/>
            <w:sz w:val="24"/>
            <w:szCs w:val="24"/>
          </w:rPr>
          <w:t xml:space="preserve"> </w:t>
        </w:r>
      </w:hyperlink>
      <w:hyperlink r:id="rId27">
        <w:r>
          <w:rPr>
            <w:rFonts w:ascii="Times New Roman" w:eastAsia="Times New Roman" w:hAnsi="Times New Roman" w:cs="Times New Roman"/>
            <w:sz w:val="24"/>
            <w:szCs w:val="24"/>
            <w:u w:val="single"/>
          </w:rPr>
          <w:t>https://doi.org/10.4239/wjd.v10.i1.1</w:t>
        </w:r>
      </w:hyperlink>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Little, R. R. (2016, August 1). </w:t>
      </w:r>
      <w:r>
        <w:rPr>
          <w:rFonts w:ascii="Times New Roman" w:eastAsia="Times New Roman" w:hAnsi="Times New Roman" w:cs="Times New Roman"/>
          <w:i/>
          <w:iCs/>
          <w:sz w:val="24"/>
          <w:szCs w:val="24"/>
        </w:rPr>
        <w:t xml:space="preserve">Beyond HbA1c: Assessing the utility </w:t>
      </w:r>
      <w:r>
        <w:rPr>
          <w:rFonts w:ascii="Times New Roman" w:eastAsia="Times New Roman" w:hAnsi="Times New Roman" w:cs="Times New Roman"/>
          <w:i/>
          <w:iCs/>
          <w:sz w:val="24"/>
          <w:szCs w:val="24"/>
        </w:rPr>
        <w:t xml:space="preserve">of </w:t>
      </w:r>
      <w:proofErr w:type="spellStart"/>
      <w:r>
        <w:rPr>
          <w:rFonts w:ascii="Times New Roman" w:eastAsia="Times New Roman" w:hAnsi="Times New Roman" w:cs="Times New Roman"/>
          <w:i/>
          <w:iCs/>
          <w:sz w:val="24"/>
          <w:szCs w:val="24"/>
        </w:rPr>
        <w:t>fructosamine</w:t>
      </w:r>
      <w:proofErr w:type="spellEnd"/>
      <w:r>
        <w:rPr>
          <w:rFonts w:ascii="Times New Roman" w:eastAsia="Times New Roman" w:hAnsi="Times New Roman" w:cs="Times New Roman"/>
          <w:i/>
          <w:iCs/>
          <w:sz w:val="24"/>
          <w:szCs w:val="24"/>
        </w:rPr>
        <w:t xml:space="preserve"> and glycated albumin measurement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Clinical Laboratory News</w:t>
      </w:r>
      <w:r>
        <w:rPr>
          <w:rFonts w:ascii="Times New Roman" w:eastAsia="Times New Roman" w:hAnsi="Times New Roman" w:cs="Times New Roman"/>
          <w:sz w:val="24"/>
          <w:szCs w:val="24"/>
        </w:rPr>
        <w:t>. Academy of Diagnostics and Laboratory Medicine.</w:t>
      </w:r>
      <w:hyperlink r:id="rId28">
        <w:r>
          <w:rPr>
            <w:rFonts w:ascii="Times New Roman" w:eastAsia="Times New Roman" w:hAnsi="Times New Roman" w:cs="Times New Roman"/>
            <w:sz w:val="24"/>
            <w:szCs w:val="24"/>
            <w:u w:val="single"/>
          </w:rPr>
          <w:t xml:space="preserve"> </w:t>
        </w:r>
      </w:hyperlink>
      <w:hyperlink r:id="rId29">
        <w:r>
          <w:rPr>
            <w:rFonts w:ascii="Times New Roman" w:eastAsia="Times New Roman" w:hAnsi="Times New Roman" w:cs="Times New Roman"/>
            <w:sz w:val="24"/>
            <w:szCs w:val="24"/>
            <w:u w:val="single"/>
          </w:rPr>
          <w:t>https://myadlm.org/cln/articles/2016/august/beyond-hba1c-assessing-th</w:t>
        </w:r>
        <w:r>
          <w:rPr>
            <w:rFonts w:ascii="Times New Roman" w:eastAsia="Times New Roman" w:hAnsi="Times New Roman" w:cs="Times New Roman"/>
            <w:sz w:val="24"/>
            <w:szCs w:val="24"/>
            <w:u w:val="single"/>
          </w:rPr>
          <w:t>e-utility-of-fructosamine-and-glycated-albumin-measurement/</w:t>
        </w:r>
      </w:hyperlink>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Mahmoud, A. A., El-</w:t>
      </w:r>
      <w:proofErr w:type="spellStart"/>
      <w:r>
        <w:rPr>
          <w:rFonts w:ascii="Times New Roman" w:eastAsia="Times New Roman" w:hAnsi="Times New Roman" w:cs="Times New Roman"/>
          <w:sz w:val="24"/>
          <w:szCs w:val="24"/>
        </w:rPr>
        <w:t>Hawy</w:t>
      </w:r>
      <w:proofErr w:type="spellEnd"/>
      <w:r>
        <w:rPr>
          <w:rFonts w:ascii="Times New Roman" w:eastAsia="Times New Roman" w:hAnsi="Times New Roman" w:cs="Times New Roman"/>
          <w:sz w:val="24"/>
          <w:szCs w:val="24"/>
        </w:rPr>
        <w:t xml:space="preserve">, M. A., Allam, E. T., Salem, A. H., &amp; Abo Hola, A. S. (2024). HbA1c or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on evaluating glucose intolerance in children with beta-thalassemia. </w:t>
      </w:r>
      <w:r>
        <w:rPr>
          <w:rFonts w:ascii="Times New Roman" w:eastAsia="Times New Roman" w:hAnsi="Times New Roman" w:cs="Times New Roman"/>
          <w:i/>
          <w:iCs/>
          <w:sz w:val="24"/>
          <w:szCs w:val="24"/>
        </w:rPr>
        <w:t>Pediatric Research</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96(5), 1292–1298.</w:t>
      </w:r>
      <w:hyperlink r:id="rId30">
        <w:r>
          <w:rPr>
            <w:rFonts w:ascii="Times New Roman" w:eastAsia="Times New Roman" w:hAnsi="Times New Roman" w:cs="Times New Roman"/>
            <w:sz w:val="24"/>
            <w:szCs w:val="24"/>
            <w:u w:val="single"/>
          </w:rPr>
          <w:t xml:space="preserve"> https://doi.org/10.1038/s41390-024-03146-y</w:t>
        </w:r>
      </w:hyperlink>
    </w:p>
    <w:p w:rsidR="007F44DA" w:rsidRDefault="00CB6F9E">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Malkan, Ü. Y., Gunes, G., &amp; </w:t>
      </w:r>
      <w:proofErr w:type="spellStart"/>
      <w:r>
        <w:rPr>
          <w:rFonts w:ascii="Times New Roman" w:eastAsia="Times New Roman" w:hAnsi="Times New Roman" w:cs="Times New Roman"/>
          <w:sz w:val="24"/>
          <w:szCs w:val="24"/>
        </w:rPr>
        <w:t>Corakci</w:t>
      </w:r>
      <w:proofErr w:type="spellEnd"/>
      <w:r>
        <w:rPr>
          <w:rFonts w:ascii="Times New Roman" w:eastAsia="Times New Roman" w:hAnsi="Times New Roman" w:cs="Times New Roman"/>
          <w:sz w:val="24"/>
          <w:szCs w:val="24"/>
        </w:rPr>
        <w:t>, A. (2015). Rational diagnoses of diabetes: The comparison of 1,5-anhydroglucitol with other gly</w:t>
      </w:r>
      <w:r>
        <w:rPr>
          <w:rFonts w:ascii="Times New Roman" w:eastAsia="Times New Roman" w:hAnsi="Times New Roman" w:cs="Times New Roman"/>
          <w:sz w:val="24"/>
          <w:szCs w:val="24"/>
        </w:rPr>
        <w:t xml:space="preserve">cemic markers. </w:t>
      </w:r>
      <w:proofErr w:type="spellStart"/>
      <w:r>
        <w:rPr>
          <w:rFonts w:ascii="Times New Roman" w:eastAsia="Times New Roman" w:hAnsi="Times New Roman" w:cs="Times New Roman"/>
          <w:i/>
          <w:iCs/>
          <w:sz w:val="24"/>
          <w:szCs w:val="24"/>
        </w:rPr>
        <w:t>SpringerPlus</w:t>
      </w:r>
      <w:proofErr w:type="spellEnd"/>
      <w:r>
        <w:rPr>
          <w:rFonts w:ascii="Times New Roman" w:eastAsia="Times New Roman" w:hAnsi="Times New Roman" w:cs="Times New Roman"/>
          <w:i/>
          <w:iCs/>
          <w:sz w:val="24"/>
          <w:szCs w:val="24"/>
        </w:rPr>
        <w:t>, 4</w:t>
      </w:r>
      <w:r>
        <w:rPr>
          <w:rFonts w:ascii="Times New Roman" w:eastAsia="Times New Roman" w:hAnsi="Times New Roman" w:cs="Times New Roman"/>
          <w:sz w:val="24"/>
          <w:szCs w:val="24"/>
        </w:rPr>
        <w:t>, Article 587. https://doi.org/10.1186/s40064-015-1384-6</w:t>
      </w:r>
    </w:p>
    <w:p w:rsidR="007F44DA" w:rsidRDefault="00CB6F9E">
      <w:pPr>
        <w:spacing w:before="240" w:after="240"/>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Melford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Chinwebudu</w:t>
      </w:r>
      <w:proofErr w:type="spellEnd"/>
      <w:r>
        <w:rPr>
          <w:rFonts w:ascii="Times New Roman" w:eastAsia="Times New Roman" w:hAnsi="Times New Roman" w:cs="Times New Roman"/>
          <w:sz w:val="24"/>
          <w:szCs w:val="24"/>
        </w:rPr>
        <w:t xml:space="preserve"> Miller, George G. Simeon, and Martin Mie-Ebi Wankasi. 2024. “Assessment of Biomarkers of Glycation in Type I, Type II and Gestational Diabetes Mellitus”. </w:t>
      </w:r>
      <w:r>
        <w:rPr>
          <w:rFonts w:ascii="Times New Roman" w:eastAsia="Times New Roman" w:hAnsi="Times New Roman" w:cs="Times New Roman"/>
          <w:i/>
          <w:iCs/>
          <w:sz w:val="24"/>
          <w:szCs w:val="24"/>
        </w:rPr>
        <w:t>International Journal of Biochemistry Research &amp; Review</w:t>
      </w:r>
      <w:r>
        <w:rPr>
          <w:rFonts w:ascii="Times New Roman" w:eastAsia="Times New Roman" w:hAnsi="Times New Roman" w:cs="Times New Roman"/>
          <w:sz w:val="24"/>
          <w:szCs w:val="24"/>
        </w:rPr>
        <w:t xml:space="preserve"> 33 (6):544-53.</w:t>
      </w:r>
      <w:hyperlink r:id="rId31">
        <w:r>
          <w:rPr>
            <w:rFonts w:ascii="Times New Roman" w:eastAsia="Times New Roman" w:hAnsi="Times New Roman" w:cs="Times New Roman"/>
            <w:sz w:val="24"/>
            <w:szCs w:val="24"/>
          </w:rPr>
          <w:t xml:space="preserve"> </w:t>
        </w:r>
      </w:hyperlink>
      <w:hyperlink r:id="rId32">
        <w:r>
          <w:rPr>
            <w:rFonts w:ascii="Times New Roman" w:eastAsia="Times New Roman" w:hAnsi="Times New Roman" w:cs="Times New Roman"/>
            <w:sz w:val="24"/>
            <w:szCs w:val="24"/>
            <w:u w:val="single"/>
          </w:rPr>
          <w:t>https://doi.org/10.9734/ijbcrr/2024/v33i6935</w:t>
        </w:r>
      </w:hyperlink>
      <w:r>
        <w:rPr>
          <w:rFonts w:ascii="Times New Roman" w:eastAsia="Times New Roman" w:hAnsi="Times New Roman" w:cs="Times New Roman"/>
          <w:sz w:val="24"/>
          <w:szCs w:val="24"/>
        </w:rPr>
        <w:t>.</w:t>
      </w:r>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Mercado, M. E. P., Kim, S., </w:t>
      </w:r>
      <w:proofErr w:type="spellStart"/>
      <w:r>
        <w:rPr>
          <w:rFonts w:ascii="Times New Roman" w:eastAsia="Times New Roman" w:hAnsi="Times New Roman" w:cs="Times New Roman"/>
          <w:sz w:val="24"/>
          <w:szCs w:val="24"/>
        </w:rPr>
        <w:t>Cutiongco</w:t>
      </w:r>
      <w:proofErr w:type="spellEnd"/>
      <w:r>
        <w:rPr>
          <w:rFonts w:ascii="Times New Roman" w:eastAsia="Times New Roman" w:hAnsi="Times New Roman" w:cs="Times New Roman"/>
          <w:sz w:val="24"/>
          <w:szCs w:val="24"/>
        </w:rPr>
        <w:t xml:space="preserve">-de la Paz, E. M., Seielstad, M., Paz-Pacheco, E., &amp; Murphy, E. J. (2026). </w:t>
      </w:r>
      <w:r>
        <w:rPr>
          <w:rFonts w:ascii="Times New Roman" w:eastAsia="Times New Roman" w:hAnsi="Times New Roman" w:cs="Times New Roman"/>
          <w:i/>
          <w:iCs/>
          <w:sz w:val="24"/>
          <w:szCs w:val="24"/>
        </w:rPr>
        <w:t>Discordance between HbA1C and glucose tests for the diagnosis of prediabetes in a Filipino-American cohort</w:t>
      </w:r>
      <w:r>
        <w:rPr>
          <w:rFonts w:ascii="Times New Roman" w:eastAsia="Times New Roman" w:hAnsi="Times New Roman" w:cs="Times New Roman"/>
          <w:sz w:val="24"/>
          <w:szCs w:val="24"/>
        </w:rPr>
        <w:t xml:space="preserve"> (preprint). </w:t>
      </w:r>
      <w:proofErr w:type="spellStart"/>
      <w:r>
        <w:rPr>
          <w:rFonts w:ascii="Times New Roman" w:eastAsia="Times New Roman" w:hAnsi="Times New Roman" w:cs="Times New Roman"/>
          <w:sz w:val="24"/>
          <w:szCs w:val="24"/>
        </w:rPr>
        <w:t>medRxiv</w:t>
      </w:r>
      <w:proofErr w:type="spellEnd"/>
      <w:r>
        <w:rPr>
          <w:rFonts w:ascii="Times New Roman" w:eastAsia="Times New Roman" w:hAnsi="Times New Roman" w:cs="Times New Roman"/>
          <w:sz w:val="24"/>
          <w:szCs w:val="24"/>
        </w:rPr>
        <w:t>.</w:t>
      </w:r>
      <w:hyperlink r:id="rId33">
        <w:r>
          <w:rPr>
            <w:rFonts w:ascii="Times New Roman" w:eastAsia="Times New Roman" w:hAnsi="Times New Roman" w:cs="Times New Roman"/>
            <w:sz w:val="24"/>
            <w:szCs w:val="24"/>
            <w:u w:val="single"/>
          </w:rPr>
          <w:t xml:space="preserve"> https://doi.org/10.64898/2026.01.09.26343777</w:t>
        </w:r>
      </w:hyperlink>
    </w:p>
    <w:p w:rsidR="007F44DA" w:rsidRDefault="00CB6F9E">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Metcalf, P. A., Kyl</w:t>
      </w:r>
      <w:r>
        <w:rPr>
          <w:rFonts w:ascii="Times New Roman" w:eastAsia="Times New Roman" w:hAnsi="Times New Roman" w:cs="Times New Roman"/>
          <w:sz w:val="24"/>
          <w:szCs w:val="24"/>
        </w:rPr>
        <w:t xml:space="preserve">e, C., Kenealy, T. W., </w:t>
      </w:r>
      <w:proofErr w:type="spellStart"/>
      <w:r>
        <w:rPr>
          <w:rFonts w:ascii="Times New Roman" w:eastAsia="Times New Roman" w:hAnsi="Times New Roman" w:cs="Times New Roman"/>
          <w:sz w:val="24"/>
          <w:szCs w:val="24"/>
        </w:rPr>
        <w:t>Sundborn</w:t>
      </w:r>
      <w:proofErr w:type="spellEnd"/>
      <w:r>
        <w:rPr>
          <w:rFonts w:ascii="Times New Roman" w:eastAsia="Times New Roman" w:hAnsi="Times New Roman" w:cs="Times New Roman"/>
          <w:sz w:val="24"/>
          <w:szCs w:val="24"/>
        </w:rPr>
        <w:t xml:space="preserve">, G., &amp; Jackson, R. T. (2016). Ethnic differences in HbA1c in adults in New Zealand: A cross-sectional study. </w:t>
      </w:r>
      <w:r>
        <w:rPr>
          <w:rFonts w:ascii="Times New Roman" w:eastAsia="Times New Roman" w:hAnsi="Times New Roman" w:cs="Times New Roman"/>
          <w:i/>
          <w:iCs/>
          <w:sz w:val="24"/>
          <w:szCs w:val="24"/>
        </w:rPr>
        <w:t>Integrative Obesity and Diabetes, 2</w:t>
      </w:r>
      <w:r>
        <w:rPr>
          <w:rFonts w:ascii="Times New Roman" w:eastAsia="Times New Roman" w:hAnsi="Times New Roman" w:cs="Times New Roman"/>
          <w:sz w:val="24"/>
          <w:szCs w:val="24"/>
        </w:rPr>
        <w:t>(5). https://doi.org/10.15761/IOD.1000205</w:t>
      </w:r>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 xml:space="preserve">Naik, S. R., Roopa, A. N., Girish, K. </w:t>
      </w:r>
      <w:r>
        <w:rPr>
          <w:rFonts w:ascii="Times New Roman" w:eastAsia="Times New Roman" w:hAnsi="Times New Roman" w:cs="Times New Roman"/>
          <w:sz w:val="24"/>
          <w:szCs w:val="24"/>
        </w:rPr>
        <w:t xml:space="preserve">S., Nagaraju, M. C., &amp; Tiwari, S. (2024). Comparative evaluation of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and glycated </w:t>
      </w:r>
      <w:proofErr w:type="spellStart"/>
      <w:r>
        <w:rPr>
          <w:rFonts w:ascii="Times New Roman" w:eastAsia="Times New Roman" w:hAnsi="Times New Roman" w:cs="Times New Roman"/>
          <w:sz w:val="24"/>
          <w:szCs w:val="24"/>
        </w:rPr>
        <w:t>haemoglobin</w:t>
      </w:r>
      <w:proofErr w:type="spellEnd"/>
      <w:r>
        <w:rPr>
          <w:rFonts w:ascii="Times New Roman" w:eastAsia="Times New Roman" w:hAnsi="Times New Roman" w:cs="Times New Roman"/>
          <w:sz w:val="24"/>
          <w:szCs w:val="24"/>
        </w:rPr>
        <w:t xml:space="preserve"> as a marker of </w:t>
      </w:r>
      <w:proofErr w:type="spellStart"/>
      <w:r>
        <w:rPr>
          <w:rFonts w:ascii="Times New Roman" w:eastAsia="Times New Roman" w:hAnsi="Times New Roman" w:cs="Times New Roman"/>
          <w:sz w:val="24"/>
          <w:szCs w:val="24"/>
        </w:rPr>
        <w:t>glycaemic</w:t>
      </w:r>
      <w:proofErr w:type="spellEnd"/>
      <w:r>
        <w:rPr>
          <w:rFonts w:ascii="Times New Roman" w:eastAsia="Times New Roman" w:hAnsi="Times New Roman" w:cs="Times New Roman"/>
          <w:sz w:val="24"/>
          <w:szCs w:val="24"/>
        </w:rPr>
        <w:t xml:space="preserve"> control in type 2 diabetes mellitus. </w:t>
      </w:r>
      <w:r>
        <w:rPr>
          <w:rFonts w:ascii="Times New Roman" w:eastAsia="Times New Roman" w:hAnsi="Times New Roman" w:cs="Times New Roman"/>
          <w:i/>
          <w:iCs/>
          <w:sz w:val="24"/>
          <w:szCs w:val="24"/>
        </w:rPr>
        <w:t>Journal of Diagnostic and Academic Pathology, 1</w:t>
      </w:r>
      <w:r>
        <w:rPr>
          <w:rFonts w:ascii="Times New Roman" w:eastAsia="Times New Roman" w:hAnsi="Times New Roman" w:cs="Times New Roman"/>
          <w:sz w:val="24"/>
          <w:szCs w:val="24"/>
        </w:rPr>
        <w:t>(2), 68–71.</w:t>
      </w:r>
      <w:hyperlink r:id="rId34">
        <w:r>
          <w:rPr>
            <w:rFonts w:ascii="Times New Roman" w:eastAsia="Times New Roman" w:hAnsi="Times New Roman" w:cs="Times New Roman"/>
            <w:sz w:val="24"/>
            <w:szCs w:val="24"/>
          </w:rPr>
          <w:t xml:space="preserve"> </w:t>
        </w:r>
      </w:hyperlink>
      <w:hyperlink r:id="rId35">
        <w:r>
          <w:rPr>
            <w:rFonts w:ascii="Times New Roman" w:eastAsia="Times New Roman" w:hAnsi="Times New Roman" w:cs="Times New Roman"/>
            <w:sz w:val="24"/>
            <w:szCs w:val="24"/>
            <w:u w:val="single"/>
          </w:rPr>
          <w:t>https://doi.org/10.4103/jdap.jdap_32_24</w:t>
        </w:r>
      </w:hyperlink>
    </w:p>
    <w:p w:rsidR="007F44DA" w:rsidRDefault="00CB6F9E">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Nayak, A. U., Singh, B. M., &amp; Dunmore, S. J. (2019). Potential clinical error arising from use of HbA1c in diabetes: Effects of</w:t>
      </w:r>
      <w:r>
        <w:rPr>
          <w:rFonts w:ascii="Times New Roman" w:eastAsia="Times New Roman" w:hAnsi="Times New Roman" w:cs="Times New Roman"/>
          <w:sz w:val="24"/>
          <w:szCs w:val="24"/>
        </w:rPr>
        <w:t xml:space="preserve"> the glycation gap. </w:t>
      </w:r>
      <w:r>
        <w:rPr>
          <w:rFonts w:ascii="Times New Roman" w:eastAsia="Times New Roman" w:hAnsi="Times New Roman" w:cs="Times New Roman"/>
          <w:i/>
          <w:iCs/>
          <w:sz w:val="24"/>
          <w:szCs w:val="24"/>
        </w:rPr>
        <w:t>Endocrine Reviews, 40</w:t>
      </w:r>
      <w:r>
        <w:rPr>
          <w:rFonts w:ascii="Times New Roman" w:eastAsia="Times New Roman" w:hAnsi="Times New Roman" w:cs="Times New Roman"/>
          <w:sz w:val="24"/>
          <w:szCs w:val="24"/>
        </w:rPr>
        <w:t>(4), 988–999.</w:t>
      </w:r>
      <w:hyperlink r:id="rId36">
        <w:r>
          <w:rPr>
            <w:rFonts w:ascii="Times New Roman" w:eastAsia="Times New Roman" w:hAnsi="Times New Roman" w:cs="Times New Roman"/>
            <w:sz w:val="24"/>
            <w:szCs w:val="24"/>
            <w:u w:val="single"/>
          </w:rPr>
          <w:t xml:space="preserve"> https://doi.org/10.1210/er.2018-00284</w:t>
        </w:r>
      </w:hyperlink>
      <w:r>
        <w:rPr>
          <w:rFonts w:ascii="Times New Roman" w:eastAsia="Times New Roman" w:hAnsi="Times New Roman" w:cs="Times New Roman"/>
          <w:sz w:val="24"/>
          <w:szCs w:val="24"/>
        </w:rPr>
        <w:t xml:space="preserve"> </w:t>
      </w:r>
    </w:p>
    <w:p w:rsidR="007F44DA" w:rsidRDefault="00CB6F9E">
      <w:pPr>
        <w:spacing w:before="240" w:after="240"/>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Owora</w:t>
      </w:r>
      <w:proofErr w:type="spellEnd"/>
      <w:r>
        <w:rPr>
          <w:rFonts w:ascii="Times New Roman" w:eastAsia="Times New Roman" w:hAnsi="Times New Roman" w:cs="Times New Roman"/>
          <w:sz w:val="24"/>
          <w:szCs w:val="24"/>
        </w:rPr>
        <w:t xml:space="preserve">, A. H. (2018). </w:t>
      </w:r>
      <w:r>
        <w:rPr>
          <w:rFonts w:ascii="Times New Roman" w:eastAsia="Times New Roman" w:hAnsi="Times New Roman" w:cs="Times New Roman"/>
          <w:i/>
          <w:iCs/>
          <w:sz w:val="24"/>
          <w:szCs w:val="24"/>
        </w:rPr>
        <w:t>Commentary: Diagnostic validity and clinical utility of HbA1c tests for type 2 diabe</w:t>
      </w:r>
      <w:r>
        <w:rPr>
          <w:rFonts w:ascii="Times New Roman" w:eastAsia="Times New Roman" w:hAnsi="Times New Roman" w:cs="Times New Roman"/>
          <w:i/>
          <w:iCs/>
          <w:sz w:val="24"/>
          <w:szCs w:val="24"/>
        </w:rPr>
        <w:t>tes mellitus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Current Diabetes Reviews, 14</w:t>
      </w:r>
      <w:r>
        <w:rPr>
          <w:rFonts w:ascii="Times New Roman" w:eastAsia="Times New Roman" w:hAnsi="Times New Roman" w:cs="Times New Roman"/>
          <w:sz w:val="24"/>
          <w:szCs w:val="24"/>
        </w:rPr>
        <w:t>(2), 196–199. https://doi.org/10.2174/1573399812666161129154559</w:t>
      </w:r>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Page, M. J., McKenzie, J. E., Bossuyt, P. M., Boutron, I., Hoffmann, T. C., Mulrow, C. D., … Moher, D. (2021). </w:t>
      </w:r>
      <w:r>
        <w:rPr>
          <w:rFonts w:ascii="Times New Roman" w:eastAsia="Times New Roman" w:hAnsi="Times New Roman" w:cs="Times New Roman"/>
          <w:i/>
          <w:iCs/>
          <w:sz w:val="24"/>
          <w:szCs w:val="24"/>
        </w:rPr>
        <w:t>The PRISMA 2020 statement: An updated g</w:t>
      </w:r>
      <w:r>
        <w:rPr>
          <w:rFonts w:ascii="Times New Roman" w:eastAsia="Times New Roman" w:hAnsi="Times New Roman" w:cs="Times New Roman"/>
          <w:i/>
          <w:iCs/>
          <w:sz w:val="24"/>
          <w:szCs w:val="24"/>
        </w:rPr>
        <w:t>uideline for reporting systematic reviews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BMJ, 372</w:t>
      </w:r>
      <w:r>
        <w:rPr>
          <w:rFonts w:ascii="Times New Roman" w:eastAsia="Times New Roman" w:hAnsi="Times New Roman" w:cs="Times New Roman"/>
          <w:sz w:val="24"/>
          <w:szCs w:val="24"/>
        </w:rPr>
        <w:t>, n71.</w:t>
      </w:r>
      <w:hyperlink r:id="rId37">
        <w:r>
          <w:rPr>
            <w:rFonts w:ascii="Times New Roman" w:eastAsia="Times New Roman" w:hAnsi="Times New Roman" w:cs="Times New Roman"/>
            <w:sz w:val="24"/>
            <w:szCs w:val="24"/>
            <w:u w:val="single"/>
          </w:rPr>
          <w:t xml:space="preserve"> https://doi.org/10.1136/bmj.n71</w:t>
        </w:r>
      </w:hyperlink>
    </w:p>
    <w:p w:rsidR="007F44DA" w:rsidRDefault="00CB6F9E">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Raghubeer, S., </w:t>
      </w:r>
      <w:proofErr w:type="spellStart"/>
      <w:r>
        <w:rPr>
          <w:rFonts w:ascii="Times New Roman" w:eastAsia="Times New Roman" w:hAnsi="Times New Roman" w:cs="Times New Roman"/>
          <w:sz w:val="24"/>
          <w:szCs w:val="24"/>
        </w:rPr>
        <w:t>Matshazi</w:t>
      </w:r>
      <w:proofErr w:type="spellEnd"/>
      <w:r>
        <w:rPr>
          <w:rFonts w:ascii="Times New Roman" w:eastAsia="Times New Roman" w:hAnsi="Times New Roman" w:cs="Times New Roman"/>
          <w:sz w:val="24"/>
          <w:szCs w:val="24"/>
        </w:rPr>
        <w:t xml:space="preserve">, D. M., </w:t>
      </w:r>
      <w:proofErr w:type="spellStart"/>
      <w:r>
        <w:rPr>
          <w:rFonts w:ascii="Times New Roman" w:eastAsia="Times New Roman" w:hAnsi="Times New Roman" w:cs="Times New Roman"/>
          <w:sz w:val="24"/>
          <w:szCs w:val="24"/>
        </w:rPr>
        <w:t>Motshwari</w:t>
      </w:r>
      <w:proofErr w:type="spellEnd"/>
      <w:r>
        <w:rPr>
          <w:rFonts w:ascii="Times New Roman" w:eastAsia="Times New Roman" w:hAnsi="Times New Roman" w:cs="Times New Roman"/>
          <w:sz w:val="24"/>
          <w:szCs w:val="24"/>
        </w:rPr>
        <w:t xml:space="preserve">, D. D., Weale, C. J., Erasmus, R. T., &amp; </w:t>
      </w:r>
      <w:proofErr w:type="spellStart"/>
      <w:r>
        <w:rPr>
          <w:rFonts w:ascii="Times New Roman" w:eastAsia="Times New Roman" w:hAnsi="Times New Roman" w:cs="Times New Roman"/>
          <w:sz w:val="24"/>
          <w:szCs w:val="24"/>
        </w:rPr>
        <w:t>Matsha</w:t>
      </w:r>
      <w:proofErr w:type="spellEnd"/>
      <w:r>
        <w:rPr>
          <w:rFonts w:ascii="Times New Roman" w:eastAsia="Times New Roman" w:hAnsi="Times New Roman" w:cs="Times New Roman"/>
          <w:sz w:val="24"/>
          <w:szCs w:val="24"/>
        </w:rPr>
        <w:t>, T. E. (2022). The role of</w:t>
      </w:r>
      <w:r>
        <w:rPr>
          <w:rFonts w:ascii="Times New Roman" w:eastAsia="Times New Roman" w:hAnsi="Times New Roman" w:cs="Times New Roman"/>
          <w:sz w:val="24"/>
          <w:szCs w:val="24"/>
        </w:rPr>
        <w:t xml:space="preserve"> glycated albumin as a biomarker of glycemic control in diabetes and chronic kidney disease. In </w:t>
      </w:r>
      <w:r>
        <w:rPr>
          <w:rFonts w:ascii="Times New Roman" w:eastAsia="Times New Roman" w:hAnsi="Times New Roman" w:cs="Times New Roman"/>
          <w:i/>
          <w:iCs/>
          <w:sz w:val="24"/>
          <w:szCs w:val="24"/>
        </w:rPr>
        <w:t>Biomarkers in diabetes</w:t>
      </w:r>
      <w:r>
        <w:rPr>
          <w:rFonts w:ascii="Times New Roman" w:eastAsia="Times New Roman" w:hAnsi="Times New Roman" w:cs="Times New Roman"/>
          <w:sz w:val="24"/>
          <w:szCs w:val="24"/>
        </w:rPr>
        <w:t>. Springer. https://doi.org/10.1007/978-3-030-81303-1_61-1</w:t>
      </w:r>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Saglam, B., Uysal, S., </w:t>
      </w:r>
      <w:proofErr w:type="spellStart"/>
      <w:r>
        <w:rPr>
          <w:rFonts w:ascii="Times New Roman" w:eastAsia="Times New Roman" w:hAnsi="Times New Roman" w:cs="Times New Roman"/>
          <w:sz w:val="24"/>
          <w:szCs w:val="24"/>
        </w:rPr>
        <w:t>Onvural</w:t>
      </w:r>
      <w:proofErr w:type="spellEnd"/>
      <w:r>
        <w:rPr>
          <w:rFonts w:ascii="Times New Roman" w:eastAsia="Times New Roman" w:hAnsi="Times New Roman" w:cs="Times New Roman"/>
          <w:sz w:val="24"/>
          <w:szCs w:val="24"/>
        </w:rPr>
        <w:t>, B., &amp; colleagues. (2017). Diagnostic value of g</w:t>
      </w:r>
      <w:r>
        <w:rPr>
          <w:rFonts w:ascii="Times New Roman" w:eastAsia="Times New Roman" w:hAnsi="Times New Roman" w:cs="Times New Roman"/>
          <w:sz w:val="24"/>
          <w:szCs w:val="24"/>
        </w:rPr>
        <w:t xml:space="preserve">lycemic markers HbA1c, 1,5-anhydroglucitol and glycated albumin in evaluating gestational diabetes mellitus. </w:t>
      </w:r>
      <w:r>
        <w:rPr>
          <w:rFonts w:ascii="Times New Roman" w:eastAsia="Times New Roman" w:hAnsi="Times New Roman" w:cs="Times New Roman"/>
          <w:i/>
          <w:iCs/>
          <w:sz w:val="24"/>
          <w:szCs w:val="24"/>
        </w:rPr>
        <w:t>Therapeutic Advances in Endocrinology and Metabolism, 8</w:t>
      </w:r>
      <w:r>
        <w:rPr>
          <w:rFonts w:ascii="Times New Roman" w:eastAsia="Times New Roman" w:hAnsi="Times New Roman" w:cs="Times New Roman"/>
          <w:sz w:val="24"/>
          <w:szCs w:val="24"/>
        </w:rPr>
        <w:t>(11), 161–167.</w:t>
      </w:r>
      <w:hyperlink r:id="rId38">
        <w:r>
          <w:rPr>
            <w:rFonts w:ascii="Times New Roman" w:eastAsia="Times New Roman" w:hAnsi="Times New Roman" w:cs="Times New Roman"/>
            <w:sz w:val="24"/>
            <w:szCs w:val="24"/>
            <w:u w:val="single"/>
          </w:rPr>
          <w:t xml:space="preserve"> https://doi.org/10.1177/2042018817742580</w:t>
        </w:r>
      </w:hyperlink>
    </w:p>
    <w:p w:rsidR="007F44DA" w:rsidRDefault="00CB6F9E">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Schünemann, H. J., </w:t>
      </w:r>
      <w:proofErr w:type="spellStart"/>
      <w:r>
        <w:rPr>
          <w:rFonts w:ascii="Times New Roman" w:eastAsia="Times New Roman" w:hAnsi="Times New Roman" w:cs="Times New Roman"/>
          <w:sz w:val="24"/>
          <w:szCs w:val="24"/>
        </w:rPr>
        <w:t>Brożek</w:t>
      </w:r>
      <w:proofErr w:type="spellEnd"/>
      <w:r>
        <w:rPr>
          <w:rFonts w:ascii="Times New Roman" w:eastAsia="Times New Roman" w:hAnsi="Times New Roman" w:cs="Times New Roman"/>
          <w:sz w:val="24"/>
          <w:szCs w:val="24"/>
        </w:rPr>
        <w:t xml:space="preserve">, J., Guyatt, G. H., &amp; Oxman, A. D. (Eds.). (2013). </w:t>
      </w:r>
      <w:r>
        <w:rPr>
          <w:rFonts w:ascii="Times New Roman" w:eastAsia="Times New Roman" w:hAnsi="Times New Roman" w:cs="Times New Roman"/>
          <w:i/>
          <w:iCs/>
          <w:sz w:val="24"/>
          <w:szCs w:val="24"/>
        </w:rPr>
        <w:t>Handbook for grading the quality of evidence and the strength of recommendations using the GRADE approach</w:t>
      </w:r>
      <w:r>
        <w:rPr>
          <w:rFonts w:ascii="Times New Roman" w:eastAsia="Times New Roman" w:hAnsi="Times New Roman" w:cs="Times New Roman"/>
          <w:sz w:val="24"/>
          <w:szCs w:val="24"/>
        </w:rPr>
        <w:t xml:space="preserve"> (updated October 2013). The GRA</w:t>
      </w:r>
      <w:r>
        <w:rPr>
          <w:rFonts w:ascii="Times New Roman" w:eastAsia="Times New Roman" w:hAnsi="Times New Roman" w:cs="Times New Roman"/>
          <w:sz w:val="24"/>
          <w:szCs w:val="24"/>
        </w:rPr>
        <w:t>DE Working Group.</w:t>
      </w:r>
      <w:hyperlink r:id="rId39">
        <w:r>
          <w:rPr>
            <w:rFonts w:ascii="Times New Roman" w:eastAsia="Times New Roman" w:hAnsi="Times New Roman" w:cs="Times New Roman"/>
            <w:sz w:val="24"/>
            <w:szCs w:val="24"/>
            <w:u w:val="single"/>
          </w:rPr>
          <w:t xml:space="preserve"> </w:t>
        </w:r>
      </w:hyperlink>
      <w:hyperlink r:id="rId40">
        <w:r>
          <w:rPr>
            <w:rFonts w:ascii="Times New Roman" w:eastAsia="Times New Roman" w:hAnsi="Times New Roman" w:cs="Times New Roman"/>
            <w:sz w:val="24"/>
            <w:szCs w:val="24"/>
            <w:u w:val="single"/>
          </w:rPr>
          <w:t>https://gdt.gradepro.org/app/handbook/handbook.html</w:t>
        </w:r>
      </w:hyperlink>
      <w:r>
        <w:rPr>
          <w:rFonts w:ascii="Times New Roman" w:eastAsia="Times New Roman" w:hAnsi="Times New Roman" w:cs="Times New Roman"/>
          <w:sz w:val="24"/>
          <w:szCs w:val="24"/>
        </w:rPr>
        <w:t xml:space="preserve"> </w:t>
      </w:r>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Sherwani, S. I., Khan, H. A., </w:t>
      </w:r>
      <w:proofErr w:type="spellStart"/>
      <w:r>
        <w:rPr>
          <w:rFonts w:ascii="Times New Roman" w:eastAsia="Times New Roman" w:hAnsi="Times New Roman" w:cs="Times New Roman"/>
          <w:sz w:val="24"/>
          <w:szCs w:val="24"/>
        </w:rPr>
        <w:t>Ekhzaimy</w:t>
      </w:r>
      <w:proofErr w:type="spellEnd"/>
      <w:r>
        <w:rPr>
          <w:rFonts w:ascii="Times New Roman" w:eastAsia="Times New Roman" w:hAnsi="Times New Roman" w:cs="Times New Roman"/>
          <w:sz w:val="24"/>
          <w:szCs w:val="24"/>
        </w:rPr>
        <w:t xml:space="preserve">, A., Masood, A., &amp; </w:t>
      </w:r>
      <w:proofErr w:type="spellStart"/>
      <w:r>
        <w:rPr>
          <w:rFonts w:ascii="Times New Roman" w:eastAsia="Times New Roman" w:hAnsi="Times New Roman" w:cs="Times New Roman"/>
          <w:sz w:val="24"/>
          <w:szCs w:val="24"/>
        </w:rPr>
        <w:t>Sakharkar</w:t>
      </w:r>
      <w:proofErr w:type="spellEnd"/>
      <w:r>
        <w:rPr>
          <w:rFonts w:ascii="Times New Roman" w:eastAsia="Times New Roman" w:hAnsi="Times New Roman" w:cs="Times New Roman"/>
          <w:sz w:val="24"/>
          <w:szCs w:val="24"/>
        </w:rPr>
        <w:t xml:space="preserve">, M. K. (2016). Significance of HbA1c test in diagnosis and prognosis of diabetic patients. </w:t>
      </w:r>
      <w:r>
        <w:rPr>
          <w:rFonts w:ascii="Times New Roman" w:eastAsia="Times New Roman" w:hAnsi="Times New Roman" w:cs="Times New Roman"/>
          <w:i/>
          <w:iCs/>
          <w:sz w:val="24"/>
          <w:szCs w:val="24"/>
        </w:rPr>
        <w:t>Biomarker Insights, 11</w:t>
      </w:r>
      <w:r>
        <w:rPr>
          <w:rFonts w:ascii="Times New Roman" w:eastAsia="Times New Roman" w:hAnsi="Times New Roman" w:cs="Times New Roman"/>
          <w:sz w:val="24"/>
          <w:szCs w:val="24"/>
        </w:rPr>
        <w:t>, 95–104.</w:t>
      </w:r>
      <w:hyperlink r:id="rId41">
        <w:r>
          <w:rPr>
            <w:rFonts w:ascii="Times New Roman" w:eastAsia="Times New Roman" w:hAnsi="Times New Roman" w:cs="Times New Roman"/>
            <w:sz w:val="24"/>
            <w:szCs w:val="24"/>
          </w:rPr>
          <w:t xml:space="preserve"> </w:t>
        </w:r>
      </w:hyperlink>
      <w:hyperlink r:id="rId42">
        <w:r>
          <w:rPr>
            <w:rFonts w:ascii="Times New Roman" w:eastAsia="Times New Roman" w:hAnsi="Times New Roman" w:cs="Times New Roman"/>
            <w:sz w:val="24"/>
            <w:szCs w:val="24"/>
            <w:u w:val="single"/>
          </w:rPr>
          <w:t>https://doi.org/10.4137/BMI.S38440</w:t>
        </w:r>
      </w:hyperlink>
    </w:p>
    <w:p w:rsidR="007F44DA" w:rsidRDefault="00CB6F9E">
      <w:pPr>
        <w:spacing w:before="240" w:after="240"/>
        <w:ind w:left="720" w:hanging="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Sofronescu</w:t>
      </w:r>
      <w:proofErr w:type="spellEnd"/>
      <w:r>
        <w:rPr>
          <w:rFonts w:ascii="Times New Roman" w:eastAsia="Times New Roman" w:hAnsi="Times New Roman" w:cs="Times New Roman"/>
          <w:sz w:val="24"/>
          <w:szCs w:val="24"/>
        </w:rPr>
        <w:t xml:space="preserve">, A. G. (2025, September 9). </w:t>
      </w:r>
      <w:r>
        <w:rPr>
          <w:rFonts w:ascii="Times New Roman" w:eastAsia="Times New Roman" w:hAnsi="Times New Roman" w:cs="Times New Roman"/>
          <w:i/>
          <w:iCs/>
          <w:sz w:val="24"/>
          <w:szCs w:val="24"/>
        </w:rPr>
        <w:t>Navigating hemoglobin A1C measurements for diabetes care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Clinical Laboratory News</w:t>
      </w:r>
      <w:r>
        <w:rPr>
          <w:rFonts w:ascii="Times New Roman" w:eastAsia="Times New Roman" w:hAnsi="Times New Roman" w:cs="Times New Roman"/>
          <w:sz w:val="24"/>
          <w:szCs w:val="24"/>
        </w:rPr>
        <w:t>.</w:t>
      </w:r>
      <w:hyperlink r:id="rId43">
        <w:r>
          <w:rPr>
            <w:rFonts w:ascii="Times New Roman" w:eastAsia="Times New Roman" w:hAnsi="Times New Roman" w:cs="Times New Roman"/>
            <w:sz w:val="24"/>
            <w:szCs w:val="24"/>
            <w:u w:val="single"/>
          </w:rPr>
          <w:t xml:space="preserve"> </w:t>
        </w:r>
      </w:hyperlink>
      <w:hyperlink r:id="rId44">
        <w:r>
          <w:rPr>
            <w:rFonts w:ascii="Times New Roman" w:eastAsia="Times New Roman" w:hAnsi="Times New Roman" w:cs="Times New Roman"/>
            <w:sz w:val="24"/>
            <w:szCs w:val="24"/>
            <w:u w:val="single"/>
          </w:rPr>
          <w:t>https://myadlm.org/cln/artic</w:t>
        </w:r>
        <w:r>
          <w:rPr>
            <w:rFonts w:ascii="Times New Roman" w:eastAsia="Times New Roman" w:hAnsi="Times New Roman" w:cs="Times New Roman"/>
            <w:sz w:val="24"/>
            <w:szCs w:val="24"/>
            <w:u w:val="single"/>
          </w:rPr>
          <w:t>les/2025/septemberoctober/navigating-hemoglobin-a1c-measurements-for-diabetes-care</w:t>
        </w:r>
      </w:hyperlink>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World Health Organization. (2019). </w:t>
      </w:r>
      <w:r>
        <w:rPr>
          <w:rFonts w:ascii="Times New Roman" w:eastAsia="Times New Roman" w:hAnsi="Times New Roman" w:cs="Times New Roman"/>
          <w:i/>
          <w:iCs/>
          <w:sz w:val="24"/>
          <w:szCs w:val="24"/>
        </w:rPr>
        <w:t>Classification of diabetes mellitus</w:t>
      </w:r>
      <w:r>
        <w:rPr>
          <w:rFonts w:ascii="Times New Roman" w:eastAsia="Times New Roman" w:hAnsi="Times New Roman" w:cs="Times New Roman"/>
          <w:sz w:val="24"/>
          <w:szCs w:val="24"/>
        </w:rPr>
        <w:t xml:space="preserve"> (ISBN 978-92-4-151570-2). World Health Organization.</w:t>
      </w:r>
      <w:hyperlink r:id="rId45">
        <w:r>
          <w:rPr>
            <w:rFonts w:ascii="Times New Roman" w:eastAsia="Times New Roman" w:hAnsi="Times New Roman" w:cs="Times New Roman"/>
            <w:sz w:val="24"/>
            <w:szCs w:val="24"/>
            <w:u w:val="single"/>
          </w:rPr>
          <w:t xml:space="preserve"> </w:t>
        </w:r>
      </w:hyperlink>
      <w:hyperlink r:id="rId46">
        <w:r>
          <w:rPr>
            <w:rFonts w:ascii="Times New Roman" w:eastAsia="Times New Roman" w:hAnsi="Times New Roman" w:cs="Times New Roman"/>
            <w:sz w:val="24"/>
            <w:szCs w:val="24"/>
            <w:u w:val="single"/>
          </w:rPr>
          <w:t>https://iris.who.int/handle/10665/325182</w:t>
        </w:r>
      </w:hyperlink>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 xml:space="preserve">World Health Organization. (2024, November 14). </w:t>
      </w:r>
      <w:r>
        <w:rPr>
          <w:rFonts w:ascii="Times New Roman" w:eastAsia="Times New Roman" w:hAnsi="Times New Roman" w:cs="Times New Roman"/>
          <w:i/>
          <w:iCs/>
          <w:sz w:val="24"/>
          <w:szCs w:val="24"/>
        </w:rPr>
        <w:t>Diabetes</w:t>
      </w:r>
      <w:r>
        <w:rPr>
          <w:rFonts w:ascii="Times New Roman" w:eastAsia="Times New Roman" w:hAnsi="Times New Roman" w:cs="Times New Roman"/>
          <w:sz w:val="24"/>
          <w:szCs w:val="24"/>
        </w:rPr>
        <w:t xml:space="preserve"> (Fact sheet).</w:t>
      </w:r>
      <w:hyperlink r:id="rId47">
        <w:r>
          <w:rPr>
            <w:rFonts w:ascii="Times New Roman" w:eastAsia="Times New Roman" w:hAnsi="Times New Roman" w:cs="Times New Roman"/>
            <w:sz w:val="24"/>
            <w:szCs w:val="24"/>
            <w:u w:val="single"/>
          </w:rPr>
          <w:t xml:space="preserve"> </w:t>
        </w:r>
      </w:hyperlink>
      <w:hyperlink r:id="rId48">
        <w:r>
          <w:rPr>
            <w:rFonts w:ascii="Times New Roman" w:eastAsia="Times New Roman" w:hAnsi="Times New Roman" w:cs="Times New Roman"/>
            <w:sz w:val="24"/>
            <w:szCs w:val="24"/>
            <w:u w:val="single"/>
          </w:rPr>
          <w:t>https://www.who.int/news-room/fact-sheets/detail/diabetes</w:t>
        </w:r>
      </w:hyperlink>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Xie, J., Wang, Z. H., Zhang, Z. J., et al. (2025). Adjusted glycated albumin is a novel indicator of glycemic control in patients with macroalbuminuria in diabetic kidney disease. </w:t>
      </w:r>
      <w:r>
        <w:rPr>
          <w:rFonts w:ascii="Times New Roman" w:eastAsia="Times New Roman" w:hAnsi="Times New Roman" w:cs="Times New Roman"/>
          <w:i/>
          <w:iCs/>
          <w:sz w:val="24"/>
          <w:szCs w:val="24"/>
        </w:rPr>
        <w:t>Scientific Reports, 15</w:t>
      </w:r>
      <w:r>
        <w:rPr>
          <w:rFonts w:ascii="Times New Roman" w:eastAsia="Times New Roman" w:hAnsi="Times New Roman" w:cs="Times New Roman"/>
          <w:sz w:val="24"/>
          <w:szCs w:val="24"/>
        </w:rPr>
        <w:t>, 13812.</w:t>
      </w:r>
      <w:hyperlink r:id="rId49">
        <w:r>
          <w:rPr>
            <w:rFonts w:ascii="Times New Roman" w:eastAsia="Times New Roman" w:hAnsi="Times New Roman" w:cs="Times New Roman"/>
            <w:sz w:val="24"/>
            <w:szCs w:val="24"/>
            <w:u w:val="single"/>
          </w:rPr>
          <w:t xml:space="preserve"> https://doi.org/10.1038/s41598-025-98641-5</w:t>
        </w:r>
      </w:hyperlink>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Xu, H., Chen, R., Hou, X., Li, N., Han, Y., &amp; Ji, S. (2024). The clinical potential of 1,5-anhydroglucitol as biomarker in diabetes mellitus. </w:t>
      </w:r>
      <w:r>
        <w:rPr>
          <w:rFonts w:ascii="Times New Roman" w:eastAsia="Times New Roman" w:hAnsi="Times New Roman" w:cs="Times New Roman"/>
          <w:i/>
          <w:iCs/>
          <w:sz w:val="24"/>
          <w:szCs w:val="24"/>
        </w:rPr>
        <w:t>Frontiers in Endocrinology, 15</w:t>
      </w:r>
      <w:r>
        <w:rPr>
          <w:rFonts w:ascii="Times New Roman" w:eastAsia="Times New Roman" w:hAnsi="Times New Roman" w:cs="Times New Roman"/>
          <w:sz w:val="24"/>
          <w:szCs w:val="24"/>
        </w:rPr>
        <w:t>, 1471577.</w:t>
      </w:r>
      <w:hyperlink r:id="rId50">
        <w:r>
          <w:rPr>
            <w:rFonts w:ascii="Times New Roman" w:eastAsia="Times New Roman" w:hAnsi="Times New Roman" w:cs="Times New Roman"/>
            <w:sz w:val="24"/>
            <w:szCs w:val="24"/>
          </w:rPr>
          <w:t xml:space="preserve"> </w:t>
        </w:r>
      </w:hyperlink>
      <w:hyperlink r:id="rId51">
        <w:r>
          <w:rPr>
            <w:rFonts w:ascii="Times New Roman" w:eastAsia="Times New Roman" w:hAnsi="Times New Roman" w:cs="Times New Roman"/>
            <w:sz w:val="24"/>
            <w:szCs w:val="24"/>
            <w:u w:val="single"/>
          </w:rPr>
          <w:t>https://doi.org/10.3389/fendo.2024.1471577</w:t>
        </w:r>
      </w:hyperlink>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Xu, Y., </w:t>
      </w:r>
      <w:proofErr w:type="spellStart"/>
      <w:r>
        <w:rPr>
          <w:rFonts w:ascii="Times New Roman" w:eastAsia="Times New Roman" w:hAnsi="Times New Roman" w:cs="Times New Roman"/>
          <w:sz w:val="24"/>
          <w:szCs w:val="24"/>
        </w:rPr>
        <w:t>Bergenstal</w:t>
      </w:r>
      <w:proofErr w:type="spellEnd"/>
      <w:r>
        <w:rPr>
          <w:rFonts w:ascii="Times New Roman" w:eastAsia="Times New Roman" w:hAnsi="Times New Roman" w:cs="Times New Roman"/>
          <w:sz w:val="24"/>
          <w:szCs w:val="24"/>
        </w:rPr>
        <w:t xml:space="preserve">, R. M., Dunn, T. C., &amp; </w:t>
      </w:r>
      <w:proofErr w:type="spellStart"/>
      <w:r>
        <w:rPr>
          <w:rFonts w:ascii="Times New Roman" w:eastAsia="Times New Roman" w:hAnsi="Times New Roman" w:cs="Times New Roman"/>
          <w:sz w:val="24"/>
          <w:szCs w:val="24"/>
        </w:rPr>
        <w:t>Ajjan</w:t>
      </w:r>
      <w:proofErr w:type="spellEnd"/>
      <w:r>
        <w:rPr>
          <w:rFonts w:ascii="Times New Roman" w:eastAsia="Times New Roman" w:hAnsi="Times New Roman" w:cs="Times New Roman"/>
          <w:sz w:val="24"/>
          <w:szCs w:val="24"/>
        </w:rPr>
        <w:t>, R. A. (2021). Addressing shortfalls of laboratory HbA</w:t>
      </w:r>
      <w:r>
        <w:rPr>
          <w:rFonts w:ascii="Times New Roman" w:eastAsia="Times New Roman" w:hAnsi="Times New Roman" w:cs="Times New Roman"/>
          <w:sz w:val="24"/>
          <w:szCs w:val="24"/>
        </w:rPr>
        <w:t xml:space="preserve">1c using a model that incorporates red cell lifespan. </w:t>
      </w:r>
      <w:proofErr w:type="spellStart"/>
      <w:r>
        <w:rPr>
          <w:rFonts w:ascii="Times New Roman" w:eastAsia="Times New Roman" w:hAnsi="Times New Roman" w:cs="Times New Roman"/>
          <w:i/>
          <w:iCs/>
          <w:sz w:val="24"/>
          <w:szCs w:val="24"/>
        </w:rPr>
        <w:t>eLife</w:t>
      </w:r>
      <w:proofErr w:type="spellEnd"/>
      <w:r>
        <w:rPr>
          <w:rFonts w:ascii="Times New Roman" w:eastAsia="Times New Roman" w:hAnsi="Times New Roman" w:cs="Times New Roman"/>
          <w:i/>
          <w:iCs/>
          <w:sz w:val="24"/>
          <w:szCs w:val="24"/>
        </w:rPr>
        <w:t>, 10</w:t>
      </w:r>
      <w:r>
        <w:rPr>
          <w:rFonts w:ascii="Times New Roman" w:eastAsia="Times New Roman" w:hAnsi="Times New Roman" w:cs="Times New Roman"/>
          <w:sz w:val="24"/>
          <w:szCs w:val="24"/>
        </w:rPr>
        <w:t>, e69456.</w:t>
      </w:r>
      <w:hyperlink r:id="rId52">
        <w:r>
          <w:rPr>
            <w:rFonts w:ascii="Times New Roman" w:eastAsia="Times New Roman" w:hAnsi="Times New Roman" w:cs="Times New Roman"/>
            <w:sz w:val="24"/>
            <w:szCs w:val="24"/>
          </w:rPr>
          <w:t xml:space="preserve"> </w:t>
        </w:r>
      </w:hyperlink>
      <w:hyperlink r:id="rId53">
        <w:r>
          <w:rPr>
            <w:rFonts w:ascii="Times New Roman" w:eastAsia="Times New Roman" w:hAnsi="Times New Roman" w:cs="Times New Roman"/>
            <w:sz w:val="24"/>
            <w:szCs w:val="24"/>
            <w:u w:val="single"/>
          </w:rPr>
          <w:t>https://doi.org/10.7554/eLife.69456</w:t>
        </w:r>
      </w:hyperlink>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Yen, F. S., Wei, J. C. C., Shih, Y. H</w:t>
      </w:r>
      <w:r>
        <w:rPr>
          <w:rFonts w:ascii="Times New Roman" w:eastAsia="Times New Roman" w:hAnsi="Times New Roman" w:cs="Times New Roman"/>
          <w:sz w:val="24"/>
          <w:szCs w:val="24"/>
        </w:rPr>
        <w:t xml:space="preserve">., Chen, Y. Y., Hsu, C. C., Hwu, C. M., &amp; Chen, H. S. (2023). Impact of individual microvascular disease on the risks of macrovascular complications in type 2 diabetes: A nationwide population-based cohort study. </w:t>
      </w:r>
      <w:r>
        <w:rPr>
          <w:rFonts w:ascii="Times New Roman" w:eastAsia="Times New Roman" w:hAnsi="Times New Roman" w:cs="Times New Roman"/>
          <w:i/>
          <w:iCs/>
          <w:sz w:val="24"/>
          <w:szCs w:val="24"/>
        </w:rPr>
        <w:t>Cardiovascular Diabetology, 22</w:t>
      </w:r>
      <w:r>
        <w:rPr>
          <w:rFonts w:ascii="Times New Roman" w:eastAsia="Times New Roman" w:hAnsi="Times New Roman" w:cs="Times New Roman"/>
          <w:sz w:val="24"/>
          <w:szCs w:val="24"/>
        </w:rPr>
        <w:t>, 109.</w:t>
      </w:r>
      <w:hyperlink r:id="rId54">
        <w:r>
          <w:rPr>
            <w:rFonts w:ascii="Times New Roman" w:eastAsia="Times New Roman" w:hAnsi="Times New Roman" w:cs="Times New Roman"/>
            <w:sz w:val="24"/>
            <w:szCs w:val="24"/>
            <w:u w:val="single"/>
          </w:rPr>
          <w:t xml:space="preserve"> https://doi.org/10.1186/s12933-023-01821-8</w:t>
        </w:r>
      </w:hyperlink>
    </w:p>
    <w:p w:rsidR="007F44DA" w:rsidRDefault="00CB6F9E">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Yuan, Y., Cheng, J., Chen, C., &amp; Wang, Y. (2021). Combining serum 1,5-anhydroglucitol with fasting plasma glucose to detect diabetes mellitus in a community-</w:t>
      </w:r>
      <w:r>
        <w:rPr>
          <w:rFonts w:ascii="Times New Roman" w:eastAsia="Times New Roman" w:hAnsi="Times New Roman" w:cs="Times New Roman"/>
          <w:sz w:val="24"/>
          <w:szCs w:val="24"/>
        </w:rPr>
        <w:t xml:space="preserve">based population with hypertension. </w:t>
      </w:r>
      <w:r>
        <w:rPr>
          <w:rFonts w:ascii="Times New Roman" w:eastAsia="Times New Roman" w:hAnsi="Times New Roman" w:cs="Times New Roman"/>
          <w:i/>
          <w:iCs/>
          <w:sz w:val="24"/>
          <w:szCs w:val="24"/>
        </w:rPr>
        <w:t>Annals of Translational Medicine, 9</w:t>
      </w:r>
      <w:r>
        <w:rPr>
          <w:rFonts w:ascii="Times New Roman" w:eastAsia="Times New Roman" w:hAnsi="Times New Roman" w:cs="Times New Roman"/>
          <w:sz w:val="24"/>
          <w:szCs w:val="24"/>
        </w:rPr>
        <w:t>(8), 682. https://doi.org/10.21037/atm-20-5569</w:t>
      </w:r>
    </w:p>
    <w:p w:rsidR="007F44DA" w:rsidRDefault="00CB6F9E">
      <w:pPr>
        <w:spacing w:before="240" w:after="240"/>
        <w:ind w:left="72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Zhang, J., Zhang, Z., Zhang, K., Ge, X., Sun, R., &amp; Zhai, X. (2023). Early detection of type 2 diabetes risk: Limitations of current diagn</w:t>
      </w:r>
      <w:r>
        <w:rPr>
          <w:rFonts w:ascii="Times New Roman" w:eastAsia="Times New Roman" w:hAnsi="Times New Roman" w:cs="Times New Roman"/>
          <w:sz w:val="24"/>
          <w:szCs w:val="24"/>
        </w:rPr>
        <w:t xml:space="preserve">ostic criteria. </w:t>
      </w:r>
      <w:r>
        <w:rPr>
          <w:rFonts w:ascii="Times New Roman" w:eastAsia="Times New Roman" w:hAnsi="Times New Roman" w:cs="Times New Roman"/>
          <w:i/>
          <w:iCs/>
          <w:sz w:val="24"/>
          <w:szCs w:val="24"/>
        </w:rPr>
        <w:t>Frontiers in Endocrinology, 14</w:t>
      </w:r>
      <w:r>
        <w:rPr>
          <w:rFonts w:ascii="Times New Roman" w:eastAsia="Times New Roman" w:hAnsi="Times New Roman" w:cs="Times New Roman"/>
          <w:sz w:val="24"/>
          <w:szCs w:val="24"/>
        </w:rPr>
        <w:t>, 1260623.</w:t>
      </w:r>
      <w:hyperlink r:id="rId55">
        <w:r>
          <w:rPr>
            <w:rFonts w:ascii="Times New Roman" w:eastAsia="Times New Roman" w:hAnsi="Times New Roman" w:cs="Times New Roman"/>
            <w:sz w:val="24"/>
            <w:szCs w:val="24"/>
            <w:u w:val="single"/>
          </w:rPr>
          <w:t xml:space="preserve"> https://doi.org/10.3389/fendo.2023.1260623</w:t>
        </w:r>
      </w:hyperlink>
    </w:p>
    <w:p w:rsidR="007F44DA" w:rsidRDefault="007F44DA">
      <w:pPr>
        <w:spacing w:before="240" w:after="240"/>
        <w:ind w:left="720" w:hanging="720"/>
        <w:jc w:val="both"/>
        <w:rPr>
          <w:rFonts w:ascii="Times New Roman" w:eastAsia="Times New Roman" w:hAnsi="Times New Roman" w:cs="Times New Roman"/>
          <w:sz w:val="24"/>
          <w:szCs w:val="24"/>
          <w:u w:val="single"/>
        </w:rPr>
      </w:pPr>
    </w:p>
    <w:p w:rsidR="007F44DA" w:rsidRDefault="007F44DA">
      <w:pPr>
        <w:spacing w:before="240" w:after="240"/>
        <w:ind w:left="720" w:hanging="720"/>
        <w:jc w:val="both"/>
        <w:rPr>
          <w:rFonts w:ascii="Times New Roman" w:eastAsia="Times New Roman" w:hAnsi="Times New Roman" w:cs="Times New Roman"/>
          <w:sz w:val="24"/>
          <w:szCs w:val="24"/>
          <w:u w:val="single"/>
        </w:rPr>
      </w:pPr>
    </w:p>
    <w:p w:rsidR="007F44DA" w:rsidRDefault="007F44DA">
      <w:pPr>
        <w:spacing w:before="240" w:after="240" w:line="240" w:lineRule="auto"/>
        <w:ind w:left="720"/>
        <w:jc w:val="both"/>
        <w:rPr>
          <w:b/>
          <w:bCs/>
          <w:color w:val="333333"/>
          <w:sz w:val="24"/>
          <w:szCs w:val="24"/>
          <w:highlight w:val="white"/>
          <w:u w:val="single"/>
        </w:rPr>
      </w:pPr>
    </w:p>
    <w:p w:rsidR="007F44DA" w:rsidRDefault="007F44DA">
      <w:pPr>
        <w:spacing w:before="240" w:after="240"/>
        <w:ind w:left="720" w:hanging="720"/>
        <w:jc w:val="both"/>
        <w:rPr>
          <w:b/>
          <w:bCs/>
          <w:color w:val="333333"/>
          <w:sz w:val="27"/>
          <w:szCs w:val="27"/>
          <w:highlight w:val="white"/>
          <w:u w:val="single"/>
        </w:rPr>
      </w:pPr>
    </w:p>
    <w:p w:rsidR="007F44DA" w:rsidRDefault="007F44DA">
      <w:pPr>
        <w:spacing w:before="240" w:after="240"/>
        <w:ind w:left="720" w:hanging="720"/>
        <w:jc w:val="both"/>
        <w:rPr>
          <w:rFonts w:ascii="Times New Roman" w:eastAsia="Times New Roman" w:hAnsi="Times New Roman" w:cs="Times New Roman"/>
          <w:sz w:val="24"/>
          <w:szCs w:val="24"/>
        </w:rPr>
      </w:pPr>
    </w:p>
    <w:p w:rsidR="007F44DA" w:rsidRDefault="007F44DA">
      <w:pPr>
        <w:spacing w:before="240" w:after="240"/>
        <w:jc w:val="both"/>
        <w:rPr>
          <w:rFonts w:ascii="Times New Roman" w:eastAsia="Times New Roman" w:hAnsi="Times New Roman" w:cs="Times New Roman"/>
          <w:color w:val="333333"/>
          <w:sz w:val="24"/>
          <w:szCs w:val="24"/>
          <w:highlight w:val="yellow"/>
        </w:rPr>
      </w:pPr>
    </w:p>
    <w:p w:rsidR="007F44DA" w:rsidRDefault="007F44DA">
      <w:pPr>
        <w:spacing w:before="240" w:after="240"/>
        <w:jc w:val="both"/>
        <w:rPr>
          <w:rFonts w:ascii="Times New Roman" w:eastAsia="Times New Roman" w:hAnsi="Times New Roman" w:cs="Times New Roman"/>
          <w:color w:val="333333"/>
          <w:sz w:val="24"/>
          <w:szCs w:val="24"/>
          <w:highlight w:val="yellow"/>
        </w:rPr>
      </w:pPr>
    </w:p>
    <w:p w:rsidR="007F44DA" w:rsidRDefault="007F44DA">
      <w:pPr>
        <w:spacing w:before="240" w:after="240"/>
        <w:jc w:val="both"/>
        <w:rPr>
          <w:rFonts w:ascii="Times New Roman" w:eastAsia="Times New Roman" w:hAnsi="Times New Roman" w:cs="Times New Roman"/>
          <w:color w:val="333333"/>
          <w:sz w:val="24"/>
          <w:szCs w:val="24"/>
        </w:rPr>
      </w:pPr>
    </w:p>
    <w:p w:rsidR="007F44DA" w:rsidRDefault="007F44DA">
      <w:pPr>
        <w:jc w:val="both"/>
        <w:rPr>
          <w:rFonts w:ascii="Times New Roman" w:eastAsia="Times New Roman" w:hAnsi="Times New Roman" w:cs="Times New Roman"/>
          <w:sz w:val="24"/>
          <w:szCs w:val="24"/>
        </w:rPr>
      </w:pPr>
    </w:p>
    <w:sectPr w:rsidR="007F44DA">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6F9E" w:rsidRDefault="00CB6F9E">
      <w:pPr>
        <w:spacing w:line="240" w:lineRule="auto"/>
      </w:pPr>
      <w:r>
        <w:separator/>
      </w:r>
    </w:p>
  </w:endnote>
  <w:endnote w:type="continuationSeparator" w:id="0">
    <w:p w:rsidR="00CB6F9E" w:rsidRDefault="00CB6F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00244D8-1C71-47A3-9D31-20F469E17527}"/>
  </w:font>
  <w:font w:name="Cambria">
    <w:panose1 w:val="02040503050406030204"/>
    <w:charset w:val="00"/>
    <w:family w:val="roman"/>
    <w:pitch w:val="variable"/>
    <w:sig w:usb0="E00006FF" w:usb1="420024FF" w:usb2="02000000" w:usb3="00000000" w:csb0="0000019F" w:csb1="00000000"/>
    <w:embedRegular r:id="rId2" w:fontKey="{4BB97F43-16C5-46F8-9831-0F33914AC8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D02" w:rsidRDefault="00900D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D02" w:rsidRDefault="00900D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D02" w:rsidRDefault="00900D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6F9E" w:rsidRDefault="00CB6F9E">
      <w:pPr>
        <w:spacing w:line="240" w:lineRule="auto"/>
      </w:pPr>
      <w:r>
        <w:separator/>
      </w:r>
    </w:p>
  </w:footnote>
  <w:footnote w:type="continuationSeparator" w:id="0">
    <w:p w:rsidR="00CB6F9E" w:rsidRDefault="00CB6F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D02" w:rsidRDefault="00900D0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2812705"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D02" w:rsidRDefault="00900D0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2812706"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D02" w:rsidRDefault="00900D0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2812704"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4DA"/>
    <w:rsid w:val="00366E79"/>
    <w:rsid w:val="004A0F70"/>
    <w:rsid w:val="004D1807"/>
    <w:rsid w:val="006C47AD"/>
    <w:rsid w:val="007F44DA"/>
    <w:rsid w:val="00900D02"/>
    <w:rsid w:val="00CB6F9E"/>
    <w:rsid w:val="00E947CB"/>
    <w:rsid w:val="00F976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1A3A313-F401-4B52-A629-193CE9D57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366E79"/>
    <w:rPr>
      <w:color w:val="0000FF" w:themeColor="hyperlink"/>
      <w:u w:val="single"/>
    </w:rPr>
  </w:style>
  <w:style w:type="character" w:styleId="UnresolvedMention">
    <w:name w:val="Unresolved Mention"/>
    <w:basedOn w:val="DefaultParagraphFont"/>
    <w:uiPriority w:val="99"/>
    <w:semiHidden/>
    <w:unhideWhenUsed/>
    <w:rsid w:val="00366E79"/>
    <w:rPr>
      <w:color w:val="605E5C"/>
      <w:shd w:val="clear" w:color="auto" w:fill="E1DFDD"/>
    </w:rPr>
  </w:style>
  <w:style w:type="paragraph" w:styleId="Header">
    <w:name w:val="header"/>
    <w:basedOn w:val="Normal"/>
    <w:link w:val="HeaderChar"/>
    <w:uiPriority w:val="99"/>
    <w:unhideWhenUsed/>
    <w:rsid w:val="00E947CB"/>
    <w:pPr>
      <w:tabs>
        <w:tab w:val="center" w:pos="4513"/>
        <w:tab w:val="right" w:pos="9026"/>
      </w:tabs>
      <w:spacing w:line="240" w:lineRule="auto"/>
    </w:pPr>
  </w:style>
  <w:style w:type="character" w:customStyle="1" w:styleId="HeaderChar">
    <w:name w:val="Header Char"/>
    <w:basedOn w:val="DefaultParagraphFont"/>
    <w:link w:val="Header"/>
    <w:uiPriority w:val="99"/>
    <w:rsid w:val="00E947CB"/>
  </w:style>
  <w:style w:type="paragraph" w:styleId="Footer">
    <w:name w:val="footer"/>
    <w:basedOn w:val="Normal"/>
    <w:link w:val="FooterChar"/>
    <w:uiPriority w:val="99"/>
    <w:unhideWhenUsed/>
    <w:rsid w:val="00E947CB"/>
    <w:pPr>
      <w:tabs>
        <w:tab w:val="center" w:pos="4513"/>
        <w:tab w:val="right" w:pos="9026"/>
      </w:tabs>
      <w:spacing w:line="240" w:lineRule="auto"/>
    </w:pPr>
  </w:style>
  <w:style w:type="character" w:customStyle="1" w:styleId="FooterChar">
    <w:name w:val="Footer Char"/>
    <w:basedOn w:val="DefaultParagraphFont"/>
    <w:link w:val="Footer"/>
    <w:uiPriority w:val="99"/>
    <w:rsid w:val="00E94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ncbi.nlm.nih.gov/books/NBK549816/?utm_source=chatgpt.com" TargetMode="External"/><Relationship Id="rId18" Type="http://schemas.openxmlformats.org/officeDocument/2006/relationships/hyperlink" Target="https://doi.org/10.1080/07853890.2025.2561226" TargetMode="External"/><Relationship Id="rId26" Type="http://schemas.openxmlformats.org/officeDocument/2006/relationships/hyperlink" Target="https://doi.org/10.4239/wjd.v10.i1.1" TargetMode="External"/><Relationship Id="rId39" Type="http://schemas.openxmlformats.org/officeDocument/2006/relationships/hyperlink" Target="https://gdt.gradepro.org/app/handbook/handbook.html?utm_source=chatgpt.com" TargetMode="External"/><Relationship Id="rId21" Type="http://schemas.openxmlformats.org/officeDocument/2006/relationships/hyperlink" Target="https://mednews.uw.edu/index.php/news/2025-IDF-diabetes-atlas" TargetMode="External"/><Relationship Id="rId34" Type="http://schemas.openxmlformats.org/officeDocument/2006/relationships/hyperlink" Target="https://doi.org/10.4103/jdap.jdap_32_24" TargetMode="External"/><Relationship Id="rId42" Type="http://schemas.openxmlformats.org/officeDocument/2006/relationships/hyperlink" Target="https://doi.org/10.4137/BMI.S38440" TargetMode="External"/><Relationship Id="rId47" Type="http://schemas.openxmlformats.org/officeDocument/2006/relationships/hyperlink" Target="https://www.who.int/news-room/fact-sheets/detail/diabetes?utm_source=chatgpt.com" TargetMode="External"/><Relationship Id="rId50" Type="http://schemas.openxmlformats.org/officeDocument/2006/relationships/hyperlink" Target="https://doi.org/10.3389/fendo.2024.1471577" TargetMode="External"/><Relationship Id="rId55" Type="http://schemas.openxmlformats.org/officeDocument/2006/relationships/hyperlink" Target="https://doi.org/10.3389/fendo.2023.1260623" TargetMode="External"/><Relationship Id="rId63" Type="http://schemas.openxmlformats.org/officeDocument/2006/relationships/theme" Target="theme/theme1.xml"/><Relationship Id="rId7" Type="http://schemas.openxmlformats.org/officeDocument/2006/relationships/hyperlink" Target="https://www.nursingcenter.com/getattachment/Clinical-Resources/Guideline-Summaries/Diabetes/Guideline-Summary_Diabetes-mellitus_ADA-Standards_2024.pdf.aspx" TargetMode="External"/><Relationship Id="rId2" Type="http://schemas.openxmlformats.org/officeDocument/2006/relationships/settings" Target="settings.xml"/><Relationship Id="rId16" Type="http://schemas.openxmlformats.org/officeDocument/2006/relationships/hyperlink" Target="https://doi.org/10.1016/j.jdiacomp.2018.07.004" TargetMode="External"/><Relationship Id="rId29" Type="http://schemas.openxmlformats.org/officeDocument/2006/relationships/hyperlink" Target="https://myadlm.org/cln/articles/2016/august/beyond-hba1c-assessing-the-utility-of-fructosamine-and-glycated-albumin-measurement/" TargetMode="External"/><Relationship Id="rId11" Type="http://schemas.openxmlformats.org/officeDocument/2006/relationships/hyperlink" Target="https://doi.org/10.1371/journal.pone.0227065" TargetMode="External"/><Relationship Id="rId24" Type="http://schemas.openxmlformats.org/officeDocument/2006/relationships/hyperlink" Target="https://doi.org/10.1371/journal.pone.0242415" TargetMode="External"/><Relationship Id="rId32" Type="http://schemas.openxmlformats.org/officeDocument/2006/relationships/hyperlink" Target="https://doi.org/10.9734/ijbcrr/2024/v33i6935" TargetMode="External"/><Relationship Id="rId37" Type="http://schemas.openxmlformats.org/officeDocument/2006/relationships/hyperlink" Target="https://doi.org/10.1136/bmj.n71" TargetMode="External"/><Relationship Id="rId40" Type="http://schemas.openxmlformats.org/officeDocument/2006/relationships/hyperlink" Target="https://gdt.gradepro.org/app/handbook/handbook.html" TargetMode="External"/><Relationship Id="rId45" Type="http://schemas.openxmlformats.org/officeDocument/2006/relationships/hyperlink" Target="https://iris.who.int/handle/10665/325182?utm_source=chatgpt.com" TargetMode="External"/><Relationship Id="rId53" Type="http://schemas.openxmlformats.org/officeDocument/2006/relationships/hyperlink" Target="https://doi.org/10.7554/eLife.69456" TargetMode="External"/><Relationship Id="rId58" Type="http://schemas.openxmlformats.org/officeDocument/2006/relationships/footer" Target="footer1.xml"/><Relationship Id="rId5" Type="http://schemas.openxmlformats.org/officeDocument/2006/relationships/endnotes" Target="endnotes.xml"/><Relationship Id="rId61" Type="http://schemas.openxmlformats.org/officeDocument/2006/relationships/footer" Target="footer3.xml"/><Relationship Id="rId19" Type="http://schemas.openxmlformats.org/officeDocument/2006/relationships/hyperlink" Target="https://www.ncbi.nlm.nih.gov/books/NBK470185/" TargetMode="External"/><Relationship Id="rId14" Type="http://schemas.openxmlformats.org/officeDocument/2006/relationships/hyperlink" Target="https://www.ncbi.nlm.nih.gov/books/NBK549816/" TargetMode="External"/><Relationship Id="rId22" Type="http://schemas.openxmlformats.org/officeDocument/2006/relationships/hyperlink" Target="https://doi.org/10.1136/postgradmedj%E2%80%912020%E2%80%91138756" TargetMode="External"/><Relationship Id="rId27" Type="http://schemas.openxmlformats.org/officeDocument/2006/relationships/hyperlink" Target="https://doi.org/10.4239/wjd.v10.i1.1" TargetMode="External"/><Relationship Id="rId30" Type="http://schemas.openxmlformats.org/officeDocument/2006/relationships/hyperlink" Target="https://doi.org/10.1038/s41390-024-03146-y" TargetMode="External"/><Relationship Id="rId35" Type="http://schemas.openxmlformats.org/officeDocument/2006/relationships/hyperlink" Target="https://doi.org/10.4103/jdap.jdap_32_24" TargetMode="External"/><Relationship Id="rId43" Type="http://schemas.openxmlformats.org/officeDocument/2006/relationships/hyperlink" Target="https://myadlm.org/cln/articles/2025/septemberoctober/navigating-hemoglobin-a1c-measurements-for-diabetes-care?utm_source=chatgpt.com" TargetMode="External"/><Relationship Id="rId48" Type="http://schemas.openxmlformats.org/officeDocument/2006/relationships/hyperlink" Target="https://www.who.int/news-room/fact-sheets/detail/diabetes" TargetMode="External"/><Relationship Id="rId56" Type="http://schemas.openxmlformats.org/officeDocument/2006/relationships/header" Target="header1.xml"/><Relationship Id="rId8" Type="http://schemas.openxmlformats.org/officeDocument/2006/relationships/hyperlink" Target="https://doi.org/10.3390/jcm15010374" TargetMode="External"/><Relationship Id="rId51" Type="http://schemas.openxmlformats.org/officeDocument/2006/relationships/hyperlink" Target="https://doi.org/10.3389/fendo.2024.1471577" TargetMode="External"/><Relationship Id="rId3" Type="http://schemas.openxmlformats.org/officeDocument/2006/relationships/webSettings" Target="webSettings.xml"/><Relationship Id="rId12" Type="http://schemas.openxmlformats.org/officeDocument/2006/relationships/hyperlink" Target="https://doi.org/10.1089/dia.2023.01" TargetMode="External"/><Relationship Id="rId17" Type="http://schemas.openxmlformats.org/officeDocument/2006/relationships/hyperlink" Target="https://doi.org/10.1080/07853890.2025.2561226" TargetMode="External"/><Relationship Id="rId25" Type="http://schemas.openxmlformats.org/officeDocument/2006/relationships/hyperlink" Target="https://doi.org/10.1016/j.pedneo.2018.11.002" TargetMode="External"/><Relationship Id="rId33" Type="http://schemas.openxmlformats.org/officeDocument/2006/relationships/hyperlink" Target="https://doi.org/10.64898/2026.01.09.26343777" TargetMode="External"/><Relationship Id="rId38" Type="http://schemas.openxmlformats.org/officeDocument/2006/relationships/hyperlink" Target="https://doi.org/10.1177/2042018817742580" TargetMode="External"/><Relationship Id="rId46" Type="http://schemas.openxmlformats.org/officeDocument/2006/relationships/hyperlink" Target="https://iris.who.int/handle/10665/325182" TargetMode="External"/><Relationship Id="rId59" Type="http://schemas.openxmlformats.org/officeDocument/2006/relationships/footer" Target="footer2.xml"/><Relationship Id="rId20" Type="http://schemas.openxmlformats.org/officeDocument/2006/relationships/hyperlink" Target="https://doi.org/10.1016/j.cca.2014.06.027" TargetMode="External"/><Relationship Id="rId41" Type="http://schemas.openxmlformats.org/officeDocument/2006/relationships/hyperlink" Target="https://doi.org/10.4137/BMI.S38440" TargetMode="External"/><Relationship Id="rId54" Type="http://schemas.openxmlformats.org/officeDocument/2006/relationships/hyperlink" Target="https://doi.org/10.1186/s12933-023-01821-8"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nursingcenter.com/getattachment/Clinical-Resources/Guideline-Summaries/Diabetes/Guideline-Summary_Diabetes-mellitus_ADA-Standards_2024.pdf.aspx?utm_source=chatgpt.com" TargetMode="External"/><Relationship Id="rId15" Type="http://schemas.openxmlformats.org/officeDocument/2006/relationships/hyperlink" Target="https://doi.org/10.1093/clinchem/hvab231" TargetMode="External"/><Relationship Id="rId23" Type="http://schemas.openxmlformats.org/officeDocument/2006/relationships/hyperlink" Target="https://doi.org/10.1136/postgradmedj%E2%80%912020%E2%80%91138756" TargetMode="External"/><Relationship Id="rId28" Type="http://schemas.openxmlformats.org/officeDocument/2006/relationships/hyperlink" Target="https://myadlm.org/cln/articles/2016/august/beyond-hba1c-assessing-the-utility-of-fructosamine-and-glycated-albumin-measurement/?utm_source=chatgpt.com" TargetMode="External"/><Relationship Id="rId36" Type="http://schemas.openxmlformats.org/officeDocument/2006/relationships/hyperlink" Target="https://doi.org/10.1210/er.2018-00284" TargetMode="External"/><Relationship Id="rId49" Type="http://schemas.openxmlformats.org/officeDocument/2006/relationships/hyperlink" Target="https://doi.org/10.1038/s41598-025-98641-5" TargetMode="External"/><Relationship Id="rId57" Type="http://schemas.openxmlformats.org/officeDocument/2006/relationships/header" Target="header2.xml"/><Relationship Id="rId10" Type="http://schemas.openxmlformats.org/officeDocument/2006/relationships/hyperlink" Target="https://doi.org/10.1590/s2175-97902020000419078" TargetMode="External"/><Relationship Id="rId31" Type="http://schemas.openxmlformats.org/officeDocument/2006/relationships/hyperlink" Target="https://doi.org/10.9734/ijbcrr/2024/v33i6935" TargetMode="External"/><Relationship Id="rId44" Type="http://schemas.openxmlformats.org/officeDocument/2006/relationships/hyperlink" Target="https://myadlm.org/cln/articles/2025/septemberoctober/navigating-hemoglobin-a1c-measurements-for-diabetes-care" TargetMode="External"/><Relationship Id="rId52" Type="http://schemas.openxmlformats.org/officeDocument/2006/relationships/hyperlink" Target="https://doi.org/10.7554/eLife.69456" TargetMode="External"/><Relationship Id="rId6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doi.org/10.3390/jcm15010374"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23</Pages>
  <Words>9395</Words>
  <Characters>53555</Characters>
  <Application>Microsoft Office Word</Application>
  <DocSecurity>0</DocSecurity>
  <Lines>446</Lines>
  <Paragraphs>125</Paragraphs>
  <ScaleCrop>false</ScaleCrop>
  <Company/>
  <LinksUpToDate>false</LinksUpToDate>
  <CharactersWithSpaces>62825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cp:revision>
  <dcterms:created xsi:type="dcterms:W3CDTF">2026-03-12T07:39:00Z</dcterms:created>
  <dcterms:modified xsi:type="dcterms:W3CDTF">2026-03-13T10:53:00Z</dcterms:modified>
</cp:coreProperties>
</file>