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15E" w:rsidRPr="00C5515E" w:rsidRDefault="00C5515E" w:rsidP="00C5515E">
      <w:pPr>
        <w:pStyle w:val="Heading1"/>
      </w:pPr>
      <w:bookmarkStart w:id="0" w:name="_GoBack"/>
      <w:bookmarkEnd w:id="0"/>
      <w:r w:rsidRPr="00C5515E">
        <w:rPr>
          <w:rStyle w:val="Strong"/>
          <w:b/>
          <w:bCs/>
        </w:rPr>
        <w:t xml:space="preserve">Precision Irrigation and Smart Greenhouse Technologies for Sustainable Agriculture: An Integrated Review </w:t>
      </w:r>
    </w:p>
    <w:p w:rsidR="00C5515E" w:rsidRDefault="00C5515E" w:rsidP="00C5515E">
      <w:pPr>
        <w:pStyle w:val="Heading2"/>
      </w:pPr>
    </w:p>
    <w:p w:rsidR="00C5515E" w:rsidRDefault="00C5515E" w:rsidP="00C5515E">
      <w:pPr>
        <w:pStyle w:val="Heading2"/>
      </w:pPr>
      <w:r>
        <w:t>Abstract</w:t>
      </w:r>
    </w:p>
    <w:p w:rsidR="00C5515E" w:rsidRDefault="00C5515E" w:rsidP="00C5515E">
      <w:pPr>
        <w:pStyle w:val="NormalWeb"/>
      </w:pPr>
      <w:r>
        <w:t xml:space="preserve">Sustainable agriculture faces a dual constraint that is becoming increasingly structural rather than episodic: water scarcity and climate volatility on the one hand, and rising expectations for stable yields, quality, and environmental performance on the other. Precision irrigation and smart greenhouse technologies have emerged as two complementary pathways for addressing these constraints by shifting water and climate management from periodic, experience-driven actions to continuous, sensor-informed, and algorithmically supported decisions. This review </w:t>
      </w:r>
      <w:proofErr w:type="spellStart"/>
      <w:r>
        <w:t>synthesises</w:t>
      </w:r>
      <w:proofErr w:type="spellEnd"/>
      <w:r>
        <w:t xml:space="preserve"> research from 2000–2026 on the technical foundations, decision architectures, and sustainability outcomes of precision irrigation and smart greenhouse systems, with particular emphasis on how these domains converge through shared advances in sensing, connectivity, modelling, and control. The review traces the evolution from soil- and weather-based irrigation scheduling towards multi-source monitoring frameworks, decision support systems, and advanced control strategies, and it examines the parallel transition in protected cultivation from conventional environmental control to data-driven controlled environment agriculture. The analysis highlights enabling technologies such as wireless sensor networks, remote sensing of evapotranspiration, unmanned aerial systems, Internet of Things platforms, and open models for greenhouse energy–climate interactions. It also evaluates reported impacts on water productivity, energy demand, and operational resilience, while identifying persistent barriers in interoperability, data quality, cost, and skills. The paper concludes that the next phase of innovation is likely to be defined by integrated “water–energy–climate” </w:t>
      </w:r>
      <w:proofErr w:type="spellStart"/>
      <w:r>
        <w:t>optimisation</w:t>
      </w:r>
      <w:proofErr w:type="spellEnd"/>
      <w:r>
        <w:t xml:space="preserve"> across field and greenhouse contexts, supported by transparent decision support, robust control, and verifiable sustainability metrics.</w:t>
      </w:r>
    </w:p>
    <w:p w:rsidR="00C5515E" w:rsidRDefault="00C5515E" w:rsidP="00C5515E">
      <w:pPr>
        <w:pStyle w:val="NormalWeb"/>
      </w:pPr>
      <w:r>
        <w:rPr>
          <w:rStyle w:val="Strong"/>
        </w:rPr>
        <w:t>Keywords:</w:t>
      </w:r>
      <w:r>
        <w:t xml:space="preserve"> precision irrigation; variable rate irrigation; smart greenhouses; controlled environment agriculture; Internet of Things; wireless sensor networks; remote sensing; evapotranspiration; decision support systems; sustainability</w:t>
      </w:r>
    </w:p>
    <w:p w:rsidR="00C5515E" w:rsidRDefault="00C5515E" w:rsidP="00C5515E"/>
    <w:p w:rsidR="00F76FC1" w:rsidRPr="00F76FC1" w:rsidRDefault="00F76FC1" w:rsidP="00F76FC1">
      <w:pPr>
        <w:spacing w:before="100" w:beforeAutospacing="1" w:after="100" w:afterAutospacing="1" w:line="240" w:lineRule="auto"/>
        <w:ind w:left="0" w:right="0" w:firstLine="0"/>
        <w:jc w:val="left"/>
        <w:outlineLvl w:val="1"/>
        <w:rPr>
          <w:b/>
          <w:bCs/>
          <w:color w:val="auto"/>
          <w:kern w:val="0"/>
          <w:sz w:val="36"/>
          <w:szCs w:val="36"/>
          <w:lang w:val="en-US" w:eastAsia="en-US"/>
        </w:rPr>
      </w:pPr>
      <w:r w:rsidRPr="00F76FC1">
        <w:rPr>
          <w:b/>
          <w:bCs/>
          <w:color w:val="auto"/>
          <w:kern w:val="0"/>
          <w:sz w:val="36"/>
          <w:szCs w:val="36"/>
          <w:lang w:val="en-US" w:eastAsia="en-US"/>
        </w:rPr>
        <w:t>1. Introduction</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Agriculture is being asked to deliver more with less: more stable yields and higher quality under increasingly volatile weather patterns, while simultaneously reducing pressure on water resources and limiting environmental impacts. In this setting, irrigation and climate management are no longer simply operational tasks; they are central levers for sustainability, resilience, and profitability. Precision irrigation and smart greenhouse technologies have gained prominence because they reshape these levers into data-informed and, increasingly, </w:t>
      </w:r>
      <w:r w:rsidRPr="00F76FC1">
        <w:rPr>
          <w:color w:val="auto"/>
          <w:kern w:val="0"/>
          <w:lang w:val="en-US" w:eastAsia="en-US"/>
        </w:rPr>
        <w:lastRenderedPageBreak/>
        <w:t>automated decision processes. Precision irrigation aims to align water application with the spatial and temporal variability of crop demand, replacing uniform schedules with responsive management supported by sensing, modelling, and control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 Smart greenhouses, by contrast, pursue stability through controlled environments, where microclimate and root-zone conditions can be actively regulated to sustain production despite external variability, often through integrated monitoring and automation (</w:t>
      </w:r>
      <w:proofErr w:type="spellStart"/>
      <w:r w:rsidRPr="00F76FC1">
        <w:rPr>
          <w:color w:val="auto"/>
          <w:kern w:val="0"/>
          <w:lang w:val="en-US" w:eastAsia="en-US"/>
        </w:rPr>
        <w:t>Shamshiri</w:t>
      </w:r>
      <w:proofErr w:type="spellEnd"/>
      <w:r w:rsidRPr="00F76FC1">
        <w:rPr>
          <w:color w:val="auto"/>
          <w:kern w:val="0"/>
          <w:lang w:val="en-US" w:eastAsia="en-US"/>
        </w:rPr>
        <w:t xml:space="preserve"> et al., 2018; Hemming et al., 2020).</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A critical reason these two domains matter for sustainable agriculture is that they increasingly converge in practice. Both depend on continuous data streams, both require trustworthy decision logic that links measurements to actions, and both face similar barriers around interoperability, data quality, maintenance, and user confidence. The value of “smart” interventions is therefore rarely defined by a single sensor or algorithm; it is defined by the performance of the entire decision chain from measurement and communication to inference, control action, and verification of outcomes. The smart farming literature </w:t>
      </w:r>
      <w:proofErr w:type="spellStart"/>
      <w:r w:rsidRPr="00F76FC1">
        <w:rPr>
          <w:color w:val="auto"/>
          <w:kern w:val="0"/>
          <w:lang w:val="en-US" w:eastAsia="en-US"/>
        </w:rPr>
        <w:t>emphasises</w:t>
      </w:r>
      <w:proofErr w:type="spellEnd"/>
      <w:r w:rsidRPr="00F76FC1">
        <w:rPr>
          <w:color w:val="auto"/>
          <w:kern w:val="0"/>
          <w:lang w:val="en-US" w:eastAsia="en-US"/>
        </w:rPr>
        <w:t xml:space="preserve"> that this chain also creates new governance and </w:t>
      </w:r>
      <w:proofErr w:type="spellStart"/>
      <w:r w:rsidRPr="00F76FC1">
        <w:rPr>
          <w:color w:val="auto"/>
          <w:kern w:val="0"/>
          <w:lang w:val="en-US" w:eastAsia="en-US"/>
        </w:rPr>
        <w:t>organisational</w:t>
      </w:r>
      <w:proofErr w:type="spellEnd"/>
      <w:r w:rsidRPr="00F76FC1">
        <w:rPr>
          <w:color w:val="auto"/>
          <w:kern w:val="0"/>
          <w:lang w:val="en-US" w:eastAsia="en-US"/>
        </w:rPr>
        <w:t xml:space="preserve"> questions—who owns the data, how it is interpreted, and how benefits are distributed—issues that influence adoption as strongly as technical capability (</w:t>
      </w:r>
      <w:proofErr w:type="spellStart"/>
      <w:r w:rsidRPr="00F76FC1">
        <w:rPr>
          <w:color w:val="auto"/>
          <w:kern w:val="0"/>
          <w:lang w:val="en-US" w:eastAsia="en-US"/>
        </w:rPr>
        <w:t>Wolfert</w:t>
      </w:r>
      <w:proofErr w:type="spellEnd"/>
      <w:r w:rsidRPr="00F76FC1">
        <w:rPr>
          <w:color w:val="auto"/>
          <w:kern w:val="0"/>
          <w:lang w:val="en-US" w:eastAsia="en-US"/>
        </w:rPr>
        <w:t xml:space="preserve"> et al., 2017).</w:t>
      </w:r>
    </w:p>
    <w:p w:rsidR="00F76FC1" w:rsidRPr="00F76FC1" w:rsidRDefault="00F76FC1" w:rsidP="00F76F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F76FC1">
        <w:rPr>
          <w:b/>
          <w:bCs/>
          <w:color w:val="auto"/>
          <w:kern w:val="0"/>
          <w:sz w:val="27"/>
          <w:szCs w:val="27"/>
          <w:lang w:val="en-US" w:eastAsia="en-US"/>
        </w:rPr>
        <w:t>1.1. Precision irrigation as an information-and-control problem</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Precision irrigation has matured from an intuitive idea—fields are heterogeneous, therefore irrigation should be differentiated—into a structured technological paradigm. Modern approaches seek to infer crop water need using combinations of soil moisture, weather variables, and crop status indicators, then translate those inferences into timely and feasible irrigation actions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 This evolution reflects a practical truth: irrigation decisions are made under uncertainty. Weather forecasts can be wrong, soil properties vary within short distances, and crop water demand shifts quickly with development stage and microclimate. Consequently, the usefulness of any monitoring signal depends on how well it reduces uncertainty in decisions, not merely on how accurately it measures a physical variable.</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Plant-based approaches illustrate this tension. They offer the appealing promise of measuring the crop directly—capturing water stress as the plant experiences it—rather than relying on proxies. Yet classic analysis also highlights persistent pitfalls: plant signals can be difficult to interpret, can vary across cultivars and conditions, and may not scale easily to farm operations without careful calibration and integration (Jones, 2004). These challenges have encouraged multi-sensor approaches and advanced control strategies that combine soil, plant, and atmospheric data into a unified decision framework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 As a result, precision irrigation increasingly resembles a cyber-physical system: a feedback loop where measurements are processed into recommendations or automated control actions, ideally with the capacity to adapt when conditions deviate from expectations.</w:t>
      </w:r>
    </w:p>
    <w:p w:rsidR="00F76FC1" w:rsidRPr="00F76FC1" w:rsidRDefault="00F76FC1" w:rsidP="00F76F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F76FC1">
        <w:rPr>
          <w:b/>
          <w:bCs/>
          <w:color w:val="auto"/>
          <w:kern w:val="0"/>
          <w:sz w:val="27"/>
          <w:szCs w:val="27"/>
          <w:lang w:val="en-US" w:eastAsia="en-US"/>
        </w:rPr>
        <w:t>1.2. Smart greenhouses and the sustainability trade-off space</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Smart greenhouses occupy a different point in the agricultural design space. Instead of adapting to environmental variability, they partially replace it with controllability. This shift underpins the broader transition towards controlled environment agriculture, including plant factories and urban production systems, where environmental parameters are regulated to support year-round production (</w:t>
      </w:r>
      <w:proofErr w:type="spellStart"/>
      <w:r w:rsidRPr="00F76FC1">
        <w:rPr>
          <w:color w:val="auto"/>
          <w:kern w:val="0"/>
          <w:lang w:val="en-US" w:eastAsia="en-US"/>
        </w:rPr>
        <w:t>Shamshiri</w:t>
      </w:r>
      <w:proofErr w:type="spellEnd"/>
      <w:r w:rsidRPr="00F76FC1">
        <w:rPr>
          <w:color w:val="auto"/>
          <w:kern w:val="0"/>
          <w:lang w:val="en-US" w:eastAsia="en-US"/>
        </w:rPr>
        <w:t xml:space="preserve"> et al., 2018). In its most advanced forms, </w:t>
      </w:r>
      <w:r w:rsidRPr="00F76FC1">
        <w:rPr>
          <w:color w:val="auto"/>
          <w:kern w:val="0"/>
          <w:lang w:val="en-US" w:eastAsia="en-US"/>
        </w:rPr>
        <w:lastRenderedPageBreak/>
        <w:t>greenhouse management becomes a coordinated orchestration of sensing, actuation, and decision logic across temperature, humidity, light, carbon dioxide, and irrigation or fertigation. Practical demonstrations of intelligent greenhouse production show how sensors and artificial intelligence can be deployed to influence climate and irrigation decisions in ways that target yield and quality simultaneously, indicating the direction of travel for high-tech protected cultivation (Hemming et al., 2020).</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However, the sustainability proposition of smart greenhouses is not straightforward. Water efficiency can improve due to controlled delivery and, in many systems, partial recirculation. Yet energy demand can rise substantially because climate control and lighting require continuous inputs. Energy efficiency therefore emerges as a defining sustainability constraint for controlled environments, shaping both environmental impacts and commercial feasibility (Engler &amp; </w:t>
      </w:r>
      <w:proofErr w:type="spellStart"/>
      <w:r w:rsidRPr="00F76FC1">
        <w:rPr>
          <w:color w:val="auto"/>
          <w:kern w:val="0"/>
          <w:lang w:val="en-US" w:eastAsia="en-US"/>
        </w:rPr>
        <w:t>Krarti</w:t>
      </w:r>
      <w:proofErr w:type="spellEnd"/>
      <w:r w:rsidRPr="00F76FC1">
        <w:rPr>
          <w:color w:val="auto"/>
          <w:kern w:val="0"/>
          <w:lang w:val="en-US" w:eastAsia="en-US"/>
        </w:rPr>
        <w:t>, 2021). Reviews of greenhouse energy modelling and operation similarly stress that achieving efficiency gains depends on integrated models and operational strategies that can reconcile crop requirements with energy costs, and that these tools are still unevenly deployed in practice (</w:t>
      </w:r>
      <w:proofErr w:type="spellStart"/>
      <w:r w:rsidRPr="00F76FC1">
        <w:rPr>
          <w:color w:val="auto"/>
          <w:kern w:val="0"/>
          <w:lang w:val="en-US" w:eastAsia="en-US"/>
        </w:rPr>
        <w:t>Iddio</w:t>
      </w:r>
      <w:proofErr w:type="spellEnd"/>
      <w:r w:rsidRPr="00F76FC1">
        <w:rPr>
          <w:color w:val="auto"/>
          <w:kern w:val="0"/>
          <w:lang w:val="en-US" w:eastAsia="en-US"/>
        </w:rPr>
        <w:t xml:space="preserve"> et al., 2020).</w:t>
      </w:r>
    </w:p>
    <w:p w:rsidR="00F76FC1" w:rsidRPr="00F76FC1" w:rsidRDefault="00F76FC1" w:rsidP="00F76F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F76FC1">
        <w:rPr>
          <w:b/>
          <w:bCs/>
          <w:color w:val="auto"/>
          <w:kern w:val="0"/>
          <w:sz w:val="27"/>
          <w:szCs w:val="27"/>
          <w:lang w:val="en-US" w:eastAsia="en-US"/>
        </w:rPr>
        <w:t>1.3. Convergence: shared data foundations and coupled water–energy decisions</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Although precision irrigation and smart greenhouse technologies are often discussed separately, they share a growing common foundation: networked sensing, data-driven inference, and automated or semi-automated control. In both contexts, the central technical question is not merely “what is the current condition?” but “what action should be taken now to </w:t>
      </w:r>
      <w:proofErr w:type="spellStart"/>
      <w:r w:rsidRPr="00F76FC1">
        <w:rPr>
          <w:color w:val="auto"/>
          <w:kern w:val="0"/>
          <w:lang w:val="en-US" w:eastAsia="en-US"/>
        </w:rPr>
        <w:t>optimise</w:t>
      </w:r>
      <w:proofErr w:type="spellEnd"/>
      <w:r w:rsidRPr="00F76FC1">
        <w:rPr>
          <w:color w:val="auto"/>
          <w:kern w:val="0"/>
          <w:lang w:val="en-US" w:eastAsia="en-US"/>
        </w:rPr>
        <w:t xml:space="preserve"> outcomes over time, under constraints?”. In precision irrigation, monitoring and control reviews increasingly </w:t>
      </w:r>
      <w:proofErr w:type="spellStart"/>
      <w:r w:rsidRPr="00F76FC1">
        <w:rPr>
          <w:color w:val="auto"/>
          <w:kern w:val="0"/>
          <w:lang w:val="en-US" w:eastAsia="en-US"/>
        </w:rPr>
        <w:t>emphasise</w:t>
      </w:r>
      <w:proofErr w:type="spellEnd"/>
      <w:r w:rsidRPr="00F76FC1">
        <w:rPr>
          <w:color w:val="auto"/>
          <w:kern w:val="0"/>
          <w:lang w:val="en-US" w:eastAsia="en-US"/>
        </w:rPr>
        <w:t xml:space="preserve"> advanced control strategies and feedback architectures as routes to improved water use efficiency, particularly where uncertainty is high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 In greenhouses, similar themes appear in the push for integrated modelling and control systems that connect environmental regulation with resource efficiency (</w:t>
      </w:r>
      <w:proofErr w:type="spellStart"/>
      <w:r w:rsidRPr="00F76FC1">
        <w:rPr>
          <w:color w:val="auto"/>
          <w:kern w:val="0"/>
          <w:lang w:val="en-US" w:eastAsia="en-US"/>
        </w:rPr>
        <w:t>Iddio</w:t>
      </w:r>
      <w:proofErr w:type="spellEnd"/>
      <w:r w:rsidRPr="00F76FC1">
        <w:rPr>
          <w:color w:val="auto"/>
          <w:kern w:val="0"/>
          <w:lang w:val="en-US" w:eastAsia="en-US"/>
        </w:rPr>
        <w:t xml:space="preserve"> et al., 2020).</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A key site of convergence lies in the water–energy coupling. Field irrigation consumes energy through pumping and distribution, while greenhouse climate control consumes energy through heating, cooling, ventilation, and lighting. In protected environments, lighting choices can materially change heat loads and humidity dynamics, which in turn alter transpiration and irrigation requirements. Open modelling work that contrasts lighting technologies in greenhouse systems highlights how lighting decisions can shift heat requirements and, by implication, the broader resource balance of production (</w:t>
      </w:r>
      <w:proofErr w:type="spellStart"/>
      <w:r w:rsidRPr="00F76FC1">
        <w:rPr>
          <w:color w:val="auto"/>
          <w:kern w:val="0"/>
          <w:lang w:val="en-US" w:eastAsia="en-US"/>
        </w:rPr>
        <w:t>Katzin</w:t>
      </w:r>
      <w:proofErr w:type="spellEnd"/>
      <w:r w:rsidRPr="00F76FC1">
        <w:rPr>
          <w:color w:val="auto"/>
          <w:kern w:val="0"/>
          <w:lang w:val="en-US" w:eastAsia="en-US"/>
        </w:rPr>
        <w:t xml:space="preserve"> et al., 2020). These interactions suggest that sustainability gains will increasingly depend on joint </w:t>
      </w:r>
      <w:proofErr w:type="spellStart"/>
      <w:r w:rsidRPr="00F76FC1">
        <w:rPr>
          <w:color w:val="auto"/>
          <w:kern w:val="0"/>
          <w:lang w:val="en-US" w:eastAsia="en-US"/>
        </w:rPr>
        <w:t>optimisation</w:t>
      </w:r>
      <w:proofErr w:type="spellEnd"/>
      <w:r w:rsidRPr="00F76FC1">
        <w:rPr>
          <w:color w:val="auto"/>
          <w:kern w:val="0"/>
          <w:lang w:val="en-US" w:eastAsia="en-US"/>
        </w:rPr>
        <w:t>—treating irrigation, climate, and energy as a coupled system—rather than pursuing isolated improvements in any single subsystem.</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At the same time, the data-centric nature of these technologies foregrounds socio-technical concerns. The value of digital agriculture depends on integration across devices and platforms, but also on governance and trust: farmers and operators must be able to understand, maintain, and rely on systems whose recommendations may be generated by complex analytics. Broader analyses of smart farming underscore that data infrastructures reshape decision-making and value chains, meaning that technical performance alone does not guarantee widespread sustainable impact (</w:t>
      </w:r>
      <w:proofErr w:type="spellStart"/>
      <w:r w:rsidRPr="00F76FC1">
        <w:rPr>
          <w:color w:val="auto"/>
          <w:kern w:val="0"/>
          <w:lang w:val="en-US" w:eastAsia="en-US"/>
        </w:rPr>
        <w:t>Wolfert</w:t>
      </w:r>
      <w:proofErr w:type="spellEnd"/>
      <w:r w:rsidRPr="00F76FC1">
        <w:rPr>
          <w:color w:val="auto"/>
          <w:kern w:val="0"/>
          <w:lang w:val="en-US" w:eastAsia="en-US"/>
        </w:rPr>
        <w:t xml:space="preserve"> et al., 2017).</w:t>
      </w:r>
    </w:p>
    <w:p w:rsidR="00F76FC1" w:rsidRPr="00F76FC1" w:rsidRDefault="00F76FC1" w:rsidP="00F76F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F76FC1">
        <w:rPr>
          <w:b/>
          <w:bCs/>
          <w:color w:val="auto"/>
          <w:kern w:val="0"/>
          <w:sz w:val="27"/>
          <w:szCs w:val="27"/>
          <w:lang w:val="en-US" w:eastAsia="en-US"/>
        </w:rPr>
        <w:lastRenderedPageBreak/>
        <w:t>1.4. Scope and objective</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This review focuses on the technologies, decision architectures, and sustainability implications of precision irrigation and smart greenhouse systems as they have developed from 2000 to 2026. The scope is intentionally interdisciplinary, spanning sensing and monitoring (soil, plant, and microclimate), data communication and integration, decision support methods, and automation and control strategies that translate information into actionable management. In the case of precision irrigation, particular attention is given to approaches that address spatial and temporal variability, including feedback-driven scheduling and variable application strategies where they influence water productivity and operational reliability. In the case of smart greenhouses, the review considers how environmental monitoring and automated regulation of climate and irrigation interact to shape resource efficiency, crop performance, and resilience to external variability.</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A central objective is to </w:t>
      </w:r>
      <w:proofErr w:type="spellStart"/>
      <w:r w:rsidRPr="00F76FC1">
        <w:rPr>
          <w:color w:val="auto"/>
          <w:kern w:val="0"/>
          <w:lang w:val="en-US" w:eastAsia="en-US"/>
        </w:rPr>
        <w:t>analyse</w:t>
      </w:r>
      <w:proofErr w:type="spellEnd"/>
      <w:r w:rsidRPr="00F76FC1">
        <w:rPr>
          <w:color w:val="auto"/>
          <w:kern w:val="0"/>
          <w:lang w:val="en-US" w:eastAsia="en-US"/>
        </w:rPr>
        <w:t xml:space="preserve"> these domains not as isolated technology stacks but as coupled socio-technical systems in which performance depends on end-to-end integrity: measurement quality, interoperability, decision logic, actuation feasibility, and verification of outcomes. The review therefore aims to clarify where reported sustainability gains are robust, where they are conditional on context and management, and how water-saving objectives can conflict with or complement energy and climate-control demands. A further objective is to identify integration pathways toward unified water–energy–climate management across open-field and protected cultivation, while highlighting persistent barriers such as data reliability, platform fragmentation, maintenance burdens, and skills requirements. Finally, the review seeks to provide a structured agenda for future research and implementation that </w:t>
      </w:r>
      <w:proofErr w:type="spellStart"/>
      <w:r w:rsidRPr="00F76FC1">
        <w:rPr>
          <w:color w:val="auto"/>
          <w:kern w:val="0"/>
          <w:lang w:val="en-US" w:eastAsia="en-US"/>
        </w:rPr>
        <w:t>prioritises</w:t>
      </w:r>
      <w:proofErr w:type="spellEnd"/>
      <w:r w:rsidRPr="00F76FC1">
        <w:rPr>
          <w:color w:val="auto"/>
          <w:kern w:val="0"/>
          <w:lang w:val="en-US" w:eastAsia="en-US"/>
        </w:rPr>
        <w:t xml:space="preserve"> transparency, robustness, and measurable sustainability impacts in real production settings.</w:t>
      </w:r>
    </w:p>
    <w:p w:rsidR="00C5515E" w:rsidRDefault="00C5515E" w:rsidP="00C5515E"/>
    <w:p w:rsidR="00C5515E" w:rsidRDefault="00C5515E" w:rsidP="00C5515E">
      <w:pPr>
        <w:pStyle w:val="Heading2"/>
      </w:pPr>
      <w:r>
        <w:t>2. Methods for literature selection</w:t>
      </w:r>
    </w:p>
    <w:p w:rsidR="00C5515E" w:rsidRDefault="00C5515E" w:rsidP="00C5515E">
      <w:pPr>
        <w:pStyle w:val="NormalWeb"/>
      </w:pPr>
      <w:r>
        <w:t>The literature was identified through structured searches conducted in Web of Science, Scopus, Google Scholar, and relevant discipline-indexed databases for agriculture and environmental sciences. Searches were limited t</w:t>
      </w:r>
      <w:r w:rsidR="00665992">
        <w:t>o publications from January 2005</w:t>
      </w:r>
      <w:r>
        <w:t xml:space="preserve"> through February 2026, with additional backward citation tracking for seminal papers that shaped conceptual foundations. Search strings were iteratively refined and included combinations such as “precision irrigation” AND (“monitoring” OR “control” OR “decision support”), “variable rate irrigation” AND (“remote sensing” OR “UAV” OR “prescription map”), “smart greenhouse” AND (“IoT” OR “wireless sensor network” OR “automation” OR “model predictive control”), and “controlled environment agriculture” AND (“energy efficiency” OR “lighting” OR “sustainability”).</w:t>
      </w:r>
    </w:p>
    <w:p w:rsidR="00C5515E" w:rsidRDefault="00C5515E" w:rsidP="00C5515E">
      <w:pPr>
        <w:pStyle w:val="NormalWeb"/>
      </w:pPr>
      <w:r>
        <w:t xml:space="preserve">Inclusion criteria </w:t>
      </w:r>
      <w:proofErr w:type="spellStart"/>
      <w:r>
        <w:t>prioritised</w:t>
      </w:r>
      <w:proofErr w:type="spellEnd"/>
      <w:r>
        <w:t xml:space="preserve"> peer-reviewed journal articles and high-quality review papers addressing sensing, modelling, control, and sustainability outcomes in either open-field irrigation or greenhouse/controlled environments. Studies were included when they provided either (</w:t>
      </w:r>
      <w:proofErr w:type="spellStart"/>
      <w:r>
        <w:t>i</w:t>
      </w:r>
      <w:proofErr w:type="spellEnd"/>
      <w:r>
        <w:t xml:space="preserve">) a clear technological contribution (sensor networks, remote sensing pipelines, control architectures, decision support systems, modelling frameworks), or (ii) evaluative evidence on water use, energy use, yield, or resource efficiency. Exclusion criteria removed non-scholarly reports, purely conceptual opinion pieces without methodological grounding, and papers where irrigation or greenhouse automation was tangential rather than central. </w:t>
      </w:r>
      <w:r>
        <w:lastRenderedPageBreak/>
        <w:t>When multiple publications described similar systems, preference was given to those with clearer methodological descriptions, broader validation, or stronger relevance to sustainable resource use.</w:t>
      </w:r>
    </w:p>
    <w:p w:rsidR="00C5515E" w:rsidRDefault="00C5515E" w:rsidP="00C5515E"/>
    <w:p w:rsidR="00F76FC1" w:rsidRPr="00F76FC1" w:rsidRDefault="00F76FC1" w:rsidP="00F76FC1">
      <w:pPr>
        <w:spacing w:before="100" w:beforeAutospacing="1" w:after="100" w:afterAutospacing="1" w:line="240" w:lineRule="auto"/>
        <w:ind w:left="0" w:right="0" w:firstLine="0"/>
        <w:jc w:val="left"/>
        <w:outlineLvl w:val="1"/>
        <w:rPr>
          <w:b/>
          <w:bCs/>
          <w:color w:val="auto"/>
          <w:kern w:val="0"/>
          <w:sz w:val="36"/>
          <w:szCs w:val="36"/>
          <w:lang w:val="en-US" w:eastAsia="en-US"/>
        </w:rPr>
      </w:pPr>
      <w:r w:rsidRPr="00F76FC1">
        <w:rPr>
          <w:b/>
          <w:bCs/>
          <w:color w:val="auto"/>
          <w:kern w:val="0"/>
          <w:sz w:val="36"/>
          <w:szCs w:val="36"/>
          <w:lang w:val="en-US" w:eastAsia="en-US"/>
        </w:rPr>
        <w:t>3. Precision irrigation: sensing, decision support, and control</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Precision irrigation has progressively shifted irrigation management from uniform, schedule-driven practice towards adaptive decision-making guided by measurements and models. The underlying premise is straightforward: crop water requirements vary across space and time, and irrigation efficiency improves when application is aligned with that variability. In practice, however, precision irrigation is not simply a matter of installing sensors or adopting a new scheduling method; it is an end-to-end decision system. It begins with observation of soil–plant–atmosphere conditions, continues through data communication and interpretation, and culminates in actions that must be timely, hydraulically feasible, and operationally acceptable. Reviews of precision irrigation technologies </w:t>
      </w:r>
      <w:proofErr w:type="spellStart"/>
      <w:r w:rsidRPr="00F76FC1">
        <w:rPr>
          <w:color w:val="auto"/>
          <w:kern w:val="0"/>
          <w:lang w:val="en-US" w:eastAsia="en-US"/>
        </w:rPr>
        <w:t>emphasise</w:t>
      </w:r>
      <w:proofErr w:type="spellEnd"/>
      <w:r w:rsidRPr="00F76FC1">
        <w:rPr>
          <w:color w:val="auto"/>
          <w:kern w:val="0"/>
          <w:lang w:val="en-US" w:eastAsia="en-US"/>
        </w:rPr>
        <w:t xml:space="preserve"> that performance depends on the integrity of this entire pipeline rather than on any individual component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 As a result, the most consequential advances in the past two decades have been those that improve integration: combining multiple sensing modalities, building reliable data flows, and linking inference to control strategies that can cope with uncertainty.</w:t>
      </w:r>
    </w:p>
    <w:p w:rsidR="00F76FC1" w:rsidRPr="00F76FC1" w:rsidRDefault="00F76FC1" w:rsidP="00F76F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F76FC1">
        <w:rPr>
          <w:b/>
          <w:bCs/>
          <w:color w:val="auto"/>
          <w:kern w:val="0"/>
          <w:sz w:val="27"/>
          <w:szCs w:val="27"/>
          <w:lang w:val="en-US" w:eastAsia="en-US"/>
        </w:rPr>
        <w:t>3.1. Sensing foundations: soil, plant, and atmospheric measurements</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The sensing layer of precision irrigation has broadened markedly since 2000. Soil moisture monitoring remains a core pillar because it directly relates to water availability in the root zone, but contemporary practice increasingly treats soil moisture as one element of a larger diagnostic framework. Early work demonstrating real-time wireless sensor arrays for irrigation scheduling showed that distributed soil sensing can capture field variability in ways that periodic manual measurements cannot, providing the operational foundation for continuous, data-led scheduling (</w:t>
      </w:r>
      <w:proofErr w:type="spellStart"/>
      <w:r w:rsidRPr="00F76FC1">
        <w:rPr>
          <w:color w:val="auto"/>
          <w:kern w:val="0"/>
          <w:lang w:val="en-US" w:eastAsia="en-US"/>
        </w:rPr>
        <w:t>Vellidis</w:t>
      </w:r>
      <w:proofErr w:type="spellEnd"/>
      <w:r w:rsidRPr="00F76FC1">
        <w:rPr>
          <w:color w:val="auto"/>
          <w:kern w:val="0"/>
          <w:lang w:val="en-US" w:eastAsia="en-US"/>
        </w:rPr>
        <w:t xml:space="preserve"> et al., 2008). Such systems, and their later successors, illustrate both the promise and the complexity of sensor deployment: sensor placement must represent heterogeneous soils; calibration and maintenance must be sustained over seasons; and communication reliability can be as decisive as measurement precision.</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Plant-based sensing offers a complementary perspective by aiming to quantify the crop’s response rather than the environment alone. Yet classic assessment of plant-based irrigation scheduling clarifies why these approaches, while conceptually attractive, have not been universally adopted as standalone solutions. Plant signals can be biologically meaningful but difficult to interpret consistently across cultivars, growth stages, and fluctuating microclimates, and they often demand careful calibration to avoid misdiagnosis of stress (Jones, 2004). Consequently, current precision irrigation strategies frequently </w:t>
      </w:r>
      <w:proofErr w:type="spellStart"/>
      <w:r w:rsidRPr="00F76FC1">
        <w:rPr>
          <w:color w:val="auto"/>
          <w:kern w:val="0"/>
          <w:lang w:val="en-US" w:eastAsia="en-US"/>
        </w:rPr>
        <w:t>emphasise</w:t>
      </w:r>
      <w:proofErr w:type="spellEnd"/>
      <w:r w:rsidRPr="00F76FC1">
        <w:rPr>
          <w:color w:val="auto"/>
          <w:kern w:val="0"/>
          <w:lang w:val="en-US" w:eastAsia="en-US"/>
        </w:rPr>
        <w:t xml:space="preserve"> sensor fusion, combining soil moisture, meteorological data, and plant status indicators to reduce ambiguity and improve decision confidence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lastRenderedPageBreak/>
        <w:t>Atmospheric measurements—temperature, humidity, solar radiation, and wind—remain essential because they govern evaporative demand and therefore the timing and magnitude of irrigation need. In operational settings, weather data also function as an integrative bridge between point sensing and spatial monitoring: they support both local scheduling and the interpretation of remotely sensed indicators. Precision irrigation monitoring reviews note that the most robust systems treat data streams as complementary, using redundancy to manage sensor drift, data gaps, and local anomalies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w:t>
      </w:r>
    </w:p>
    <w:p w:rsidR="00F76FC1" w:rsidRPr="00F76FC1" w:rsidRDefault="00F76FC1" w:rsidP="00F76F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F76FC1">
        <w:rPr>
          <w:b/>
          <w:bCs/>
          <w:color w:val="auto"/>
          <w:kern w:val="0"/>
          <w:sz w:val="27"/>
          <w:szCs w:val="27"/>
          <w:lang w:val="en-US" w:eastAsia="en-US"/>
        </w:rPr>
        <w:t>3.2. Spatial intelligence and variable rate irrigation</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Precision irrigation becomes most tangible when spatial information can be translated into spatial action. Variable rate irrigation (VRI) is a prominent example, enabling differential application depths within a field based on management zones or continuous prescription maps. Yet VRI also exposes a practical reality: spatial capability does not automatically yield water savings or yield improvements. Evaluations of VRI in forage cropping systems indicate that water savings and improved water productivity are achievable, but outcomes are context-dependent and shaped by seasonal conditions, zoning logic, and the baseline irrigation strategy being replaced (Li et al., 2023). This implies that VRI should be understood as an enabling technology whose sustainability benefits depend on the quality of spatial decision-making and on constraints imposed by the irrigation hardware and farm operations.</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The generation of spatial prescriptions increasingly draws on high-resolution crop monitoring. Small unmanned aerial systems have been widely reviewed as an operational pathway for bringing timely, high-resolution imagery into agricultural decision-making, particularly when satellite revisits or cloud cover limit alternatives (Zhang &amp; Kovacs, 2012). In irrigation contexts, UAV multispectral imagery can help infer crop </w:t>
      </w:r>
      <w:proofErr w:type="spellStart"/>
      <w:r w:rsidRPr="00F76FC1">
        <w:rPr>
          <w:color w:val="auto"/>
          <w:kern w:val="0"/>
          <w:lang w:val="en-US" w:eastAsia="en-US"/>
        </w:rPr>
        <w:t>vigour</w:t>
      </w:r>
      <w:proofErr w:type="spellEnd"/>
      <w:r w:rsidRPr="00F76FC1">
        <w:rPr>
          <w:color w:val="auto"/>
          <w:kern w:val="0"/>
          <w:lang w:val="en-US" w:eastAsia="en-US"/>
        </w:rPr>
        <w:t xml:space="preserve"> and stress patterns, which can then inform irrigation zoning or map-based prescriptions. A representative decision support approach uses UAV multispectral inputs and algorithmic reasoning to translate observed heterogeneity into variable irrigation actions, illustrating how remote sensing can be </w:t>
      </w:r>
      <w:proofErr w:type="spellStart"/>
      <w:r w:rsidRPr="00F76FC1">
        <w:rPr>
          <w:color w:val="auto"/>
          <w:kern w:val="0"/>
          <w:lang w:val="en-US" w:eastAsia="en-US"/>
        </w:rPr>
        <w:t>operationalised</w:t>
      </w:r>
      <w:proofErr w:type="spellEnd"/>
      <w:r w:rsidRPr="00F76FC1">
        <w:rPr>
          <w:color w:val="auto"/>
          <w:kern w:val="0"/>
          <w:lang w:val="en-US" w:eastAsia="en-US"/>
        </w:rPr>
        <w:t xml:space="preserve"> within VRI workflows (Shi et al., 2019). Such approaches can be powerful in detecting within-field differences, but they also introduce dependencies on consistent radiometric calibration, stable processing pipelines, and a clear linkage between spectral indicators and irrigation-relevant crop status.</w:t>
      </w:r>
    </w:p>
    <w:p w:rsidR="00F76FC1" w:rsidRPr="00F76FC1" w:rsidRDefault="00F76FC1" w:rsidP="00F76F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F76FC1">
        <w:rPr>
          <w:b/>
          <w:bCs/>
          <w:color w:val="auto"/>
          <w:kern w:val="0"/>
          <w:sz w:val="27"/>
          <w:szCs w:val="27"/>
          <w:lang w:val="en-US" w:eastAsia="en-US"/>
        </w:rPr>
        <w:t>3.3. Remote sensing and evapotranspiration-driven decision support</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Remote sensing is increasingly central to precision irrigation because it offers spatial continuity that dense ground sensing rarely achieves economically. A key pathway is the estimation of evapotranspiration (ET), which provides a physically grounded proxy for crop water use. Recent synthesis of temperature-based ET models highlights both methodological progress and persistent concerns around validation and context transferability, particularly where input data quality varies or land surface heterogeneity is high (</w:t>
      </w:r>
      <w:proofErr w:type="spellStart"/>
      <w:r w:rsidRPr="00F76FC1">
        <w:rPr>
          <w:color w:val="auto"/>
          <w:kern w:val="0"/>
          <w:lang w:val="en-US" w:eastAsia="en-US"/>
        </w:rPr>
        <w:t>Derardja</w:t>
      </w:r>
      <w:proofErr w:type="spellEnd"/>
      <w:r w:rsidRPr="00F76FC1">
        <w:rPr>
          <w:color w:val="auto"/>
          <w:kern w:val="0"/>
          <w:lang w:val="en-US" w:eastAsia="en-US"/>
        </w:rPr>
        <w:t xml:space="preserve"> et al., 2024). Alongside these physically based approaches, the literature also points to a growing role for artificial intelligence methods designed to improve ET estimation when data are incomplete, noisy, or multi-source. A recent review </w:t>
      </w:r>
      <w:proofErr w:type="spellStart"/>
      <w:r w:rsidRPr="00F76FC1">
        <w:rPr>
          <w:color w:val="auto"/>
          <w:kern w:val="0"/>
          <w:lang w:val="en-US" w:eastAsia="en-US"/>
        </w:rPr>
        <w:t>emphasises</w:t>
      </w:r>
      <w:proofErr w:type="spellEnd"/>
      <w:r w:rsidRPr="00F76FC1">
        <w:rPr>
          <w:color w:val="auto"/>
          <w:kern w:val="0"/>
          <w:lang w:val="en-US" w:eastAsia="en-US"/>
        </w:rPr>
        <w:t xml:space="preserve"> that combining remote sensing with artificial intelligence can enhance scalability and reduce some limitations of traditional pipelines, while also raising new questions about transparency, uncertainty, and the risk of models learning site-specific patterns that do not </w:t>
      </w:r>
      <w:proofErr w:type="spellStart"/>
      <w:r w:rsidRPr="00F76FC1">
        <w:rPr>
          <w:color w:val="auto"/>
          <w:kern w:val="0"/>
          <w:lang w:val="en-US" w:eastAsia="en-US"/>
        </w:rPr>
        <w:t>generalise</w:t>
      </w:r>
      <w:proofErr w:type="spellEnd"/>
      <w:r w:rsidRPr="00F76FC1">
        <w:rPr>
          <w:color w:val="auto"/>
          <w:kern w:val="0"/>
          <w:lang w:val="en-US" w:eastAsia="en-US"/>
        </w:rPr>
        <w:t xml:space="preserve"> (Fong et al., 2025).</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lastRenderedPageBreak/>
        <w:t>For irrigation decision-making, the practical significance of ET-based intelligence is not merely improved estimation accuracy; it is the ability to translate a spatially explicit water-demand signal into operational schedules and prescriptions. This translation step is often where systems succeed or fail. Temporal resolution must align with irrigation lead times; spatial resolution must be compatible with irrigation hardware; and uncertainty must be communicated in a way that supports risk-aware decisions. Precision irrigation reviews increasingly frame ET as one component within a larger decision support ecosystem, not a single definitive answer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w:t>
      </w:r>
    </w:p>
    <w:p w:rsidR="00F76FC1" w:rsidRPr="00F76FC1" w:rsidRDefault="00F76FC1" w:rsidP="00F76F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F76FC1">
        <w:rPr>
          <w:b/>
          <w:bCs/>
          <w:color w:val="auto"/>
          <w:kern w:val="0"/>
          <w:sz w:val="27"/>
          <w:szCs w:val="27"/>
          <w:lang w:val="en-US" w:eastAsia="en-US"/>
        </w:rPr>
        <w:t>3.4. Control strategies: from advisory scheduling to adaptive automation</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Control is the layer where sensing and decision support become tangible outcomes in the field. Precision irrigation control strategies range from advisory systems—where recommendations are provided to operators—to increasingly automated, closed-loop systems where irrigation is triggered and modulated based on feedback. Reviews of monitoring and advanced control strategies describe a clear progression: as sensor availability and connectivity improve, irrigation control moves from static rules to adaptive logic that can respond to deviations from expected conditions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 The appeal of closed-loop control is particularly strong under uncertainty: when weather shifts unexpectedly or soil properties vary more than assumed, feedback can prevent persistent over- or under-irrigation.</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Nevertheless, the practical effectiveness of advanced control depends on reliability in the full chain of operation. Sensor drift, communication failures, and data gaps can degrade control performance and, in the worst case, lead to systematic errors that are harder to detect than mistakes made through manual scheduling. For this reason, evaluations of irrigation decision support systems increasingly highlight usability, input requirements, and implementation constraints as determinants of real-world impact, alongside reported gains in water use efficiency (Ahmad &amp; </w:t>
      </w:r>
      <w:proofErr w:type="spellStart"/>
      <w:r w:rsidRPr="00F76FC1">
        <w:rPr>
          <w:color w:val="auto"/>
          <w:kern w:val="0"/>
          <w:lang w:val="en-US" w:eastAsia="en-US"/>
        </w:rPr>
        <w:t>Sohel</w:t>
      </w:r>
      <w:proofErr w:type="spellEnd"/>
      <w:r w:rsidRPr="00F76FC1">
        <w:rPr>
          <w:color w:val="auto"/>
          <w:kern w:val="0"/>
          <w:lang w:val="en-US" w:eastAsia="en-US"/>
        </w:rPr>
        <w:t>, 2025). In operational terms, robust precision irrigation often means designing systems that can degrade gracefully—falling back to conservative rules when data are missing—and that make the rationale for decisions intelligible to users who must trust the system during critical periods.</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Across sensing, decision support, and control, a consistent theme is that precision irrigation performance is contingent. Technology can enable better water alignment with crop needs, but outcomes depend on calibration, integration, and context-aware management. The most durable advances are therefore those that strengthen system robustness and interpretability while maintaining the practical feasibility of implementation at farm scale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w:t>
      </w:r>
    </w:p>
    <w:p w:rsidR="00C5515E" w:rsidRDefault="00C5515E" w:rsidP="00C5515E"/>
    <w:p w:rsidR="00F76FC1" w:rsidRPr="00F76FC1" w:rsidRDefault="00F76FC1" w:rsidP="00F76FC1">
      <w:pPr>
        <w:spacing w:before="100" w:beforeAutospacing="1" w:after="100" w:afterAutospacing="1" w:line="240" w:lineRule="auto"/>
        <w:ind w:left="0" w:right="0" w:firstLine="0"/>
        <w:jc w:val="left"/>
        <w:outlineLvl w:val="1"/>
        <w:rPr>
          <w:b/>
          <w:bCs/>
          <w:color w:val="auto"/>
          <w:kern w:val="0"/>
          <w:sz w:val="36"/>
          <w:szCs w:val="36"/>
          <w:lang w:val="en-US" w:eastAsia="en-US"/>
        </w:rPr>
      </w:pPr>
      <w:r w:rsidRPr="00F76FC1">
        <w:rPr>
          <w:b/>
          <w:bCs/>
          <w:color w:val="auto"/>
          <w:kern w:val="0"/>
          <w:sz w:val="36"/>
          <w:szCs w:val="36"/>
          <w:lang w:val="en-US" w:eastAsia="en-US"/>
        </w:rPr>
        <w:t xml:space="preserve">4. Smart greenhouse technologies: monitoring, automation, and resource </w:t>
      </w:r>
      <w:proofErr w:type="spellStart"/>
      <w:r w:rsidRPr="00F76FC1">
        <w:rPr>
          <w:b/>
          <w:bCs/>
          <w:color w:val="auto"/>
          <w:kern w:val="0"/>
          <w:sz w:val="36"/>
          <w:szCs w:val="36"/>
          <w:lang w:val="en-US" w:eastAsia="en-US"/>
        </w:rPr>
        <w:t>optimisation</w:t>
      </w:r>
      <w:proofErr w:type="spellEnd"/>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Smart greenhouse technologies have developed from incremental improvements in environmental control to integrated cyber-physical production systems in which sensing, communication, modelling, and actuation are increasingly coordinated. The sustainability </w:t>
      </w:r>
      <w:r w:rsidRPr="00F76FC1">
        <w:rPr>
          <w:color w:val="auto"/>
          <w:kern w:val="0"/>
          <w:lang w:val="en-US" w:eastAsia="en-US"/>
        </w:rPr>
        <w:lastRenderedPageBreak/>
        <w:t>appeal is often presented as a combination of higher yield stability, improved resource-use efficiency, and reduced exposure to external climatic shocks. Yet the greenhouse is also a demanding operating environment: climate, water, and energy flows are tightly coupled, and small control decisions can propagate into large changes in humidity, disease risk, heating load, and crop performance. Comprehensive reviews of greenhouse design and management highlight that sustainability outcomes are shaped not only by individual technologies but by whole-system choices in structure, equipment, operational strategies, and maintenance practices (</w:t>
      </w:r>
      <w:proofErr w:type="spellStart"/>
      <w:r w:rsidRPr="00F76FC1">
        <w:rPr>
          <w:color w:val="auto"/>
          <w:kern w:val="0"/>
          <w:lang w:val="en-US" w:eastAsia="en-US"/>
        </w:rPr>
        <w:t>Badji</w:t>
      </w:r>
      <w:proofErr w:type="spellEnd"/>
      <w:r w:rsidRPr="00F76FC1">
        <w:rPr>
          <w:color w:val="auto"/>
          <w:kern w:val="0"/>
          <w:lang w:val="en-US" w:eastAsia="en-US"/>
        </w:rPr>
        <w:t xml:space="preserve"> et al., 2022). Accordingly, the modern concept of a “smart greenhouse” is best understood as the integration of monitoring and automation into a coherent decision architecture that balances production goals with water and energy constraints.</w:t>
      </w:r>
    </w:p>
    <w:p w:rsidR="00F76FC1" w:rsidRPr="00F76FC1" w:rsidRDefault="00F76FC1" w:rsidP="00F76F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F76FC1">
        <w:rPr>
          <w:b/>
          <w:bCs/>
          <w:color w:val="auto"/>
          <w:kern w:val="0"/>
          <w:sz w:val="27"/>
          <w:szCs w:val="27"/>
          <w:lang w:val="en-US" w:eastAsia="en-US"/>
        </w:rPr>
        <w:t>4.1. Monitoring infrastructure: sensors, networks, and data integrity</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The monitoring layer is the backbone of intelligent greenhouse operation. Greenhouses require high-frequency observation of internal microclimate variables such as air temperature, relative humidity, </w:t>
      </w:r>
      <w:proofErr w:type="spellStart"/>
      <w:r w:rsidRPr="00F76FC1">
        <w:rPr>
          <w:color w:val="auto"/>
          <w:kern w:val="0"/>
          <w:lang w:val="en-US" w:eastAsia="en-US"/>
        </w:rPr>
        <w:t>vapour</w:t>
      </w:r>
      <w:proofErr w:type="spellEnd"/>
      <w:r w:rsidRPr="00F76FC1">
        <w:rPr>
          <w:color w:val="auto"/>
          <w:kern w:val="0"/>
          <w:lang w:val="en-US" w:eastAsia="en-US"/>
        </w:rPr>
        <w:t xml:space="preserve"> pressure deficit, and light, alongside root-zone conditions and irrigation or fertigation parameters. Although sensors are widely available, the practical challenge is reliability in the presence of humidity, condensation, dust, and rapid temperature gradients. This is why the literature on agricultural wireless sensor networks places strong emphasis on robustness, power management, and data quality assurance, all of which remain decisive for greenhouse deployments where faults can quickly translate into crop stress or disease-conducive conditions (Ojha et al., 2015). In effect, monitoring in smart greenhouses is not simply about collecting more data; it is about ensuring that data streams remain consistent, interpretable, and traceable over time.</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The expansion of Internet of Things architectures has enabled sensor networks to become more modular and scalable, with cloud- and edge-based analytics supporting remote supervision and automated alerts. However, the same diversity of IoT designs introduces fragmentation, as devices and platforms may differ in communication protocols, data formats, and control interfaces. Reviews of IoT in agricultural automation underscore that these integration issues can determine whether an installation remains a set of disconnected devices or becomes a genuine management system capable of coordinated action (Kim et al., 2020). In greenhouse contexts, the value of IoT is greatest when it supports reliable end-to-end workflows: sensor ingestion, data fusion, anomaly detection, and operational decision support that can be audited and adjusted by growers.</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A practical illustration of this direction is the use of IoT combined with wireless sensor networks to create integrated greenhouse monitoring and control platforms that link microclimate and root-zone measurements to remote dashboards and automated actuation. Such platforms commonly fuse multiple sensor streams and use rule-based or fuzzy logic reasoning to </w:t>
      </w:r>
      <w:proofErr w:type="spellStart"/>
      <w:r w:rsidRPr="00F76FC1">
        <w:rPr>
          <w:color w:val="auto"/>
          <w:kern w:val="0"/>
          <w:lang w:val="en-US" w:eastAsia="en-US"/>
        </w:rPr>
        <w:t>stabilise</w:t>
      </w:r>
      <w:proofErr w:type="spellEnd"/>
      <w:r w:rsidRPr="00F76FC1">
        <w:rPr>
          <w:color w:val="auto"/>
          <w:kern w:val="0"/>
          <w:lang w:val="en-US" w:eastAsia="en-US"/>
        </w:rPr>
        <w:t xml:space="preserve"> conditions and reduce unnecessary resource use, while also aiming to keep the system understandable for operators (</w:t>
      </w:r>
      <w:proofErr w:type="spellStart"/>
      <w:r w:rsidRPr="00F76FC1">
        <w:rPr>
          <w:color w:val="auto"/>
          <w:kern w:val="0"/>
          <w:lang w:val="en-US" w:eastAsia="en-US"/>
        </w:rPr>
        <w:t>Benyezza</w:t>
      </w:r>
      <w:proofErr w:type="spellEnd"/>
      <w:r w:rsidRPr="00F76FC1">
        <w:rPr>
          <w:color w:val="auto"/>
          <w:kern w:val="0"/>
          <w:lang w:val="en-US" w:eastAsia="en-US"/>
        </w:rPr>
        <w:t xml:space="preserve"> et al., 2023). This emphasis on interpretability is important in greenhouses because decisions are often made under time pressure, and operators need clear explanations when automation suggests or performs an action that might affect crop quality.</w:t>
      </w:r>
    </w:p>
    <w:p w:rsidR="00F76FC1" w:rsidRPr="00F76FC1" w:rsidRDefault="00F76FC1" w:rsidP="00F76F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F76FC1">
        <w:rPr>
          <w:b/>
          <w:bCs/>
          <w:color w:val="auto"/>
          <w:kern w:val="0"/>
          <w:sz w:val="27"/>
          <w:szCs w:val="27"/>
          <w:lang w:val="en-US" w:eastAsia="en-US"/>
        </w:rPr>
        <w:t>4.2. Automation pathways and the evolution of controlled environment agriculture</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lastRenderedPageBreak/>
        <w:t xml:space="preserve">Automation is central to the smart greenhouse concept because it reduces the time lag between detection of suboptimal conditions and corrective action. Yet automation also changes risk: the system can respond rapidly, but it can also propagate errors rapidly if sensors drift or control rules are poorly tuned. In the broader trajectory toward controlled environment agriculture, greenhouses are increasingly seen as part of a continuum that includes high-tech glasshouses, plant factories, and urban production systems, all </w:t>
      </w:r>
      <w:proofErr w:type="spellStart"/>
      <w:r w:rsidRPr="00F76FC1">
        <w:rPr>
          <w:color w:val="auto"/>
          <w:kern w:val="0"/>
          <w:lang w:val="en-US" w:eastAsia="en-US"/>
        </w:rPr>
        <w:t>characterised</w:t>
      </w:r>
      <w:proofErr w:type="spellEnd"/>
      <w:r w:rsidRPr="00F76FC1">
        <w:rPr>
          <w:color w:val="auto"/>
          <w:kern w:val="0"/>
          <w:lang w:val="en-US" w:eastAsia="en-US"/>
        </w:rPr>
        <w:t xml:space="preserve"> by tighter control over growing conditions and greater reliance on automation (</w:t>
      </w:r>
      <w:proofErr w:type="spellStart"/>
      <w:r w:rsidRPr="00F76FC1">
        <w:rPr>
          <w:color w:val="auto"/>
          <w:kern w:val="0"/>
          <w:lang w:val="en-US" w:eastAsia="en-US"/>
        </w:rPr>
        <w:t>Shamshiri</w:t>
      </w:r>
      <w:proofErr w:type="spellEnd"/>
      <w:r w:rsidRPr="00F76FC1">
        <w:rPr>
          <w:color w:val="auto"/>
          <w:kern w:val="0"/>
          <w:lang w:val="en-US" w:eastAsia="en-US"/>
        </w:rPr>
        <w:t xml:space="preserve"> et al., 2018). This transition is driven by the potential for consistent production and high productivity per unit area, but it demands more sophisticated coordination across climate control, irrigation, and nutrient delivery.</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Holistic reviews of smart controlled environment agriculture highlight that greenhouse intelligence is rarely confined to climate control alone. It extends into water recirculation strategies, fertigation </w:t>
      </w:r>
      <w:proofErr w:type="spellStart"/>
      <w:r w:rsidRPr="00F76FC1">
        <w:rPr>
          <w:color w:val="auto"/>
          <w:kern w:val="0"/>
          <w:lang w:val="en-US" w:eastAsia="en-US"/>
        </w:rPr>
        <w:t>optimisation</w:t>
      </w:r>
      <w:proofErr w:type="spellEnd"/>
      <w:r w:rsidRPr="00F76FC1">
        <w:rPr>
          <w:color w:val="auto"/>
          <w:kern w:val="0"/>
          <w:lang w:val="en-US" w:eastAsia="en-US"/>
        </w:rPr>
        <w:t xml:space="preserve">, and system-level management of inputs and outputs, including the avoidance of waste streams and the </w:t>
      </w:r>
      <w:proofErr w:type="spellStart"/>
      <w:r w:rsidRPr="00F76FC1">
        <w:rPr>
          <w:color w:val="auto"/>
          <w:kern w:val="0"/>
          <w:lang w:val="en-US" w:eastAsia="en-US"/>
        </w:rPr>
        <w:t>stabilisation</w:t>
      </w:r>
      <w:proofErr w:type="spellEnd"/>
      <w:r w:rsidRPr="00F76FC1">
        <w:rPr>
          <w:color w:val="auto"/>
          <w:kern w:val="0"/>
          <w:lang w:val="en-US" w:eastAsia="en-US"/>
        </w:rPr>
        <w:t xml:space="preserve"> of root-zone chemistry (</w:t>
      </w:r>
      <w:proofErr w:type="spellStart"/>
      <w:r w:rsidRPr="00F76FC1">
        <w:rPr>
          <w:color w:val="auto"/>
          <w:kern w:val="0"/>
          <w:lang w:val="en-US" w:eastAsia="en-US"/>
        </w:rPr>
        <w:t>Ragaveena</w:t>
      </w:r>
      <w:proofErr w:type="spellEnd"/>
      <w:r w:rsidRPr="00F76FC1">
        <w:rPr>
          <w:color w:val="auto"/>
          <w:kern w:val="0"/>
          <w:lang w:val="en-US" w:eastAsia="en-US"/>
        </w:rPr>
        <w:t xml:space="preserve"> et al., 2021). Within this framing, “smart greenhouse” technologies are not merely equipment upgrades; they are operational frameworks that can support sustainability objectives only when environmental monitoring, water delivery, and crop responses are treated as a coupled system.</w:t>
      </w:r>
    </w:p>
    <w:p w:rsidR="00F76FC1" w:rsidRPr="00F76FC1" w:rsidRDefault="00F76FC1" w:rsidP="00F76F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F76FC1">
        <w:rPr>
          <w:b/>
          <w:bCs/>
          <w:color w:val="auto"/>
          <w:kern w:val="0"/>
          <w:sz w:val="27"/>
          <w:szCs w:val="27"/>
          <w:lang w:val="en-US" w:eastAsia="en-US"/>
        </w:rPr>
        <w:t>4.3. Data-driven decision support: from rule-based control to adaptive management</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As greenhouses become more instrumented, the central challenge shifts from measurement to decision-making: how should sensor data be translated into actions that preserve yield and quality while </w:t>
      </w:r>
      <w:proofErr w:type="spellStart"/>
      <w:r w:rsidRPr="00F76FC1">
        <w:rPr>
          <w:color w:val="auto"/>
          <w:kern w:val="0"/>
          <w:lang w:val="en-US" w:eastAsia="en-US"/>
        </w:rPr>
        <w:t>minimising</w:t>
      </w:r>
      <w:proofErr w:type="spellEnd"/>
      <w:r w:rsidRPr="00F76FC1">
        <w:rPr>
          <w:color w:val="auto"/>
          <w:kern w:val="0"/>
          <w:lang w:val="en-US" w:eastAsia="en-US"/>
        </w:rPr>
        <w:t xml:space="preserve"> unnecessary resource use? Practical demonstrations of intelligent greenhouse production show how sensor inputs and artificial intelligence can be used to influence climate settings, irrigation timing, and other interventions with the explicit aim of shaping yield and quality outcomes, indicating that greenhouse </w:t>
      </w:r>
      <w:proofErr w:type="spellStart"/>
      <w:r w:rsidRPr="00F76FC1">
        <w:rPr>
          <w:color w:val="auto"/>
          <w:kern w:val="0"/>
          <w:lang w:val="en-US" w:eastAsia="en-US"/>
        </w:rPr>
        <w:t>optimisation</w:t>
      </w:r>
      <w:proofErr w:type="spellEnd"/>
      <w:r w:rsidRPr="00F76FC1">
        <w:rPr>
          <w:color w:val="auto"/>
          <w:kern w:val="0"/>
          <w:lang w:val="en-US" w:eastAsia="en-US"/>
        </w:rPr>
        <w:t xml:space="preserve"> is increasingly multi-objective rather than single-variable (Hemming et al., 2020). Crucially, these systems are most credible when they integrate biological considerations—such as growth stage and quality targets—into control strategies, rather than treating the crop as a passive object of climate regulation.</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Microclimate heterogeneity inside greenhouses complicates decision support. Even in relatively compact structures, gradients in temperature, humidity, and light can develop due to ventilation patterns, solar exposure, and equipment placement. Modelling and simulation studies demonstrate that these internal gradients can affect both crop response and the interpretation of sensor readings, motivating approaches that explicitly model or measure spatial variability rather than relying on single-point “representative” sensors (Ma et al., 2019). From an operational perspective, this suggests that smart greenhouse monitoring must be paired with sensor placement strategies and, where possible, modelling tools that help distinguish true crop-relevant signals from </w:t>
      </w:r>
      <w:proofErr w:type="spellStart"/>
      <w:r w:rsidRPr="00F76FC1">
        <w:rPr>
          <w:color w:val="auto"/>
          <w:kern w:val="0"/>
          <w:lang w:val="en-US" w:eastAsia="en-US"/>
        </w:rPr>
        <w:t>localised</w:t>
      </w:r>
      <w:proofErr w:type="spellEnd"/>
      <w:r w:rsidRPr="00F76FC1">
        <w:rPr>
          <w:color w:val="auto"/>
          <w:kern w:val="0"/>
          <w:lang w:val="en-US" w:eastAsia="en-US"/>
        </w:rPr>
        <w:t xml:space="preserve"> artefacts.</w:t>
      </w:r>
    </w:p>
    <w:p w:rsidR="00F76FC1" w:rsidRPr="00F76FC1" w:rsidRDefault="00F76FC1" w:rsidP="00F76F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F76FC1">
        <w:rPr>
          <w:b/>
          <w:bCs/>
          <w:color w:val="auto"/>
          <w:kern w:val="0"/>
          <w:sz w:val="27"/>
          <w:szCs w:val="27"/>
          <w:lang w:val="en-US" w:eastAsia="en-US"/>
        </w:rPr>
        <w:t xml:space="preserve">4.4. Resource </w:t>
      </w:r>
      <w:proofErr w:type="spellStart"/>
      <w:r w:rsidRPr="00F76FC1">
        <w:rPr>
          <w:b/>
          <w:bCs/>
          <w:color w:val="auto"/>
          <w:kern w:val="0"/>
          <w:sz w:val="27"/>
          <w:szCs w:val="27"/>
          <w:lang w:val="en-US" w:eastAsia="en-US"/>
        </w:rPr>
        <w:t>optimisation</w:t>
      </w:r>
      <w:proofErr w:type="spellEnd"/>
      <w:r w:rsidRPr="00F76FC1">
        <w:rPr>
          <w:b/>
          <w:bCs/>
          <w:color w:val="auto"/>
          <w:kern w:val="0"/>
          <w:sz w:val="27"/>
          <w:szCs w:val="27"/>
          <w:lang w:val="en-US" w:eastAsia="en-US"/>
        </w:rPr>
        <w:t xml:space="preserve"> and the water–energy–climate coupling</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Resource </w:t>
      </w:r>
      <w:proofErr w:type="spellStart"/>
      <w:r w:rsidRPr="00F76FC1">
        <w:rPr>
          <w:color w:val="auto"/>
          <w:kern w:val="0"/>
          <w:lang w:val="en-US" w:eastAsia="en-US"/>
        </w:rPr>
        <w:t>optimisation</w:t>
      </w:r>
      <w:proofErr w:type="spellEnd"/>
      <w:r w:rsidRPr="00F76FC1">
        <w:rPr>
          <w:color w:val="auto"/>
          <w:kern w:val="0"/>
          <w:lang w:val="en-US" w:eastAsia="en-US"/>
        </w:rPr>
        <w:t xml:space="preserve"> in smart greenhouses is inseparable from the coupling of water and energy. Irrigation decisions influence humidity via transpiration and evaporation, while ventilation and heating decisions influence plant water demand by changing </w:t>
      </w:r>
      <w:proofErr w:type="spellStart"/>
      <w:r w:rsidRPr="00F76FC1">
        <w:rPr>
          <w:color w:val="auto"/>
          <w:kern w:val="0"/>
          <w:lang w:val="en-US" w:eastAsia="en-US"/>
        </w:rPr>
        <w:t>vapour</w:t>
      </w:r>
      <w:proofErr w:type="spellEnd"/>
      <w:r w:rsidRPr="00F76FC1">
        <w:rPr>
          <w:color w:val="auto"/>
          <w:kern w:val="0"/>
          <w:lang w:val="en-US" w:eastAsia="en-US"/>
        </w:rPr>
        <w:t xml:space="preserve"> pressure deficit. Supplemental lighting further complicates this picture by adding heat and altering </w:t>
      </w:r>
      <w:r w:rsidRPr="00F76FC1">
        <w:rPr>
          <w:color w:val="auto"/>
          <w:kern w:val="0"/>
          <w:lang w:val="en-US" w:eastAsia="en-US"/>
        </w:rPr>
        <w:lastRenderedPageBreak/>
        <w:t xml:space="preserve">photosynthetic activity, thereby shifting both climate loads and plant water use. Reviews of energy efficiency in controlled environment agriculture </w:t>
      </w:r>
      <w:proofErr w:type="spellStart"/>
      <w:r w:rsidRPr="00F76FC1">
        <w:rPr>
          <w:color w:val="auto"/>
          <w:kern w:val="0"/>
          <w:lang w:val="en-US" w:eastAsia="en-US"/>
        </w:rPr>
        <w:t>emphasise</w:t>
      </w:r>
      <w:proofErr w:type="spellEnd"/>
      <w:r w:rsidRPr="00F76FC1">
        <w:rPr>
          <w:color w:val="auto"/>
          <w:kern w:val="0"/>
          <w:lang w:val="en-US" w:eastAsia="en-US"/>
        </w:rPr>
        <w:t xml:space="preserve"> that energy demand is often the dominant sustainability constraint, particularly as systems become more intensive and more reliant on artificial lighting and climate control (Engler &amp; </w:t>
      </w:r>
      <w:proofErr w:type="spellStart"/>
      <w:r w:rsidRPr="00F76FC1">
        <w:rPr>
          <w:color w:val="auto"/>
          <w:kern w:val="0"/>
          <w:lang w:val="en-US" w:eastAsia="en-US"/>
        </w:rPr>
        <w:t>Krarti</w:t>
      </w:r>
      <w:proofErr w:type="spellEnd"/>
      <w:r w:rsidRPr="00F76FC1">
        <w:rPr>
          <w:color w:val="auto"/>
          <w:kern w:val="0"/>
          <w:lang w:val="en-US" w:eastAsia="en-US"/>
        </w:rPr>
        <w:t>, 2021). In this sense, the sustainability success of smart greenhouses frequently depends on whether energy costs can be reduced or offset without undermining the stability that controlled environments are meant to provide.</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Energy-efficient greenhouse operation is therefore increasingly linked to modelling and advanced control. Literature synthesis on greenhouse energy modelling argues that integrated, usable modelling tools are essential for identifying efficient operating regimes and for enabling control strategies that anticipate conditions rather than merely reacting to deviations (</w:t>
      </w:r>
      <w:proofErr w:type="spellStart"/>
      <w:r w:rsidRPr="00F76FC1">
        <w:rPr>
          <w:color w:val="auto"/>
          <w:kern w:val="0"/>
          <w:lang w:val="en-US" w:eastAsia="en-US"/>
        </w:rPr>
        <w:t>Iddio</w:t>
      </w:r>
      <w:proofErr w:type="spellEnd"/>
      <w:r w:rsidRPr="00F76FC1">
        <w:rPr>
          <w:color w:val="auto"/>
          <w:kern w:val="0"/>
          <w:lang w:val="en-US" w:eastAsia="en-US"/>
        </w:rPr>
        <w:t xml:space="preserve"> et al., 2020). This is especially relevant where heating, ventilation, and dehumidification strategies interact in complex ways, and where suboptimal control can lead to simultaneous energy waste and heightened disease risk.</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Open and transparent modelling is a notable enabling direction, particularly for understanding how lighting technologies affect heat and humidity dynamics. Models that explicitly compare lighting systems demonstrate how switching between lighting technologies can change heat requirements and internal climate </w:t>
      </w:r>
      <w:proofErr w:type="spellStart"/>
      <w:r w:rsidRPr="00F76FC1">
        <w:rPr>
          <w:color w:val="auto"/>
          <w:kern w:val="0"/>
          <w:lang w:val="en-US" w:eastAsia="en-US"/>
        </w:rPr>
        <w:t>behaviour</w:t>
      </w:r>
      <w:proofErr w:type="spellEnd"/>
      <w:r w:rsidRPr="00F76FC1">
        <w:rPr>
          <w:color w:val="auto"/>
          <w:kern w:val="0"/>
          <w:lang w:val="en-US" w:eastAsia="en-US"/>
        </w:rPr>
        <w:t>, providing a basis for more evidence-informed decisions about lighting, heating, and ventilation strategies (</w:t>
      </w:r>
      <w:proofErr w:type="spellStart"/>
      <w:r w:rsidRPr="00F76FC1">
        <w:rPr>
          <w:color w:val="auto"/>
          <w:kern w:val="0"/>
          <w:lang w:val="en-US" w:eastAsia="en-US"/>
        </w:rPr>
        <w:t>Katzin</w:t>
      </w:r>
      <w:proofErr w:type="spellEnd"/>
      <w:r w:rsidRPr="00F76FC1">
        <w:rPr>
          <w:color w:val="auto"/>
          <w:kern w:val="0"/>
          <w:lang w:val="en-US" w:eastAsia="en-US"/>
        </w:rPr>
        <w:t xml:space="preserve"> et al., 2020). At the same time, advances in LED technology are not only about energy efficiency; they also introduce new biological control capabilities through tunable spectra and photoperiods, with documented implications for plant performance and product quality (</w:t>
      </w:r>
      <w:proofErr w:type="spellStart"/>
      <w:r w:rsidRPr="00F76FC1">
        <w:rPr>
          <w:color w:val="auto"/>
          <w:kern w:val="0"/>
          <w:lang w:val="en-US" w:eastAsia="en-US"/>
        </w:rPr>
        <w:t>Sena</w:t>
      </w:r>
      <w:proofErr w:type="spellEnd"/>
      <w:r w:rsidRPr="00F76FC1">
        <w:rPr>
          <w:color w:val="auto"/>
          <w:kern w:val="0"/>
          <w:lang w:val="en-US" w:eastAsia="en-US"/>
        </w:rPr>
        <w:t xml:space="preserve"> et al., 2024). These developments reinforce a central point: resource </w:t>
      </w:r>
      <w:proofErr w:type="spellStart"/>
      <w:r w:rsidRPr="00F76FC1">
        <w:rPr>
          <w:color w:val="auto"/>
          <w:kern w:val="0"/>
          <w:lang w:val="en-US" w:eastAsia="en-US"/>
        </w:rPr>
        <w:t>optimisation</w:t>
      </w:r>
      <w:proofErr w:type="spellEnd"/>
      <w:r w:rsidRPr="00F76FC1">
        <w:rPr>
          <w:color w:val="auto"/>
          <w:kern w:val="0"/>
          <w:lang w:val="en-US" w:eastAsia="en-US"/>
        </w:rPr>
        <w:t xml:space="preserve"> in smart greenhouses cannot be treated as a purely engineering task, because the crop’s physiological response determines whether a resource-saving strategy is agronomically viable.</w:t>
      </w:r>
    </w:p>
    <w:p w:rsidR="00F76FC1" w:rsidRPr="00F76FC1" w:rsidRDefault="00F76FC1" w:rsidP="00F76FC1">
      <w:pPr>
        <w:spacing w:before="100" w:beforeAutospacing="1" w:after="100" w:afterAutospacing="1" w:line="240" w:lineRule="auto"/>
        <w:ind w:left="0" w:right="0" w:firstLine="0"/>
        <w:jc w:val="left"/>
        <w:rPr>
          <w:color w:val="auto"/>
          <w:kern w:val="0"/>
          <w:lang w:val="en-US" w:eastAsia="en-US"/>
        </w:rPr>
      </w:pPr>
      <w:r w:rsidRPr="00F76FC1">
        <w:rPr>
          <w:color w:val="auto"/>
          <w:kern w:val="0"/>
          <w:lang w:val="en-US" w:eastAsia="en-US"/>
        </w:rPr>
        <w:t xml:space="preserve">Taken together, the literature suggests that smart greenhouse sustainability depends on integrated </w:t>
      </w:r>
      <w:proofErr w:type="spellStart"/>
      <w:r w:rsidRPr="00F76FC1">
        <w:rPr>
          <w:color w:val="auto"/>
          <w:kern w:val="0"/>
          <w:lang w:val="en-US" w:eastAsia="en-US"/>
        </w:rPr>
        <w:t>optimisation</w:t>
      </w:r>
      <w:proofErr w:type="spellEnd"/>
      <w:r w:rsidRPr="00F76FC1">
        <w:rPr>
          <w:color w:val="auto"/>
          <w:kern w:val="0"/>
          <w:lang w:val="en-US" w:eastAsia="en-US"/>
        </w:rPr>
        <w:t xml:space="preserve"> rather than isolated upgrades. Monitoring systems must be reliable and maintainable; automation must remain intelligible and safe; and energy, water, and climate decisions must be co-</w:t>
      </w:r>
      <w:proofErr w:type="spellStart"/>
      <w:r w:rsidRPr="00F76FC1">
        <w:rPr>
          <w:color w:val="auto"/>
          <w:kern w:val="0"/>
          <w:lang w:val="en-US" w:eastAsia="en-US"/>
        </w:rPr>
        <w:t>optimised</w:t>
      </w:r>
      <w:proofErr w:type="spellEnd"/>
      <w:r w:rsidRPr="00F76FC1">
        <w:rPr>
          <w:color w:val="auto"/>
          <w:kern w:val="0"/>
          <w:lang w:val="en-US" w:eastAsia="en-US"/>
        </w:rPr>
        <w:t xml:space="preserve"> with explicit attention to crop responses and spatial heterogeneity (</w:t>
      </w:r>
      <w:proofErr w:type="spellStart"/>
      <w:r w:rsidRPr="00F76FC1">
        <w:rPr>
          <w:color w:val="auto"/>
          <w:kern w:val="0"/>
          <w:lang w:val="en-US" w:eastAsia="en-US"/>
        </w:rPr>
        <w:t>Badji</w:t>
      </w:r>
      <w:proofErr w:type="spellEnd"/>
      <w:r w:rsidRPr="00F76FC1">
        <w:rPr>
          <w:color w:val="auto"/>
          <w:kern w:val="0"/>
          <w:lang w:val="en-US" w:eastAsia="en-US"/>
        </w:rPr>
        <w:t xml:space="preserve"> et al., 2022; </w:t>
      </w:r>
      <w:proofErr w:type="spellStart"/>
      <w:r w:rsidRPr="00F76FC1">
        <w:rPr>
          <w:color w:val="auto"/>
          <w:kern w:val="0"/>
          <w:lang w:val="en-US" w:eastAsia="en-US"/>
        </w:rPr>
        <w:t>Iddio</w:t>
      </w:r>
      <w:proofErr w:type="spellEnd"/>
      <w:r w:rsidRPr="00F76FC1">
        <w:rPr>
          <w:color w:val="auto"/>
          <w:kern w:val="0"/>
          <w:lang w:val="en-US" w:eastAsia="en-US"/>
        </w:rPr>
        <w:t xml:space="preserve"> et al., 2020). The practical direction of travel is therefore towards decision architectures that combine trustworthy sensor networks, modelling tools that capture coupled dynamics, and control strategies that are robust to uncertainty and operational constraints (Ojha et al., 2015; Kim et al., 2020).</w:t>
      </w:r>
    </w:p>
    <w:p w:rsidR="00C5515E" w:rsidRDefault="00C5515E" w:rsidP="00C5515E"/>
    <w:p w:rsidR="00697CF9" w:rsidRPr="00697CF9" w:rsidRDefault="00697CF9" w:rsidP="00697CF9">
      <w:pPr>
        <w:spacing w:before="100" w:beforeAutospacing="1" w:after="100" w:afterAutospacing="1" w:line="240" w:lineRule="auto"/>
        <w:ind w:left="0" w:right="0" w:firstLine="0"/>
        <w:jc w:val="left"/>
        <w:outlineLvl w:val="1"/>
        <w:rPr>
          <w:b/>
          <w:bCs/>
          <w:color w:val="auto"/>
          <w:kern w:val="0"/>
          <w:sz w:val="36"/>
          <w:szCs w:val="36"/>
          <w:lang w:val="en-US" w:eastAsia="en-US"/>
        </w:rPr>
      </w:pPr>
      <w:r w:rsidRPr="00697CF9">
        <w:rPr>
          <w:b/>
          <w:bCs/>
          <w:color w:val="auto"/>
          <w:kern w:val="0"/>
          <w:sz w:val="36"/>
          <w:szCs w:val="36"/>
          <w:lang w:val="en-US" w:eastAsia="en-US"/>
        </w:rPr>
        <w:t>5. Integration pathways: toward unified water–energy–climate intelligence</w:t>
      </w:r>
    </w:p>
    <w:p w:rsidR="00697CF9" w:rsidRPr="00697CF9" w:rsidRDefault="00697CF9" w:rsidP="00697CF9">
      <w:pPr>
        <w:spacing w:before="100" w:beforeAutospacing="1" w:after="100" w:afterAutospacing="1" w:line="240" w:lineRule="auto"/>
        <w:ind w:left="0" w:right="0" w:firstLine="0"/>
        <w:jc w:val="left"/>
        <w:rPr>
          <w:color w:val="auto"/>
          <w:kern w:val="0"/>
          <w:lang w:val="en-US" w:eastAsia="en-US"/>
        </w:rPr>
      </w:pPr>
      <w:r w:rsidRPr="00697CF9">
        <w:rPr>
          <w:color w:val="auto"/>
          <w:kern w:val="0"/>
          <w:lang w:val="en-US" w:eastAsia="en-US"/>
        </w:rPr>
        <w:t xml:space="preserve">The integration of precision irrigation and smart greenhouse technologies is increasingly shaped by a shared recognition that water management, energy demand, and microclimate regulation are inseparable in modern production systems. Historically, irrigation decisions were often treated as an input scheduling problem, while greenhouse decisions were treated as an environmental control problem. Contemporary research, however, points to a convergence in which both domains are understood as coupled cyber-physical systems whose </w:t>
      </w:r>
      <w:r w:rsidRPr="00697CF9">
        <w:rPr>
          <w:color w:val="auto"/>
          <w:kern w:val="0"/>
          <w:lang w:val="en-US" w:eastAsia="en-US"/>
        </w:rPr>
        <w:lastRenderedPageBreak/>
        <w:t>performance depends on end-to-end coherence: sensing, data transfer, data fusion, decision support, actuation, and verification of outcomes. This convergence is driven partly by technological change—lower-cost sensors, connectivity, and analytics—but also by the sustainability imperative to deliver measurable improvements in resource efficiency under uncertainty. In open-field contexts, the irrigation literature increasingly describes monitoring-and-control strategies that combine soil, plant, and weather information to support adaptive decisions under variable conditions (</w:t>
      </w:r>
      <w:proofErr w:type="spellStart"/>
      <w:r w:rsidRPr="00697CF9">
        <w:rPr>
          <w:color w:val="auto"/>
          <w:kern w:val="0"/>
          <w:lang w:val="en-US" w:eastAsia="en-US"/>
        </w:rPr>
        <w:t>Bwambale</w:t>
      </w:r>
      <w:proofErr w:type="spellEnd"/>
      <w:r w:rsidRPr="00697CF9">
        <w:rPr>
          <w:color w:val="auto"/>
          <w:kern w:val="0"/>
          <w:lang w:val="en-US" w:eastAsia="en-US"/>
        </w:rPr>
        <w:t xml:space="preserve"> et al., 2022). In protected cultivation, a similar movement is evident in the transition towards greenhouse automation and controlled environment agriculture, where the goal is not only to maintain set-points but to </w:t>
      </w:r>
      <w:proofErr w:type="spellStart"/>
      <w:r w:rsidRPr="00697CF9">
        <w:rPr>
          <w:color w:val="auto"/>
          <w:kern w:val="0"/>
          <w:lang w:val="en-US" w:eastAsia="en-US"/>
        </w:rPr>
        <w:t>optimise</w:t>
      </w:r>
      <w:proofErr w:type="spellEnd"/>
      <w:r w:rsidRPr="00697CF9">
        <w:rPr>
          <w:color w:val="auto"/>
          <w:kern w:val="0"/>
          <w:lang w:val="en-US" w:eastAsia="en-US"/>
        </w:rPr>
        <w:t xml:space="preserve"> production and resources across interacting subsystems (</w:t>
      </w:r>
      <w:proofErr w:type="spellStart"/>
      <w:r w:rsidRPr="00697CF9">
        <w:rPr>
          <w:color w:val="auto"/>
          <w:kern w:val="0"/>
          <w:lang w:val="en-US" w:eastAsia="en-US"/>
        </w:rPr>
        <w:t>Shamshiri</w:t>
      </w:r>
      <w:proofErr w:type="spellEnd"/>
      <w:r w:rsidRPr="00697CF9">
        <w:rPr>
          <w:color w:val="auto"/>
          <w:kern w:val="0"/>
          <w:lang w:val="en-US" w:eastAsia="en-US"/>
        </w:rPr>
        <w:t xml:space="preserve"> et al., 2018).</w:t>
      </w:r>
    </w:p>
    <w:p w:rsidR="00697CF9" w:rsidRPr="00697CF9" w:rsidRDefault="00697CF9" w:rsidP="00697CF9">
      <w:pPr>
        <w:spacing w:before="100" w:beforeAutospacing="1" w:after="100" w:afterAutospacing="1" w:line="240" w:lineRule="auto"/>
        <w:ind w:left="0" w:right="0" w:firstLine="0"/>
        <w:jc w:val="left"/>
        <w:rPr>
          <w:color w:val="auto"/>
          <w:kern w:val="0"/>
          <w:lang w:val="en-US" w:eastAsia="en-US"/>
        </w:rPr>
      </w:pPr>
      <w:r w:rsidRPr="00697CF9">
        <w:rPr>
          <w:color w:val="auto"/>
          <w:kern w:val="0"/>
          <w:lang w:val="en-US" w:eastAsia="en-US"/>
        </w:rPr>
        <w:t xml:space="preserve">A useful integration lens is to treat both field and greenhouse operations as systems that must manage coupled fluxes: water applied or recirculated, energy consumed by pumping or climate control, and the microclimatic drivers that determine crop transpiration and photosynthesis. Under this framing, unified water–energy–climate intelligence becomes a question of designing decision architectures that make the coupling visible and actionable. Greenhouse energy modelling reviews </w:t>
      </w:r>
      <w:proofErr w:type="spellStart"/>
      <w:r w:rsidRPr="00697CF9">
        <w:rPr>
          <w:color w:val="auto"/>
          <w:kern w:val="0"/>
          <w:lang w:val="en-US" w:eastAsia="en-US"/>
        </w:rPr>
        <w:t>emphasise</w:t>
      </w:r>
      <w:proofErr w:type="spellEnd"/>
      <w:r w:rsidRPr="00697CF9">
        <w:rPr>
          <w:color w:val="auto"/>
          <w:kern w:val="0"/>
          <w:lang w:val="en-US" w:eastAsia="en-US"/>
        </w:rPr>
        <w:t xml:space="preserve"> that many promising control strategies are constrained in practice by the lack of integrated and usable modelling platforms that can translate complex dynamics into operational recommendations (</w:t>
      </w:r>
      <w:proofErr w:type="spellStart"/>
      <w:r w:rsidRPr="00697CF9">
        <w:rPr>
          <w:color w:val="auto"/>
          <w:kern w:val="0"/>
          <w:lang w:val="en-US" w:eastAsia="en-US"/>
        </w:rPr>
        <w:t>Iddio</w:t>
      </w:r>
      <w:proofErr w:type="spellEnd"/>
      <w:r w:rsidRPr="00697CF9">
        <w:rPr>
          <w:color w:val="auto"/>
          <w:kern w:val="0"/>
          <w:lang w:val="en-US" w:eastAsia="en-US"/>
        </w:rPr>
        <w:t xml:space="preserve"> et al., 2020). This limitation resonates with irrigation decision support, where systems can be technically capable yet fail to deliver consistent benefits when they require burdensome inputs, lack spatial representativeness, or do not align with farm workflows (Ahmad &amp; </w:t>
      </w:r>
      <w:proofErr w:type="spellStart"/>
      <w:r w:rsidRPr="00697CF9">
        <w:rPr>
          <w:color w:val="auto"/>
          <w:kern w:val="0"/>
          <w:lang w:val="en-US" w:eastAsia="en-US"/>
        </w:rPr>
        <w:t>Sohel</w:t>
      </w:r>
      <w:proofErr w:type="spellEnd"/>
      <w:r w:rsidRPr="00697CF9">
        <w:rPr>
          <w:color w:val="auto"/>
          <w:kern w:val="0"/>
          <w:lang w:val="en-US" w:eastAsia="en-US"/>
        </w:rPr>
        <w:t>, 2025). Integration pathways, therefore, must address not only algorithms but also usability and deployment realities.</w:t>
      </w:r>
    </w:p>
    <w:p w:rsidR="00697CF9" w:rsidRPr="00697CF9" w:rsidRDefault="00697CF9" w:rsidP="00697CF9">
      <w:pPr>
        <w:spacing w:before="100" w:beforeAutospacing="1" w:after="100" w:afterAutospacing="1" w:line="240" w:lineRule="auto"/>
        <w:ind w:left="0" w:right="0" w:firstLine="0"/>
        <w:jc w:val="left"/>
        <w:rPr>
          <w:color w:val="auto"/>
          <w:kern w:val="0"/>
          <w:lang w:val="en-US" w:eastAsia="en-US"/>
        </w:rPr>
      </w:pPr>
      <w:r w:rsidRPr="00697CF9">
        <w:rPr>
          <w:color w:val="auto"/>
          <w:kern w:val="0"/>
          <w:lang w:val="en-US" w:eastAsia="en-US"/>
        </w:rPr>
        <w:t>One practical pathway is the development of interoperable decision support layers that can ingest heterogeneous data sources and provide coherent outputs across water, energy, and climate objectives. In irrigation, adaptive scheduling and closed-loop control approaches are frequently presented as routes to improving water use efficiency, especially where uncertainty makes fixed schedules fragile (</w:t>
      </w:r>
      <w:proofErr w:type="spellStart"/>
      <w:r w:rsidRPr="00697CF9">
        <w:rPr>
          <w:color w:val="auto"/>
          <w:kern w:val="0"/>
          <w:lang w:val="en-US" w:eastAsia="en-US"/>
        </w:rPr>
        <w:t>Bwambale</w:t>
      </w:r>
      <w:proofErr w:type="spellEnd"/>
      <w:r w:rsidRPr="00697CF9">
        <w:rPr>
          <w:color w:val="auto"/>
          <w:kern w:val="0"/>
          <w:lang w:val="en-US" w:eastAsia="en-US"/>
        </w:rPr>
        <w:t xml:space="preserve"> et al., 2022). In greenhouse systems, IoT-oriented platforms illustrate how integrated sensing and remote control can be </w:t>
      </w:r>
      <w:proofErr w:type="spellStart"/>
      <w:r w:rsidRPr="00697CF9">
        <w:rPr>
          <w:color w:val="auto"/>
          <w:kern w:val="0"/>
          <w:lang w:val="en-US" w:eastAsia="en-US"/>
        </w:rPr>
        <w:t>operationalised</w:t>
      </w:r>
      <w:proofErr w:type="spellEnd"/>
      <w:r w:rsidRPr="00697CF9">
        <w:rPr>
          <w:color w:val="auto"/>
          <w:kern w:val="0"/>
          <w:lang w:val="en-US" w:eastAsia="en-US"/>
        </w:rPr>
        <w:t xml:space="preserve">, with data fusion methods such as fuzzy logic helping to translate multiple measurements into actions that aim to </w:t>
      </w:r>
      <w:proofErr w:type="spellStart"/>
      <w:r w:rsidRPr="00697CF9">
        <w:rPr>
          <w:color w:val="auto"/>
          <w:kern w:val="0"/>
          <w:lang w:val="en-US" w:eastAsia="en-US"/>
        </w:rPr>
        <w:t>stabilise</w:t>
      </w:r>
      <w:proofErr w:type="spellEnd"/>
      <w:r w:rsidRPr="00697CF9">
        <w:rPr>
          <w:color w:val="auto"/>
          <w:kern w:val="0"/>
          <w:lang w:val="en-US" w:eastAsia="en-US"/>
        </w:rPr>
        <w:t xml:space="preserve"> conditions while reducing unnecessary resource expenditure (</w:t>
      </w:r>
      <w:proofErr w:type="spellStart"/>
      <w:r w:rsidRPr="00697CF9">
        <w:rPr>
          <w:color w:val="auto"/>
          <w:kern w:val="0"/>
          <w:lang w:val="en-US" w:eastAsia="en-US"/>
        </w:rPr>
        <w:t>Benyezza</w:t>
      </w:r>
      <w:proofErr w:type="spellEnd"/>
      <w:r w:rsidRPr="00697CF9">
        <w:rPr>
          <w:color w:val="auto"/>
          <w:kern w:val="0"/>
          <w:lang w:val="en-US" w:eastAsia="en-US"/>
        </w:rPr>
        <w:t xml:space="preserve"> et al., 2023). The integration opportunity lies in </w:t>
      </w:r>
      <w:proofErr w:type="spellStart"/>
      <w:r w:rsidRPr="00697CF9">
        <w:rPr>
          <w:color w:val="auto"/>
          <w:kern w:val="0"/>
          <w:lang w:val="en-US" w:eastAsia="en-US"/>
        </w:rPr>
        <w:t>harmonising</w:t>
      </w:r>
      <w:proofErr w:type="spellEnd"/>
      <w:r w:rsidRPr="00697CF9">
        <w:rPr>
          <w:color w:val="auto"/>
          <w:kern w:val="0"/>
          <w:lang w:val="en-US" w:eastAsia="en-US"/>
        </w:rPr>
        <w:t xml:space="preserve"> these approaches into a shared logic: rather than treating irrigation as a separate module, irrigation can be framed as a climate-relevant control lever that influences humidity and transpiration, while climate controls can be framed as water-relevant decisions that alter evaporative demand.</w:t>
      </w:r>
    </w:p>
    <w:p w:rsidR="00697CF9" w:rsidRPr="00697CF9" w:rsidRDefault="00697CF9" w:rsidP="00697CF9">
      <w:pPr>
        <w:spacing w:before="100" w:beforeAutospacing="1" w:after="100" w:afterAutospacing="1" w:line="240" w:lineRule="auto"/>
        <w:ind w:left="0" w:right="0" w:firstLine="0"/>
        <w:jc w:val="left"/>
        <w:rPr>
          <w:color w:val="auto"/>
          <w:kern w:val="0"/>
          <w:lang w:val="en-US" w:eastAsia="en-US"/>
        </w:rPr>
      </w:pPr>
      <w:r w:rsidRPr="00697CF9">
        <w:rPr>
          <w:color w:val="auto"/>
          <w:kern w:val="0"/>
          <w:lang w:val="en-US" w:eastAsia="en-US"/>
        </w:rPr>
        <w:t>A second pathway is the use of predictive modelling as a unifying mechanism. Predictive approaches do not require that every subsystem be modelled perfectly; rather, they can provide a structured way to anticipate near-term consequences of decisions under constraints. For greenhouse operations, the literature points to the importance of modelling frameworks that can represent heat and humidity dynamics sufficiently well to support energy-efficient control (</w:t>
      </w:r>
      <w:proofErr w:type="spellStart"/>
      <w:r w:rsidRPr="00697CF9">
        <w:rPr>
          <w:color w:val="auto"/>
          <w:kern w:val="0"/>
          <w:lang w:val="en-US" w:eastAsia="en-US"/>
        </w:rPr>
        <w:t>Iddio</w:t>
      </w:r>
      <w:proofErr w:type="spellEnd"/>
      <w:r w:rsidRPr="00697CF9">
        <w:rPr>
          <w:color w:val="auto"/>
          <w:kern w:val="0"/>
          <w:lang w:val="en-US" w:eastAsia="en-US"/>
        </w:rPr>
        <w:t xml:space="preserve"> et al., 2020). Open modelling initiatives that explicitly represent the effects of supplemental lighting on greenhouse heat requirements provide a concrete example of how transparent models can support integrated reasoning: lighting choices affect thermal loads, which affect ventilation and dehumidification needs, which in turn shape plant water use and irrigation demand (</w:t>
      </w:r>
      <w:proofErr w:type="spellStart"/>
      <w:r w:rsidRPr="00697CF9">
        <w:rPr>
          <w:color w:val="auto"/>
          <w:kern w:val="0"/>
          <w:lang w:val="en-US" w:eastAsia="en-US"/>
        </w:rPr>
        <w:t>Katzin</w:t>
      </w:r>
      <w:proofErr w:type="spellEnd"/>
      <w:r w:rsidRPr="00697CF9">
        <w:rPr>
          <w:color w:val="auto"/>
          <w:kern w:val="0"/>
          <w:lang w:val="en-US" w:eastAsia="en-US"/>
        </w:rPr>
        <w:t xml:space="preserve"> et al., 2020). Although such models are developed for protected </w:t>
      </w:r>
      <w:r w:rsidRPr="00697CF9">
        <w:rPr>
          <w:color w:val="auto"/>
          <w:kern w:val="0"/>
          <w:lang w:val="en-US" w:eastAsia="en-US"/>
        </w:rPr>
        <w:lastRenderedPageBreak/>
        <w:t xml:space="preserve">cultivation, they also suggest broader integration logic: by making coupling explicit, models can support coordinated decisions rather than isolated </w:t>
      </w:r>
      <w:proofErr w:type="spellStart"/>
      <w:r w:rsidRPr="00697CF9">
        <w:rPr>
          <w:color w:val="auto"/>
          <w:kern w:val="0"/>
          <w:lang w:val="en-US" w:eastAsia="en-US"/>
        </w:rPr>
        <w:t>optimisation</w:t>
      </w:r>
      <w:proofErr w:type="spellEnd"/>
      <w:r w:rsidRPr="00697CF9">
        <w:rPr>
          <w:color w:val="auto"/>
          <w:kern w:val="0"/>
          <w:lang w:val="en-US" w:eastAsia="en-US"/>
        </w:rPr>
        <w:t xml:space="preserve"> within one subsystem.</w:t>
      </w:r>
    </w:p>
    <w:p w:rsidR="00697CF9" w:rsidRPr="00697CF9" w:rsidRDefault="00697CF9" w:rsidP="00697CF9">
      <w:pPr>
        <w:spacing w:before="100" w:beforeAutospacing="1" w:after="100" w:afterAutospacing="1" w:line="240" w:lineRule="auto"/>
        <w:ind w:left="0" w:right="0" w:firstLine="0"/>
        <w:jc w:val="left"/>
        <w:rPr>
          <w:color w:val="auto"/>
          <w:kern w:val="0"/>
          <w:lang w:val="en-US" w:eastAsia="en-US"/>
        </w:rPr>
      </w:pPr>
      <w:r w:rsidRPr="00697CF9">
        <w:rPr>
          <w:color w:val="auto"/>
          <w:kern w:val="0"/>
          <w:lang w:val="en-US" w:eastAsia="en-US"/>
        </w:rPr>
        <w:t xml:space="preserve">A third pathway is the integration of spatial intelligence into unified resource management. For open-field irrigation, spatial variability is fundamental, and remote sensing has become a key source of spatially continuous information that complements point sensors. Recent work </w:t>
      </w:r>
      <w:proofErr w:type="spellStart"/>
      <w:r w:rsidRPr="00697CF9">
        <w:rPr>
          <w:color w:val="auto"/>
          <w:kern w:val="0"/>
          <w:lang w:val="en-US" w:eastAsia="en-US"/>
        </w:rPr>
        <w:t>synthesising</w:t>
      </w:r>
      <w:proofErr w:type="spellEnd"/>
      <w:r w:rsidRPr="00697CF9">
        <w:rPr>
          <w:color w:val="auto"/>
          <w:kern w:val="0"/>
          <w:lang w:val="en-US" w:eastAsia="en-US"/>
        </w:rPr>
        <w:t xml:space="preserve"> temperature-based evapotranspiration models highlights both advances and ongoing challenges in capturing water use over heterogeneous landscapes, particularly when input quality varies or the physical assumptions of models are strained by mixed land covers (</w:t>
      </w:r>
      <w:proofErr w:type="spellStart"/>
      <w:r w:rsidRPr="00697CF9">
        <w:rPr>
          <w:color w:val="auto"/>
          <w:kern w:val="0"/>
          <w:lang w:val="en-US" w:eastAsia="en-US"/>
        </w:rPr>
        <w:t>Derardja</w:t>
      </w:r>
      <w:proofErr w:type="spellEnd"/>
      <w:r w:rsidRPr="00697CF9">
        <w:rPr>
          <w:color w:val="auto"/>
          <w:kern w:val="0"/>
          <w:lang w:val="en-US" w:eastAsia="en-US"/>
        </w:rPr>
        <w:t xml:space="preserve"> et al., 2024). In parallel, reviews </w:t>
      </w:r>
      <w:proofErr w:type="spellStart"/>
      <w:r w:rsidRPr="00697CF9">
        <w:rPr>
          <w:color w:val="auto"/>
          <w:kern w:val="0"/>
          <w:lang w:val="en-US" w:eastAsia="en-US"/>
        </w:rPr>
        <w:t>emphasise</w:t>
      </w:r>
      <w:proofErr w:type="spellEnd"/>
      <w:r w:rsidRPr="00697CF9">
        <w:rPr>
          <w:color w:val="auto"/>
          <w:kern w:val="0"/>
          <w:lang w:val="en-US" w:eastAsia="en-US"/>
        </w:rPr>
        <w:t xml:space="preserve"> the growing role of artificial intelligence as a means of enhancing evapotranspiration estimation and scaling remote sensing methods, especially where multi-source data integration is needed (Fong et al., 2025). These trends can support unified water–energy–climate intelligence by providing a bridge between “what is happening across the landscape” and “what should be done in specific management units”, including hybrid production contexts where protected cultivation sits alongside open-field operations. Nevertheless, the integration challenge remains practical: spatial intelligence must be converted into decisions that match hardware capabilities and operational timing, and the uncertainty of remote estimates must be communicated in ways that support risk-aware management (</w:t>
      </w:r>
      <w:proofErr w:type="spellStart"/>
      <w:r w:rsidRPr="00697CF9">
        <w:rPr>
          <w:color w:val="auto"/>
          <w:kern w:val="0"/>
          <w:lang w:val="en-US" w:eastAsia="en-US"/>
        </w:rPr>
        <w:t>Derardja</w:t>
      </w:r>
      <w:proofErr w:type="spellEnd"/>
      <w:r w:rsidRPr="00697CF9">
        <w:rPr>
          <w:color w:val="auto"/>
          <w:kern w:val="0"/>
          <w:lang w:val="en-US" w:eastAsia="en-US"/>
        </w:rPr>
        <w:t xml:space="preserve"> et al., 2024; Fong et al., 2025).</w:t>
      </w:r>
    </w:p>
    <w:p w:rsidR="00697CF9" w:rsidRPr="00697CF9" w:rsidRDefault="00697CF9" w:rsidP="00697CF9">
      <w:pPr>
        <w:spacing w:before="100" w:beforeAutospacing="1" w:after="100" w:afterAutospacing="1" w:line="240" w:lineRule="auto"/>
        <w:ind w:left="0" w:right="0" w:firstLine="0"/>
        <w:jc w:val="left"/>
        <w:rPr>
          <w:color w:val="auto"/>
          <w:kern w:val="0"/>
          <w:lang w:val="en-US" w:eastAsia="en-US"/>
        </w:rPr>
      </w:pPr>
      <w:r w:rsidRPr="00697CF9">
        <w:rPr>
          <w:color w:val="auto"/>
          <w:kern w:val="0"/>
          <w:lang w:val="en-US" w:eastAsia="en-US"/>
        </w:rPr>
        <w:t>Machine learning is often positioned as the analytical glue that can connect heterogeneous data to actionable decisions, but its role in unified systems is best understood as conditional rather than universal. Reviews of machine learning in agriculture document broad applicability across crop management tasks, yet they also implicitly underline a key constraint for integrated water–energy–climate decisions: models are only as reliable as the data distributions and contexts they have learned from, and agricultural systems can shift rapidly with weather anomalies, management changes, and evolving infrastructure (</w:t>
      </w:r>
      <w:proofErr w:type="spellStart"/>
      <w:r w:rsidRPr="00697CF9">
        <w:rPr>
          <w:color w:val="auto"/>
          <w:kern w:val="0"/>
          <w:lang w:val="en-US" w:eastAsia="en-US"/>
        </w:rPr>
        <w:t>Liakos</w:t>
      </w:r>
      <w:proofErr w:type="spellEnd"/>
      <w:r w:rsidRPr="00697CF9">
        <w:rPr>
          <w:color w:val="auto"/>
          <w:kern w:val="0"/>
          <w:lang w:val="en-US" w:eastAsia="en-US"/>
        </w:rPr>
        <w:t xml:space="preserve"> et al., 2018). In integrated settings, this suggests that machine learning components should be paired with physical reasoning or constraint-aware control logic wherever possible, not simply to improve performance but to preserve safety, interpretability, and robustness when conditions deviate from historical patterns (</w:t>
      </w:r>
      <w:proofErr w:type="spellStart"/>
      <w:r w:rsidRPr="00697CF9">
        <w:rPr>
          <w:color w:val="auto"/>
          <w:kern w:val="0"/>
          <w:lang w:val="en-US" w:eastAsia="en-US"/>
        </w:rPr>
        <w:t>Liakos</w:t>
      </w:r>
      <w:proofErr w:type="spellEnd"/>
      <w:r w:rsidRPr="00697CF9">
        <w:rPr>
          <w:color w:val="auto"/>
          <w:kern w:val="0"/>
          <w:lang w:val="en-US" w:eastAsia="en-US"/>
        </w:rPr>
        <w:t xml:space="preserve"> et al., 2018).</w:t>
      </w:r>
    </w:p>
    <w:p w:rsidR="00697CF9" w:rsidRPr="00697CF9" w:rsidRDefault="00697CF9" w:rsidP="00697CF9">
      <w:pPr>
        <w:spacing w:before="100" w:beforeAutospacing="1" w:after="100" w:afterAutospacing="1" w:line="240" w:lineRule="auto"/>
        <w:ind w:left="0" w:right="0" w:firstLine="0"/>
        <w:jc w:val="left"/>
        <w:rPr>
          <w:color w:val="auto"/>
          <w:kern w:val="0"/>
          <w:lang w:val="en-US" w:eastAsia="en-US"/>
        </w:rPr>
      </w:pPr>
      <w:r w:rsidRPr="00697CF9">
        <w:rPr>
          <w:color w:val="auto"/>
          <w:kern w:val="0"/>
          <w:lang w:val="en-US" w:eastAsia="en-US"/>
        </w:rPr>
        <w:t xml:space="preserve">Integration also has a governance and </w:t>
      </w:r>
      <w:proofErr w:type="spellStart"/>
      <w:r w:rsidRPr="00697CF9">
        <w:rPr>
          <w:color w:val="auto"/>
          <w:kern w:val="0"/>
          <w:lang w:val="en-US" w:eastAsia="en-US"/>
        </w:rPr>
        <w:t>organisational</w:t>
      </w:r>
      <w:proofErr w:type="spellEnd"/>
      <w:r w:rsidRPr="00697CF9">
        <w:rPr>
          <w:color w:val="auto"/>
          <w:kern w:val="0"/>
          <w:lang w:val="en-US" w:eastAsia="en-US"/>
        </w:rPr>
        <w:t xml:space="preserve"> dimension that determines whether unified intelligence becomes widely useful or remains confined to high-capital niches. Big-data analyses of smart farming argue that digital infrastructures reshape value chains and decision authority, raising questions about data ownership, privacy, and the distribution of benefits (</w:t>
      </w:r>
      <w:proofErr w:type="spellStart"/>
      <w:r w:rsidRPr="00697CF9">
        <w:rPr>
          <w:color w:val="auto"/>
          <w:kern w:val="0"/>
          <w:lang w:val="en-US" w:eastAsia="en-US"/>
        </w:rPr>
        <w:t>Wolfert</w:t>
      </w:r>
      <w:proofErr w:type="spellEnd"/>
      <w:r w:rsidRPr="00697CF9">
        <w:rPr>
          <w:color w:val="auto"/>
          <w:kern w:val="0"/>
          <w:lang w:val="en-US" w:eastAsia="en-US"/>
        </w:rPr>
        <w:t xml:space="preserve"> et al., 2017). These considerations are not peripheral to system performance. If data flows are fragmented across proprietary platforms, the technical ability to couple water, energy, and climate decision-making may be blocked by interoperability constraints. Likewise, if users do not trust how data are used or cannot interpret system outputs, they may bypass recommendations, undermining potential sustainability gains. Hence, an effective integration pathway must combine technical integration (shared data models, consistent time-stamping, sensor quality controls) with institutional integration (transparent governance, clear accountability, and user-</w:t>
      </w:r>
      <w:proofErr w:type="spellStart"/>
      <w:r w:rsidRPr="00697CF9">
        <w:rPr>
          <w:color w:val="auto"/>
          <w:kern w:val="0"/>
          <w:lang w:val="en-US" w:eastAsia="en-US"/>
        </w:rPr>
        <w:t>centred</w:t>
      </w:r>
      <w:proofErr w:type="spellEnd"/>
      <w:r w:rsidRPr="00697CF9">
        <w:rPr>
          <w:color w:val="auto"/>
          <w:kern w:val="0"/>
          <w:lang w:val="en-US" w:eastAsia="en-US"/>
        </w:rPr>
        <w:t xml:space="preserve"> decision interfaces) (</w:t>
      </w:r>
      <w:proofErr w:type="spellStart"/>
      <w:r w:rsidRPr="00697CF9">
        <w:rPr>
          <w:color w:val="auto"/>
          <w:kern w:val="0"/>
          <w:lang w:val="en-US" w:eastAsia="en-US"/>
        </w:rPr>
        <w:t>Wolfert</w:t>
      </w:r>
      <w:proofErr w:type="spellEnd"/>
      <w:r w:rsidRPr="00697CF9">
        <w:rPr>
          <w:color w:val="auto"/>
          <w:kern w:val="0"/>
          <w:lang w:val="en-US" w:eastAsia="en-US"/>
        </w:rPr>
        <w:t xml:space="preserve"> et al., 2017).</w:t>
      </w:r>
    </w:p>
    <w:p w:rsidR="00697CF9" w:rsidRPr="00697CF9" w:rsidRDefault="00697CF9" w:rsidP="00697CF9">
      <w:pPr>
        <w:spacing w:before="100" w:beforeAutospacing="1" w:after="100" w:afterAutospacing="1" w:line="240" w:lineRule="auto"/>
        <w:ind w:left="0" w:right="0" w:firstLine="0"/>
        <w:jc w:val="left"/>
        <w:rPr>
          <w:color w:val="auto"/>
          <w:kern w:val="0"/>
          <w:lang w:val="en-US" w:eastAsia="en-US"/>
        </w:rPr>
      </w:pPr>
      <w:r w:rsidRPr="00697CF9">
        <w:rPr>
          <w:color w:val="auto"/>
          <w:kern w:val="0"/>
          <w:lang w:val="en-US" w:eastAsia="en-US"/>
        </w:rPr>
        <w:t xml:space="preserve">Finally, integration pathways should be judged by the extent to which they support verifiable sustainability outcomes rather than merely adding instrumentation. Evaluations of irrigation decision support systems show that reported benefits are often sensitive to the alignment between system design and the realities of implementation, including the </w:t>
      </w:r>
      <w:proofErr w:type="spellStart"/>
      <w:r w:rsidRPr="00697CF9">
        <w:rPr>
          <w:color w:val="auto"/>
          <w:kern w:val="0"/>
          <w:lang w:val="en-US" w:eastAsia="en-US"/>
        </w:rPr>
        <w:t>labour</w:t>
      </w:r>
      <w:proofErr w:type="spellEnd"/>
      <w:r w:rsidRPr="00697CF9">
        <w:rPr>
          <w:color w:val="auto"/>
          <w:kern w:val="0"/>
          <w:lang w:val="en-US" w:eastAsia="en-US"/>
        </w:rPr>
        <w:t xml:space="preserve"> and expertise </w:t>
      </w:r>
      <w:r w:rsidRPr="00697CF9">
        <w:rPr>
          <w:color w:val="auto"/>
          <w:kern w:val="0"/>
          <w:lang w:val="en-US" w:eastAsia="en-US"/>
        </w:rPr>
        <w:lastRenderedPageBreak/>
        <w:t xml:space="preserve">required to maintain data flows and act upon recommendations (Ahmad &amp; </w:t>
      </w:r>
      <w:proofErr w:type="spellStart"/>
      <w:r w:rsidRPr="00697CF9">
        <w:rPr>
          <w:color w:val="auto"/>
          <w:kern w:val="0"/>
          <w:lang w:val="en-US" w:eastAsia="en-US"/>
        </w:rPr>
        <w:t>Sohel</w:t>
      </w:r>
      <w:proofErr w:type="spellEnd"/>
      <w:r w:rsidRPr="00697CF9">
        <w:rPr>
          <w:color w:val="auto"/>
          <w:kern w:val="0"/>
          <w:lang w:val="en-US" w:eastAsia="en-US"/>
        </w:rPr>
        <w:t xml:space="preserve">, 2025). This insight suggests that unified water–energy–climate intelligence must </w:t>
      </w:r>
      <w:proofErr w:type="spellStart"/>
      <w:r w:rsidRPr="00697CF9">
        <w:rPr>
          <w:color w:val="auto"/>
          <w:kern w:val="0"/>
          <w:lang w:val="en-US" w:eastAsia="en-US"/>
        </w:rPr>
        <w:t>prioritise</w:t>
      </w:r>
      <w:proofErr w:type="spellEnd"/>
      <w:r w:rsidRPr="00697CF9">
        <w:rPr>
          <w:color w:val="auto"/>
          <w:kern w:val="0"/>
          <w:lang w:val="en-US" w:eastAsia="en-US"/>
        </w:rPr>
        <w:t xml:space="preserve"> resilience to imperfect conditions: missing data, sensor drift, and changing operational constraints. In practical terms, the most valuable integrated systems are likely to be those that can quantify uncertainty, degrade gracefully when inputs fail, and present recommendations that operators can understand and adjust. When these conditions are met, the convergence of adaptive irrigation control, greenhouse automation, remote sensing intelligence, and transparent modelling offers a credible route towards sustainability improvements that are both measurable and operationally durable (</w:t>
      </w:r>
      <w:proofErr w:type="spellStart"/>
      <w:r w:rsidRPr="00697CF9">
        <w:rPr>
          <w:color w:val="auto"/>
          <w:kern w:val="0"/>
          <w:lang w:val="en-US" w:eastAsia="en-US"/>
        </w:rPr>
        <w:t>Bwambale</w:t>
      </w:r>
      <w:proofErr w:type="spellEnd"/>
      <w:r w:rsidRPr="00697CF9">
        <w:rPr>
          <w:color w:val="auto"/>
          <w:kern w:val="0"/>
          <w:lang w:val="en-US" w:eastAsia="en-US"/>
        </w:rPr>
        <w:t xml:space="preserve"> et al., 2022; </w:t>
      </w:r>
      <w:proofErr w:type="spellStart"/>
      <w:r w:rsidRPr="00697CF9">
        <w:rPr>
          <w:color w:val="auto"/>
          <w:kern w:val="0"/>
          <w:lang w:val="en-US" w:eastAsia="en-US"/>
        </w:rPr>
        <w:t>Shamshiri</w:t>
      </w:r>
      <w:proofErr w:type="spellEnd"/>
      <w:r w:rsidRPr="00697CF9">
        <w:rPr>
          <w:color w:val="auto"/>
          <w:kern w:val="0"/>
          <w:lang w:val="en-US" w:eastAsia="en-US"/>
        </w:rPr>
        <w:t xml:space="preserve"> et al., 2018; </w:t>
      </w:r>
      <w:proofErr w:type="spellStart"/>
      <w:r w:rsidRPr="00697CF9">
        <w:rPr>
          <w:color w:val="auto"/>
          <w:kern w:val="0"/>
          <w:lang w:val="en-US" w:eastAsia="en-US"/>
        </w:rPr>
        <w:t>Iddio</w:t>
      </w:r>
      <w:proofErr w:type="spellEnd"/>
      <w:r w:rsidRPr="00697CF9">
        <w:rPr>
          <w:color w:val="auto"/>
          <w:kern w:val="0"/>
          <w:lang w:val="en-US" w:eastAsia="en-US"/>
        </w:rPr>
        <w:t xml:space="preserve"> et al., 2020; </w:t>
      </w:r>
      <w:proofErr w:type="spellStart"/>
      <w:r w:rsidRPr="00697CF9">
        <w:rPr>
          <w:color w:val="auto"/>
          <w:kern w:val="0"/>
          <w:lang w:val="en-US" w:eastAsia="en-US"/>
        </w:rPr>
        <w:t>Katzin</w:t>
      </w:r>
      <w:proofErr w:type="spellEnd"/>
      <w:r w:rsidRPr="00697CF9">
        <w:rPr>
          <w:color w:val="auto"/>
          <w:kern w:val="0"/>
          <w:lang w:val="en-US" w:eastAsia="en-US"/>
        </w:rPr>
        <w:t xml:space="preserve"> et al., 2020).</w:t>
      </w:r>
    </w:p>
    <w:p w:rsidR="00C5515E" w:rsidRDefault="00C5515E" w:rsidP="00C5515E"/>
    <w:p w:rsidR="007A48C1" w:rsidRPr="007A48C1" w:rsidRDefault="007A48C1" w:rsidP="007A48C1">
      <w:pPr>
        <w:spacing w:before="100" w:beforeAutospacing="1" w:after="100" w:afterAutospacing="1" w:line="240" w:lineRule="auto"/>
        <w:ind w:left="0" w:right="0" w:firstLine="0"/>
        <w:jc w:val="left"/>
        <w:outlineLvl w:val="1"/>
        <w:rPr>
          <w:b/>
          <w:bCs/>
          <w:color w:val="auto"/>
          <w:kern w:val="0"/>
          <w:sz w:val="36"/>
          <w:szCs w:val="36"/>
          <w:lang w:val="en-US" w:eastAsia="en-US"/>
        </w:rPr>
      </w:pPr>
      <w:r w:rsidRPr="007A48C1">
        <w:rPr>
          <w:b/>
          <w:bCs/>
          <w:color w:val="auto"/>
          <w:kern w:val="0"/>
          <w:sz w:val="36"/>
          <w:szCs w:val="36"/>
          <w:lang w:val="en-US" w:eastAsia="en-US"/>
        </w:rPr>
        <w:t>6. Sustainability outcomes: evidence, trade-offs, and verification</w:t>
      </w:r>
    </w:p>
    <w:p w:rsidR="007A48C1" w:rsidRPr="007A48C1" w:rsidRDefault="007A48C1" w:rsidP="007A48C1">
      <w:pPr>
        <w:spacing w:before="100" w:beforeAutospacing="1" w:after="100" w:afterAutospacing="1" w:line="240" w:lineRule="auto"/>
        <w:ind w:left="0" w:right="0" w:firstLine="0"/>
        <w:jc w:val="left"/>
        <w:rPr>
          <w:color w:val="auto"/>
          <w:kern w:val="0"/>
          <w:lang w:val="en-US" w:eastAsia="en-US"/>
        </w:rPr>
      </w:pPr>
      <w:r w:rsidRPr="007A48C1">
        <w:rPr>
          <w:color w:val="auto"/>
          <w:kern w:val="0"/>
          <w:lang w:val="en-US" w:eastAsia="en-US"/>
        </w:rPr>
        <w:t xml:space="preserve">Sustainability outcomes reported for precision irrigation and smart greenhouse technologies are often </w:t>
      </w:r>
      <w:proofErr w:type="spellStart"/>
      <w:r w:rsidRPr="007A48C1">
        <w:rPr>
          <w:color w:val="auto"/>
          <w:kern w:val="0"/>
          <w:lang w:val="en-US" w:eastAsia="en-US"/>
        </w:rPr>
        <w:t>summarised</w:t>
      </w:r>
      <w:proofErr w:type="spellEnd"/>
      <w:r w:rsidRPr="007A48C1">
        <w:rPr>
          <w:color w:val="auto"/>
          <w:kern w:val="0"/>
          <w:lang w:val="en-US" w:eastAsia="en-US"/>
        </w:rPr>
        <w:t xml:space="preserve"> as “efficiency gains”, but the literature shows that efficiency is multi-dimensional and context dependent. Water savings, improvements in water productivity, reductions in energy per unit output, and lowered risk of environmentally harmful mismanagement are all claimed outcomes, yet they are not always aligned. Evidence suggests that smart systems deliver the most consistent sustainability benefits when they are implemented as complete decision chains—measurement, data transfer, interpretation, and timely actuation—rather than as standalone sensors or isolated automation modules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 Put differently, sustainability is not only a property of a technology choice, but also of how reliably information is converted into appropriate action under real operating constraints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w:t>
      </w:r>
    </w:p>
    <w:p w:rsidR="007A48C1" w:rsidRPr="007A48C1" w:rsidRDefault="007A48C1" w:rsidP="007A48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7A48C1">
        <w:rPr>
          <w:b/>
          <w:bCs/>
          <w:color w:val="auto"/>
          <w:kern w:val="0"/>
          <w:sz w:val="27"/>
          <w:szCs w:val="27"/>
          <w:lang w:val="en-US" w:eastAsia="en-US"/>
        </w:rPr>
        <w:t>6.1. Water-related outcomes: savings, productivity, and operational robustness</w:t>
      </w:r>
    </w:p>
    <w:p w:rsidR="007A48C1" w:rsidRPr="007A48C1" w:rsidRDefault="007A48C1" w:rsidP="007A48C1">
      <w:pPr>
        <w:spacing w:before="100" w:beforeAutospacing="1" w:after="100" w:afterAutospacing="1" w:line="240" w:lineRule="auto"/>
        <w:ind w:left="0" w:right="0" w:firstLine="0"/>
        <w:jc w:val="left"/>
        <w:rPr>
          <w:color w:val="auto"/>
          <w:kern w:val="0"/>
          <w:lang w:val="en-US" w:eastAsia="en-US"/>
        </w:rPr>
      </w:pPr>
      <w:r w:rsidRPr="007A48C1">
        <w:rPr>
          <w:color w:val="auto"/>
          <w:kern w:val="0"/>
          <w:lang w:val="en-US" w:eastAsia="en-US"/>
        </w:rPr>
        <w:t>In precision irrigation, water savings are frequently presented as the headline sustainability indicator, yet the mechanism behind “saving water” matters. Reviews of monitoring and advanced control strategies show that the most dependable reductions in excessive irrigation arise when systems improve timing and amount decisions under uncertainty, thereby reducing precautionary over-application driven by limited visibility of field conditions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 Importantly, the same reviews indicate that the sustainability advantage is often expressed as higher water use efficiency and improved water productivity rather than unconditional reductions in irrigation withdrawals, because farmers may reallocate saved water to </w:t>
      </w:r>
      <w:proofErr w:type="spellStart"/>
      <w:r w:rsidRPr="007A48C1">
        <w:rPr>
          <w:color w:val="auto"/>
          <w:kern w:val="0"/>
          <w:lang w:val="en-US" w:eastAsia="en-US"/>
        </w:rPr>
        <w:t>stabilise</w:t>
      </w:r>
      <w:proofErr w:type="spellEnd"/>
      <w:r w:rsidRPr="007A48C1">
        <w:rPr>
          <w:color w:val="auto"/>
          <w:kern w:val="0"/>
          <w:lang w:val="en-US" w:eastAsia="en-US"/>
        </w:rPr>
        <w:t xml:space="preserve"> production or expand irrigated area where feasible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w:t>
      </w:r>
    </w:p>
    <w:p w:rsidR="007A48C1" w:rsidRPr="007A48C1" w:rsidRDefault="007A48C1" w:rsidP="007A48C1">
      <w:pPr>
        <w:spacing w:before="100" w:beforeAutospacing="1" w:after="100" w:afterAutospacing="1" w:line="240" w:lineRule="auto"/>
        <w:ind w:left="0" w:right="0" w:firstLine="0"/>
        <w:jc w:val="left"/>
        <w:rPr>
          <w:color w:val="auto"/>
          <w:kern w:val="0"/>
          <w:lang w:val="en-US" w:eastAsia="en-US"/>
        </w:rPr>
      </w:pPr>
      <w:r w:rsidRPr="007A48C1">
        <w:rPr>
          <w:color w:val="auto"/>
          <w:kern w:val="0"/>
          <w:lang w:val="en-US" w:eastAsia="en-US"/>
        </w:rPr>
        <w:t xml:space="preserve">Recent syntheses also suggest that IoT-enabled monitoring can support water savings by enabling more timely and site-aware decisions, particularly where </w:t>
      </w:r>
      <w:proofErr w:type="spellStart"/>
      <w:r w:rsidRPr="007A48C1">
        <w:rPr>
          <w:color w:val="auto"/>
          <w:kern w:val="0"/>
          <w:lang w:val="en-US" w:eastAsia="en-US"/>
        </w:rPr>
        <w:t>labour</w:t>
      </w:r>
      <w:proofErr w:type="spellEnd"/>
      <w:r w:rsidRPr="007A48C1">
        <w:rPr>
          <w:color w:val="auto"/>
          <w:kern w:val="0"/>
          <w:lang w:val="en-US" w:eastAsia="en-US"/>
        </w:rPr>
        <w:t xml:space="preserve"> constraints reduce the feasibility of frequent manual checks (Kumar et al., 2020). This observation is consistent with broader precision irrigation evidence: when data streams are dependable, decision-making becomes less reliant on fixed schedules and more responsive to changing soil–plant–atmosphere conditions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 However, operational </w:t>
      </w:r>
      <w:r w:rsidRPr="007A48C1">
        <w:rPr>
          <w:color w:val="auto"/>
          <w:kern w:val="0"/>
          <w:lang w:val="en-US" w:eastAsia="en-US"/>
        </w:rPr>
        <w:lastRenderedPageBreak/>
        <w:t>robustness remains a limiting factor. Sensor drift, communication dropouts, and incomplete coverage can degrade system performance and may even introduce new risks if automation continues to act on biased data (</w:t>
      </w:r>
      <w:proofErr w:type="spellStart"/>
      <w:r w:rsidRPr="007A48C1">
        <w:rPr>
          <w:color w:val="auto"/>
          <w:kern w:val="0"/>
          <w:lang w:val="en-US" w:eastAsia="en-US"/>
        </w:rPr>
        <w:t>Abioye</w:t>
      </w:r>
      <w:proofErr w:type="spellEnd"/>
      <w:r w:rsidRPr="007A48C1">
        <w:rPr>
          <w:color w:val="auto"/>
          <w:kern w:val="0"/>
          <w:lang w:val="en-US" w:eastAsia="en-US"/>
        </w:rPr>
        <w:t xml:space="preserve"> et al., 2020).</w:t>
      </w:r>
    </w:p>
    <w:p w:rsidR="007A48C1" w:rsidRPr="007A48C1" w:rsidRDefault="007A48C1" w:rsidP="007A48C1">
      <w:pPr>
        <w:spacing w:before="100" w:beforeAutospacing="1" w:after="100" w:afterAutospacing="1" w:line="240" w:lineRule="auto"/>
        <w:ind w:left="0" w:right="0" w:firstLine="0"/>
        <w:jc w:val="left"/>
        <w:rPr>
          <w:color w:val="auto"/>
          <w:kern w:val="0"/>
          <w:lang w:val="en-US" w:eastAsia="en-US"/>
        </w:rPr>
      </w:pPr>
      <w:r w:rsidRPr="007A48C1">
        <w:rPr>
          <w:color w:val="auto"/>
          <w:kern w:val="0"/>
          <w:lang w:val="en-US" w:eastAsia="en-US"/>
        </w:rPr>
        <w:t xml:space="preserve">Variable rate irrigation illustrates why outcomes are conditional rather than guaranteed. Field evidence in forage systems shows that VRI can save water and improve water productivity, but the magnitude and direction of yield response can be modest and sensitive to seasonal conditions and prescription design, reinforcing that spatial capability alone does not ensure sustainability gains (Li et al., 2023). Decision support system evaluations similarly stress that real-world benefits depend on whether input requirements are feasible, whether spatial representation is adequate, and whether outputs align with practical workflows; otherwise, performance achieved in trials may not translate into routine operations (Ahmad &amp; </w:t>
      </w:r>
      <w:proofErr w:type="spellStart"/>
      <w:r w:rsidRPr="007A48C1">
        <w:rPr>
          <w:color w:val="auto"/>
          <w:kern w:val="0"/>
          <w:lang w:val="en-US" w:eastAsia="en-US"/>
        </w:rPr>
        <w:t>Sohel</w:t>
      </w:r>
      <w:proofErr w:type="spellEnd"/>
      <w:r w:rsidRPr="007A48C1">
        <w:rPr>
          <w:color w:val="auto"/>
          <w:kern w:val="0"/>
          <w:lang w:val="en-US" w:eastAsia="en-US"/>
        </w:rPr>
        <w:t>, 2025). From a verification perspective, these findings imply that sustainability claims should be accompanied by information on implementation demands, failure modes, and how systems behave under imperfect data.</w:t>
      </w:r>
    </w:p>
    <w:p w:rsidR="007A48C1" w:rsidRPr="007A48C1" w:rsidRDefault="007A48C1" w:rsidP="007A48C1">
      <w:pPr>
        <w:spacing w:before="100" w:beforeAutospacing="1" w:after="100" w:afterAutospacing="1" w:line="240" w:lineRule="auto"/>
        <w:ind w:left="0" w:right="0" w:firstLine="0"/>
        <w:jc w:val="left"/>
        <w:rPr>
          <w:color w:val="auto"/>
          <w:kern w:val="0"/>
          <w:lang w:val="en-US" w:eastAsia="en-US"/>
        </w:rPr>
      </w:pPr>
      <w:r w:rsidRPr="007A48C1">
        <w:rPr>
          <w:color w:val="auto"/>
          <w:kern w:val="0"/>
          <w:lang w:val="en-US" w:eastAsia="en-US"/>
        </w:rPr>
        <w:t xml:space="preserve">In protected cultivation, irrigation sustainability is often framed in terms of precise delivery, fertigation control, and the potential for resource savings in water and inputs. A recent review focused on protected cultivation contexts reports substantial potential reductions in water and </w:t>
      </w:r>
      <w:proofErr w:type="spellStart"/>
      <w:r w:rsidRPr="007A48C1">
        <w:rPr>
          <w:color w:val="auto"/>
          <w:kern w:val="0"/>
          <w:lang w:val="en-US" w:eastAsia="en-US"/>
        </w:rPr>
        <w:t>fertiliser</w:t>
      </w:r>
      <w:proofErr w:type="spellEnd"/>
      <w:r w:rsidRPr="007A48C1">
        <w:rPr>
          <w:color w:val="auto"/>
          <w:kern w:val="0"/>
          <w:lang w:val="en-US" w:eastAsia="en-US"/>
        </w:rPr>
        <w:t xml:space="preserve"> use alongside yield and quality gains, while also </w:t>
      </w:r>
      <w:proofErr w:type="spellStart"/>
      <w:r w:rsidRPr="007A48C1">
        <w:rPr>
          <w:color w:val="auto"/>
          <w:kern w:val="0"/>
          <w:lang w:val="en-US" w:eastAsia="en-US"/>
        </w:rPr>
        <w:t>emphasising</w:t>
      </w:r>
      <w:proofErr w:type="spellEnd"/>
      <w:r w:rsidRPr="007A48C1">
        <w:rPr>
          <w:color w:val="auto"/>
          <w:kern w:val="0"/>
          <w:lang w:val="en-US" w:eastAsia="en-US"/>
        </w:rPr>
        <w:t xml:space="preserve"> that training, maintenance, and costs can constrain </w:t>
      </w:r>
      <w:proofErr w:type="spellStart"/>
      <w:r w:rsidRPr="007A48C1">
        <w:rPr>
          <w:color w:val="auto"/>
          <w:kern w:val="0"/>
          <w:lang w:val="en-US" w:eastAsia="en-US"/>
        </w:rPr>
        <w:t>realisable</w:t>
      </w:r>
      <w:proofErr w:type="spellEnd"/>
      <w:r w:rsidRPr="007A48C1">
        <w:rPr>
          <w:color w:val="auto"/>
          <w:kern w:val="0"/>
          <w:lang w:val="en-US" w:eastAsia="en-US"/>
        </w:rPr>
        <w:t xml:space="preserve"> benefits (</w:t>
      </w:r>
      <w:proofErr w:type="spellStart"/>
      <w:r w:rsidRPr="007A48C1">
        <w:rPr>
          <w:color w:val="auto"/>
          <w:kern w:val="0"/>
          <w:lang w:val="en-US" w:eastAsia="en-US"/>
        </w:rPr>
        <w:t>Panotra</w:t>
      </w:r>
      <w:proofErr w:type="spellEnd"/>
      <w:r w:rsidRPr="007A48C1">
        <w:rPr>
          <w:color w:val="auto"/>
          <w:kern w:val="0"/>
          <w:lang w:val="en-US" w:eastAsia="en-US"/>
        </w:rPr>
        <w:t xml:space="preserve"> et al., 2024). This reinforces an important point for sustainability assessment: the theoretical efficiency of a technique is not equivalent to its </w:t>
      </w:r>
      <w:proofErr w:type="spellStart"/>
      <w:r w:rsidRPr="007A48C1">
        <w:rPr>
          <w:color w:val="auto"/>
          <w:kern w:val="0"/>
          <w:lang w:val="en-US" w:eastAsia="en-US"/>
        </w:rPr>
        <w:t>realised</w:t>
      </w:r>
      <w:proofErr w:type="spellEnd"/>
      <w:r w:rsidRPr="007A48C1">
        <w:rPr>
          <w:color w:val="auto"/>
          <w:kern w:val="0"/>
          <w:lang w:val="en-US" w:eastAsia="en-US"/>
        </w:rPr>
        <w:t xml:space="preserve"> performance unless the enabling capacities—skills, maintenance, and operational support—are present.</w:t>
      </w:r>
    </w:p>
    <w:p w:rsidR="007A48C1" w:rsidRPr="007A48C1" w:rsidRDefault="007A48C1" w:rsidP="007A48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7A48C1">
        <w:rPr>
          <w:b/>
          <w:bCs/>
          <w:color w:val="auto"/>
          <w:kern w:val="0"/>
          <w:sz w:val="27"/>
          <w:szCs w:val="27"/>
          <w:lang w:val="en-US" w:eastAsia="en-US"/>
        </w:rPr>
        <w:t>6.2. Energy outcomes: the dominant constraint in controlled environments</w:t>
      </w:r>
    </w:p>
    <w:p w:rsidR="007A48C1" w:rsidRPr="007A48C1" w:rsidRDefault="007A48C1" w:rsidP="007A48C1">
      <w:pPr>
        <w:spacing w:before="100" w:beforeAutospacing="1" w:after="100" w:afterAutospacing="1" w:line="240" w:lineRule="auto"/>
        <w:ind w:left="0" w:right="0" w:firstLine="0"/>
        <w:jc w:val="left"/>
        <w:rPr>
          <w:color w:val="auto"/>
          <w:kern w:val="0"/>
          <w:lang w:val="en-US" w:eastAsia="en-US"/>
        </w:rPr>
      </w:pPr>
      <w:r w:rsidRPr="007A48C1">
        <w:rPr>
          <w:color w:val="auto"/>
          <w:kern w:val="0"/>
          <w:lang w:val="en-US" w:eastAsia="en-US"/>
        </w:rPr>
        <w:t xml:space="preserve">Energy is often the decisive sustainability constraint for smart greenhouses and controlled environment agriculture. Reviews of energy efficiency in controlled environments highlight that high energy demand can dominate both environmental and economic performance, meaning that water savings or yield improvements do not necessarily translate into sustainability gains if energy use rises substantially (Engler &amp; </w:t>
      </w:r>
      <w:proofErr w:type="spellStart"/>
      <w:r w:rsidRPr="007A48C1">
        <w:rPr>
          <w:color w:val="auto"/>
          <w:kern w:val="0"/>
          <w:lang w:val="en-US" w:eastAsia="en-US"/>
        </w:rPr>
        <w:t>Krarti</w:t>
      </w:r>
      <w:proofErr w:type="spellEnd"/>
      <w:r w:rsidRPr="007A48C1">
        <w:rPr>
          <w:color w:val="auto"/>
          <w:kern w:val="0"/>
          <w:lang w:val="en-US" w:eastAsia="en-US"/>
        </w:rPr>
        <w:t xml:space="preserve">, 2021). This creates a distinctive trade-off space. Tighter environmental control can </w:t>
      </w:r>
      <w:proofErr w:type="spellStart"/>
      <w:r w:rsidRPr="007A48C1">
        <w:rPr>
          <w:color w:val="auto"/>
          <w:kern w:val="0"/>
          <w:lang w:val="en-US" w:eastAsia="en-US"/>
        </w:rPr>
        <w:t>stabilise</w:t>
      </w:r>
      <w:proofErr w:type="spellEnd"/>
      <w:r w:rsidRPr="007A48C1">
        <w:rPr>
          <w:color w:val="auto"/>
          <w:kern w:val="0"/>
          <w:lang w:val="en-US" w:eastAsia="en-US"/>
        </w:rPr>
        <w:t xml:space="preserve"> yields and improve product uniformity, but it may require intensive heating, cooling, ventilation, and lighting that increases emissions and operational costs, depending on the energy source and system design (Engler &amp; </w:t>
      </w:r>
      <w:proofErr w:type="spellStart"/>
      <w:r w:rsidRPr="007A48C1">
        <w:rPr>
          <w:color w:val="auto"/>
          <w:kern w:val="0"/>
          <w:lang w:val="en-US" w:eastAsia="en-US"/>
        </w:rPr>
        <w:t>Krarti</w:t>
      </w:r>
      <w:proofErr w:type="spellEnd"/>
      <w:r w:rsidRPr="007A48C1">
        <w:rPr>
          <w:color w:val="auto"/>
          <w:kern w:val="0"/>
          <w:lang w:val="en-US" w:eastAsia="en-US"/>
        </w:rPr>
        <w:t>, 2021).</w:t>
      </w:r>
    </w:p>
    <w:p w:rsidR="007A48C1" w:rsidRPr="007A48C1" w:rsidRDefault="007A48C1" w:rsidP="007A48C1">
      <w:pPr>
        <w:spacing w:before="100" w:beforeAutospacing="1" w:after="100" w:afterAutospacing="1" w:line="240" w:lineRule="auto"/>
        <w:ind w:left="0" w:right="0" w:firstLine="0"/>
        <w:jc w:val="left"/>
        <w:rPr>
          <w:color w:val="auto"/>
          <w:kern w:val="0"/>
          <w:lang w:val="en-US" w:eastAsia="en-US"/>
        </w:rPr>
      </w:pPr>
      <w:r w:rsidRPr="007A48C1">
        <w:rPr>
          <w:color w:val="auto"/>
          <w:kern w:val="0"/>
          <w:lang w:val="en-US" w:eastAsia="en-US"/>
        </w:rPr>
        <w:t>Because of these couplings, energy-efficient operation is closely linked to modelling and integrated control. A synthesis of greenhouse energy modelling and operation stresses that reductions in energy demand rely on frameworks that represent interacting dynamics and support coordinated strategies rather than reactive adjustments to individual variables (</w:t>
      </w:r>
      <w:proofErr w:type="spellStart"/>
      <w:r w:rsidRPr="007A48C1">
        <w:rPr>
          <w:color w:val="auto"/>
          <w:kern w:val="0"/>
          <w:lang w:val="en-US" w:eastAsia="en-US"/>
        </w:rPr>
        <w:t>Iddio</w:t>
      </w:r>
      <w:proofErr w:type="spellEnd"/>
      <w:r w:rsidRPr="007A48C1">
        <w:rPr>
          <w:color w:val="auto"/>
          <w:kern w:val="0"/>
          <w:lang w:val="en-US" w:eastAsia="en-US"/>
        </w:rPr>
        <w:t xml:space="preserve"> et al., 2020). In practical terms, the barrier is frequently not the absence of potential control methods, but the lack of integrated, usable tools that can translate modelling insights into day-to-day operational decisions under changing weather, price, and crop constraints (</w:t>
      </w:r>
      <w:proofErr w:type="spellStart"/>
      <w:r w:rsidRPr="007A48C1">
        <w:rPr>
          <w:color w:val="auto"/>
          <w:kern w:val="0"/>
          <w:lang w:val="en-US" w:eastAsia="en-US"/>
        </w:rPr>
        <w:t>Iddio</w:t>
      </w:r>
      <w:proofErr w:type="spellEnd"/>
      <w:r w:rsidRPr="007A48C1">
        <w:rPr>
          <w:color w:val="auto"/>
          <w:kern w:val="0"/>
          <w:lang w:val="en-US" w:eastAsia="en-US"/>
        </w:rPr>
        <w:t xml:space="preserve"> et al., 2020). Sustainability verification, therefore, must distinguish between a greenhouse that is “instrumented” and one that is demonstrably “</w:t>
      </w:r>
      <w:proofErr w:type="spellStart"/>
      <w:r w:rsidRPr="007A48C1">
        <w:rPr>
          <w:color w:val="auto"/>
          <w:kern w:val="0"/>
          <w:lang w:val="en-US" w:eastAsia="en-US"/>
        </w:rPr>
        <w:t>optimised</w:t>
      </w:r>
      <w:proofErr w:type="spellEnd"/>
      <w:r w:rsidRPr="007A48C1">
        <w:rPr>
          <w:color w:val="auto"/>
          <w:kern w:val="0"/>
          <w:lang w:val="en-US" w:eastAsia="en-US"/>
        </w:rPr>
        <w:t>”.</w:t>
      </w:r>
    </w:p>
    <w:p w:rsidR="007A48C1" w:rsidRPr="007A48C1" w:rsidRDefault="007A48C1" w:rsidP="007A48C1">
      <w:pPr>
        <w:spacing w:before="100" w:beforeAutospacing="1" w:after="100" w:afterAutospacing="1" w:line="240" w:lineRule="auto"/>
        <w:ind w:left="0" w:right="0" w:firstLine="0"/>
        <w:jc w:val="left"/>
        <w:rPr>
          <w:color w:val="auto"/>
          <w:kern w:val="0"/>
          <w:lang w:val="en-US" w:eastAsia="en-US"/>
        </w:rPr>
      </w:pPr>
      <w:r w:rsidRPr="007A48C1">
        <w:rPr>
          <w:color w:val="auto"/>
          <w:kern w:val="0"/>
          <w:lang w:val="en-US" w:eastAsia="en-US"/>
        </w:rPr>
        <w:t xml:space="preserve">Lighting technologies exemplify energy trade-offs and their interaction with water and climate management. Transparent greenhouse modelling that contrasts lighting types demonstrates that lighting decisions alter heat requirements and internal humidity dynamics, </w:t>
      </w:r>
      <w:r w:rsidRPr="007A48C1">
        <w:rPr>
          <w:color w:val="auto"/>
          <w:kern w:val="0"/>
          <w:lang w:val="en-US" w:eastAsia="en-US"/>
        </w:rPr>
        <w:lastRenderedPageBreak/>
        <w:t>thereby changing both electricity demand and the thermal loads that drive heating and ventilation (</w:t>
      </w:r>
      <w:proofErr w:type="spellStart"/>
      <w:r w:rsidRPr="007A48C1">
        <w:rPr>
          <w:color w:val="auto"/>
          <w:kern w:val="0"/>
          <w:lang w:val="en-US" w:eastAsia="en-US"/>
        </w:rPr>
        <w:t>Katzin</w:t>
      </w:r>
      <w:proofErr w:type="spellEnd"/>
      <w:r w:rsidRPr="007A48C1">
        <w:rPr>
          <w:color w:val="auto"/>
          <w:kern w:val="0"/>
          <w:lang w:val="en-US" w:eastAsia="en-US"/>
        </w:rPr>
        <w:t xml:space="preserve"> et al., 2020). At the same time, LED-focused horticultural evidence highlights that energy considerations cannot be separated from biology: spectral tuning and photoperiod strategies can change plant performance and quality, potentially shifting the production target rather than keeping it constant (</w:t>
      </w:r>
      <w:proofErr w:type="spellStart"/>
      <w:r w:rsidRPr="007A48C1">
        <w:rPr>
          <w:color w:val="auto"/>
          <w:kern w:val="0"/>
          <w:lang w:val="en-US" w:eastAsia="en-US"/>
        </w:rPr>
        <w:t>Sena</w:t>
      </w:r>
      <w:proofErr w:type="spellEnd"/>
      <w:r w:rsidRPr="007A48C1">
        <w:rPr>
          <w:color w:val="auto"/>
          <w:kern w:val="0"/>
          <w:lang w:val="en-US" w:eastAsia="en-US"/>
        </w:rPr>
        <w:t xml:space="preserve"> et al., 2024). This implies that sustainability metrics should not rely solely on energy-per-unit-light or energy-per-unit-yield, but should also consider quality outcomes and how production strategies evolve in response to new lighting capabilities (</w:t>
      </w:r>
      <w:proofErr w:type="spellStart"/>
      <w:r w:rsidRPr="007A48C1">
        <w:rPr>
          <w:color w:val="auto"/>
          <w:kern w:val="0"/>
          <w:lang w:val="en-US" w:eastAsia="en-US"/>
        </w:rPr>
        <w:t>Sena</w:t>
      </w:r>
      <w:proofErr w:type="spellEnd"/>
      <w:r w:rsidRPr="007A48C1">
        <w:rPr>
          <w:color w:val="auto"/>
          <w:kern w:val="0"/>
          <w:lang w:val="en-US" w:eastAsia="en-US"/>
        </w:rPr>
        <w:t xml:space="preserve"> et al., 2024; </w:t>
      </w:r>
      <w:proofErr w:type="spellStart"/>
      <w:r w:rsidRPr="007A48C1">
        <w:rPr>
          <w:color w:val="auto"/>
          <w:kern w:val="0"/>
          <w:lang w:val="en-US" w:eastAsia="en-US"/>
        </w:rPr>
        <w:t>Katzin</w:t>
      </w:r>
      <w:proofErr w:type="spellEnd"/>
      <w:r w:rsidRPr="007A48C1">
        <w:rPr>
          <w:color w:val="auto"/>
          <w:kern w:val="0"/>
          <w:lang w:val="en-US" w:eastAsia="en-US"/>
        </w:rPr>
        <w:t xml:space="preserve"> et al., 2020). Intelligent greenhouse management studies further reinforce that multi-objective </w:t>
      </w:r>
      <w:proofErr w:type="spellStart"/>
      <w:r w:rsidRPr="007A48C1">
        <w:rPr>
          <w:color w:val="auto"/>
          <w:kern w:val="0"/>
          <w:lang w:val="en-US" w:eastAsia="en-US"/>
        </w:rPr>
        <w:t>optimisation</w:t>
      </w:r>
      <w:proofErr w:type="spellEnd"/>
      <w:r w:rsidRPr="007A48C1">
        <w:rPr>
          <w:color w:val="auto"/>
          <w:kern w:val="0"/>
          <w:lang w:val="en-US" w:eastAsia="en-US"/>
        </w:rPr>
        <w:t xml:space="preserve"> is increasingly practical, linking climate and irrigation control to yield and quality objectives rather than treating set-point maintenance as the sole aim (Hemming et al., 2020).</w:t>
      </w:r>
    </w:p>
    <w:p w:rsidR="007A48C1" w:rsidRPr="007A48C1" w:rsidRDefault="007A48C1" w:rsidP="007A48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7A48C1">
        <w:rPr>
          <w:b/>
          <w:bCs/>
          <w:color w:val="auto"/>
          <w:kern w:val="0"/>
          <w:sz w:val="27"/>
          <w:szCs w:val="27"/>
          <w:lang w:val="en-US" w:eastAsia="en-US"/>
        </w:rPr>
        <w:t>6.3. Verification challenges: uncertainty, comparability, and traceable decision chains</w:t>
      </w:r>
    </w:p>
    <w:p w:rsidR="007A48C1" w:rsidRPr="007A48C1" w:rsidRDefault="007A48C1" w:rsidP="007A48C1">
      <w:pPr>
        <w:spacing w:before="100" w:beforeAutospacing="1" w:after="100" w:afterAutospacing="1" w:line="240" w:lineRule="auto"/>
        <w:ind w:left="0" w:right="0" w:firstLine="0"/>
        <w:jc w:val="left"/>
        <w:rPr>
          <w:color w:val="auto"/>
          <w:kern w:val="0"/>
          <w:lang w:val="en-US" w:eastAsia="en-US"/>
        </w:rPr>
      </w:pPr>
      <w:r w:rsidRPr="007A48C1">
        <w:rPr>
          <w:color w:val="auto"/>
          <w:kern w:val="0"/>
          <w:lang w:val="en-US" w:eastAsia="en-US"/>
        </w:rPr>
        <w:t xml:space="preserve">A persistent challenge in sustainability reporting is that outcomes are difficult to compare across studies because baselines differ. One evaluation may compare a smart system against a poor uniform schedule, while another compares it against an experienced operator using well-calibrated heuristics. Reviews of irrigation monitoring and control </w:t>
      </w:r>
      <w:proofErr w:type="spellStart"/>
      <w:r w:rsidRPr="007A48C1">
        <w:rPr>
          <w:color w:val="auto"/>
          <w:kern w:val="0"/>
          <w:lang w:val="en-US" w:eastAsia="en-US"/>
        </w:rPr>
        <w:t>emphasise</w:t>
      </w:r>
      <w:proofErr w:type="spellEnd"/>
      <w:r w:rsidRPr="007A48C1">
        <w:rPr>
          <w:color w:val="auto"/>
          <w:kern w:val="0"/>
          <w:lang w:val="en-US" w:eastAsia="en-US"/>
        </w:rPr>
        <w:t xml:space="preserve"> that reported gains are highly sensitive to sensor quality, calibration, and reliable actuation, suggesting that verification should assess the integrity of the decision chain rather than focusing only on end-of-season totals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 This approach is especially important because sustainability losses can occur through infrequent but severe events—such as sustained under-irrigation during heat stress or persistent over-irrigation that increases leaching risk—both of which may be masked by annual averages (</w:t>
      </w:r>
      <w:proofErr w:type="spellStart"/>
      <w:r w:rsidRPr="007A48C1">
        <w:rPr>
          <w:color w:val="auto"/>
          <w:kern w:val="0"/>
          <w:lang w:val="en-US" w:eastAsia="en-US"/>
        </w:rPr>
        <w:t>Abioye</w:t>
      </w:r>
      <w:proofErr w:type="spellEnd"/>
      <w:r w:rsidRPr="007A48C1">
        <w:rPr>
          <w:color w:val="auto"/>
          <w:kern w:val="0"/>
          <w:lang w:val="en-US" w:eastAsia="en-US"/>
        </w:rPr>
        <w:t xml:space="preserve"> et al., 2020).</w:t>
      </w:r>
    </w:p>
    <w:p w:rsidR="007A48C1" w:rsidRPr="007A48C1" w:rsidRDefault="007A48C1" w:rsidP="007A48C1">
      <w:pPr>
        <w:spacing w:before="100" w:beforeAutospacing="1" w:after="100" w:afterAutospacing="1" w:line="240" w:lineRule="auto"/>
        <w:ind w:left="0" w:right="0" w:firstLine="0"/>
        <w:jc w:val="left"/>
        <w:rPr>
          <w:color w:val="auto"/>
          <w:kern w:val="0"/>
          <w:lang w:val="en-US" w:eastAsia="en-US"/>
        </w:rPr>
      </w:pPr>
      <w:r w:rsidRPr="007A48C1">
        <w:rPr>
          <w:color w:val="auto"/>
          <w:kern w:val="0"/>
          <w:lang w:val="en-US" w:eastAsia="en-US"/>
        </w:rPr>
        <w:t>Remote sensing-based indicators introduce both opportunities and new verification obligations. Evapotranspiration estimation can support field-scale monitoring beyond the limits of point sensors, but recent synthesis of temperature-based models highlights continuing concerns about validation and transferability across heterogeneous landscapes and variable input quality (</w:t>
      </w:r>
      <w:proofErr w:type="spellStart"/>
      <w:r w:rsidRPr="007A48C1">
        <w:rPr>
          <w:color w:val="auto"/>
          <w:kern w:val="0"/>
          <w:lang w:val="en-US" w:eastAsia="en-US"/>
        </w:rPr>
        <w:t>Derardja</w:t>
      </w:r>
      <w:proofErr w:type="spellEnd"/>
      <w:r w:rsidRPr="007A48C1">
        <w:rPr>
          <w:color w:val="auto"/>
          <w:kern w:val="0"/>
          <w:lang w:val="en-US" w:eastAsia="en-US"/>
        </w:rPr>
        <w:t xml:space="preserve"> et al., 2024). Complementary reviews argue that artificial intelligence can improve ET estimation and scalability by integrating multi-source remote sensing and handling data gaps, but they also imply a need for careful uncertainty management and avoidance of overconfidence when models are applied outside their learning context (Fong et al., 2025). For sustainability verification, this means that remote sensing products should be accompanied by transparent assumptions and, where possible, ground checks, particularly when they are used to justify water-saving claims or to inform reporting.</w:t>
      </w:r>
    </w:p>
    <w:p w:rsidR="007A48C1" w:rsidRPr="007A48C1" w:rsidRDefault="007A48C1" w:rsidP="007A48C1">
      <w:pPr>
        <w:spacing w:before="100" w:beforeAutospacing="1" w:after="100" w:afterAutospacing="1" w:line="240" w:lineRule="auto"/>
        <w:ind w:left="0" w:right="0" w:firstLine="0"/>
        <w:jc w:val="left"/>
        <w:rPr>
          <w:color w:val="auto"/>
          <w:kern w:val="0"/>
          <w:lang w:val="en-US" w:eastAsia="en-US"/>
        </w:rPr>
      </w:pPr>
      <w:r w:rsidRPr="007A48C1">
        <w:rPr>
          <w:color w:val="auto"/>
          <w:kern w:val="0"/>
          <w:lang w:val="en-US" w:eastAsia="en-US"/>
        </w:rPr>
        <w:t xml:space="preserve">From an implementation standpoint, decision support systems can also underperform in practice if they demand too many inputs, rely on data that operators cannot reliably maintain, or fail to align recommendations with operational realities. Evaluations stress usability and workflow fit as determinants of whether reported benefits persist outside experimental settings (Ahmad &amp; </w:t>
      </w:r>
      <w:proofErr w:type="spellStart"/>
      <w:r w:rsidRPr="007A48C1">
        <w:rPr>
          <w:color w:val="auto"/>
          <w:kern w:val="0"/>
          <w:lang w:val="en-US" w:eastAsia="en-US"/>
        </w:rPr>
        <w:t>Sohel</w:t>
      </w:r>
      <w:proofErr w:type="spellEnd"/>
      <w:r w:rsidRPr="007A48C1">
        <w:rPr>
          <w:color w:val="auto"/>
          <w:kern w:val="0"/>
          <w:lang w:val="en-US" w:eastAsia="en-US"/>
        </w:rPr>
        <w:t>, 2025). The same logic applies in protected cultivation: even where precision irrigation techniques show strong potential for savings, sustained benefits depend on maintenance and capacity to operate systems correctly (</w:t>
      </w:r>
      <w:proofErr w:type="spellStart"/>
      <w:r w:rsidRPr="007A48C1">
        <w:rPr>
          <w:color w:val="auto"/>
          <w:kern w:val="0"/>
          <w:lang w:val="en-US" w:eastAsia="en-US"/>
        </w:rPr>
        <w:t>Panotra</w:t>
      </w:r>
      <w:proofErr w:type="spellEnd"/>
      <w:r w:rsidRPr="007A48C1">
        <w:rPr>
          <w:color w:val="auto"/>
          <w:kern w:val="0"/>
          <w:lang w:val="en-US" w:eastAsia="en-US"/>
        </w:rPr>
        <w:t xml:space="preserve"> et al., 2024). These findings collectively argue for verification frameworks that document not only outcomes, but also data quality, maintenance requirements, and system resilience under imperfect conditions.</w:t>
      </w:r>
    </w:p>
    <w:p w:rsidR="007A48C1" w:rsidRPr="007A48C1" w:rsidRDefault="007A48C1" w:rsidP="007A48C1">
      <w:pPr>
        <w:spacing w:before="100" w:beforeAutospacing="1" w:after="100" w:afterAutospacing="1" w:line="240" w:lineRule="auto"/>
        <w:ind w:left="0" w:right="0" w:firstLine="0"/>
        <w:jc w:val="left"/>
        <w:outlineLvl w:val="2"/>
        <w:rPr>
          <w:b/>
          <w:bCs/>
          <w:color w:val="auto"/>
          <w:kern w:val="0"/>
          <w:sz w:val="27"/>
          <w:szCs w:val="27"/>
          <w:lang w:val="en-US" w:eastAsia="en-US"/>
        </w:rPr>
      </w:pPr>
      <w:r w:rsidRPr="007A48C1">
        <w:rPr>
          <w:b/>
          <w:bCs/>
          <w:color w:val="auto"/>
          <w:kern w:val="0"/>
          <w:sz w:val="27"/>
          <w:szCs w:val="27"/>
          <w:lang w:val="en-US" w:eastAsia="en-US"/>
        </w:rPr>
        <w:t>6.4. Trade-offs and integrated metrics: moving beyond single-factor efficiency</w:t>
      </w:r>
    </w:p>
    <w:p w:rsidR="007A48C1" w:rsidRPr="007A48C1" w:rsidRDefault="007A48C1" w:rsidP="007A48C1">
      <w:pPr>
        <w:spacing w:before="100" w:beforeAutospacing="1" w:after="100" w:afterAutospacing="1" w:line="240" w:lineRule="auto"/>
        <w:ind w:left="0" w:right="0" w:firstLine="0"/>
        <w:jc w:val="left"/>
        <w:rPr>
          <w:color w:val="auto"/>
          <w:kern w:val="0"/>
          <w:lang w:val="en-US" w:eastAsia="en-US"/>
        </w:rPr>
      </w:pPr>
      <w:r w:rsidRPr="007A48C1">
        <w:rPr>
          <w:color w:val="auto"/>
          <w:kern w:val="0"/>
          <w:lang w:val="en-US" w:eastAsia="en-US"/>
        </w:rPr>
        <w:lastRenderedPageBreak/>
        <w:t xml:space="preserve">The core sustainability lesson across the literature is that trade-offs are unavoidable and should be made explicit. In precision irrigation, a recurring tension is between conserving water and </w:t>
      </w:r>
      <w:proofErr w:type="spellStart"/>
      <w:r w:rsidRPr="007A48C1">
        <w:rPr>
          <w:color w:val="auto"/>
          <w:kern w:val="0"/>
          <w:lang w:val="en-US" w:eastAsia="en-US"/>
        </w:rPr>
        <w:t>stabilising</w:t>
      </w:r>
      <w:proofErr w:type="spellEnd"/>
      <w:r w:rsidRPr="007A48C1">
        <w:rPr>
          <w:color w:val="auto"/>
          <w:kern w:val="0"/>
          <w:lang w:val="en-US" w:eastAsia="en-US"/>
        </w:rPr>
        <w:t xml:space="preserve"> yields under forecast uncertainty, particularly in drought-prone periods. Advanced control and feedback strategies can reduce excess irrigation while maintaining risk management, but their success is contingent on reliable monitoring and robust decision logic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 In smart greenhouses, trade-offs frequently pivot around energy: more intensive climate control and lighting can improve yield stability and quality but may raise energy use to a level that undermines sustainability unless energy-efficient operation is achieved (Engler &amp; </w:t>
      </w:r>
      <w:proofErr w:type="spellStart"/>
      <w:r w:rsidRPr="007A48C1">
        <w:rPr>
          <w:color w:val="auto"/>
          <w:kern w:val="0"/>
          <w:lang w:val="en-US" w:eastAsia="en-US"/>
        </w:rPr>
        <w:t>Krarti</w:t>
      </w:r>
      <w:proofErr w:type="spellEnd"/>
      <w:r w:rsidRPr="007A48C1">
        <w:rPr>
          <w:color w:val="auto"/>
          <w:kern w:val="0"/>
          <w:lang w:val="en-US" w:eastAsia="en-US"/>
        </w:rPr>
        <w:t xml:space="preserve">, 2021; </w:t>
      </w:r>
      <w:proofErr w:type="spellStart"/>
      <w:r w:rsidRPr="007A48C1">
        <w:rPr>
          <w:color w:val="auto"/>
          <w:kern w:val="0"/>
          <w:lang w:val="en-US" w:eastAsia="en-US"/>
        </w:rPr>
        <w:t>Iddio</w:t>
      </w:r>
      <w:proofErr w:type="spellEnd"/>
      <w:r w:rsidRPr="007A48C1">
        <w:rPr>
          <w:color w:val="auto"/>
          <w:kern w:val="0"/>
          <w:lang w:val="en-US" w:eastAsia="en-US"/>
        </w:rPr>
        <w:t xml:space="preserve"> et al., 2020). Precision irrigation in protected cultivation may offer substantial water and input efficiencies, yet these improvements must be interpreted alongside energy and operational constraints to avoid overstating net sustainability gains (</w:t>
      </w:r>
      <w:proofErr w:type="spellStart"/>
      <w:r w:rsidRPr="007A48C1">
        <w:rPr>
          <w:color w:val="auto"/>
          <w:kern w:val="0"/>
          <w:lang w:val="en-US" w:eastAsia="en-US"/>
        </w:rPr>
        <w:t>Panotra</w:t>
      </w:r>
      <w:proofErr w:type="spellEnd"/>
      <w:r w:rsidRPr="007A48C1">
        <w:rPr>
          <w:color w:val="auto"/>
          <w:kern w:val="0"/>
          <w:lang w:val="en-US" w:eastAsia="en-US"/>
        </w:rPr>
        <w:t xml:space="preserve"> et al., 2024).</w:t>
      </w:r>
    </w:p>
    <w:p w:rsidR="007A48C1" w:rsidRPr="007A48C1" w:rsidRDefault="007A48C1" w:rsidP="007A48C1">
      <w:pPr>
        <w:spacing w:before="100" w:beforeAutospacing="1" w:after="100" w:afterAutospacing="1" w:line="240" w:lineRule="auto"/>
        <w:ind w:left="0" w:right="0" w:firstLine="0"/>
        <w:jc w:val="left"/>
        <w:rPr>
          <w:color w:val="auto"/>
          <w:kern w:val="0"/>
          <w:lang w:val="en-US" w:eastAsia="en-US"/>
        </w:rPr>
      </w:pPr>
      <w:r w:rsidRPr="007A48C1">
        <w:rPr>
          <w:color w:val="auto"/>
          <w:kern w:val="0"/>
          <w:lang w:val="en-US" w:eastAsia="en-US"/>
        </w:rPr>
        <w:t>Accordingly, the evidence supports a shift towards integrated assessment of water–energy–climate performance rather than single-factor claims. Transparent models that expose coupling—such as how lighting alters heat requirements and humidity control—can make trade-offs more measurable and manageable (</w:t>
      </w:r>
      <w:proofErr w:type="spellStart"/>
      <w:r w:rsidRPr="007A48C1">
        <w:rPr>
          <w:color w:val="auto"/>
          <w:kern w:val="0"/>
          <w:lang w:val="en-US" w:eastAsia="en-US"/>
        </w:rPr>
        <w:t>Katzin</w:t>
      </w:r>
      <w:proofErr w:type="spellEnd"/>
      <w:r w:rsidRPr="007A48C1">
        <w:rPr>
          <w:color w:val="auto"/>
          <w:kern w:val="0"/>
          <w:lang w:val="en-US" w:eastAsia="en-US"/>
        </w:rPr>
        <w:t xml:space="preserve"> et al., 2020). Likewise, remote sensing and AI-enhanced evapotranspiration estimation can strengthen monitoring and reporting, provided validation and uncertainty are treated as first-class requirements (</w:t>
      </w:r>
      <w:proofErr w:type="spellStart"/>
      <w:r w:rsidRPr="007A48C1">
        <w:rPr>
          <w:color w:val="auto"/>
          <w:kern w:val="0"/>
          <w:lang w:val="en-US" w:eastAsia="en-US"/>
        </w:rPr>
        <w:t>Derardja</w:t>
      </w:r>
      <w:proofErr w:type="spellEnd"/>
      <w:r w:rsidRPr="007A48C1">
        <w:rPr>
          <w:color w:val="auto"/>
          <w:kern w:val="0"/>
          <w:lang w:val="en-US" w:eastAsia="en-US"/>
        </w:rPr>
        <w:t xml:space="preserve"> et al., 2024; Fong et al., 2025). Ultimately, the sustainability value of smart agriculture technologies is most credible when it is demonstrated through context-aware evaluation that reports operational constraints, </w:t>
      </w:r>
      <w:proofErr w:type="spellStart"/>
      <w:r w:rsidRPr="007A48C1">
        <w:rPr>
          <w:color w:val="auto"/>
          <w:kern w:val="0"/>
          <w:lang w:val="en-US" w:eastAsia="en-US"/>
        </w:rPr>
        <w:t>recognises</w:t>
      </w:r>
      <w:proofErr w:type="spellEnd"/>
      <w:r w:rsidRPr="007A48C1">
        <w:rPr>
          <w:color w:val="auto"/>
          <w:kern w:val="0"/>
          <w:lang w:val="en-US" w:eastAsia="en-US"/>
        </w:rPr>
        <w:t xml:space="preserve"> trade-offs, and links performance to the robustness of the underlying decision chain (Ahmad &amp; </w:t>
      </w:r>
      <w:proofErr w:type="spellStart"/>
      <w:r w:rsidRPr="007A48C1">
        <w:rPr>
          <w:color w:val="auto"/>
          <w:kern w:val="0"/>
          <w:lang w:val="en-US" w:eastAsia="en-US"/>
        </w:rPr>
        <w:t>Sohel</w:t>
      </w:r>
      <w:proofErr w:type="spellEnd"/>
      <w:r w:rsidRPr="007A48C1">
        <w:rPr>
          <w:color w:val="auto"/>
          <w:kern w:val="0"/>
          <w:lang w:val="en-US" w:eastAsia="en-US"/>
        </w:rPr>
        <w:t>, 2025; Hemming et al., 2020).</w:t>
      </w:r>
    </w:p>
    <w:p w:rsidR="00697CF9" w:rsidRDefault="00697CF9" w:rsidP="00C5515E">
      <w:pPr>
        <w:pStyle w:val="Heading2"/>
      </w:pPr>
    </w:p>
    <w:p w:rsidR="00C5515E" w:rsidRDefault="00C5515E" w:rsidP="00C5515E">
      <w:pPr>
        <w:pStyle w:val="Heading2"/>
      </w:pPr>
      <w:r>
        <w:t>7. Barriers to adoption and research gaps</w:t>
      </w:r>
    </w:p>
    <w:p w:rsidR="00C5515E" w:rsidRDefault="00C5515E" w:rsidP="00C5515E">
      <w:pPr>
        <w:pStyle w:val="NormalWeb"/>
      </w:pPr>
      <w:r>
        <w:t>Adoption barriers are not simply economic; they are socio-technical. Wireless sensor network reviews identify persistent challenges in power management, reliability, and scalability, all of which influence maintenance burdens and trust (Ojha et al., 2015). IoT reviews similarly show that diverse communication technologies and architectures create both opportunities and fragmentation, making interoperability and system integration recurring problems (Kim et al., 2020).</w:t>
      </w:r>
    </w:p>
    <w:p w:rsidR="00C5515E" w:rsidRDefault="00C5515E" w:rsidP="00C5515E">
      <w:pPr>
        <w:pStyle w:val="NormalWeb"/>
      </w:pPr>
      <w:r>
        <w:t xml:space="preserve">Data governance and </w:t>
      </w:r>
      <w:proofErr w:type="spellStart"/>
      <w:r>
        <w:t>organisational</w:t>
      </w:r>
      <w:proofErr w:type="spellEnd"/>
      <w:r>
        <w:t xml:space="preserve"> readiness are equally important. Smart farming reviews argue that big data systems can reshape value chains and power relations, and that governance issues—ownership, privacy, security, and business models—must be resolved for benefits to scale broadly (</w:t>
      </w:r>
      <w:proofErr w:type="spellStart"/>
      <w:r>
        <w:t>Wolfert</w:t>
      </w:r>
      <w:proofErr w:type="spellEnd"/>
      <w:r>
        <w:t xml:space="preserve"> et al., 2017). These issues apply directly to precision irrigation and greenhouse automation, where data often flows from farms to platforms and service providers. If farmers cannot trust how data is used, or if systems lock users into proprietary ecosystems, sustainability diffusion may stall or become inequitable.</w:t>
      </w:r>
    </w:p>
    <w:p w:rsidR="00C5515E" w:rsidRDefault="00C5515E" w:rsidP="00C5515E">
      <w:pPr>
        <w:pStyle w:val="NormalWeb"/>
      </w:pPr>
      <w:r>
        <w:t>From a technical research perspective, the literature points to several persistent gaps. First, robustness remains underdeveloped: many decision systems perform well in controlled trials but degrade under sensor drift, missing data, or atypical weather. Second, integration across water and energy objectives is still emerging, especially in greenhouses where irrigation decisions interact with humidity management and energy loads (</w:t>
      </w:r>
      <w:proofErr w:type="spellStart"/>
      <w:r>
        <w:t>Iddio</w:t>
      </w:r>
      <w:proofErr w:type="spellEnd"/>
      <w:r>
        <w:t xml:space="preserve"> et al., 2020; </w:t>
      </w:r>
      <w:proofErr w:type="spellStart"/>
      <w:r>
        <w:t>Katzin</w:t>
      </w:r>
      <w:proofErr w:type="spellEnd"/>
      <w:r>
        <w:t xml:space="preserve"> et al., 2020). Third, usability and human factors are often treated as secondary, yet DSS </w:t>
      </w:r>
      <w:r>
        <w:lastRenderedPageBreak/>
        <w:t xml:space="preserve">evaluations increasingly suggest that complexity and high input requirements restrict adoption, even when potential water savings are high (Ahmad &amp; </w:t>
      </w:r>
      <w:proofErr w:type="spellStart"/>
      <w:r>
        <w:t>Sohel</w:t>
      </w:r>
      <w:proofErr w:type="spellEnd"/>
      <w:r>
        <w:t>, 2025).</w:t>
      </w:r>
    </w:p>
    <w:p w:rsidR="00C5515E" w:rsidRDefault="00C5515E" w:rsidP="00C5515E">
      <w:pPr>
        <w:pStyle w:val="NormalWeb"/>
      </w:pPr>
      <w:r>
        <w:t xml:space="preserve">Finally, there is a need for clearer standards of evidence. Field trials of VRI and greenhouse AI control show promising outcomes, but comparability across studies is limited by differences in baseline practices, climate contexts, and reporting metrics (Hemming et al., 2020; Li et al., 2023). To support sustainable agriculture at scale, research designs that </w:t>
      </w:r>
      <w:proofErr w:type="spellStart"/>
      <w:r>
        <w:t>emphasise</w:t>
      </w:r>
      <w:proofErr w:type="spellEnd"/>
      <w:r>
        <w:t xml:space="preserve"> reproducibility, uncertainty quantification, and cross-context validation are likely to be as important as algorithmic novelty.</w:t>
      </w:r>
    </w:p>
    <w:p w:rsidR="00C5515E" w:rsidRDefault="00C5515E" w:rsidP="00C5515E"/>
    <w:p w:rsidR="00C5515E" w:rsidRDefault="00C5515E" w:rsidP="00C5515E">
      <w:pPr>
        <w:pStyle w:val="Heading2"/>
      </w:pPr>
      <w:r>
        <w:t>8. Future directions: toward integrated, transparent, and resilient systems</w:t>
      </w:r>
    </w:p>
    <w:p w:rsidR="00C5515E" w:rsidRDefault="00C5515E" w:rsidP="00C5515E">
      <w:pPr>
        <w:pStyle w:val="NormalWeb"/>
      </w:pPr>
      <w:r>
        <w:t>The technological trajectory suggests that the next generation of sustainable agriculture systems will be defined by integration and transparency rather than by isolated innovations. For precision irrigation, the path forward is likely to involve tighter coupling between remote sensing-based evapotranspiration intelligence and local sensor networks, enabling decisions that are both spatially complete and locally responsive (</w:t>
      </w:r>
      <w:proofErr w:type="spellStart"/>
      <w:r>
        <w:t>Derardja</w:t>
      </w:r>
      <w:proofErr w:type="spellEnd"/>
      <w:r>
        <w:t xml:space="preserve"> et al., 2024; Fong et al., 2025). UAV and multispectral pipelines will likely become more operationally routine, but their sustainability value will depend on reducing processing burdens and increasing reliability under diverse field conditions (Zhang &amp; Kovacs, 2012; Shi et al., 2019).</w:t>
      </w:r>
    </w:p>
    <w:p w:rsidR="00C5515E" w:rsidRDefault="00C5515E" w:rsidP="00C5515E">
      <w:pPr>
        <w:pStyle w:val="NormalWeb"/>
      </w:pPr>
      <w:r>
        <w:t xml:space="preserve">For smart greenhouses, the emphasis is likely to move from instrumentation alone to verified </w:t>
      </w:r>
      <w:proofErr w:type="spellStart"/>
      <w:r>
        <w:t>optimisation</w:t>
      </w:r>
      <w:proofErr w:type="spellEnd"/>
      <w:r>
        <w:t xml:space="preserve"> of coupled water–energy–climate systems. Energy-efficient operation reviews already point toward the need for integrated and user-friendly modelling platforms to support advanced control (</w:t>
      </w:r>
      <w:proofErr w:type="spellStart"/>
      <w:r>
        <w:t>Iddio</w:t>
      </w:r>
      <w:proofErr w:type="spellEnd"/>
      <w:r>
        <w:t xml:space="preserve"> et al., 2020). Open models that represent lighting, heat, and humidity dynamics provide a foundation for more transparent decision support and benchmarking, particularly as LEDs and new lighting strategies reshape greenhouse energy profiles (</w:t>
      </w:r>
      <w:proofErr w:type="spellStart"/>
      <w:r>
        <w:t>Katzin</w:t>
      </w:r>
      <w:proofErr w:type="spellEnd"/>
      <w:r>
        <w:t xml:space="preserve"> et al., 2020; </w:t>
      </w:r>
      <w:proofErr w:type="spellStart"/>
      <w:r>
        <w:t>Sena</w:t>
      </w:r>
      <w:proofErr w:type="spellEnd"/>
      <w:r>
        <w:t xml:space="preserve"> et al., 2024).</w:t>
      </w:r>
    </w:p>
    <w:p w:rsidR="00C5515E" w:rsidRDefault="00C5515E" w:rsidP="00C5515E">
      <w:pPr>
        <w:pStyle w:val="NormalWeb"/>
      </w:pPr>
      <w:r>
        <w:t>Across both domains, responsible scaling will require attention to governance, interoperability, and equity. Smart farming analyses suggest that data governance frameworks and business models will influence whether digital agriculture strengthens resilience broadly or concentrates benefits among a narrow set of actors (</w:t>
      </w:r>
      <w:proofErr w:type="spellStart"/>
      <w:r>
        <w:t>Wolfert</w:t>
      </w:r>
      <w:proofErr w:type="spellEnd"/>
      <w:r>
        <w:t xml:space="preserve"> et al., 2017). Technical design choices—open standards, modular architectures, edge computing for privacy-preserving analytics, and maintainable sensor networks—will therefore be sustainability choices, not merely engineering preferences (Kim et al., 2020; Ojha et al., 2015).</w:t>
      </w:r>
    </w:p>
    <w:p w:rsidR="00C5515E" w:rsidRDefault="00C5515E" w:rsidP="00C5515E"/>
    <w:p w:rsidR="00C5515E" w:rsidRDefault="00C5515E" w:rsidP="00C5515E">
      <w:pPr>
        <w:pStyle w:val="Heading2"/>
      </w:pPr>
      <w:r>
        <w:t>9. Conclusions</w:t>
      </w:r>
    </w:p>
    <w:p w:rsidR="00C5515E" w:rsidRDefault="00C5515E" w:rsidP="00C5515E">
      <w:pPr>
        <w:pStyle w:val="NormalWeb"/>
      </w:pPr>
      <w:r>
        <w:t xml:space="preserve">Precision irrigation and smart greenhouse technologies have matured into complementary pillars of sustainable agricultural innovation. Across open-field and controlled environments, the dominant trend is a shift from periodic management to continuous, data-informed </w:t>
      </w:r>
      <w:r>
        <w:lastRenderedPageBreak/>
        <w:t xml:space="preserve">decision-making supported by sensing networks, remote monitoring, and increasingly sophisticated decision support and control. Evidence indicates that these systems can improve water productivity and operational resilience, and that smart greenhouses can support high yields and quality while enabling more controlled resource use. However, sustainability outcomes are conditional: they depend on robust data, integrated system design, and explicit management of trade-offs—especially the water–energy coupling that becomes critical in controlled environments. The most credible future pathway lies in integrated </w:t>
      </w:r>
      <w:proofErr w:type="spellStart"/>
      <w:r>
        <w:t>optimisation</w:t>
      </w:r>
      <w:proofErr w:type="spellEnd"/>
      <w:r>
        <w:t xml:space="preserve"> frameworks that coordinate irrigation, climate control, and energy use, paired with transparent models and verifiable metrics that enable trustworthy sustainability claims.</w:t>
      </w:r>
    </w:p>
    <w:p w:rsidR="00C5515E" w:rsidRDefault="00C5515E" w:rsidP="00C5515E"/>
    <w:p w:rsidR="00C5515E" w:rsidRDefault="00C5515E" w:rsidP="00C5515E">
      <w:pPr>
        <w:pStyle w:val="Heading2"/>
      </w:pPr>
      <w:r>
        <w:t>10. Limitations</w:t>
      </w:r>
    </w:p>
    <w:p w:rsidR="00C5515E" w:rsidRDefault="00C5515E" w:rsidP="00C5515E">
      <w:pPr>
        <w:pStyle w:val="NormalWeb"/>
      </w:pPr>
      <w:r>
        <w:t xml:space="preserve">This review </w:t>
      </w:r>
      <w:proofErr w:type="spellStart"/>
      <w:r>
        <w:t>synthesises</w:t>
      </w:r>
      <w:proofErr w:type="spellEnd"/>
      <w:r>
        <w:t xml:space="preserve"> a wide and interdisciplinary literature, but it does not provide a formal meta-analysis of effect sizes for water or energy savings due to heterogeneity in study designs, baseline practices, climate contexts, and reporting metrics. In addition, while the paper highlights key technologies and decision architectures, it cannot fully capture all regional agronomic constraints, policy environments, and market factors that shape adoption in practice. Finally, rapidly evolving areas such as AI-enabled evapotranspiration estimation and IoT platform ecosystems may shift quickly beyond the end of the review window, meaning that some implementation details and best practices will continue to change as the field develops.</w:t>
      </w:r>
    </w:p>
    <w:p w:rsidR="00C5515E" w:rsidRDefault="00C5515E" w:rsidP="00C5515E"/>
    <w:p w:rsidR="00C5515E" w:rsidRDefault="00C5515E" w:rsidP="00C5515E">
      <w:pPr>
        <w:pStyle w:val="Heading1"/>
      </w:pPr>
      <w:r>
        <w:t xml:space="preserve">References </w:t>
      </w:r>
    </w:p>
    <w:p w:rsidR="007A48C1" w:rsidRDefault="007A48C1" w:rsidP="00C5515E">
      <w:pPr>
        <w:pStyle w:val="NormalWeb"/>
      </w:pPr>
      <w:proofErr w:type="spellStart"/>
      <w:r>
        <w:t>Abioye</w:t>
      </w:r>
      <w:proofErr w:type="spellEnd"/>
      <w:r>
        <w:t xml:space="preserve">, E. A., </w:t>
      </w:r>
      <w:proofErr w:type="spellStart"/>
      <w:r>
        <w:t>Abidin</w:t>
      </w:r>
      <w:proofErr w:type="spellEnd"/>
      <w:r>
        <w:t xml:space="preserve">, M. S. Z., Mahmud, M. S. A., </w:t>
      </w:r>
      <w:proofErr w:type="spellStart"/>
      <w:r>
        <w:t>Buyamin</w:t>
      </w:r>
      <w:proofErr w:type="spellEnd"/>
      <w:r>
        <w:t xml:space="preserve">, S., Ishak, M. H. I., Abd Rahman, M. K. I., </w:t>
      </w:r>
      <w:proofErr w:type="spellStart"/>
      <w:r>
        <w:t>Otuoze</w:t>
      </w:r>
      <w:proofErr w:type="spellEnd"/>
      <w:r>
        <w:t xml:space="preserve">, A. O., </w:t>
      </w:r>
      <w:proofErr w:type="spellStart"/>
      <w:r>
        <w:t>Onotu</w:t>
      </w:r>
      <w:proofErr w:type="spellEnd"/>
      <w:r>
        <w:t xml:space="preserve">, P., &amp; Ramli, M. S. A. (2020). A review on monitoring and advanced control strategies for precision irrigation. </w:t>
      </w:r>
      <w:r>
        <w:rPr>
          <w:rStyle w:val="Emphasis"/>
        </w:rPr>
        <w:t>Computers and Electronics in Agriculture, 173</w:t>
      </w:r>
      <w:r>
        <w:t xml:space="preserve">, 105441. </w:t>
      </w:r>
      <w:hyperlink r:id="rId8" w:history="1">
        <w:r w:rsidRPr="00C45C2B">
          <w:rPr>
            <w:rStyle w:val="Hyperlink"/>
          </w:rPr>
          <w:t>https://doi.org/10.1016/j.compag.2020.105441</w:t>
        </w:r>
      </w:hyperlink>
      <w:r>
        <w:t xml:space="preserve"> </w:t>
      </w:r>
    </w:p>
    <w:p w:rsidR="007A48C1" w:rsidRDefault="007A48C1" w:rsidP="00C5515E">
      <w:pPr>
        <w:pStyle w:val="NormalWeb"/>
      </w:pPr>
      <w:r>
        <w:t xml:space="preserve">Ahmad, U., &amp; </w:t>
      </w:r>
      <w:proofErr w:type="spellStart"/>
      <w:r>
        <w:t>Sohel</w:t>
      </w:r>
      <w:proofErr w:type="spellEnd"/>
      <w:r>
        <w:t xml:space="preserve">, F. (2025). Evaluating decision support systems for precision irrigation and water use efficiency. </w:t>
      </w:r>
      <w:r>
        <w:rPr>
          <w:rStyle w:val="Emphasis"/>
        </w:rPr>
        <w:t>Digital Engineering, 4</w:t>
      </w:r>
      <w:r>
        <w:t xml:space="preserve">, 100038. </w:t>
      </w:r>
      <w:hyperlink r:id="rId9" w:history="1">
        <w:r w:rsidRPr="00C45C2B">
          <w:rPr>
            <w:rStyle w:val="Hyperlink"/>
          </w:rPr>
          <w:t>https://doi.org/10.1016/j.dte.2025.100038</w:t>
        </w:r>
      </w:hyperlink>
    </w:p>
    <w:p w:rsidR="007A48C1" w:rsidRDefault="007A48C1" w:rsidP="00C5515E">
      <w:pPr>
        <w:pStyle w:val="NormalWeb"/>
      </w:pPr>
      <w:proofErr w:type="spellStart"/>
      <w:r>
        <w:t>Badji</w:t>
      </w:r>
      <w:proofErr w:type="spellEnd"/>
      <w:r>
        <w:t xml:space="preserve">, A., </w:t>
      </w:r>
      <w:proofErr w:type="spellStart"/>
      <w:r>
        <w:t>Benseddik</w:t>
      </w:r>
      <w:proofErr w:type="spellEnd"/>
      <w:r>
        <w:t xml:space="preserve">, A., </w:t>
      </w:r>
      <w:proofErr w:type="spellStart"/>
      <w:r>
        <w:t>Bensaha</w:t>
      </w:r>
      <w:proofErr w:type="spellEnd"/>
      <w:r>
        <w:t xml:space="preserve">, H., </w:t>
      </w:r>
      <w:proofErr w:type="spellStart"/>
      <w:r>
        <w:t>Boukhelifa</w:t>
      </w:r>
      <w:proofErr w:type="spellEnd"/>
      <w:r>
        <w:t xml:space="preserve">, A., &amp; </w:t>
      </w:r>
      <w:proofErr w:type="spellStart"/>
      <w:r>
        <w:t>Hasrane</w:t>
      </w:r>
      <w:proofErr w:type="spellEnd"/>
      <w:r>
        <w:t xml:space="preserve">, I. (2022). Design, technology, and management of greenhouse: A review. </w:t>
      </w:r>
      <w:r>
        <w:rPr>
          <w:rStyle w:val="Emphasis"/>
        </w:rPr>
        <w:t>Journal of Cleaner Production, 373</w:t>
      </w:r>
      <w:r>
        <w:t xml:space="preserve">, 133753. </w:t>
      </w:r>
      <w:hyperlink r:id="rId10" w:history="1">
        <w:r w:rsidRPr="00C45C2B">
          <w:rPr>
            <w:rStyle w:val="Hyperlink"/>
          </w:rPr>
          <w:t>https://doi.org/10.1016/j.jclepro.2022.133753</w:t>
        </w:r>
      </w:hyperlink>
      <w:r>
        <w:t xml:space="preserve"> </w:t>
      </w:r>
    </w:p>
    <w:p w:rsidR="007A48C1" w:rsidRDefault="007A48C1" w:rsidP="00C5515E">
      <w:pPr>
        <w:pStyle w:val="NormalWeb"/>
      </w:pPr>
      <w:proofErr w:type="spellStart"/>
      <w:r>
        <w:t>Benyezza</w:t>
      </w:r>
      <w:proofErr w:type="spellEnd"/>
      <w:r>
        <w:t xml:space="preserve">, H., </w:t>
      </w:r>
      <w:proofErr w:type="spellStart"/>
      <w:r>
        <w:t>Bouhedda</w:t>
      </w:r>
      <w:proofErr w:type="spellEnd"/>
      <w:r>
        <w:t xml:space="preserve">, M., Kara, R., &amp; </w:t>
      </w:r>
      <w:proofErr w:type="spellStart"/>
      <w:r>
        <w:t>Rebouh</w:t>
      </w:r>
      <w:proofErr w:type="spellEnd"/>
      <w:r>
        <w:t xml:space="preserve">, S. (2023). Smart platform based on IoT and WSN for monitoring and control of a greenhouse in the context of precision agriculture. </w:t>
      </w:r>
      <w:r>
        <w:rPr>
          <w:rStyle w:val="Emphasis"/>
        </w:rPr>
        <w:t>Internet of Things, 23</w:t>
      </w:r>
      <w:r>
        <w:t xml:space="preserve">, 100830. </w:t>
      </w:r>
      <w:hyperlink r:id="rId11" w:history="1">
        <w:r w:rsidRPr="00C45C2B">
          <w:rPr>
            <w:rStyle w:val="Hyperlink"/>
          </w:rPr>
          <w:t>https://doi.org/10.1016/j.iot.2023.100830</w:t>
        </w:r>
      </w:hyperlink>
      <w:r>
        <w:t xml:space="preserve"> </w:t>
      </w:r>
    </w:p>
    <w:p w:rsidR="007A48C1" w:rsidRDefault="007A48C1" w:rsidP="00C5515E">
      <w:pPr>
        <w:pStyle w:val="NormalWeb"/>
      </w:pPr>
      <w:proofErr w:type="spellStart"/>
      <w:r>
        <w:lastRenderedPageBreak/>
        <w:t>Bwambale</w:t>
      </w:r>
      <w:proofErr w:type="spellEnd"/>
      <w:r>
        <w:t xml:space="preserve">, E., </w:t>
      </w:r>
      <w:proofErr w:type="spellStart"/>
      <w:r>
        <w:t>Abagale</w:t>
      </w:r>
      <w:proofErr w:type="spellEnd"/>
      <w:r>
        <w:t xml:space="preserve">, F. K., &amp; </w:t>
      </w:r>
      <w:proofErr w:type="spellStart"/>
      <w:r>
        <w:t>Anornu</w:t>
      </w:r>
      <w:proofErr w:type="spellEnd"/>
      <w:r>
        <w:t xml:space="preserve">, G. K. (2022). Smart irrigation monitoring and control strategies for improving water use efficiency in precision agriculture: A review. </w:t>
      </w:r>
      <w:r>
        <w:rPr>
          <w:rStyle w:val="Emphasis"/>
        </w:rPr>
        <w:t>Agricultural Water Management, 260</w:t>
      </w:r>
      <w:r>
        <w:t xml:space="preserve">, 107324. </w:t>
      </w:r>
      <w:hyperlink r:id="rId12" w:tgtFrame="_new" w:history="1">
        <w:r>
          <w:rPr>
            <w:rStyle w:val="Hyperlink"/>
          </w:rPr>
          <w:t>https://doi.org/10.1016/j.agwat.2021.107324</w:t>
        </w:r>
      </w:hyperlink>
    </w:p>
    <w:p w:rsidR="007A48C1" w:rsidRDefault="007A48C1" w:rsidP="00C5515E">
      <w:pPr>
        <w:pStyle w:val="NormalWeb"/>
      </w:pPr>
      <w:proofErr w:type="spellStart"/>
      <w:r>
        <w:t>Derardja</w:t>
      </w:r>
      <w:proofErr w:type="spellEnd"/>
      <w:r>
        <w:t xml:space="preserve">, B., Khadra, R., </w:t>
      </w:r>
      <w:proofErr w:type="spellStart"/>
      <w:r>
        <w:t>Abdelmoneim</w:t>
      </w:r>
      <w:proofErr w:type="spellEnd"/>
      <w:r>
        <w:t>, A. A. A., El-</w:t>
      </w:r>
      <w:proofErr w:type="spellStart"/>
      <w:r>
        <w:t>Shirbeny</w:t>
      </w:r>
      <w:proofErr w:type="spellEnd"/>
      <w:r>
        <w:t xml:space="preserve">, M. A., </w:t>
      </w:r>
      <w:proofErr w:type="spellStart"/>
      <w:r>
        <w:t>Valsamidis</w:t>
      </w:r>
      <w:proofErr w:type="spellEnd"/>
      <w:r>
        <w:t xml:space="preserve">, T., De Pasquale, V., </w:t>
      </w:r>
      <w:proofErr w:type="spellStart"/>
      <w:r>
        <w:t>Deflorio</w:t>
      </w:r>
      <w:proofErr w:type="spellEnd"/>
      <w:r>
        <w:t xml:space="preserve">, A. M., &amp; </w:t>
      </w:r>
      <w:proofErr w:type="spellStart"/>
      <w:r>
        <w:t>Volden</w:t>
      </w:r>
      <w:proofErr w:type="spellEnd"/>
      <w:r>
        <w:t xml:space="preserve">, E. (2024). Advancements in remote sensing for evapotranspiration estimation: A comprehensive review of temperature-based models. </w:t>
      </w:r>
      <w:r>
        <w:rPr>
          <w:rStyle w:val="Emphasis"/>
        </w:rPr>
        <w:t>Remote Sensing, 16</w:t>
      </w:r>
      <w:r>
        <w:t xml:space="preserve">(11), 1927. </w:t>
      </w:r>
      <w:hyperlink r:id="rId13" w:history="1">
        <w:r w:rsidRPr="00C45C2B">
          <w:rPr>
            <w:rStyle w:val="Hyperlink"/>
          </w:rPr>
          <w:t>https://doi.org/10.3390/rs16111927</w:t>
        </w:r>
      </w:hyperlink>
      <w:r>
        <w:t xml:space="preserve"> </w:t>
      </w:r>
    </w:p>
    <w:p w:rsidR="007A48C1" w:rsidRDefault="007A48C1" w:rsidP="00C5515E">
      <w:pPr>
        <w:pStyle w:val="NormalWeb"/>
      </w:pPr>
      <w:r>
        <w:t xml:space="preserve">Engler, N., &amp; </w:t>
      </w:r>
      <w:proofErr w:type="spellStart"/>
      <w:r>
        <w:t>Krarti</w:t>
      </w:r>
      <w:proofErr w:type="spellEnd"/>
      <w:r>
        <w:t xml:space="preserve">, M. (2021). Review of energy efficiency in controlled environment agriculture. </w:t>
      </w:r>
      <w:r>
        <w:rPr>
          <w:rStyle w:val="Emphasis"/>
        </w:rPr>
        <w:t>Renewable and Sustainable Energy Reviews, 141</w:t>
      </w:r>
      <w:r>
        <w:t xml:space="preserve">, 110786. </w:t>
      </w:r>
      <w:hyperlink r:id="rId14" w:history="1">
        <w:r w:rsidRPr="00C45C2B">
          <w:rPr>
            <w:rStyle w:val="Hyperlink"/>
          </w:rPr>
          <w:t>https://doi.org/10.1016/j.rser.2021.110786</w:t>
        </w:r>
      </w:hyperlink>
      <w:r>
        <w:t xml:space="preserve"> </w:t>
      </w:r>
    </w:p>
    <w:p w:rsidR="007A48C1" w:rsidRDefault="007A48C1" w:rsidP="00C5515E">
      <w:pPr>
        <w:pStyle w:val="NormalWeb"/>
      </w:pPr>
      <w:r>
        <w:t xml:space="preserve">Fong, T. Y., Huang, Y. F., Chin, R. J., &amp; Koo, C. H. (2025). Advancing evapotranspiration estimation with remote sensing and artificial intelligence – A review. </w:t>
      </w:r>
      <w:r>
        <w:rPr>
          <w:rStyle w:val="Emphasis"/>
        </w:rPr>
        <w:t>Agricultural Water Management, 322</w:t>
      </w:r>
      <w:r>
        <w:t xml:space="preserve">, 110023. </w:t>
      </w:r>
      <w:hyperlink r:id="rId15" w:history="1">
        <w:r w:rsidRPr="00C45C2B">
          <w:rPr>
            <w:rStyle w:val="Hyperlink"/>
          </w:rPr>
          <w:t>https://doi.org/10.1016/j.agwat.2025.110023</w:t>
        </w:r>
      </w:hyperlink>
      <w:r>
        <w:t xml:space="preserve"> </w:t>
      </w:r>
    </w:p>
    <w:p w:rsidR="007A48C1" w:rsidRDefault="007A48C1" w:rsidP="00C5515E">
      <w:pPr>
        <w:pStyle w:val="NormalWeb"/>
      </w:pPr>
      <w:r>
        <w:t xml:space="preserve">Hemming, S., de Zwart, F., </w:t>
      </w:r>
      <w:proofErr w:type="spellStart"/>
      <w:r>
        <w:t>Elings</w:t>
      </w:r>
      <w:proofErr w:type="spellEnd"/>
      <w:r>
        <w:t xml:space="preserve">, A., </w:t>
      </w:r>
      <w:proofErr w:type="spellStart"/>
      <w:r>
        <w:t>Petropoulou</w:t>
      </w:r>
      <w:proofErr w:type="spellEnd"/>
      <w:r>
        <w:t xml:space="preserve">, A., &amp; </w:t>
      </w:r>
      <w:proofErr w:type="spellStart"/>
      <w:r>
        <w:t>Righini</w:t>
      </w:r>
      <w:proofErr w:type="spellEnd"/>
      <w:r>
        <w:t xml:space="preserve">, I. (2020). Cherry tomato production in intelligent greenhouses—Sensors and AI for control of climate, irrigation, crop yield, and quality. </w:t>
      </w:r>
      <w:r>
        <w:rPr>
          <w:rStyle w:val="Emphasis"/>
        </w:rPr>
        <w:t>Sensors, 20</w:t>
      </w:r>
      <w:r>
        <w:t xml:space="preserve">(22), 6430. </w:t>
      </w:r>
      <w:hyperlink r:id="rId16" w:history="1">
        <w:r w:rsidRPr="00C45C2B">
          <w:rPr>
            <w:rStyle w:val="Hyperlink"/>
          </w:rPr>
          <w:t>https://doi.org/10.3390/s20226430</w:t>
        </w:r>
      </w:hyperlink>
      <w:r>
        <w:t xml:space="preserve"> </w:t>
      </w:r>
    </w:p>
    <w:p w:rsidR="007A48C1" w:rsidRDefault="007A48C1" w:rsidP="00C5515E">
      <w:pPr>
        <w:pStyle w:val="NormalWeb"/>
      </w:pPr>
      <w:proofErr w:type="spellStart"/>
      <w:r>
        <w:t>Iddio</w:t>
      </w:r>
      <w:proofErr w:type="spellEnd"/>
      <w:r>
        <w:t xml:space="preserve">, E., Wang, L., Thomas, Y., McMorrow, G., &amp; </w:t>
      </w:r>
      <w:proofErr w:type="spellStart"/>
      <w:r>
        <w:t>Denzer</w:t>
      </w:r>
      <w:proofErr w:type="spellEnd"/>
      <w:r>
        <w:t xml:space="preserve">, A. (2020). Energy efficient operation and modeling for greenhouses: A literature review. </w:t>
      </w:r>
      <w:r>
        <w:rPr>
          <w:rStyle w:val="Emphasis"/>
        </w:rPr>
        <w:t>Renewable and Sustainable Energy Reviews, 117</w:t>
      </w:r>
      <w:r>
        <w:t xml:space="preserve">, 109480. </w:t>
      </w:r>
      <w:hyperlink r:id="rId17" w:history="1">
        <w:r w:rsidRPr="00C45C2B">
          <w:rPr>
            <w:rStyle w:val="Hyperlink"/>
          </w:rPr>
          <w:t>https://doi.org/10.1016/j.rser.2019.109480</w:t>
        </w:r>
      </w:hyperlink>
      <w:r>
        <w:t xml:space="preserve"> </w:t>
      </w:r>
    </w:p>
    <w:p w:rsidR="007A48C1" w:rsidRDefault="007A48C1" w:rsidP="00C5515E">
      <w:pPr>
        <w:pStyle w:val="NormalWeb"/>
      </w:pPr>
      <w:r>
        <w:t xml:space="preserve">Jones, H. G. (2004). Irrigation scheduling: Advantages and pitfalls of plant-based methods. </w:t>
      </w:r>
      <w:r>
        <w:rPr>
          <w:rStyle w:val="Emphasis"/>
        </w:rPr>
        <w:t>Journal of Experimental Botany, 55</w:t>
      </w:r>
      <w:r>
        <w:t xml:space="preserve">(407), 2427–2436. </w:t>
      </w:r>
      <w:hyperlink r:id="rId18" w:history="1">
        <w:r w:rsidRPr="00C45C2B">
          <w:rPr>
            <w:rStyle w:val="Hyperlink"/>
          </w:rPr>
          <w:t>https://doi.org/10.1093/jxb/erh213</w:t>
        </w:r>
      </w:hyperlink>
      <w:r>
        <w:t xml:space="preserve"> </w:t>
      </w:r>
    </w:p>
    <w:p w:rsidR="007A48C1" w:rsidRDefault="007A48C1" w:rsidP="00C5515E">
      <w:pPr>
        <w:pStyle w:val="NormalWeb"/>
      </w:pPr>
      <w:proofErr w:type="spellStart"/>
      <w:r>
        <w:t>Katzin</w:t>
      </w:r>
      <w:proofErr w:type="spellEnd"/>
      <w:r>
        <w:t xml:space="preserve">, D., van </w:t>
      </w:r>
      <w:proofErr w:type="spellStart"/>
      <w:r>
        <w:t>Mourik</w:t>
      </w:r>
      <w:proofErr w:type="spellEnd"/>
      <w:r>
        <w:t xml:space="preserve">, S., </w:t>
      </w:r>
      <w:proofErr w:type="spellStart"/>
      <w:r>
        <w:t>Kempkes</w:t>
      </w:r>
      <w:proofErr w:type="spellEnd"/>
      <w:r>
        <w:t xml:space="preserve">, F., &amp; van </w:t>
      </w:r>
      <w:proofErr w:type="spellStart"/>
      <w:r>
        <w:t>Henten</w:t>
      </w:r>
      <w:proofErr w:type="spellEnd"/>
      <w:r>
        <w:t xml:space="preserve">, E. J. (2020). </w:t>
      </w:r>
      <w:proofErr w:type="spellStart"/>
      <w:r>
        <w:t>GreenLight</w:t>
      </w:r>
      <w:proofErr w:type="spellEnd"/>
      <w:r>
        <w:t xml:space="preserve"> – An open source model for greenhouses with supplemental lighting: Evaluation of heat requirements under LED and HPS lamps. </w:t>
      </w:r>
      <w:r>
        <w:rPr>
          <w:rStyle w:val="Emphasis"/>
        </w:rPr>
        <w:t>Biosystems Engineering, 194</w:t>
      </w:r>
      <w:r>
        <w:t xml:space="preserve">, 61–81. </w:t>
      </w:r>
      <w:hyperlink r:id="rId19" w:history="1">
        <w:r w:rsidRPr="00C45C2B">
          <w:rPr>
            <w:rStyle w:val="Hyperlink"/>
          </w:rPr>
          <w:t>https://doi.org/10.1016/j.biosystemseng.2020.03.010</w:t>
        </w:r>
      </w:hyperlink>
      <w:r>
        <w:t xml:space="preserve"> </w:t>
      </w:r>
    </w:p>
    <w:p w:rsidR="007A48C1" w:rsidRDefault="007A48C1" w:rsidP="00C5515E">
      <w:pPr>
        <w:pStyle w:val="NormalWeb"/>
      </w:pPr>
      <w:r>
        <w:t xml:space="preserve">Kim, W.-S., Lee, W.-S., &amp; Kim, Y.-J. (2020). A review of the applications of the Internet of Things (IoT) for agricultural automation. </w:t>
      </w:r>
      <w:r>
        <w:rPr>
          <w:rStyle w:val="Emphasis"/>
        </w:rPr>
        <w:t>Journal of Biosystems Engineering, 45</w:t>
      </w:r>
      <w:r>
        <w:t xml:space="preserve">, 385–400. </w:t>
      </w:r>
      <w:hyperlink r:id="rId20" w:history="1">
        <w:r w:rsidRPr="00C45C2B">
          <w:rPr>
            <w:rStyle w:val="Hyperlink"/>
          </w:rPr>
          <w:t>https://doi.org/10.1007/s42853-020-00078-3</w:t>
        </w:r>
      </w:hyperlink>
      <w:r>
        <w:t xml:space="preserve"> </w:t>
      </w:r>
    </w:p>
    <w:p w:rsidR="007A48C1" w:rsidRDefault="007A48C1" w:rsidP="007A48C1">
      <w:pPr>
        <w:pStyle w:val="NormalWeb"/>
      </w:pPr>
      <w:r>
        <w:t xml:space="preserve">Kumar, S. V., Singh, C. D., &amp; </w:t>
      </w:r>
      <w:proofErr w:type="spellStart"/>
      <w:r>
        <w:t>Upendar</w:t>
      </w:r>
      <w:proofErr w:type="spellEnd"/>
      <w:r>
        <w:t xml:space="preserve">, K. (2020). Review on IoT based precision irrigation system in agriculture. </w:t>
      </w:r>
      <w:r>
        <w:rPr>
          <w:rStyle w:val="Emphasis"/>
        </w:rPr>
        <w:t>Current Journal of Applied Science and Technology, 39</w:t>
      </w:r>
      <w:r>
        <w:t xml:space="preserve">(45), 15–26. </w:t>
      </w:r>
      <w:hyperlink r:id="rId21" w:history="1">
        <w:r w:rsidRPr="00C45C2B">
          <w:rPr>
            <w:rStyle w:val="Hyperlink"/>
          </w:rPr>
          <w:t>https://doi.org/10.9734/cjast/2020/v39i4531156</w:t>
        </w:r>
      </w:hyperlink>
      <w:r>
        <w:t xml:space="preserve"> </w:t>
      </w:r>
    </w:p>
    <w:p w:rsidR="007A48C1" w:rsidRDefault="007A48C1" w:rsidP="00C5515E">
      <w:pPr>
        <w:pStyle w:val="NormalWeb"/>
      </w:pPr>
      <w:r>
        <w:t xml:space="preserve">Li, M., Wang, Y., Guo, H., Ding, F., &amp; Yan, H. (2023). Evaluation of variable rate irrigation management in forage crops: Saving water and increasing water productivity. </w:t>
      </w:r>
      <w:r>
        <w:rPr>
          <w:rStyle w:val="Emphasis"/>
        </w:rPr>
        <w:t>Agricultural Water Management, 275</w:t>
      </w:r>
      <w:r>
        <w:t xml:space="preserve">, 108020. </w:t>
      </w:r>
      <w:hyperlink r:id="rId22" w:history="1">
        <w:r w:rsidRPr="00C45C2B">
          <w:rPr>
            <w:rStyle w:val="Hyperlink"/>
          </w:rPr>
          <w:t>https://doi.org/10.1016/j.agwat.2022.108020</w:t>
        </w:r>
      </w:hyperlink>
      <w:r>
        <w:t xml:space="preserve"> </w:t>
      </w:r>
    </w:p>
    <w:p w:rsidR="007A48C1" w:rsidRDefault="007A48C1" w:rsidP="00C5515E">
      <w:pPr>
        <w:pStyle w:val="NormalWeb"/>
      </w:pPr>
      <w:proofErr w:type="spellStart"/>
      <w:r>
        <w:t>Liakos</w:t>
      </w:r>
      <w:proofErr w:type="spellEnd"/>
      <w:r>
        <w:t xml:space="preserve">, K. G., </w:t>
      </w:r>
      <w:proofErr w:type="spellStart"/>
      <w:r>
        <w:t>Busato</w:t>
      </w:r>
      <w:proofErr w:type="spellEnd"/>
      <w:r>
        <w:t xml:space="preserve">, P., </w:t>
      </w:r>
      <w:proofErr w:type="spellStart"/>
      <w:r>
        <w:t>Moshou</w:t>
      </w:r>
      <w:proofErr w:type="spellEnd"/>
      <w:r>
        <w:t xml:space="preserve">, D., Pearson, S., &amp; </w:t>
      </w:r>
      <w:proofErr w:type="spellStart"/>
      <w:r>
        <w:t>Bochtis</w:t>
      </w:r>
      <w:proofErr w:type="spellEnd"/>
      <w:r>
        <w:t xml:space="preserve">, D. (2018). Machine learning in agriculture: A review. </w:t>
      </w:r>
      <w:r>
        <w:rPr>
          <w:rStyle w:val="Emphasis"/>
        </w:rPr>
        <w:t>Sensors, 18</w:t>
      </w:r>
      <w:r>
        <w:t xml:space="preserve">(8), 2674. </w:t>
      </w:r>
      <w:hyperlink r:id="rId23" w:tgtFrame="_new" w:history="1">
        <w:r>
          <w:rPr>
            <w:rStyle w:val="Hyperlink"/>
          </w:rPr>
          <w:t>https://doi.org/10.3390/s18082674</w:t>
        </w:r>
      </w:hyperlink>
    </w:p>
    <w:p w:rsidR="007A48C1" w:rsidRDefault="007A48C1" w:rsidP="00C5515E">
      <w:pPr>
        <w:pStyle w:val="NormalWeb"/>
      </w:pPr>
      <w:r>
        <w:lastRenderedPageBreak/>
        <w:t xml:space="preserve">Ma, D., Carpenter, N., Maki, H., Rehman, T. U., </w:t>
      </w:r>
      <w:proofErr w:type="spellStart"/>
      <w:r>
        <w:t>Tuinstra</w:t>
      </w:r>
      <w:proofErr w:type="spellEnd"/>
      <w:r>
        <w:t xml:space="preserve">, M. R., &amp; Jin, J. (2019). Greenhouse environment modeling and simulation for microclimate control. </w:t>
      </w:r>
      <w:r>
        <w:rPr>
          <w:rStyle w:val="Emphasis"/>
        </w:rPr>
        <w:t>Computers and Electronics in Agriculture, 162</w:t>
      </w:r>
      <w:r>
        <w:t xml:space="preserve">, 134–142. </w:t>
      </w:r>
      <w:hyperlink r:id="rId24" w:history="1">
        <w:r w:rsidRPr="00C45C2B">
          <w:rPr>
            <w:rStyle w:val="Hyperlink"/>
          </w:rPr>
          <w:t>https://doi.org/10.1016/j.compag.2019.04.013</w:t>
        </w:r>
      </w:hyperlink>
      <w:r>
        <w:t xml:space="preserve"> </w:t>
      </w:r>
    </w:p>
    <w:p w:rsidR="007A48C1" w:rsidRDefault="007A48C1" w:rsidP="00C5515E">
      <w:pPr>
        <w:pStyle w:val="NormalWeb"/>
      </w:pPr>
      <w:r>
        <w:t xml:space="preserve">Ojha, T., </w:t>
      </w:r>
      <w:proofErr w:type="spellStart"/>
      <w:r>
        <w:t>Misra</w:t>
      </w:r>
      <w:proofErr w:type="spellEnd"/>
      <w:r>
        <w:t xml:space="preserve">, S., &amp; </w:t>
      </w:r>
      <w:proofErr w:type="spellStart"/>
      <w:r>
        <w:t>Raghuwanshi</w:t>
      </w:r>
      <w:proofErr w:type="spellEnd"/>
      <w:r>
        <w:t xml:space="preserve">, N. S. (2015). Wireless sensor networks for agriculture: The state-of-the-art in practice and future challenges. </w:t>
      </w:r>
      <w:r>
        <w:rPr>
          <w:rStyle w:val="Emphasis"/>
        </w:rPr>
        <w:t>Computers and Electronics in Agriculture, 118</w:t>
      </w:r>
      <w:r>
        <w:t xml:space="preserve">, 66–84. </w:t>
      </w:r>
      <w:hyperlink r:id="rId25" w:history="1">
        <w:r w:rsidRPr="00C45C2B">
          <w:rPr>
            <w:rStyle w:val="Hyperlink"/>
          </w:rPr>
          <w:t>https://doi.org/10.1016/j.compag.2015.08.011</w:t>
        </w:r>
      </w:hyperlink>
      <w:r>
        <w:t xml:space="preserve"> </w:t>
      </w:r>
    </w:p>
    <w:p w:rsidR="007A48C1" w:rsidRDefault="007A48C1" w:rsidP="007A48C1">
      <w:pPr>
        <w:pStyle w:val="NormalWeb"/>
      </w:pPr>
      <w:proofErr w:type="spellStart"/>
      <w:r>
        <w:t>Panotra</w:t>
      </w:r>
      <w:proofErr w:type="spellEnd"/>
      <w:r>
        <w:t xml:space="preserve">, N., Chandana, V. M., Parmar, B., Ashoka, P., Pandey, S. K., Singh, A. P., </w:t>
      </w:r>
      <w:proofErr w:type="spellStart"/>
      <w:r>
        <w:t>Rathi</w:t>
      </w:r>
      <w:proofErr w:type="spellEnd"/>
      <w:r>
        <w:t xml:space="preserve">, S., &amp; Singh, B. (2024). Potential of the advanced precision irrigation techniques for enhanced protected cultivation systems in the developing nations. </w:t>
      </w:r>
      <w:r>
        <w:rPr>
          <w:rStyle w:val="Emphasis"/>
        </w:rPr>
        <w:t>International Journal of Environment and Climate Change, 14</w:t>
      </w:r>
      <w:r>
        <w:t xml:space="preserve">(12), 584–607. </w:t>
      </w:r>
      <w:hyperlink r:id="rId26" w:history="1">
        <w:r w:rsidRPr="00C45C2B">
          <w:rPr>
            <w:rStyle w:val="Hyperlink"/>
          </w:rPr>
          <w:t>https://doi.org/10.9734/ijecc/2024/v14i124647</w:t>
        </w:r>
      </w:hyperlink>
      <w:r>
        <w:t xml:space="preserve"> </w:t>
      </w:r>
    </w:p>
    <w:p w:rsidR="007A48C1" w:rsidRDefault="007A48C1" w:rsidP="00C5515E">
      <w:pPr>
        <w:pStyle w:val="NormalWeb"/>
      </w:pPr>
      <w:proofErr w:type="spellStart"/>
      <w:r>
        <w:t>Ragaveena</w:t>
      </w:r>
      <w:proofErr w:type="spellEnd"/>
      <w:r>
        <w:t xml:space="preserve">, S., Shirly Edward, A., &amp; </w:t>
      </w:r>
      <w:proofErr w:type="spellStart"/>
      <w:r>
        <w:t>Surendran</w:t>
      </w:r>
      <w:proofErr w:type="spellEnd"/>
      <w:r>
        <w:t xml:space="preserve">, U. (2021). Smart controlled environment agriculture methods: A holistic review. </w:t>
      </w:r>
      <w:r>
        <w:rPr>
          <w:rStyle w:val="Emphasis"/>
        </w:rPr>
        <w:t>Reviews in Environmental Science and Bio/Technology, 20</w:t>
      </w:r>
      <w:r>
        <w:t xml:space="preserve">, 887–913. </w:t>
      </w:r>
      <w:hyperlink r:id="rId27" w:history="1">
        <w:r w:rsidRPr="00C45C2B">
          <w:rPr>
            <w:rStyle w:val="Hyperlink"/>
          </w:rPr>
          <w:t>https://doi.org/10.1007/s11157-021-09591-z</w:t>
        </w:r>
      </w:hyperlink>
      <w:r>
        <w:t xml:space="preserve"> </w:t>
      </w:r>
    </w:p>
    <w:p w:rsidR="007A48C1" w:rsidRDefault="007A48C1" w:rsidP="00C5515E">
      <w:pPr>
        <w:pStyle w:val="NormalWeb"/>
      </w:pPr>
      <w:proofErr w:type="spellStart"/>
      <w:r>
        <w:t>Sena</w:t>
      </w:r>
      <w:proofErr w:type="spellEnd"/>
      <w:r>
        <w:t xml:space="preserve">, S., Kumari, S., Kumar, V., &amp; </w:t>
      </w:r>
      <w:proofErr w:type="spellStart"/>
      <w:r>
        <w:t>Husen</w:t>
      </w:r>
      <w:proofErr w:type="spellEnd"/>
      <w:r>
        <w:t xml:space="preserve">, A. (2024). Light emitting diode (LED) lights for the improvement of plant performance and production: A comprehensive review. </w:t>
      </w:r>
      <w:r>
        <w:rPr>
          <w:rStyle w:val="Emphasis"/>
        </w:rPr>
        <w:t>Current Research in Biotechnology, 7</w:t>
      </w:r>
      <w:r>
        <w:t xml:space="preserve">, 100184. </w:t>
      </w:r>
      <w:hyperlink r:id="rId28" w:tgtFrame="_new" w:history="1">
        <w:r>
          <w:rPr>
            <w:rStyle w:val="Hyperlink"/>
          </w:rPr>
          <w:t>https://doi.org/10.1016/j.crbiot.2024.100184</w:t>
        </w:r>
      </w:hyperlink>
    </w:p>
    <w:p w:rsidR="007A48C1" w:rsidRDefault="007A48C1" w:rsidP="00C5515E">
      <w:pPr>
        <w:pStyle w:val="NormalWeb"/>
      </w:pPr>
      <w:proofErr w:type="spellStart"/>
      <w:r>
        <w:t>Shamshiri</w:t>
      </w:r>
      <w:proofErr w:type="spellEnd"/>
      <w:r>
        <w:t xml:space="preserve">, R., Kalantari, F., Ting, K. C., Thorp, K. R., Hameed, I. A., </w:t>
      </w:r>
      <w:proofErr w:type="spellStart"/>
      <w:r>
        <w:t>Weltzien</w:t>
      </w:r>
      <w:proofErr w:type="spellEnd"/>
      <w:r>
        <w:t xml:space="preserve">, C., Ahmad, D., &amp; Shad, Z. M. (2018). Advances in greenhouse automation and controlled environment agriculture: A transition to plant factories and urban agriculture. </w:t>
      </w:r>
      <w:r>
        <w:rPr>
          <w:rStyle w:val="Emphasis"/>
        </w:rPr>
        <w:t>International Journal of Agricultural and Biological Engineering, 11</w:t>
      </w:r>
      <w:r>
        <w:t xml:space="preserve">(1), 1–22. </w:t>
      </w:r>
      <w:hyperlink r:id="rId29" w:tgtFrame="_new" w:history="1">
        <w:r>
          <w:rPr>
            <w:rStyle w:val="Hyperlink"/>
          </w:rPr>
          <w:t>https://doi.org/10.25165/j.ijabe.20181101.3210</w:t>
        </w:r>
      </w:hyperlink>
    </w:p>
    <w:p w:rsidR="007A48C1" w:rsidRDefault="007A48C1" w:rsidP="00C5515E">
      <w:pPr>
        <w:pStyle w:val="NormalWeb"/>
      </w:pPr>
      <w:r>
        <w:t xml:space="preserve">Shi, X., Han, W., Zhao, T., &amp; Tang, J. (2019). Decision support system for variable rate irrigation based on UAV multispectral remote sensing. </w:t>
      </w:r>
      <w:r>
        <w:rPr>
          <w:rStyle w:val="Emphasis"/>
        </w:rPr>
        <w:t>Sensors, 19</w:t>
      </w:r>
      <w:r>
        <w:t xml:space="preserve">(13), 2880. </w:t>
      </w:r>
      <w:hyperlink r:id="rId30" w:history="1">
        <w:r w:rsidRPr="00C45C2B">
          <w:rPr>
            <w:rStyle w:val="Hyperlink"/>
          </w:rPr>
          <w:t>https://doi.org/10.3390/s19132880</w:t>
        </w:r>
      </w:hyperlink>
      <w:r>
        <w:t xml:space="preserve"> </w:t>
      </w:r>
    </w:p>
    <w:p w:rsidR="007A48C1" w:rsidRDefault="007A48C1" w:rsidP="00C5515E">
      <w:pPr>
        <w:pStyle w:val="NormalWeb"/>
      </w:pPr>
      <w:proofErr w:type="spellStart"/>
      <w:r>
        <w:t>Vellidis</w:t>
      </w:r>
      <w:proofErr w:type="spellEnd"/>
      <w:r>
        <w:t xml:space="preserve">, G., Tucker, M., Perry, C., </w:t>
      </w:r>
      <w:proofErr w:type="spellStart"/>
      <w:r>
        <w:t>Kvien</w:t>
      </w:r>
      <w:proofErr w:type="spellEnd"/>
      <w:r>
        <w:t xml:space="preserve">, C., &amp; </w:t>
      </w:r>
      <w:proofErr w:type="spellStart"/>
      <w:r>
        <w:t>Bednarz</w:t>
      </w:r>
      <w:proofErr w:type="spellEnd"/>
      <w:r>
        <w:t xml:space="preserve">, C. (2008). A real-time wireless smart sensor array for scheduling irrigation. </w:t>
      </w:r>
      <w:r>
        <w:rPr>
          <w:rStyle w:val="Emphasis"/>
        </w:rPr>
        <w:t>Computers and Electronics in Agriculture, 61</w:t>
      </w:r>
      <w:r>
        <w:t xml:space="preserve">(1), 44–50. </w:t>
      </w:r>
      <w:hyperlink r:id="rId31" w:history="1">
        <w:r w:rsidRPr="00C45C2B">
          <w:rPr>
            <w:rStyle w:val="Hyperlink"/>
          </w:rPr>
          <w:t>https://doi.org/10.1016/j.compag.2007.05.009</w:t>
        </w:r>
      </w:hyperlink>
      <w:r>
        <w:t xml:space="preserve"> </w:t>
      </w:r>
    </w:p>
    <w:p w:rsidR="007A48C1" w:rsidRDefault="007A48C1" w:rsidP="00C5515E">
      <w:pPr>
        <w:pStyle w:val="NormalWeb"/>
      </w:pPr>
      <w:proofErr w:type="spellStart"/>
      <w:r>
        <w:t>Wolfert</w:t>
      </w:r>
      <w:proofErr w:type="spellEnd"/>
      <w:r>
        <w:t xml:space="preserve">, S., Ge, L., </w:t>
      </w:r>
      <w:proofErr w:type="spellStart"/>
      <w:r>
        <w:t>Verdouw</w:t>
      </w:r>
      <w:proofErr w:type="spellEnd"/>
      <w:r>
        <w:t xml:space="preserve">, C., &amp; </w:t>
      </w:r>
      <w:proofErr w:type="spellStart"/>
      <w:r>
        <w:t>Bogaardt</w:t>
      </w:r>
      <w:proofErr w:type="spellEnd"/>
      <w:r>
        <w:t xml:space="preserve">, M.-J. (2017). Big data in smart farming – A review. </w:t>
      </w:r>
      <w:r>
        <w:rPr>
          <w:rStyle w:val="Emphasis"/>
        </w:rPr>
        <w:t>Agricultural Systems, 153</w:t>
      </w:r>
      <w:r>
        <w:t xml:space="preserve">, 69–80. </w:t>
      </w:r>
      <w:hyperlink r:id="rId32" w:tgtFrame="_new" w:history="1">
        <w:r>
          <w:rPr>
            <w:rStyle w:val="Hyperlink"/>
          </w:rPr>
          <w:t>https://doi.org/10.1016/j.agsy.2017.01.023</w:t>
        </w:r>
      </w:hyperlink>
    </w:p>
    <w:p w:rsidR="007A48C1" w:rsidRDefault="007A48C1" w:rsidP="00C5515E">
      <w:pPr>
        <w:pStyle w:val="NormalWeb"/>
      </w:pPr>
      <w:r>
        <w:t xml:space="preserve">Zhang, C., &amp; Kovacs, J. M. (2012). The application of small unmanned aerial systems for precision agriculture: A review. </w:t>
      </w:r>
      <w:r>
        <w:rPr>
          <w:rStyle w:val="Emphasis"/>
        </w:rPr>
        <w:t>Precision Agriculture, 13</w:t>
      </w:r>
      <w:r>
        <w:t xml:space="preserve">(6), 693–712. </w:t>
      </w:r>
      <w:hyperlink r:id="rId33" w:history="1">
        <w:r w:rsidRPr="00C45C2B">
          <w:rPr>
            <w:rStyle w:val="Hyperlink"/>
          </w:rPr>
          <w:t>https://doi.org/10.1007/s11119-012-9274-5</w:t>
        </w:r>
      </w:hyperlink>
      <w:r>
        <w:t xml:space="preserve"> </w:t>
      </w:r>
    </w:p>
    <w:p w:rsidR="00417DFC" w:rsidRPr="00C5515E" w:rsidRDefault="00417DFC" w:rsidP="00C5515E"/>
    <w:sectPr w:rsidR="00417DFC" w:rsidRPr="00C5515E" w:rsidSect="00CB6EB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735" w:rsidRDefault="00046735" w:rsidP="00FB7E91">
      <w:pPr>
        <w:spacing w:after="0" w:line="240" w:lineRule="auto"/>
      </w:pPr>
      <w:r>
        <w:separator/>
      </w:r>
    </w:p>
  </w:endnote>
  <w:endnote w:type="continuationSeparator" w:id="0">
    <w:p w:rsidR="00046735" w:rsidRDefault="00046735" w:rsidP="00FB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E91" w:rsidRDefault="00FB7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E91" w:rsidRDefault="00FB7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E91" w:rsidRDefault="00FB7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735" w:rsidRDefault="00046735" w:rsidP="00FB7E91">
      <w:pPr>
        <w:spacing w:after="0" w:line="240" w:lineRule="auto"/>
      </w:pPr>
      <w:r>
        <w:separator/>
      </w:r>
    </w:p>
  </w:footnote>
  <w:footnote w:type="continuationSeparator" w:id="0">
    <w:p w:rsidR="00046735" w:rsidRDefault="00046735" w:rsidP="00FB7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E91" w:rsidRDefault="00FB7E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589205"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E91" w:rsidRDefault="00FB7E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589206"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E91" w:rsidRDefault="00FB7E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589204"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12"/>
  </w:num>
  <w:num w:numId="4">
    <w:abstractNumId w:val="4"/>
  </w:num>
  <w:num w:numId="5">
    <w:abstractNumId w:val="0"/>
  </w:num>
  <w:num w:numId="6">
    <w:abstractNumId w:val="18"/>
  </w:num>
  <w:num w:numId="7">
    <w:abstractNumId w:val="6"/>
  </w:num>
  <w:num w:numId="8">
    <w:abstractNumId w:val="5"/>
  </w:num>
  <w:num w:numId="9">
    <w:abstractNumId w:val="26"/>
  </w:num>
  <w:num w:numId="10">
    <w:abstractNumId w:val="8"/>
  </w:num>
  <w:num w:numId="11">
    <w:abstractNumId w:val="9"/>
  </w:num>
  <w:num w:numId="12">
    <w:abstractNumId w:val="22"/>
  </w:num>
  <w:num w:numId="13">
    <w:abstractNumId w:val="13"/>
  </w:num>
  <w:num w:numId="14">
    <w:abstractNumId w:val="3"/>
  </w:num>
  <w:num w:numId="15">
    <w:abstractNumId w:val="28"/>
  </w:num>
  <w:num w:numId="16">
    <w:abstractNumId w:val="16"/>
  </w:num>
  <w:num w:numId="17">
    <w:abstractNumId w:val="7"/>
  </w:num>
  <w:num w:numId="18">
    <w:abstractNumId w:val="19"/>
  </w:num>
  <w:num w:numId="19">
    <w:abstractNumId w:val="10"/>
  </w:num>
  <w:num w:numId="20">
    <w:abstractNumId w:val="11"/>
  </w:num>
  <w:num w:numId="21">
    <w:abstractNumId w:val="27"/>
  </w:num>
  <w:num w:numId="22">
    <w:abstractNumId w:val="17"/>
  </w:num>
  <w:num w:numId="23">
    <w:abstractNumId w:val="1"/>
  </w:num>
  <w:num w:numId="24">
    <w:abstractNumId w:val="23"/>
  </w:num>
  <w:num w:numId="25">
    <w:abstractNumId w:val="21"/>
  </w:num>
  <w:num w:numId="26">
    <w:abstractNumId w:val="14"/>
  </w:num>
  <w:num w:numId="27">
    <w:abstractNumId w:val="20"/>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10860"/>
    <w:rsid w:val="000336E1"/>
    <w:rsid w:val="000425DD"/>
    <w:rsid w:val="00046735"/>
    <w:rsid w:val="00053D7A"/>
    <w:rsid w:val="0005616C"/>
    <w:rsid w:val="0006037D"/>
    <w:rsid w:val="000607E4"/>
    <w:rsid w:val="000628E8"/>
    <w:rsid w:val="0006413B"/>
    <w:rsid w:val="000643E7"/>
    <w:rsid w:val="0006527C"/>
    <w:rsid w:val="000652AA"/>
    <w:rsid w:val="000656B9"/>
    <w:rsid w:val="000814C4"/>
    <w:rsid w:val="00083646"/>
    <w:rsid w:val="00086EDD"/>
    <w:rsid w:val="000A0EB4"/>
    <w:rsid w:val="000A2A54"/>
    <w:rsid w:val="000A633F"/>
    <w:rsid w:val="000A79B2"/>
    <w:rsid w:val="000B7204"/>
    <w:rsid w:val="000B75EF"/>
    <w:rsid w:val="000C0D71"/>
    <w:rsid w:val="000C411D"/>
    <w:rsid w:val="000C4F0E"/>
    <w:rsid w:val="000D461E"/>
    <w:rsid w:val="000D6AAA"/>
    <w:rsid w:val="000D7028"/>
    <w:rsid w:val="000D7DCE"/>
    <w:rsid w:val="000E33DE"/>
    <w:rsid w:val="000E67D1"/>
    <w:rsid w:val="000E709D"/>
    <w:rsid w:val="000F14D5"/>
    <w:rsid w:val="000F27AA"/>
    <w:rsid w:val="000F28EC"/>
    <w:rsid w:val="00106150"/>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26D27"/>
    <w:rsid w:val="00227919"/>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0C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55A7"/>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21EFD"/>
    <w:rsid w:val="00523936"/>
    <w:rsid w:val="0052448D"/>
    <w:rsid w:val="0052741B"/>
    <w:rsid w:val="0054487D"/>
    <w:rsid w:val="00554C7D"/>
    <w:rsid w:val="005577C6"/>
    <w:rsid w:val="0056389E"/>
    <w:rsid w:val="00564FB4"/>
    <w:rsid w:val="00565C3C"/>
    <w:rsid w:val="00571246"/>
    <w:rsid w:val="00586265"/>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65992"/>
    <w:rsid w:val="0067007E"/>
    <w:rsid w:val="00671CE7"/>
    <w:rsid w:val="00676549"/>
    <w:rsid w:val="0067685B"/>
    <w:rsid w:val="00682053"/>
    <w:rsid w:val="00683EC3"/>
    <w:rsid w:val="006864CA"/>
    <w:rsid w:val="006907D2"/>
    <w:rsid w:val="00692471"/>
    <w:rsid w:val="00693DFE"/>
    <w:rsid w:val="00695D59"/>
    <w:rsid w:val="00697683"/>
    <w:rsid w:val="00697CF9"/>
    <w:rsid w:val="006A2C8B"/>
    <w:rsid w:val="006A39B3"/>
    <w:rsid w:val="006A7ABC"/>
    <w:rsid w:val="006B0247"/>
    <w:rsid w:val="006B57D5"/>
    <w:rsid w:val="006B66BC"/>
    <w:rsid w:val="006C161B"/>
    <w:rsid w:val="006C7C9D"/>
    <w:rsid w:val="006D2558"/>
    <w:rsid w:val="006D3E12"/>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48C1"/>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E6513"/>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61C31"/>
    <w:rsid w:val="00A62C46"/>
    <w:rsid w:val="00A6369F"/>
    <w:rsid w:val="00A64590"/>
    <w:rsid w:val="00A66C70"/>
    <w:rsid w:val="00A7055A"/>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8003F"/>
    <w:rsid w:val="00B81562"/>
    <w:rsid w:val="00B84C19"/>
    <w:rsid w:val="00B91792"/>
    <w:rsid w:val="00B928B4"/>
    <w:rsid w:val="00BA248E"/>
    <w:rsid w:val="00BA3C57"/>
    <w:rsid w:val="00BB0BE1"/>
    <w:rsid w:val="00BB4C3B"/>
    <w:rsid w:val="00BB6828"/>
    <w:rsid w:val="00BB7829"/>
    <w:rsid w:val="00BC43AE"/>
    <w:rsid w:val="00BD22E5"/>
    <w:rsid w:val="00BD346C"/>
    <w:rsid w:val="00BE2004"/>
    <w:rsid w:val="00BF0896"/>
    <w:rsid w:val="00BF26BF"/>
    <w:rsid w:val="00BF31D8"/>
    <w:rsid w:val="00BF5B05"/>
    <w:rsid w:val="00C00621"/>
    <w:rsid w:val="00C033E1"/>
    <w:rsid w:val="00C04B81"/>
    <w:rsid w:val="00C07482"/>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515E"/>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3FD"/>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311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3CB7"/>
    <w:rsid w:val="00F754E8"/>
    <w:rsid w:val="00F76FC1"/>
    <w:rsid w:val="00F800B7"/>
    <w:rsid w:val="00F970BC"/>
    <w:rsid w:val="00F97B7F"/>
    <w:rsid w:val="00FA03AB"/>
    <w:rsid w:val="00FA1C67"/>
    <w:rsid w:val="00FA5698"/>
    <w:rsid w:val="00FA5C8B"/>
    <w:rsid w:val="00FA7321"/>
    <w:rsid w:val="00FB1450"/>
    <w:rsid w:val="00FB5CFC"/>
    <w:rsid w:val="00FB6475"/>
    <w:rsid w:val="00FB7E91"/>
    <w:rsid w:val="00FC1A30"/>
    <w:rsid w:val="00FC3FB3"/>
    <w:rsid w:val="00FD042D"/>
    <w:rsid w:val="00FD1C43"/>
    <w:rsid w:val="00FD24C5"/>
    <w:rsid w:val="00FD402F"/>
    <w:rsid w:val="00FE123A"/>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700B1BC-239A-44C9-BF49-088855B7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FB7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E91"/>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FB7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E91"/>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8724130">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3331944">
      <w:bodyDiv w:val="1"/>
      <w:marLeft w:val="0"/>
      <w:marRight w:val="0"/>
      <w:marTop w:val="0"/>
      <w:marBottom w:val="0"/>
      <w:divBdr>
        <w:top w:val="none" w:sz="0" w:space="0" w:color="auto"/>
        <w:left w:val="none" w:sz="0" w:space="0" w:color="auto"/>
        <w:bottom w:val="none" w:sz="0" w:space="0" w:color="auto"/>
        <w:right w:val="none" w:sz="0" w:space="0" w:color="auto"/>
      </w:divBdr>
      <w:divsChild>
        <w:div w:id="1192766237">
          <w:marLeft w:val="0"/>
          <w:marRight w:val="0"/>
          <w:marTop w:val="0"/>
          <w:marBottom w:val="0"/>
          <w:divBdr>
            <w:top w:val="none" w:sz="0" w:space="0" w:color="auto"/>
            <w:left w:val="none" w:sz="0" w:space="0" w:color="auto"/>
            <w:bottom w:val="none" w:sz="0" w:space="0" w:color="auto"/>
            <w:right w:val="none" w:sz="0" w:space="0" w:color="auto"/>
          </w:divBdr>
          <w:divsChild>
            <w:div w:id="131291070">
              <w:marLeft w:val="0"/>
              <w:marRight w:val="0"/>
              <w:marTop w:val="0"/>
              <w:marBottom w:val="0"/>
              <w:divBdr>
                <w:top w:val="none" w:sz="0" w:space="0" w:color="auto"/>
                <w:left w:val="none" w:sz="0" w:space="0" w:color="auto"/>
                <w:bottom w:val="none" w:sz="0" w:space="0" w:color="auto"/>
                <w:right w:val="none" w:sz="0" w:space="0" w:color="auto"/>
              </w:divBdr>
              <w:divsChild>
                <w:div w:id="2007125384">
                  <w:marLeft w:val="0"/>
                  <w:marRight w:val="0"/>
                  <w:marTop w:val="0"/>
                  <w:marBottom w:val="0"/>
                  <w:divBdr>
                    <w:top w:val="none" w:sz="0" w:space="0" w:color="auto"/>
                    <w:left w:val="none" w:sz="0" w:space="0" w:color="auto"/>
                    <w:bottom w:val="none" w:sz="0" w:space="0" w:color="auto"/>
                    <w:right w:val="none" w:sz="0" w:space="0" w:color="auto"/>
                  </w:divBdr>
                  <w:divsChild>
                    <w:div w:id="1938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39661776">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1238613">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199518696">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309735">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761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5792430">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51948">
      <w:bodyDiv w:val="1"/>
      <w:marLeft w:val="0"/>
      <w:marRight w:val="0"/>
      <w:marTop w:val="0"/>
      <w:marBottom w:val="0"/>
      <w:divBdr>
        <w:top w:val="none" w:sz="0" w:space="0" w:color="auto"/>
        <w:left w:val="none" w:sz="0" w:space="0" w:color="auto"/>
        <w:bottom w:val="none" w:sz="0" w:space="0" w:color="auto"/>
        <w:right w:val="none" w:sz="0" w:space="0" w:color="auto"/>
      </w:divBdr>
    </w:div>
    <w:div w:id="676469021">
      <w:bodyDiv w:val="1"/>
      <w:marLeft w:val="0"/>
      <w:marRight w:val="0"/>
      <w:marTop w:val="0"/>
      <w:marBottom w:val="0"/>
      <w:divBdr>
        <w:top w:val="none" w:sz="0" w:space="0" w:color="auto"/>
        <w:left w:val="none" w:sz="0" w:space="0" w:color="auto"/>
        <w:bottom w:val="none" w:sz="0" w:space="0" w:color="auto"/>
        <w:right w:val="none" w:sz="0" w:space="0" w:color="auto"/>
      </w:divBdr>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250974">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3888766">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2241443">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2069810">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1974838">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005422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4300154">
      <w:bodyDiv w:val="1"/>
      <w:marLeft w:val="0"/>
      <w:marRight w:val="0"/>
      <w:marTop w:val="0"/>
      <w:marBottom w:val="0"/>
      <w:divBdr>
        <w:top w:val="none" w:sz="0" w:space="0" w:color="auto"/>
        <w:left w:val="none" w:sz="0" w:space="0" w:color="auto"/>
        <w:bottom w:val="none" w:sz="0" w:space="0" w:color="auto"/>
        <w:right w:val="none" w:sz="0" w:space="0" w:color="auto"/>
      </w:divBdr>
      <w:divsChild>
        <w:div w:id="1642422085">
          <w:marLeft w:val="0"/>
          <w:marRight w:val="0"/>
          <w:marTop w:val="0"/>
          <w:marBottom w:val="0"/>
          <w:divBdr>
            <w:top w:val="none" w:sz="0" w:space="0" w:color="auto"/>
            <w:left w:val="none" w:sz="0" w:space="0" w:color="auto"/>
            <w:bottom w:val="none" w:sz="0" w:space="0" w:color="auto"/>
            <w:right w:val="none" w:sz="0" w:space="0" w:color="auto"/>
          </w:divBdr>
          <w:divsChild>
            <w:div w:id="940526396">
              <w:marLeft w:val="0"/>
              <w:marRight w:val="0"/>
              <w:marTop w:val="0"/>
              <w:marBottom w:val="0"/>
              <w:divBdr>
                <w:top w:val="none" w:sz="0" w:space="0" w:color="auto"/>
                <w:left w:val="none" w:sz="0" w:space="0" w:color="auto"/>
                <w:bottom w:val="none" w:sz="0" w:space="0" w:color="auto"/>
                <w:right w:val="none" w:sz="0" w:space="0" w:color="auto"/>
              </w:divBdr>
              <w:divsChild>
                <w:div w:id="1628047455">
                  <w:marLeft w:val="0"/>
                  <w:marRight w:val="0"/>
                  <w:marTop w:val="0"/>
                  <w:marBottom w:val="0"/>
                  <w:divBdr>
                    <w:top w:val="none" w:sz="0" w:space="0" w:color="auto"/>
                    <w:left w:val="none" w:sz="0" w:space="0" w:color="auto"/>
                    <w:bottom w:val="none" w:sz="0" w:space="0" w:color="auto"/>
                    <w:right w:val="none" w:sz="0" w:space="0" w:color="auto"/>
                  </w:divBdr>
                  <w:divsChild>
                    <w:div w:id="1570727862">
                      <w:marLeft w:val="0"/>
                      <w:marRight w:val="0"/>
                      <w:marTop w:val="0"/>
                      <w:marBottom w:val="0"/>
                      <w:divBdr>
                        <w:top w:val="none" w:sz="0" w:space="0" w:color="auto"/>
                        <w:left w:val="none" w:sz="0" w:space="0" w:color="auto"/>
                        <w:bottom w:val="none" w:sz="0" w:space="0" w:color="auto"/>
                        <w:right w:val="none" w:sz="0" w:space="0" w:color="auto"/>
                      </w:divBdr>
                      <w:divsChild>
                        <w:div w:id="569005505">
                          <w:marLeft w:val="0"/>
                          <w:marRight w:val="0"/>
                          <w:marTop w:val="0"/>
                          <w:marBottom w:val="0"/>
                          <w:divBdr>
                            <w:top w:val="none" w:sz="0" w:space="0" w:color="auto"/>
                            <w:left w:val="none" w:sz="0" w:space="0" w:color="auto"/>
                            <w:bottom w:val="none" w:sz="0" w:space="0" w:color="auto"/>
                            <w:right w:val="none" w:sz="0" w:space="0" w:color="auto"/>
                          </w:divBdr>
                          <w:divsChild>
                            <w:div w:id="1631354473">
                              <w:marLeft w:val="0"/>
                              <w:marRight w:val="0"/>
                              <w:marTop w:val="0"/>
                              <w:marBottom w:val="0"/>
                              <w:divBdr>
                                <w:top w:val="none" w:sz="0" w:space="0" w:color="auto"/>
                                <w:left w:val="none" w:sz="0" w:space="0" w:color="auto"/>
                                <w:bottom w:val="none" w:sz="0" w:space="0" w:color="auto"/>
                                <w:right w:val="none" w:sz="0" w:space="0" w:color="auto"/>
                              </w:divBdr>
                              <w:divsChild>
                                <w:div w:id="84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425007">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138708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4766889">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rs16111927" TargetMode="External"/><Relationship Id="rId18" Type="http://schemas.openxmlformats.org/officeDocument/2006/relationships/hyperlink" Target="https://doi.org/10.1093/jxb/erh213" TargetMode="External"/><Relationship Id="rId26" Type="http://schemas.openxmlformats.org/officeDocument/2006/relationships/hyperlink" Target="https://doi.org/10.9734/ijecc/2024/v14i124647" TargetMode="External"/><Relationship Id="rId39" Type="http://schemas.openxmlformats.org/officeDocument/2006/relationships/footer" Target="footer3.xml"/><Relationship Id="rId21" Type="http://schemas.openxmlformats.org/officeDocument/2006/relationships/hyperlink" Target="https://doi.org/10.9734/cjast/2020/v39i4531156"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s20226430" TargetMode="External"/><Relationship Id="rId20" Type="http://schemas.openxmlformats.org/officeDocument/2006/relationships/hyperlink" Target="https://doi.org/10.1007/s42853-020-00078-3" TargetMode="External"/><Relationship Id="rId29" Type="http://schemas.openxmlformats.org/officeDocument/2006/relationships/hyperlink" Target="https://doi.org/10.25165/j.ijabe.20181101.321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ot.2023.100830" TargetMode="External"/><Relationship Id="rId24" Type="http://schemas.openxmlformats.org/officeDocument/2006/relationships/hyperlink" Target="https://doi.org/10.1016/j.compag.2019.04.013" TargetMode="External"/><Relationship Id="rId32" Type="http://schemas.openxmlformats.org/officeDocument/2006/relationships/hyperlink" Target="https://doi.org/10.1016/j.agsy.2017.01.02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agwat.2025.110023" TargetMode="External"/><Relationship Id="rId23" Type="http://schemas.openxmlformats.org/officeDocument/2006/relationships/hyperlink" Target="https://doi.org/10.3390/s18082674" TargetMode="External"/><Relationship Id="rId28" Type="http://schemas.openxmlformats.org/officeDocument/2006/relationships/hyperlink" Target="https://doi.org/10.1016/j.crbiot.2024.100184" TargetMode="External"/><Relationship Id="rId36" Type="http://schemas.openxmlformats.org/officeDocument/2006/relationships/footer" Target="footer1.xml"/><Relationship Id="rId10" Type="http://schemas.openxmlformats.org/officeDocument/2006/relationships/hyperlink" Target="https://doi.org/10.1016/j.jclepro.2022.133753" TargetMode="External"/><Relationship Id="rId19" Type="http://schemas.openxmlformats.org/officeDocument/2006/relationships/hyperlink" Target="https://doi.org/10.1016/j.biosystemseng.2020.03.010" TargetMode="External"/><Relationship Id="rId31" Type="http://schemas.openxmlformats.org/officeDocument/2006/relationships/hyperlink" Target="https://doi.org/10.1016/j.compag.2007.05.009" TargetMode="External"/><Relationship Id="rId4" Type="http://schemas.openxmlformats.org/officeDocument/2006/relationships/settings" Target="settings.xml"/><Relationship Id="rId9" Type="http://schemas.openxmlformats.org/officeDocument/2006/relationships/hyperlink" Target="https://doi.org/10.1016/j.dte.2025.100038" TargetMode="External"/><Relationship Id="rId14" Type="http://schemas.openxmlformats.org/officeDocument/2006/relationships/hyperlink" Target="https://doi.org/10.1016/j.rser.2021.110786" TargetMode="External"/><Relationship Id="rId22" Type="http://schemas.openxmlformats.org/officeDocument/2006/relationships/hyperlink" Target="https://doi.org/10.1016/j.agwat.2022.108020" TargetMode="External"/><Relationship Id="rId27" Type="http://schemas.openxmlformats.org/officeDocument/2006/relationships/hyperlink" Target="https://doi.org/10.1007/s11157-021-09591-z" TargetMode="External"/><Relationship Id="rId30" Type="http://schemas.openxmlformats.org/officeDocument/2006/relationships/hyperlink" Target="https://doi.org/10.3390/s19132880" TargetMode="External"/><Relationship Id="rId35" Type="http://schemas.openxmlformats.org/officeDocument/2006/relationships/header" Target="header2.xml"/><Relationship Id="rId8" Type="http://schemas.openxmlformats.org/officeDocument/2006/relationships/hyperlink" Target="https://doi.org/10.1016/j.compag.2020.105441" TargetMode="External"/><Relationship Id="rId3" Type="http://schemas.openxmlformats.org/officeDocument/2006/relationships/styles" Target="styles.xml"/><Relationship Id="rId12" Type="http://schemas.openxmlformats.org/officeDocument/2006/relationships/hyperlink" Target="https://doi.org/10.1016/j.agwat.2021.107324" TargetMode="External"/><Relationship Id="rId17" Type="http://schemas.openxmlformats.org/officeDocument/2006/relationships/hyperlink" Target="https://doi.org/10.1016/j.rser.2019.109480" TargetMode="External"/><Relationship Id="rId25" Type="http://schemas.openxmlformats.org/officeDocument/2006/relationships/hyperlink" Target="https://doi.org/10.1016/j.compag.2015.08.011" TargetMode="External"/><Relationship Id="rId33" Type="http://schemas.openxmlformats.org/officeDocument/2006/relationships/hyperlink" Target="https://doi.org/10.1007/s11119-012-9274-5"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C4634-1A19-4A23-A8AF-EAFD3BEB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13391</TotalTime>
  <Pages>20</Pages>
  <Words>10463</Words>
  <Characters>59640</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160</cp:revision>
  <cp:lastPrinted>2025-12-13T07:14:00Z</cp:lastPrinted>
  <dcterms:created xsi:type="dcterms:W3CDTF">2025-09-24T12:44:00Z</dcterms:created>
  <dcterms:modified xsi:type="dcterms:W3CDTF">2026-03-04T09:36:00Z</dcterms:modified>
</cp:coreProperties>
</file>