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B8EBF" w14:textId="77777777" w:rsidR="00995447" w:rsidRDefault="000E4D7A">
      <w:pPr>
        <w:ind w:left="0"/>
        <w:jc w:val="both"/>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Pharmacoeconomic Cost-Effectiveness of Routine Follow-Up Intervals in Adult Sickle Cell Anemia: A Pilot Study</w:t>
      </w:r>
    </w:p>
    <w:p w14:paraId="59400615" w14:textId="77777777" w:rsidR="00995447" w:rsidRDefault="00995447">
      <w:pPr>
        <w:ind w:left="0"/>
        <w:jc w:val="both"/>
        <w:rPr>
          <w:rFonts w:ascii="Times New Roman" w:eastAsia="Times New Roman" w:hAnsi="Times New Roman" w:cs="Times New Roman"/>
          <w:b/>
          <w:bCs/>
          <w:sz w:val="32"/>
          <w:szCs w:val="32"/>
        </w:rPr>
      </w:pPr>
    </w:p>
    <w:p w14:paraId="5111C491" w14:textId="77777777" w:rsidR="00995447" w:rsidRDefault="00995447">
      <w:pPr>
        <w:ind w:left="0"/>
        <w:jc w:val="both"/>
        <w:rPr>
          <w:rFonts w:ascii="Times New Roman" w:eastAsia="Times New Roman" w:hAnsi="Times New Roman" w:cs="Times New Roman"/>
          <w:sz w:val="24"/>
          <w:szCs w:val="24"/>
        </w:rPr>
      </w:pPr>
    </w:p>
    <w:p w14:paraId="31AEC1FF" w14:textId="77777777" w:rsidR="00995447" w:rsidRDefault="00995447">
      <w:pPr>
        <w:ind w:left="0"/>
        <w:jc w:val="both"/>
        <w:rPr>
          <w:rFonts w:ascii="Times New Roman" w:eastAsia="Times New Roman" w:hAnsi="Times New Roman" w:cs="Times New Roman"/>
          <w:i/>
          <w:iCs/>
          <w:sz w:val="20"/>
          <w:szCs w:val="20"/>
        </w:rPr>
      </w:pPr>
    </w:p>
    <w:p w14:paraId="18552CE1" w14:textId="77777777" w:rsidR="00995447" w:rsidRDefault="000E4D7A">
      <w:pPr>
        <w:pStyle w:val="Heading1"/>
        <w:ind w:left="0"/>
        <w:jc w:val="left"/>
        <w:rPr>
          <w:rFonts w:ascii="Times New Roman" w:eastAsia="Times New Roman" w:hAnsi="Times New Roman" w:cs="Times New Roman"/>
          <w:b/>
          <w:bCs/>
          <w:color w:val="000000"/>
          <w:sz w:val="28"/>
          <w:szCs w:val="28"/>
        </w:rPr>
      </w:pPr>
      <w:bookmarkStart w:id="0" w:name="_xgi2ctfart6b" w:colFirst="0" w:colLast="0"/>
      <w:bookmarkEnd w:id="0"/>
      <w:r>
        <w:rPr>
          <w:rFonts w:ascii="Times New Roman" w:eastAsia="Times New Roman" w:hAnsi="Times New Roman" w:cs="Times New Roman"/>
          <w:b/>
          <w:bCs/>
          <w:color w:val="000000"/>
          <w:sz w:val="28"/>
          <w:szCs w:val="28"/>
        </w:rPr>
        <w:t>Abstract</w:t>
      </w:r>
    </w:p>
    <w:p w14:paraId="16A77408" w14:textId="77777777" w:rsidR="00995447" w:rsidRDefault="000E4D7A">
      <w:pPr>
        <w:ind w:left="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Background</w:t>
      </w:r>
      <w:r>
        <w:rPr>
          <w:rFonts w:ascii="Times New Roman" w:eastAsia="Times New Roman" w:hAnsi="Times New Roman" w:cs="Times New Roman"/>
          <w:sz w:val="24"/>
          <w:szCs w:val="24"/>
        </w:rPr>
        <w:t xml:space="preserve">: </w:t>
      </w:r>
    </w:p>
    <w:p w14:paraId="311B048A" w14:textId="77777777" w:rsidR="00995447" w:rsidRDefault="000E4D7A">
      <w:pPr>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Sickle cell disease (SCD) requires lifelong management and monitoring, yet in Cameroon, many adults seek care only during crisis, driving hospitalizations and healthcare costs. This study examined whethe</w:t>
      </w:r>
      <w:r>
        <w:rPr>
          <w:rFonts w:ascii="Times New Roman" w:eastAsia="Times New Roman" w:hAnsi="Times New Roman" w:cs="Times New Roman"/>
          <w:sz w:val="24"/>
          <w:szCs w:val="24"/>
        </w:rPr>
        <w:t>r adults with sickle cell anemia (SCA) attending ≥3 routine follow-ups annually (≤4 months apart) had lower cost per gain in hospital-free days (HFDs) and painful episodes averted compared to those with fewer or no visits.</w:t>
      </w:r>
    </w:p>
    <w:p w14:paraId="7489ED5C" w14:textId="77777777" w:rsidR="00995447" w:rsidRDefault="000E4D7A">
      <w:pPr>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6A63CA58" w14:textId="77777777" w:rsidR="00995447" w:rsidRDefault="000E4D7A">
      <w:pPr>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cost-effectiveness </w:t>
      </w:r>
      <w:r>
        <w:rPr>
          <w:rFonts w:ascii="Times New Roman" w:eastAsia="Times New Roman" w:hAnsi="Times New Roman" w:cs="Times New Roman"/>
          <w:sz w:val="24"/>
          <w:szCs w:val="24"/>
        </w:rPr>
        <w:t xml:space="preserve">analysis was conducted using retrospective data from 51 patients at Yaoundé Central Hospital. Patients were grouped by follow-up frequency (≥3, 1–2, or none per year). Outcomes included HFDs (primary) and mild-to-severe painful episodes (secondary) over 3 </w:t>
      </w:r>
      <w:r>
        <w:rPr>
          <w:rFonts w:ascii="Times New Roman" w:eastAsia="Times New Roman" w:hAnsi="Times New Roman" w:cs="Times New Roman"/>
          <w:sz w:val="24"/>
          <w:szCs w:val="24"/>
        </w:rPr>
        <w:t>months. Costs, mainly out-of-pocket, comprised consultations, hospital stays, laboratory/imaging tests, consumables, medications, and blood products. Genetic matching with covariate balancing propensity scores were applied to reduce selection bias. Mean co</w:t>
      </w:r>
      <w:r>
        <w:rPr>
          <w:rFonts w:ascii="Times New Roman" w:eastAsia="Times New Roman" w:hAnsi="Times New Roman" w:cs="Times New Roman"/>
          <w:sz w:val="24"/>
          <w:szCs w:val="24"/>
        </w:rPr>
        <w:t>sts and effectiveness were estimated through regression methods, with uncertainties assessed using bootstrap confidence intervals.</w:t>
      </w:r>
    </w:p>
    <w:p w14:paraId="11568FC7" w14:textId="77777777" w:rsidR="00995447" w:rsidRDefault="000E4D7A">
      <w:pPr>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40D677CB" w14:textId="77777777" w:rsidR="00995447" w:rsidRDefault="000E4D7A">
      <w:pPr>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 or more routine follow-ups per year were associated with lower costs and improved outcomes. Compared with no fo</w:t>
      </w:r>
      <w:r>
        <w:rPr>
          <w:rFonts w:ascii="Times New Roman" w:eastAsia="Times New Roman" w:hAnsi="Times New Roman" w:cs="Times New Roman"/>
          <w:sz w:val="24"/>
          <w:szCs w:val="24"/>
        </w:rPr>
        <w:t>llow-ups, the discounted incremental-cost effectiveness ratio (ICER) was –XAF 88,409.12 (95% CI, –XAF 115,552.60 to –XAF 26,256.74) per HFD, indicating dominance. Versus 1–2 follow-ups per year, the ICER was –XAF 198,231.49 (95% CI, –XAF 1,243,058.0 to XAF</w:t>
      </w:r>
      <w:r>
        <w:rPr>
          <w:rFonts w:ascii="Times New Roman" w:eastAsia="Times New Roman" w:hAnsi="Times New Roman" w:cs="Times New Roman"/>
          <w:sz w:val="24"/>
          <w:szCs w:val="24"/>
        </w:rPr>
        <w:t xml:space="preserve"> 970,953.80) per HFDs, also suggesting dominance, though bootstrap intervals revealed substantial uncertainty.</w:t>
      </w:r>
    </w:p>
    <w:p w14:paraId="7EBE90EA" w14:textId="77777777" w:rsidR="00995447" w:rsidRDefault="000E4D7A">
      <w:pPr>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6FCA6FF8" w14:textId="77777777" w:rsidR="00995447" w:rsidRDefault="000E4D7A">
      <w:pPr>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Routine follow-up (≥3 per year) for SCA complication monitoring was less costly and yielded more HFDs and fewer painful episodes than </w:t>
      </w:r>
      <w:r>
        <w:rPr>
          <w:rFonts w:ascii="Times New Roman" w:eastAsia="Times New Roman" w:hAnsi="Times New Roman" w:cs="Times New Roman"/>
          <w:sz w:val="24"/>
          <w:szCs w:val="24"/>
        </w:rPr>
        <w:t>no follow-up. Compared with 1–2 follow visits, costs were lower but gains in HFDs and reductions in painful episodes were not significant. Wide confidence intervals and the short 3-month window of HFDs and painful episodes limited certainty. Policies encou</w:t>
      </w:r>
      <w:r>
        <w:rPr>
          <w:rFonts w:ascii="Times New Roman" w:eastAsia="Times New Roman" w:hAnsi="Times New Roman" w:cs="Times New Roman"/>
          <w:sz w:val="24"/>
          <w:szCs w:val="24"/>
        </w:rPr>
        <w:t>raging ≥3 annual follow-ups may reduce the clinical, financial, and psychological burden of SCA on patients, families, and the health system.</w:t>
      </w:r>
    </w:p>
    <w:p w14:paraId="44366CD0" w14:textId="77777777" w:rsidR="00995447" w:rsidRDefault="00995447">
      <w:pPr>
        <w:ind w:left="0"/>
        <w:jc w:val="both"/>
        <w:rPr>
          <w:rFonts w:ascii="Times New Roman" w:eastAsia="Times New Roman" w:hAnsi="Times New Roman" w:cs="Times New Roman"/>
          <w:sz w:val="24"/>
          <w:szCs w:val="24"/>
        </w:rPr>
      </w:pPr>
    </w:p>
    <w:p w14:paraId="76F93ACE" w14:textId="77777777" w:rsidR="00995447" w:rsidRDefault="000E4D7A">
      <w:pPr>
        <w:ind w:left="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Routine follow-ups, cost-effectiveness analysis, sickle cell anemia, ICER, selection bias, Cameroon </w:t>
      </w:r>
    </w:p>
    <w:p w14:paraId="5251E978" w14:textId="77777777" w:rsidR="00995447" w:rsidRDefault="00995447">
      <w:pPr>
        <w:ind w:left="0"/>
        <w:jc w:val="both"/>
        <w:rPr>
          <w:rFonts w:ascii="Times New Roman" w:eastAsia="Times New Roman" w:hAnsi="Times New Roman" w:cs="Times New Roman"/>
          <w:sz w:val="24"/>
          <w:szCs w:val="24"/>
        </w:rPr>
      </w:pPr>
    </w:p>
    <w:p w14:paraId="72B2E194" w14:textId="77777777" w:rsidR="00995447" w:rsidRDefault="000E4D7A">
      <w:pPr>
        <w:pStyle w:val="Heading1"/>
        <w:ind w:left="0"/>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14:paraId="5384D324" w14:textId="694BA139"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Sickle cell disease (SCD) arises from a genetic mutation in the beta-globin gene, inherited as an autosomal recessive trait from both parents, resulting in either homozygous or compound </w:t>
      </w:r>
      <w:r>
        <w:rPr>
          <w:rFonts w:ascii="Times New Roman" w:eastAsia="Times New Roman" w:hAnsi="Times New Roman" w:cs="Times New Roman"/>
          <w:sz w:val="24"/>
          <w:szCs w:val="24"/>
        </w:rPr>
        <w:lastRenderedPageBreak/>
        <w:t>heterozygous forms of SCD</w:t>
      </w:r>
      <w:r w:rsidR="005B78CA">
        <w:rPr>
          <w:rFonts w:ascii="Times New Roman" w:eastAsia="Times New Roman" w:hAnsi="Times New Roman" w:cs="Times New Roman"/>
          <w:sz w:val="24"/>
          <w:szCs w:val="24"/>
        </w:rPr>
        <w:t xml:space="preserve"> </w:t>
      </w:r>
      <w:r w:rsidR="005B78CA">
        <w:rPr>
          <w:rFonts w:ascii="Times New Roman" w:eastAsia="Times New Roman" w:hAnsi="Times New Roman" w:cs="Times New Roman"/>
          <w:sz w:val="24"/>
          <w:szCs w:val="24"/>
        </w:rPr>
        <w:fldChar w:fldCharType="begin"/>
      </w:r>
      <w:r w:rsidR="005B78CA">
        <w:rPr>
          <w:rFonts w:ascii="Times New Roman" w:eastAsia="Times New Roman" w:hAnsi="Times New Roman" w:cs="Times New Roman"/>
          <w:sz w:val="24"/>
          <w:szCs w:val="24"/>
        </w:rPr>
        <w:instrText xml:space="preserve"> ADDIN ZOTERO_ITEM CSL_CITATION {"citationID":"XDM58vZF","properties":{"formattedCitation":"[1]","plainCitation":"[1]","noteIndex":0},"citationItems":[{"id":5,"uris":["http://zotero.org/users/13316261/items/FNMBPGYI"],"itemData":{"id":5,"type":"article-journal","abstract":"Sickle cell disease and its variants constitute the most common inherited blood disorders affecting millions of individuals worldwide. Significant information regarding the nature of the genetic mutations and modifier genes that result in increased or decreased severity of the disease are available. In recent years, detailed data regarding molecular genetics, pathophysiology, mechanisms for the development of symptoms and side effects of sickle cell disease have been published. The relationship of physiological changes, cellular interactions, coexisting coagulation disorders, effects of association with other genetic disorders and a number of intervening factors have been explored. New techniques for pre-conception, prenatal, in utero, and neonatal screening are available. Means for prediction of the severity of the disease, clinical course of the disorder, and prevention of some of its major complications have been developed. The effects of psychosocial and environmental factors have been explored. Various therapeutic strategies including bone marrow and stem cell transplantation are currently employed in the treatment of patients with sickle cell disease. Recent progress in understanding the molecular pathways controlling mammalian erythropoiesis and globin switching, as well as advances in genome engineering, particularly the gene-editing techniques, have opened a venue for genetic-based treatment of the disease. Currently, sickle cell disease is often associated with a high rate of complications and mortality. The development of new pharmacological agents, methods for gene therapy, and alterations and modification of the coexisting genetic factors and modifiers for treatment of the disease are encouraging.","container-title":"Hemato","DOI":"10.3390/hemato3020024","ISSN":"2673-6357","issue":"2","journalAbbreviation":"Hemato","language":"en","page":"341-366","source":"DOI.org (Crossref)","title":"Sickle Cell Disease, a Review","volume":"3","author":[{"family":"Tebbi","given":"Cameron K."}],"issued":{"date-parts":[["2022",5,30]]}}}],"schema":"https://github.com/citation-style-language/schema/raw/master/csl-citation.json"} </w:instrText>
      </w:r>
      <w:r w:rsidR="005B78CA">
        <w:rPr>
          <w:rFonts w:ascii="Times New Roman" w:eastAsia="Times New Roman" w:hAnsi="Times New Roman" w:cs="Times New Roman"/>
          <w:sz w:val="24"/>
          <w:szCs w:val="24"/>
        </w:rPr>
        <w:fldChar w:fldCharType="separate"/>
      </w:r>
      <w:r w:rsidR="005B78CA" w:rsidRPr="005B78CA">
        <w:rPr>
          <w:rFonts w:ascii="Times New Roman" w:hAnsi="Times New Roman" w:cs="Times New Roman"/>
          <w:sz w:val="24"/>
        </w:rPr>
        <w:t>[1]</w:t>
      </w:r>
      <w:r w:rsidR="005B78CA">
        <w:rPr>
          <w:rFonts w:ascii="Times New Roman" w:eastAsia="Times New Roman" w:hAnsi="Times New Roman" w:cs="Times New Roman"/>
          <w:sz w:val="24"/>
          <w:szCs w:val="24"/>
        </w:rPr>
        <w:fldChar w:fldCharType="end"/>
      </w:r>
      <w:r w:rsidR="005B78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Affected individuals produce abnormal hemoglobin (hemoglobin S), which polymerizes in the deoxygenated state, leading to rigid, sickle-shaped, unsta</w:t>
      </w:r>
      <w:r>
        <w:rPr>
          <w:rFonts w:ascii="Times New Roman" w:eastAsia="Times New Roman" w:hAnsi="Times New Roman" w:cs="Times New Roman"/>
          <w:sz w:val="24"/>
          <w:szCs w:val="24"/>
        </w:rPr>
        <w:t xml:space="preserve">ble red blood cells that undergo hemolysis easily. The condition is characterized by chronic anemia, </w:t>
      </w:r>
      <w:proofErr w:type="spellStart"/>
      <w:r>
        <w:rPr>
          <w:rFonts w:ascii="Times New Roman" w:eastAsia="Times New Roman" w:hAnsi="Times New Roman" w:cs="Times New Roman"/>
          <w:sz w:val="24"/>
          <w:szCs w:val="24"/>
        </w:rPr>
        <w:t>vaso</w:t>
      </w:r>
      <w:proofErr w:type="spellEnd"/>
      <w:r>
        <w:rPr>
          <w:rFonts w:ascii="Times New Roman" w:eastAsia="Times New Roman" w:hAnsi="Times New Roman" w:cs="Times New Roman"/>
          <w:sz w:val="24"/>
          <w:szCs w:val="24"/>
        </w:rPr>
        <w:t xml:space="preserve">-occlusive crises (VOC), acute and chronic systemic inflammation, and progressive organ </w:t>
      </w:r>
      <w:r w:rsidR="004B5003">
        <w:rPr>
          <w:rFonts w:ascii="Times New Roman" w:eastAsia="Times New Roman" w:hAnsi="Times New Roman" w:cs="Times New Roman"/>
          <w:sz w:val="24"/>
          <w:szCs w:val="24"/>
        </w:rPr>
        <w:t>damage</w:t>
      </w:r>
      <w:r w:rsidR="005B78CA">
        <w:rPr>
          <w:rFonts w:ascii="Times New Roman" w:eastAsia="Times New Roman" w:hAnsi="Times New Roman" w:cs="Times New Roman"/>
          <w:sz w:val="24"/>
          <w:szCs w:val="24"/>
        </w:rPr>
        <w:t xml:space="preserve"> </w:t>
      </w:r>
      <w:r w:rsidR="005B78CA">
        <w:rPr>
          <w:rFonts w:ascii="Times New Roman" w:eastAsia="Times New Roman" w:hAnsi="Times New Roman" w:cs="Times New Roman"/>
          <w:sz w:val="24"/>
          <w:szCs w:val="24"/>
        </w:rPr>
        <w:fldChar w:fldCharType="begin"/>
      </w:r>
      <w:r w:rsidR="005B78CA">
        <w:rPr>
          <w:rFonts w:ascii="Times New Roman" w:eastAsia="Times New Roman" w:hAnsi="Times New Roman" w:cs="Times New Roman"/>
          <w:sz w:val="24"/>
          <w:szCs w:val="24"/>
        </w:rPr>
        <w:instrText xml:space="preserve"> ADDIN ZOTERO_ITEM CSL_CITATION {"citationID":"hjgVmlQw","properties":{"formattedCitation":"[1,2]","plainCitation":"[1,2]","noteIndex":0},"citationItems":[{"id":5,"uris":["http://zotero.org/users/13316261/items/FNMBPGYI"],"itemData":{"id":5,"type":"article-journal","abstract":"Sickle cell disease and its variants constitute the most common inherited blood disorders affecting millions of individuals worldwide. Significant information regarding the nature of the genetic mutations and modifier genes that result in increased or decreased severity of the disease are available. In recent years, detailed data regarding molecular genetics, pathophysiology, mechanisms for the development of symptoms and side effects of sickle cell disease have been published. The relationship of physiological changes, cellular interactions, coexisting coagulation disorders, effects of association with other genetic disorders and a number of intervening factors have been explored. New techniques for pre-conception, prenatal, in utero, and neonatal screening are available. Means for prediction of the severity of the disease, clinical course of the disorder, and prevention of some of its major complications have been developed. The effects of psychosocial and environmental factors have been explored. Various therapeutic strategies including bone marrow and stem cell transplantation are currently employed in the treatment of patients with sickle cell disease. Recent progress in understanding the molecular pathways controlling mammalian erythropoiesis and globin switching, as well as advances in genome engineering, particularly the gene-editing techniques, have opened a venue for genetic-based treatment of the disease. Currently, sickle cell disease is often associated with a high rate of complications and mortality. The development of new pharmacological agents, methods for gene therapy, and alterations and modification of the coexisting genetic factors and modifiers for treatment of the disease are encouraging.","container-title":"Hemato","DOI":"10.3390/hemato3020024","ISSN":"2673-6357","issue":"2","journalAbbreviation":"Hemato","language":"en","page":"341-366","source":"DOI.org (Crossref)","title":"Sickle Cell Disease, a Review","volume":"3","author":[{"family":"Tebbi","given":"Cameron K."}],"issued":{"date-parts":[["2022",5,30]]}}},{"id":341,"uris":["http://zotero.org/users/13316261/items/T9QIHU3F"],"itemData":{"id":341,"type":"article-journal","container-title":"Frontiers in Immunology","DOI":"10.3389/fimmu.2020.00454","ISSN":"1664-3224","journalAbbreviation":"Front. Immunol.","page":"454","source":"DOI.org (Crossref)","title":"The Red Blood Cell—Inflammation Vicious Circle in Sickle Cell Disease","volume":"11","author":[{"family":"Nader","given":"Elie"},{"family":"Romana","given":"Marc"},{"family":"Connes","given":"Philippe"}],"issued":{"date-parts":[["2020",3,13]]}}}],"schema":"https://github.com/citation-style-language/schema/raw/master/csl-citation.json"} </w:instrText>
      </w:r>
      <w:r w:rsidR="005B78CA">
        <w:rPr>
          <w:rFonts w:ascii="Times New Roman" w:eastAsia="Times New Roman" w:hAnsi="Times New Roman" w:cs="Times New Roman"/>
          <w:sz w:val="24"/>
          <w:szCs w:val="24"/>
        </w:rPr>
        <w:fldChar w:fldCharType="separate"/>
      </w:r>
      <w:r w:rsidR="005B78CA" w:rsidRPr="005B78CA">
        <w:rPr>
          <w:rFonts w:ascii="Times New Roman" w:hAnsi="Times New Roman" w:cs="Times New Roman"/>
          <w:sz w:val="24"/>
        </w:rPr>
        <w:t>[1,2]</w:t>
      </w:r>
      <w:r w:rsidR="005B78C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homozygous form of the disease is known as sickle cell anemia (SCA).</w:t>
      </w:r>
      <w:r>
        <w:t xml:space="preserve"> </w:t>
      </w:r>
      <w:r>
        <w:rPr>
          <w:rFonts w:ascii="Times New Roman" w:eastAsia="Times New Roman" w:hAnsi="Times New Roman" w:cs="Times New Roman"/>
          <w:sz w:val="24"/>
          <w:szCs w:val="24"/>
        </w:rPr>
        <w:t>Pharmacoeconomic analyses indicate that drug follow-up an</w:t>
      </w:r>
      <w:r>
        <w:rPr>
          <w:rFonts w:ascii="Times New Roman" w:eastAsia="Times New Roman" w:hAnsi="Times New Roman" w:cs="Times New Roman"/>
          <w:sz w:val="24"/>
          <w:szCs w:val="24"/>
        </w:rPr>
        <w:t>d management especially for disease-modifying therapies and in some contexts, newer agents are highly cost-effective for</w:t>
      </w:r>
      <w:r w:rsidR="001D53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SCD patients. As these strategies increase outpatient pharmacy and monitoring costs, they lead to significant savings by lowering the </w:t>
      </w:r>
      <w:r>
        <w:rPr>
          <w:rFonts w:ascii="Times New Roman" w:eastAsia="Times New Roman" w:hAnsi="Times New Roman" w:cs="Times New Roman"/>
          <w:sz w:val="24"/>
          <w:szCs w:val="24"/>
        </w:rPr>
        <w:t>cost of inpatient hospitalizations and emergency department visits due to</w:t>
      </w:r>
      <w:r w:rsidR="008618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VOC.</w:t>
      </w:r>
    </w:p>
    <w:p w14:paraId="29A4E6F8" w14:textId="77777777" w:rsidR="00995447" w:rsidRDefault="00995447">
      <w:pPr>
        <w:spacing w:line="360" w:lineRule="auto"/>
        <w:ind w:left="0"/>
        <w:jc w:val="both"/>
        <w:rPr>
          <w:rFonts w:ascii="Times New Roman" w:eastAsia="Times New Roman" w:hAnsi="Times New Roman" w:cs="Times New Roman"/>
          <w:sz w:val="24"/>
          <w:szCs w:val="24"/>
        </w:rPr>
      </w:pPr>
    </w:p>
    <w:p w14:paraId="61E3657A" w14:textId="38AD7B0C" w:rsidR="00E45858"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prevalence of SCD is highest in Sub-Saharan Africa, the Middle East, India, and parts of the Mediterranean region, more than 7.7 million people were living with th</w:t>
      </w:r>
      <w:r>
        <w:rPr>
          <w:rFonts w:ascii="Times New Roman" w:eastAsia="Times New Roman" w:hAnsi="Times New Roman" w:cs="Times New Roman"/>
          <w:sz w:val="24"/>
          <w:szCs w:val="24"/>
        </w:rPr>
        <w:t>e condition worldwide in 2021</w:t>
      </w:r>
      <w:r w:rsidR="00245BF2">
        <w:rPr>
          <w:rFonts w:ascii="Times New Roman" w:eastAsia="Times New Roman" w:hAnsi="Times New Roman" w:cs="Times New Roman"/>
          <w:sz w:val="24"/>
          <w:szCs w:val="24"/>
        </w:rPr>
        <w:t xml:space="preserve"> </w:t>
      </w:r>
      <w:r w:rsidR="00245BF2">
        <w:rPr>
          <w:rFonts w:ascii="Times New Roman" w:eastAsia="Times New Roman" w:hAnsi="Times New Roman" w:cs="Times New Roman"/>
          <w:sz w:val="24"/>
          <w:szCs w:val="24"/>
        </w:rPr>
        <w:fldChar w:fldCharType="begin"/>
      </w:r>
      <w:r w:rsidR="00245BF2">
        <w:rPr>
          <w:rFonts w:ascii="Times New Roman" w:eastAsia="Times New Roman" w:hAnsi="Times New Roman" w:cs="Times New Roman"/>
          <w:sz w:val="24"/>
          <w:szCs w:val="24"/>
        </w:rPr>
        <w:instrText xml:space="preserve"> ADDIN ZOTERO_ITEM CSL_CITATION {"citationID":"PWlFsjg9","properties":{"formattedCitation":"[3]","plainCitation":"[3]","noteIndex":0},"citationItems":[{"id":10,"uris":["http://zotero.org/users/13316261/items/D565TLCN"],"itemData":{"id":10,"type":"article-journal","container-title":"The Lancet Haematology","DOI":"10.1016/S2352-3026(23)00118-7","ISSN":"23523026","issue":"8","journalAbbreviation":"The Lancet Haematology","language":"en","page":"e585-e599","source":"DOI.org (Crossref)","title":"Global, regional, and national prevalence and mortality burden of sickle cell disease, 2000–2021: a systematic analysis from the Global Burden of Disease Study 2021","title-short":"Global, regional, and national prevalence and mortality burden of sickle cell disease, 2000–2021","volume":"10","author":[{"family":"Thomson","given":"Azalea M"},{"family":"McHugh","given":"Theresa A"},{"family":"Oron","given":"Assaf P"},{"family":"Teply","given":"Corey"},{"family":"Lonberg","given":"Nikhil"},{"family":"Vilchis Tella","given":"Victor"},{"family":"Wilner","given":"Lauren B"},{"family":"Fuller","given":"Kia"},{"family":"Hagins","given":"Hailey"},{"family":"Aboagye","given":"Richard Gyan"},{"family":"Aboye","given":"Melka Biratu"},{"family":"Abu-Gharbieh","given":"Eman"},{"family":"Abu-Zaid","given":"Ahmed"},{"family":"Addo","given":"Isaac Yeboah"},{"family":"Ahinkorah","given":"Bright Opoku"},{"family":"Ahmad","given":"Aqeel"},{"family":"AlRyalat","given":"Saif Aldeen S"},{"family":"Amu","given":"Hubert"},{"family":"Aravkin","given":"Aleksandr Y"},{"family":"Arulappan","given":"Judie"},{"family":"Atout","given":"Maha Moh'd Wahbi"},{"family":"Badiye","given":"Ashish D"},{"family":"Bagherieh","given":"Sara"},{"family":"Banach","given":"Maciej"},{"family":"Banakar","given":"Morteza"},{"family":"Bardhan","given":"Mainak"},{"family":"Barrow","given":"Amadou"},{"family":"Bedane","given":"Deriba Abera"},{"family":"Bensenor","given":"Isabela M"},{"family":"Bhagavathula","given":"Akshaya Srikanth"},{"family":"Bhardwaj","given":"Pankaj"},{"family":"Bhardwaj","given":"Prarthna V"},{"family":"Bhat","given":"Ajay Nagesh"},{"family":"Bhutta","given":"Zulfiqar A"},{"family":"Bilalaga","given":"Mariah Malak"},{"family":"Bishai","given":"Jessica Devin"},{"family":"Bitaraf","given":"Saeid"},{"family":"Boloor","given":"Archith"},{"family":"Butt","given":"Muhammad Hammad"},{"family":"Chattu","given":"Vijay Kumar"},{"family":"Chu","given":"Dinh-Toi"},{"family":"Dadras","given":"Omid"},{"family":"Dai","given":"Xiaochen"},{"family":"Danaei","given":"Bardia"},{"family":"Dang","given":"Anh Kim"},{"family":"Demisse","given":"Fitsum Wolde"},{"family":"Dhimal","given":"Meghnath"},{"family":"Diaz","given":"Daniel"},{"family":"Djalalinia","given":"Shirin"},{"family":"Dongarwar","given":"Deepa"},{"family":"Elhadi","given":"Muhammed"},{"family":"Elmonem","given":"Mohamed A"},{"family":"Esezobor","given":"Christopher Imokhuede"},{"family":"Etaee","given":"Farshid"},{"family":"Eyawo","given":"Oghenowede"},{"family":"Fagbamigbe","given":"Adeniyi Francis"},{"family":"Fatehizadeh","given":"Ali"},{"family":"Force","given":"Lisa M"},{"family":"Gardner","given":"William M"},{"family":"Ghaffari","given":"Kazem"},{"family":"Gill","given":"Paramjit Singh"},{"family":"Golechha","given":"Mahaveer"},{"family":"Goleij","given":"Pouya"},{"family":"Gupta","given":"Vivek Kumar"},{"family":"Hasani","given":"Hamidreza"},{"family":"Hassan","given":"Treska S"},{"family":"Hassen","given":"Mohammed Bheser"},{"family":"Ibitoye","given":"Segun Emmanuel"},{"family":"Ikiroma","given":"Adalia I"},{"family":"Iwu","given":"Chidozie C D"},{"family":"James","given":"Peter Bai"},{"family":"Jayaram","given":"Shubha"},{"family":"Jebai","given":"Rime"},{"family":"Jha","given":"Ravi Prakash"},{"family":"Joseph","given":"Nitin"},{"family":"Kalantar","given":"Farnaz"},{"family":"Kandel","given":"Himal"},{"family":"Karaye","given":"Ibraheem M"},{"family":"Kassahun","given":"Woldeteklehaymanot Dagne"},{"family":"Khan","given":"Imteyaz A"},{"family":"Khanmohammadi","given":"Shaghayegh"},{"family":"Kisa","given":"Adnan"},{"family":"Kompani","given":"Farzad"},{"family":"Krishan","given":"Kewal"},{"family":"Landires","given":"Iván"},{"family":"Lim","given":"Stephen S"},{"family":"Mahajan","given":"Preetam Bhalchandra"},{"family":"Mahjoub","given":"Soleiman"},{"family":"Majeed","given":"Azeem"},{"family":"Marasini","given":"Bishnu P"},{"family":"Meresa","given":"Haftu Asmerom"},{"family":"Mestrovic","given":"Tomislav"},{"family":"Minhas","given":"Sonica"},{"family":"Misganaw","given":"Awoke"},{"family":"Mokdad","given":"Ali H"},{"family":"Monasta","given":"Lorenzo"},{"family":"Mustafa","given":"Ghulam"},{"family":"Nair","given":"Tapas Sadasivan"},{"family":"Narasimha Swamy","given":"Sreenivas"},{"family":"Nassereldine","given":"Hasan"},{"family":"Natto","given":"Zuhair S"},{"family":"Naveed","given":"Muhammad"},{"family":"Nayak","given":"Biswa Prakash"},{"family":"Noubiap","given":"Jean Jacques"},{"family":"Noyes","given":"Taylor"},{"family":"Nri-ezedi","given":"Chisom Adaobi"},{"family":"Nwatah","given":"Vincent Ebuka"},{"family":"Nzoputam","given":"Chimezie Igwegbe"},{"family":"Nzoputam","given":"Ogochukwu Janet"},{"family":"Okonji","given":"Osaretin Christabel"},{"family":"Onikan","given":"Adeyinka Omoniyi"},{"family":"Owolabi","given":"Mayowa O"},{"family":"Patel","given":"Jay"},{"family":"Pati","given":"Siddhartha"},{"family":"Pawar","given":"Shrikant"},{"family":"Petcu","given":"Ionela-Roxana"},{"family":"Piel","given":"Frédéric B"},{"family":"Qattea","given":"Ibrahim"},{"family":"Rahimi","given":"Mehran"},{"family":"Rahman","given":"Mosiur"},{"family":"Rawaf","given":"Salman"},{"family":"Redwan","given":"Elrashdy Moustafa Mohamed"},{"family":"Rezaei","given":"Nazila"},{"family":"Saddik","given":"Basema"},{"family":"Saeed","given":"Umar"},{"family":"Saheb Sharif-Askari","given":"Fatemeh"},{"family":"Samy","given":"Abdallah M"},{"family":"Schumacher","given":"Austin E"},{"family":"Shaker","given":"Elaheh"},{"family":"Shetty","given":"Adithi"},{"family":"Sibhat","given":"Migbar Mekonnen"},{"family":"Singh","given":"Jasvinder A"},{"family":"Suleman","given":"Muhammad"},{"family":"Sunuwar","given":"Dev Ram"},{"family":"Szeto","given":"Mindy D"},{"family":"Tamuzi","given":"Jacques Jl Lukenze"},{"family":"Tat","given":"Nathan Y"},{"family":"Taye","given":"Birhan Tsegaw"},{"family":"Temsah","given":"Mohamad-Hani"},{"family":"Umair","given":"Muhammad"},{"family":"Valadan Tahbaz","given":"Sahel"},{"family":"Wang","given":"Cong"},{"family":"Wickramasinghe","given":"Nuwan Darshana"},{"family":"Yigit","given":"Arzu"},{"family":"Yiğit","given":"Vahit"},{"family":"Yunusa","given":"Ismaeel"},{"family":"Zaman","given":"Burhan Abdullah"},{"family":"Zangiabadian","given":"Moein"},{"family":"Zheng","given":"Peng"},{"family":"Hay","given":"Simon I"},{"family":"Naghavi","given":"Mohsen"},{"family":"Murray","given":"Christopher J L"},{"family":"Kassebaum","given":"Nicholas J"}],"issued":{"date-parts":[["2023",8]]}}}],"schema":"https://github.com/citation-style-language/schema/raw/master/csl-citation.json"} </w:instrText>
      </w:r>
      <w:r w:rsidR="00245BF2">
        <w:rPr>
          <w:rFonts w:ascii="Times New Roman" w:eastAsia="Times New Roman" w:hAnsi="Times New Roman" w:cs="Times New Roman"/>
          <w:sz w:val="24"/>
          <w:szCs w:val="24"/>
        </w:rPr>
        <w:fldChar w:fldCharType="separate"/>
      </w:r>
      <w:r w:rsidR="00245BF2" w:rsidRPr="00245BF2">
        <w:rPr>
          <w:rFonts w:ascii="Times New Roman" w:hAnsi="Times New Roman" w:cs="Times New Roman"/>
          <w:sz w:val="24"/>
        </w:rPr>
        <w:t>[3]</w:t>
      </w:r>
      <w:r w:rsidR="00245BF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SCD</w:t>
      </w:r>
      <w:r>
        <w:rPr>
          <w:rFonts w:ascii="Times New Roman" w:eastAsia="Times New Roman" w:hAnsi="Times New Roman" w:cs="Times New Roman"/>
          <w:sz w:val="24"/>
          <w:szCs w:val="24"/>
        </w:rPr>
        <w:t xml:space="preserve"> imposes a high disability and mortality burden across all age groups, with children under five years experiencing the greatest impact driven by high mortality rates in Sub-Saharan Africa</w:t>
      </w:r>
      <w:r w:rsidR="00EE4864">
        <w:rPr>
          <w:rFonts w:ascii="Times New Roman" w:eastAsia="Times New Roman" w:hAnsi="Times New Roman" w:cs="Times New Roman"/>
          <w:sz w:val="24"/>
          <w:szCs w:val="24"/>
        </w:rPr>
        <w:t xml:space="preserve"> </w:t>
      </w:r>
      <w:r w:rsidR="00EE4864">
        <w:rPr>
          <w:rFonts w:ascii="Times New Roman" w:eastAsia="Times New Roman" w:hAnsi="Times New Roman" w:cs="Times New Roman"/>
          <w:sz w:val="24"/>
          <w:szCs w:val="24"/>
        </w:rPr>
        <w:fldChar w:fldCharType="begin"/>
      </w:r>
      <w:r w:rsidR="00EE4864">
        <w:rPr>
          <w:rFonts w:ascii="Times New Roman" w:eastAsia="Times New Roman" w:hAnsi="Times New Roman" w:cs="Times New Roman"/>
          <w:sz w:val="24"/>
          <w:szCs w:val="24"/>
        </w:rPr>
        <w:instrText xml:space="preserve"> ADDIN ZOTERO_ITEM CSL_CITATION {"citationID":"2sDRi1fZ","properties":{"formattedCitation":"[3]","plainCitation":"[3]","noteIndex":0},"citationItems":[{"id":10,"uris":["http://zotero.org/users/13316261/items/D565TLCN"],"itemData":{"id":10,"type":"article-journal","container-title":"The Lancet Haematology","DOI":"10.1016/S2352-3026(23)00118-7","ISSN":"23523026","issue":"8","journalAbbreviation":"The Lancet Haematology","language":"en","page":"e585-e599","source":"DOI.org (Crossref)","title":"Global, regional, and national prevalence and mortality burden of sickle cell disease, 2000–2021: a systematic analysis from the Global Burden of Disease Study 2021","title-short":"Global, regional, and national prevalence and mortality burden of sickle cell disease, 2000–2021","volume":"10","author":[{"family":"Thomson","given":"Azalea M"},{"family":"McHugh","given":"Theresa A"},{"family":"Oron","given":"Assaf P"},{"family":"Teply","given":"Corey"},{"family":"Lonberg","given":"Nikhil"},{"family":"Vilchis Tella","given":"Victor"},{"family":"Wilner","given":"Lauren B"},{"family":"Fuller","given":"Kia"},{"family":"Hagins","given":"Hailey"},{"family":"Aboagye","given":"Richard Gyan"},{"family":"Aboye","given":"Melka Biratu"},{"family":"Abu-Gharbieh","given":"Eman"},{"family":"Abu-Zaid","given":"Ahmed"},{"family":"Addo","given":"Isaac Yeboah"},{"family":"Ahinkorah","given":"Bright Opoku"},{"family":"Ahmad","given":"Aqeel"},{"family":"AlRyalat","given":"Saif Aldeen S"},{"family":"Amu","given":"Hubert"},{"family":"Aravkin","given":"Aleksandr Y"},{"family":"Arulappan","given":"Judie"},{"family":"Atout","given":"Maha Moh'd Wahbi"},{"family":"Badiye","given":"Ashish D"},{"family":"Bagherieh","given":"Sara"},{"family":"Banach","given":"Maciej"},{"family":"Banakar","given":"Morteza"},{"family":"Bardhan","given":"Mainak"},{"family":"Barrow","given":"Amadou"},{"family":"Bedane","given":"Deriba Abera"},{"family":"Bensenor","given":"Isabela M"},{"family":"Bhagavathula","given":"Akshaya Srikanth"},{"family":"Bhardwaj","given":"Pankaj"},{"family":"Bhardwaj","given":"Prarthna V"},{"family":"Bhat","given":"Ajay Nagesh"},{"family":"Bhutta","given":"Zulfiqar A"},{"family":"Bilalaga","given":"Mariah Malak"},{"family":"Bishai","given":"Jessica Devin"},{"family":"Bitaraf","given":"Saeid"},{"family":"Boloor","given":"Archith"},{"family":"Butt","given":"Muhammad Hammad"},{"family":"Chattu","given":"Vijay Kumar"},{"family":"Chu","given":"Dinh-Toi"},{"family":"Dadras","given":"Omid"},{"family":"Dai","given":"Xiaochen"},{"family":"Danaei","given":"Bardia"},{"family":"Dang","given":"Anh Kim"},{"family":"Demisse","given":"Fitsum Wolde"},{"family":"Dhimal","given":"Meghnath"},{"family":"Diaz","given":"Daniel"},{"family":"Djalalinia","given":"Shirin"},{"family":"Dongarwar","given":"Deepa"},{"family":"Elhadi","given":"Muhammed"},{"family":"Elmonem","given":"Mohamed A"},{"family":"Esezobor","given":"Christopher Imokhuede"},{"family":"Etaee","given":"Farshid"},{"family":"Eyawo","given":"Oghenowede"},{"family":"Fagbamigbe","given":"Adeniyi Francis"},{"family":"Fatehizadeh","given":"Ali"},{"family":"Force","given":"Lisa M"},{"family":"Gardner","given":"William M"},{"family":"Ghaffari","given":"Kazem"},{"family":"Gill","given":"Paramjit Singh"},{"family":"Golechha","given":"Mahaveer"},{"family":"Goleij","given":"Pouya"},{"family":"Gupta","given":"Vivek Kumar"},{"family":"Hasani","given":"Hamidreza"},{"family":"Hassan","given":"Treska S"},{"family":"Hassen","given":"Mohammed Bheser"},{"family":"Ibitoye","given":"Segun Emmanuel"},{"family":"Ikiroma","given":"Adalia I"},{"family":"Iwu","given":"Chidozie C D"},{"family":"James","given":"Peter Bai"},{"family":"Jayaram","given":"Shubha"},{"family":"Jebai","given":"Rime"},{"family":"Jha","given":"Ravi Prakash"},{"family":"Joseph","given":"Nitin"},{"family":"Kalantar","given":"Farnaz"},{"family":"Kandel","given":"Himal"},{"family":"Karaye","given":"Ibraheem M"},{"family":"Kassahun","given":"Woldeteklehaymanot Dagne"},{"family":"Khan","given":"Imteyaz A"},{"family":"Khanmohammadi","given":"Shaghayegh"},{"family":"Kisa","given":"Adnan"},{"family":"Kompani","given":"Farzad"},{"family":"Krishan","given":"Kewal"},{"family":"Landires","given":"Iván"},{"family":"Lim","given":"Stephen S"},{"family":"Mahajan","given":"Preetam Bhalchandra"},{"family":"Mahjoub","given":"Soleiman"},{"family":"Majeed","given":"Azeem"},{"family":"Marasini","given":"Bishnu P"},{"family":"Meresa","given":"Haftu Asmerom"},{"family":"Mestrovic","given":"Tomislav"},{"family":"Minhas","given":"Sonica"},{"family":"Misganaw","given":"Awoke"},{"family":"Mokdad","given":"Ali H"},{"family":"Monasta","given":"Lorenzo"},{"family":"Mustafa","given":"Ghulam"},{"family":"Nair","given":"Tapas Sadasivan"},{"family":"Narasimha Swamy","given":"Sreenivas"},{"family":"Nassereldine","given":"Hasan"},{"family":"Natto","given":"Zuhair S"},{"family":"Naveed","given":"Muhammad"},{"family":"Nayak","given":"Biswa Prakash"},{"family":"Noubiap","given":"Jean Jacques"},{"family":"Noyes","given":"Taylor"},{"family":"Nri-ezedi","given":"Chisom Adaobi"},{"family":"Nwatah","given":"Vincent Ebuka"},{"family":"Nzoputam","given":"Chimezie Igwegbe"},{"family":"Nzoputam","given":"Ogochukwu Janet"},{"family":"Okonji","given":"Osaretin Christabel"},{"family":"Onikan","given":"Adeyinka Omoniyi"},{"family":"Owolabi","given":"Mayowa O"},{"family":"Patel","given":"Jay"},{"family":"Pati","given":"Siddhartha"},{"family":"Pawar","given":"Shrikant"},{"family":"Petcu","given":"Ionela-Roxana"},{"family":"Piel","given":"Frédéric B"},{"family":"Qattea","given":"Ibrahim"},{"family":"Rahimi","given":"Mehran"},{"family":"Rahman","given":"Mosiur"},{"family":"Rawaf","given":"Salman"},{"family":"Redwan","given":"Elrashdy Moustafa Mohamed"},{"family":"Rezaei","given":"Nazila"},{"family":"Saddik","given":"Basema"},{"family":"Saeed","given":"Umar"},{"family":"Saheb Sharif-Askari","given":"Fatemeh"},{"family":"Samy","given":"Abdallah M"},{"family":"Schumacher","given":"Austin E"},{"family":"Shaker","given":"Elaheh"},{"family":"Shetty","given":"Adithi"},{"family":"Sibhat","given":"Migbar Mekonnen"},{"family":"Singh","given":"Jasvinder A"},{"family":"Suleman","given":"Muhammad"},{"family":"Sunuwar","given":"Dev Ram"},{"family":"Szeto","given":"Mindy D"},{"family":"Tamuzi","given":"Jacques Jl Lukenze"},{"family":"Tat","given":"Nathan Y"},{"family":"Taye","given":"Birhan Tsegaw"},{"family":"Temsah","given":"Mohamad-Hani"},{"family":"Umair","given":"Muhammad"},{"family":"Valadan Tahbaz","given":"Sahel"},{"family":"Wang","given":"Cong"},{"family":"Wickramasinghe","given":"Nuwan Darshana"},{"family":"Yigit","given":"Arzu"},{"family":"Yiğit","given":"Vahit"},{"family":"Yunusa","given":"Ismaeel"},{"family":"Zaman","given":"Burhan Abdullah"},{"family":"Zangiabadian","given":"Moein"},{"family":"Zheng","given":"Peng"},{"family":"Hay","given":"Simon I"},{"family":"Naghavi","given":"Mohsen"},{"family":"Murray","given":"Christopher J L"},{"family":"Kassebaum","given":"Nicholas J"}],"issued":{"date-parts":[["2023",8]]}}}],"schema":"https://github.com/citation-style-language/schema/raw/master/csl-citation.json"} </w:instrText>
      </w:r>
      <w:r w:rsidR="00EE4864">
        <w:rPr>
          <w:rFonts w:ascii="Times New Roman" w:eastAsia="Times New Roman" w:hAnsi="Times New Roman" w:cs="Times New Roman"/>
          <w:sz w:val="24"/>
          <w:szCs w:val="24"/>
        </w:rPr>
        <w:fldChar w:fldCharType="separate"/>
      </w:r>
      <w:r w:rsidR="00EE4864" w:rsidRPr="00EE4864">
        <w:rPr>
          <w:rFonts w:ascii="Times New Roman" w:hAnsi="Times New Roman" w:cs="Times New Roman"/>
          <w:sz w:val="24"/>
        </w:rPr>
        <w:t>[3]</w:t>
      </w:r>
      <w:r w:rsidR="00EE486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cause specific mortality rate in Cameroon was estimated between 3 to 5 per 100,000 persons in 202</w:t>
      </w:r>
      <w:r>
        <w:rPr>
          <w:rFonts w:ascii="Times New Roman" w:eastAsia="Times New Roman" w:hAnsi="Times New Roman" w:cs="Times New Roman"/>
          <w:sz w:val="24"/>
          <w:szCs w:val="24"/>
        </w:rPr>
        <w:t>1, with prevalence ranging between 300 to 700 per 100,000 persons [3], predominantly due to SCA.</w:t>
      </w:r>
    </w:p>
    <w:p w14:paraId="2FF09662" w14:textId="77777777" w:rsidR="00E45858" w:rsidRDefault="00E45858">
      <w:pPr>
        <w:spacing w:line="360" w:lineRule="auto"/>
        <w:ind w:left="0"/>
        <w:jc w:val="both"/>
        <w:rPr>
          <w:rFonts w:ascii="Times New Roman" w:eastAsia="Times New Roman" w:hAnsi="Times New Roman" w:cs="Times New Roman"/>
          <w:sz w:val="24"/>
          <w:szCs w:val="24"/>
        </w:rPr>
      </w:pPr>
    </w:p>
    <w:p w14:paraId="6F3A5BDA" w14:textId="3B8207EC"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Pharmacoeconomic evaluations of drug follow-up in</w:t>
      </w:r>
      <w:r w:rsidR="00BC70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SCD</w:t>
      </w:r>
      <w:r w:rsidR="00BC70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focus on how medication adherence and specialized monitoring protocols reduce long-term costs by prevent</w:t>
      </w:r>
      <w:r>
        <w:rPr>
          <w:rFonts w:ascii="Times New Roman" w:eastAsia="Times New Roman" w:hAnsi="Times New Roman" w:cs="Times New Roman"/>
          <w:sz w:val="24"/>
          <w:szCs w:val="24"/>
        </w:rPr>
        <w:t xml:space="preserve">ing acute crises. Pharmacoeconomic comparisons by drug class is illustrated in </w:t>
      </w:r>
      <w:r w:rsidR="005002D2">
        <w:rPr>
          <w:rFonts w:ascii="Times New Roman" w:eastAsia="Times New Roman" w:hAnsi="Times New Roman" w:cs="Times New Roman"/>
          <w:sz w:val="24"/>
          <w:szCs w:val="24"/>
        </w:rPr>
        <w:t>T</w:t>
      </w:r>
      <w:r w:rsidRPr="00BC70ED">
        <w:rPr>
          <w:rFonts w:ascii="Times New Roman" w:eastAsia="Times New Roman" w:hAnsi="Times New Roman" w:cs="Times New Roman"/>
          <w:sz w:val="24"/>
          <w:szCs w:val="24"/>
        </w:rPr>
        <w:t>able</w:t>
      </w:r>
      <w:r w:rsidR="00BC70ED" w:rsidRPr="00BC70ED">
        <w:rPr>
          <w:rFonts w:ascii="Times New Roman" w:eastAsia="Times New Roman" w:hAnsi="Times New Roman" w:cs="Times New Roman"/>
          <w:sz w:val="24"/>
          <w:szCs w:val="24"/>
        </w:rPr>
        <w:t xml:space="preserve"> </w:t>
      </w:r>
      <w:r w:rsidRPr="00BC70ED">
        <w:rPr>
          <w:rFonts w:ascii="Times New Roman" w:eastAsia="Times New Roman" w:hAnsi="Times New Roman" w:cs="Times New Roman"/>
          <w:sz w:val="24"/>
          <w:szCs w:val="24"/>
        </w:rPr>
        <w:t>1.</w:t>
      </w:r>
    </w:p>
    <w:p w14:paraId="2CE2B408" w14:textId="4CA1A2FE" w:rsidR="00995447" w:rsidRPr="00BD0648" w:rsidRDefault="00995447">
      <w:pPr>
        <w:shd w:val="clear" w:color="auto" w:fill="FFFFFF"/>
        <w:ind w:left="0"/>
        <w:jc w:val="left"/>
        <w:rPr>
          <w:rFonts w:ascii="Times New Roman" w:eastAsia="Arial" w:hAnsi="Times New Roman" w:cs="Times New Roman"/>
          <w:color w:val="0A0A0A"/>
          <w:sz w:val="20"/>
          <w:szCs w:val="20"/>
        </w:rPr>
      </w:pPr>
    </w:p>
    <w:p w14:paraId="3EEE32E7" w14:textId="76DBE38A" w:rsidR="00815A89" w:rsidRPr="00815A89" w:rsidRDefault="00815A89" w:rsidP="00815A89">
      <w:pPr>
        <w:pStyle w:val="Caption"/>
        <w:keepNext/>
        <w:jc w:val="both"/>
        <w:rPr>
          <w:rFonts w:ascii="Times New Roman" w:hAnsi="Times New Roman" w:cs="Times New Roman"/>
          <w:i w:val="0"/>
          <w:iCs w:val="0"/>
          <w:color w:val="auto"/>
          <w:sz w:val="20"/>
          <w:szCs w:val="20"/>
        </w:rPr>
      </w:pPr>
      <w:r w:rsidRPr="00815A89">
        <w:rPr>
          <w:rFonts w:ascii="Times New Roman" w:hAnsi="Times New Roman" w:cs="Times New Roman"/>
          <w:i w:val="0"/>
          <w:iCs w:val="0"/>
          <w:color w:val="auto"/>
          <w:sz w:val="20"/>
          <w:szCs w:val="20"/>
        </w:rPr>
        <w:t xml:space="preserve">Table </w:t>
      </w:r>
      <w:r w:rsidRPr="00815A89">
        <w:rPr>
          <w:rFonts w:ascii="Times New Roman" w:hAnsi="Times New Roman" w:cs="Times New Roman"/>
          <w:i w:val="0"/>
          <w:iCs w:val="0"/>
          <w:color w:val="auto"/>
          <w:sz w:val="20"/>
          <w:szCs w:val="20"/>
        </w:rPr>
        <w:fldChar w:fldCharType="begin"/>
      </w:r>
      <w:r w:rsidRPr="00815A89">
        <w:rPr>
          <w:rFonts w:ascii="Times New Roman" w:hAnsi="Times New Roman" w:cs="Times New Roman"/>
          <w:i w:val="0"/>
          <w:iCs w:val="0"/>
          <w:color w:val="auto"/>
          <w:sz w:val="20"/>
          <w:szCs w:val="20"/>
        </w:rPr>
        <w:instrText xml:space="preserve"> SEQ Table \* ARABIC </w:instrText>
      </w:r>
      <w:r w:rsidRPr="00815A89">
        <w:rPr>
          <w:rFonts w:ascii="Times New Roman" w:hAnsi="Times New Roman" w:cs="Times New Roman"/>
          <w:i w:val="0"/>
          <w:iCs w:val="0"/>
          <w:color w:val="auto"/>
          <w:sz w:val="20"/>
          <w:szCs w:val="20"/>
        </w:rPr>
        <w:fldChar w:fldCharType="separate"/>
      </w:r>
      <w:r w:rsidRPr="00815A89">
        <w:rPr>
          <w:rFonts w:ascii="Times New Roman" w:hAnsi="Times New Roman" w:cs="Times New Roman"/>
          <w:i w:val="0"/>
          <w:iCs w:val="0"/>
          <w:noProof/>
          <w:color w:val="auto"/>
          <w:sz w:val="20"/>
          <w:szCs w:val="20"/>
        </w:rPr>
        <w:t>1</w:t>
      </w:r>
      <w:r w:rsidRPr="00815A89">
        <w:rPr>
          <w:rFonts w:ascii="Times New Roman" w:hAnsi="Times New Roman" w:cs="Times New Roman"/>
          <w:i w:val="0"/>
          <w:iCs w:val="0"/>
          <w:color w:val="auto"/>
          <w:sz w:val="20"/>
          <w:szCs w:val="20"/>
        </w:rPr>
        <w:fldChar w:fldCharType="end"/>
      </w:r>
      <w:r w:rsidRPr="00815A89">
        <w:rPr>
          <w:rFonts w:ascii="Times New Roman" w:hAnsi="Times New Roman" w:cs="Times New Roman"/>
          <w:i w:val="0"/>
          <w:iCs w:val="0"/>
          <w:color w:val="auto"/>
          <w:sz w:val="20"/>
          <w:szCs w:val="20"/>
        </w:rPr>
        <w:t>.</w:t>
      </w:r>
      <w:r>
        <w:rPr>
          <w:rFonts w:ascii="Times New Roman" w:hAnsi="Times New Roman" w:cs="Times New Roman"/>
          <w:i w:val="0"/>
          <w:iCs w:val="0"/>
          <w:color w:val="auto"/>
          <w:sz w:val="20"/>
          <w:szCs w:val="20"/>
        </w:rPr>
        <w:t xml:space="preserve"> </w:t>
      </w:r>
      <w:r w:rsidRPr="00815A89">
        <w:rPr>
          <w:rFonts w:ascii="Times New Roman" w:hAnsi="Times New Roman" w:cs="Times New Roman"/>
          <w:i w:val="0"/>
          <w:iCs w:val="0"/>
          <w:color w:val="auto"/>
          <w:sz w:val="20"/>
          <w:szCs w:val="20"/>
        </w:rPr>
        <w:t>Pharmacoeconomic comparisons by drug class</w:t>
      </w:r>
    </w:p>
    <w:tbl>
      <w:tblPr>
        <w:tblStyle w:val="a"/>
        <w:tblW w:w="0" w:type="auto"/>
        <w:tblInd w:w="0" w:type="dxa"/>
        <w:tblBorders>
          <w:top w:val="single" w:sz="8" w:space="0" w:color="auto"/>
          <w:bottom w:val="single" w:sz="8" w:space="0" w:color="auto"/>
          <w:insideH w:val="single" w:sz="4" w:space="0" w:color="DCDFE5"/>
        </w:tblBorders>
        <w:tblLook w:val="0400" w:firstRow="0" w:lastRow="0" w:firstColumn="0" w:lastColumn="0" w:noHBand="0" w:noVBand="1"/>
      </w:tblPr>
      <w:tblGrid>
        <w:gridCol w:w="1985"/>
        <w:gridCol w:w="2126"/>
        <w:gridCol w:w="4030"/>
        <w:gridCol w:w="885"/>
      </w:tblGrid>
      <w:tr w:rsidR="00B479BD" w:rsidRPr="00BD0648" w14:paraId="615EA403" w14:textId="44493FA8" w:rsidTr="00595398">
        <w:trPr>
          <w:trHeight w:val="20"/>
        </w:trPr>
        <w:tc>
          <w:tcPr>
            <w:tcW w:w="1985" w:type="dxa"/>
            <w:tcBorders>
              <w:top w:val="single" w:sz="8" w:space="0" w:color="auto"/>
              <w:bottom w:val="single" w:sz="8" w:space="0" w:color="auto"/>
            </w:tcBorders>
            <w:tcMar>
              <w:top w:w="120" w:type="dxa"/>
              <w:left w:w="0" w:type="dxa"/>
              <w:bottom w:w="120" w:type="dxa"/>
              <w:right w:w="240" w:type="dxa"/>
            </w:tcMar>
            <w:vAlign w:val="center"/>
          </w:tcPr>
          <w:p w14:paraId="102157DF" w14:textId="35A746D2" w:rsidR="00B479BD" w:rsidRPr="00BD0648" w:rsidRDefault="00B479BD" w:rsidP="00B479BD">
            <w:pPr>
              <w:ind w:left="0"/>
              <w:rPr>
                <w:rFonts w:ascii="Times New Roman" w:eastAsia="Arial" w:hAnsi="Times New Roman" w:cs="Times New Roman"/>
                <w:b/>
                <w:bCs/>
                <w:sz w:val="20"/>
                <w:szCs w:val="20"/>
              </w:rPr>
            </w:pPr>
            <w:r w:rsidRPr="00BD0648">
              <w:rPr>
                <w:rFonts w:ascii="Times New Roman" w:eastAsia="Arial" w:hAnsi="Times New Roman" w:cs="Times New Roman"/>
                <w:b/>
                <w:bCs/>
                <w:sz w:val="20"/>
                <w:szCs w:val="20"/>
              </w:rPr>
              <w:t>Drug Class</w:t>
            </w:r>
          </w:p>
        </w:tc>
        <w:tc>
          <w:tcPr>
            <w:tcW w:w="2126" w:type="dxa"/>
            <w:tcBorders>
              <w:top w:val="single" w:sz="8" w:space="0" w:color="auto"/>
              <w:bottom w:val="single" w:sz="8" w:space="0" w:color="auto"/>
            </w:tcBorders>
            <w:tcMar>
              <w:top w:w="120" w:type="dxa"/>
              <w:left w:w="0" w:type="dxa"/>
              <w:bottom w:w="120" w:type="dxa"/>
              <w:right w:w="240" w:type="dxa"/>
            </w:tcMar>
            <w:vAlign w:val="center"/>
          </w:tcPr>
          <w:p w14:paraId="6A34CBFE" w14:textId="77777777" w:rsidR="00B479BD" w:rsidRPr="00BD0648" w:rsidRDefault="00B479BD" w:rsidP="00B479BD">
            <w:pPr>
              <w:ind w:left="0"/>
              <w:rPr>
                <w:rFonts w:ascii="Times New Roman" w:eastAsia="Arial" w:hAnsi="Times New Roman" w:cs="Times New Roman"/>
                <w:b/>
                <w:bCs/>
                <w:sz w:val="20"/>
                <w:szCs w:val="20"/>
              </w:rPr>
            </w:pPr>
            <w:r w:rsidRPr="00BD0648">
              <w:rPr>
                <w:rFonts w:ascii="Times New Roman" w:eastAsia="Arial" w:hAnsi="Times New Roman" w:cs="Times New Roman"/>
                <w:b/>
                <w:bCs/>
                <w:sz w:val="20"/>
                <w:szCs w:val="20"/>
              </w:rPr>
              <w:t>Cost-Effectiveness Status</w:t>
            </w:r>
          </w:p>
        </w:tc>
        <w:tc>
          <w:tcPr>
            <w:tcW w:w="4030" w:type="dxa"/>
            <w:tcBorders>
              <w:top w:val="single" w:sz="8" w:space="0" w:color="auto"/>
              <w:bottom w:val="single" w:sz="8" w:space="0" w:color="auto"/>
            </w:tcBorders>
            <w:tcMar>
              <w:top w:w="120" w:type="dxa"/>
              <w:left w:w="0" w:type="dxa"/>
              <w:bottom w:w="120" w:type="dxa"/>
              <w:right w:w="0" w:type="dxa"/>
            </w:tcMar>
            <w:vAlign w:val="center"/>
          </w:tcPr>
          <w:p w14:paraId="0682C224" w14:textId="77777777" w:rsidR="00B479BD" w:rsidRPr="00BD0648" w:rsidRDefault="00B479BD" w:rsidP="00B479BD">
            <w:pPr>
              <w:ind w:left="0"/>
              <w:rPr>
                <w:rFonts w:ascii="Times New Roman" w:eastAsia="Arial" w:hAnsi="Times New Roman" w:cs="Times New Roman"/>
                <w:b/>
                <w:bCs/>
                <w:sz w:val="20"/>
                <w:szCs w:val="20"/>
              </w:rPr>
            </w:pPr>
            <w:r w:rsidRPr="00BD0648">
              <w:rPr>
                <w:rFonts w:ascii="Times New Roman" w:eastAsia="Arial" w:hAnsi="Times New Roman" w:cs="Times New Roman"/>
                <w:b/>
                <w:bCs/>
                <w:sz w:val="20"/>
                <w:szCs w:val="20"/>
              </w:rPr>
              <w:t>Primary Economic Driver</w:t>
            </w:r>
          </w:p>
        </w:tc>
        <w:tc>
          <w:tcPr>
            <w:tcW w:w="0" w:type="auto"/>
            <w:tcBorders>
              <w:top w:val="single" w:sz="8" w:space="0" w:color="auto"/>
              <w:bottom w:val="single" w:sz="8" w:space="0" w:color="auto"/>
            </w:tcBorders>
            <w:vAlign w:val="center"/>
          </w:tcPr>
          <w:p w14:paraId="491BDF61" w14:textId="5BF67AF3" w:rsidR="00B479BD" w:rsidRPr="00BD0648" w:rsidRDefault="00B479BD" w:rsidP="00B479BD">
            <w:pPr>
              <w:ind w:left="0"/>
              <w:rPr>
                <w:rFonts w:ascii="Times New Roman" w:eastAsia="Arial" w:hAnsi="Times New Roman" w:cs="Times New Roman"/>
                <w:b/>
                <w:bCs/>
                <w:sz w:val="20"/>
                <w:szCs w:val="20"/>
              </w:rPr>
            </w:pPr>
            <w:r>
              <w:rPr>
                <w:rFonts w:ascii="Times New Roman" w:eastAsia="Arial" w:hAnsi="Times New Roman" w:cs="Times New Roman"/>
                <w:b/>
                <w:bCs/>
                <w:sz w:val="20"/>
                <w:szCs w:val="20"/>
              </w:rPr>
              <w:t>Reference</w:t>
            </w:r>
          </w:p>
        </w:tc>
      </w:tr>
      <w:tr w:rsidR="00B479BD" w:rsidRPr="00BD0648" w14:paraId="1CA51B9B" w14:textId="4D5573CA" w:rsidTr="00595398">
        <w:trPr>
          <w:trHeight w:val="20"/>
        </w:trPr>
        <w:tc>
          <w:tcPr>
            <w:tcW w:w="1985" w:type="dxa"/>
            <w:tcBorders>
              <w:top w:val="single" w:sz="8" w:space="0" w:color="auto"/>
            </w:tcBorders>
            <w:tcMar>
              <w:top w:w="180" w:type="dxa"/>
              <w:left w:w="0" w:type="dxa"/>
              <w:bottom w:w="180" w:type="dxa"/>
              <w:right w:w="240" w:type="dxa"/>
            </w:tcMar>
            <w:vAlign w:val="center"/>
          </w:tcPr>
          <w:p w14:paraId="06C6E521" w14:textId="77777777" w:rsidR="00B479BD" w:rsidRPr="00BD0648" w:rsidRDefault="00B479BD" w:rsidP="00B479BD">
            <w:pPr>
              <w:ind w:left="0"/>
              <w:rPr>
                <w:rFonts w:ascii="Times New Roman" w:eastAsia="Arial" w:hAnsi="Times New Roman" w:cs="Times New Roman"/>
                <w:color w:val="0A0A0A"/>
                <w:sz w:val="20"/>
                <w:szCs w:val="20"/>
              </w:rPr>
            </w:pPr>
            <w:r w:rsidRPr="00BD0648">
              <w:rPr>
                <w:rFonts w:ascii="Times New Roman" w:eastAsia="Arial" w:hAnsi="Times New Roman" w:cs="Times New Roman"/>
                <w:b/>
                <w:bCs/>
                <w:color w:val="0A0A0A"/>
                <w:sz w:val="20"/>
                <w:szCs w:val="20"/>
              </w:rPr>
              <w:t>Hydroxyurea</w:t>
            </w:r>
          </w:p>
        </w:tc>
        <w:tc>
          <w:tcPr>
            <w:tcW w:w="2126" w:type="dxa"/>
            <w:tcBorders>
              <w:top w:val="single" w:sz="8" w:space="0" w:color="auto"/>
            </w:tcBorders>
            <w:tcMar>
              <w:top w:w="180" w:type="dxa"/>
              <w:left w:w="0" w:type="dxa"/>
              <w:bottom w:w="180" w:type="dxa"/>
              <w:right w:w="240" w:type="dxa"/>
            </w:tcMar>
            <w:vAlign w:val="center"/>
          </w:tcPr>
          <w:p w14:paraId="1750D4E5" w14:textId="77777777" w:rsidR="00B479BD" w:rsidRPr="009C3FAA" w:rsidRDefault="00B479BD" w:rsidP="00B479BD">
            <w:pPr>
              <w:ind w:left="0"/>
              <w:rPr>
                <w:rFonts w:ascii="Times New Roman" w:eastAsia="Arial" w:hAnsi="Times New Roman" w:cs="Times New Roman"/>
                <w:color w:val="0A0A0A"/>
                <w:sz w:val="20"/>
                <w:szCs w:val="20"/>
              </w:rPr>
            </w:pPr>
            <w:r w:rsidRPr="009C3FAA">
              <w:rPr>
                <w:rFonts w:ascii="Times New Roman" w:eastAsia="Arial" w:hAnsi="Times New Roman" w:cs="Times New Roman"/>
                <w:color w:val="0A0A0A"/>
                <w:sz w:val="20"/>
                <w:szCs w:val="20"/>
              </w:rPr>
              <w:t>Highly Cost-Effective / Dominant</w:t>
            </w:r>
          </w:p>
        </w:tc>
        <w:tc>
          <w:tcPr>
            <w:tcW w:w="4030" w:type="dxa"/>
            <w:tcBorders>
              <w:top w:val="single" w:sz="8" w:space="0" w:color="auto"/>
            </w:tcBorders>
            <w:tcMar>
              <w:top w:w="180" w:type="dxa"/>
              <w:left w:w="0" w:type="dxa"/>
              <w:bottom w:w="180" w:type="dxa"/>
              <w:right w:w="0" w:type="dxa"/>
            </w:tcMar>
            <w:vAlign w:val="center"/>
          </w:tcPr>
          <w:p w14:paraId="1304079F" w14:textId="77777777" w:rsidR="00B479BD" w:rsidRPr="00BD0648" w:rsidRDefault="00B479BD" w:rsidP="00B479BD">
            <w:pPr>
              <w:ind w:left="0"/>
              <w:rPr>
                <w:rFonts w:ascii="Times New Roman" w:eastAsia="Arial" w:hAnsi="Times New Roman" w:cs="Times New Roman"/>
                <w:color w:val="0A0A0A"/>
                <w:sz w:val="20"/>
                <w:szCs w:val="20"/>
              </w:rPr>
            </w:pPr>
            <w:r w:rsidRPr="00BD0648">
              <w:rPr>
                <w:rFonts w:ascii="Times New Roman" w:eastAsia="Arial" w:hAnsi="Times New Roman" w:cs="Times New Roman"/>
                <w:color w:val="0A0A0A"/>
                <w:sz w:val="20"/>
                <w:szCs w:val="20"/>
              </w:rPr>
              <w:t>Low drug cost; high reduction in hospitalizations and blood transfusions.</w:t>
            </w:r>
          </w:p>
        </w:tc>
        <w:tc>
          <w:tcPr>
            <w:tcW w:w="0" w:type="auto"/>
            <w:tcBorders>
              <w:top w:val="single" w:sz="8" w:space="0" w:color="auto"/>
            </w:tcBorders>
            <w:vAlign w:val="center"/>
          </w:tcPr>
          <w:p w14:paraId="6247E745" w14:textId="0B993D26" w:rsidR="00B479BD" w:rsidRPr="00BD0648" w:rsidRDefault="008E7F75" w:rsidP="00B479BD">
            <w:pPr>
              <w:ind w:left="0"/>
              <w:rPr>
                <w:rFonts w:ascii="Times New Roman" w:eastAsia="Arial" w:hAnsi="Times New Roman" w:cs="Times New Roman"/>
                <w:color w:val="0A0A0A"/>
                <w:sz w:val="20"/>
                <w:szCs w:val="20"/>
              </w:rPr>
            </w:pPr>
            <w:r>
              <w:rPr>
                <w:rFonts w:ascii="Times New Roman" w:eastAsia="Arial" w:hAnsi="Times New Roman" w:cs="Times New Roman"/>
                <w:color w:val="0A0A0A"/>
                <w:sz w:val="20"/>
                <w:szCs w:val="20"/>
              </w:rPr>
              <w:fldChar w:fldCharType="begin"/>
            </w:r>
            <w:r>
              <w:rPr>
                <w:rFonts w:ascii="Times New Roman" w:eastAsia="Arial" w:hAnsi="Times New Roman" w:cs="Times New Roman"/>
                <w:color w:val="0A0A0A"/>
                <w:sz w:val="20"/>
                <w:szCs w:val="20"/>
              </w:rPr>
              <w:instrText xml:space="preserve"> ADDIN ZOTERO_ITEM CSL_CITATION {"citationID":"gjnG5AhV","properties":{"formattedCitation":"[4,5]","plainCitation":"[4,5]","noteIndex":0},"citationItems":[{"id":4126,"uris":["http://zotero.org/users/13316261/items/KHMUYKPI"],"itemData":{"id":4126,"type":"article-journal","container-title":"Pediatrics","DOI":"10.1542/peds.2013-0333","issue":"4","page":"677-683","title":"HydroxyureaIsAssociatedWithLowerCostsofCareof Young Children With Sickle Cell Anemia","volume":"132","author":[{"family":"Wang","given":"Winfred C"},{"family":"Oyeku","given":"Suzette O"},{"family":"Luo","given":"Zhaoyu"},{"family":"Boulet","given":"Sheree L"},{"family":"Miller","given":"Scott T"},{"family":"Casella","given":"James F"},{"family":"Fish","given":"Billie"}],"issued":{"date-parts":[["2013"]]}}},{"id":3374,"uris":["http://zotero.org/users/13316261/items/HNAQDBHI"],"itemData":{"id":3374,"type":"article-journal","container-title":"PharmacoEconomics","DOI":"10.1007/s40273-023-01294-3","ISSN":"1170-7690, 1179-2027","issue":"12","journalAbbreviation":"PharmacoEconomics","language":"en","page":"1603-1615","source":"DOI.org (Crossref)","title":"Cost-Effectiveness of Hydroxyurea for Sickle Cell Anemia in a Low-Income African Setting: A Model-Based Evaluation of Two Dosing Regimens","title-short":"Cost-Effectiveness of Hydroxyurea for Sickle Cell Anemia in a Low-Income African Setting","volume":"41","author":[{"family":"Teigen","given":"David"},{"family":"Opoka","given":"Robert O."},{"family":"Kasirye","given":"Phillip"},{"family":"Nabaggala","given":"Catherine"},{"family":"Hume","given":"Heather A."},{"family":"Blomberg","given":"Bjørn"},{"family":"John","given":"Chandy C."},{"family":"Ware","given":"Russell E."},{"family":"Robberstad","given":"Bjarne"}],"issued":{"date-parts":[["2023",12]]}}}],"schema":"https://github.com/citation-style-language/schema/raw/master/csl-citation.json"} </w:instrText>
            </w:r>
            <w:r>
              <w:rPr>
                <w:rFonts w:ascii="Times New Roman" w:eastAsia="Arial" w:hAnsi="Times New Roman" w:cs="Times New Roman"/>
                <w:color w:val="0A0A0A"/>
                <w:sz w:val="20"/>
                <w:szCs w:val="20"/>
              </w:rPr>
              <w:fldChar w:fldCharType="separate"/>
            </w:r>
            <w:r w:rsidRPr="008E7F75">
              <w:rPr>
                <w:rFonts w:ascii="Times New Roman" w:hAnsi="Times New Roman" w:cs="Times New Roman"/>
                <w:sz w:val="20"/>
              </w:rPr>
              <w:t>[4,5]</w:t>
            </w:r>
            <w:r>
              <w:rPr>
                <w:rFonts w:ascii="Times New Roman" w:eastAsia="Arial" w:hAnsi="Times New Roman" w:cs="Times New Roman"/>
                <w:color w:val="0A0A0A"/>
                <w:sz w:val="20"/>
                <w:szCs w:val="20"/>
              </w:rPr>
              <w:fldChar w:fldCharType="end"/>
            </w:r>
          </w:p>
        </w:tc>
      </w:tr>
      <w:tr w:rsidR="00B479BD" w:rsidRPr="00BD0648" w14:paraId="4817E69F" w14:textId="7B802891" w:rsidTr="00595398">
        <w:trPr>
          <w:trHeight w:val="20"/>
        </w:trPr>
        <w:tc>
          <w:tcPr>
            <w:tcW w:w="1985" w:type="dxa"/>
            <w:tcMar>
              <w:top w:w="180" w:type="dxa"/>
              <w:left w:w="0" w:type="dxa"/>
              <w:bottom w:w="180" w:type="dxa"/>
              <w:right w:w="240" w:type="dxa"/>
            </w:tcMar>
            <w:vAlign w:val="center"/>
          </w:tcPr>
          <w:p w14:paraId="100547FC" w14:textId="77777777" w:rsidR="00B479BD" w:rsidRPr="00BD0648" w:rsidRDefault="00B479BD" w:rsidP="00B479BD">
            <w:pPr>
              <w:ind w:left="0"/>
              <w:rPr>
                <w:rFonts w:ascii="Times New Roman" w:eastAsia="Arial" w:hAnsi="Times New Roman" w:cs="Times New Roman"/>
                <w:color w:val="0A0A0A"/>
                <w:sz w:val="20"/>
                <w:szCs w:val="20"/>
              </w:rPr>
            </w:pPr>
            <w:r w:rsidRPr="00BD0648">
              <w:rPr>
                <w:rFonts w:ascii="Times New Roman" w:eastAsia="Arial" w:hAnsi="Times New Roman" w:cs="Times New Roman"/>
                <w:b/>
                <w:bCs/>
                <w:color w:val="0A0A0A"/>
                <w:sz w:val="20"/>
                <w:szCs w:val="20"/>
              </w:rPr>
              <w:t>Newer Biologics</w:t>
            </w:r>
          </w:p>
          <w:p w14:paraId="0520CFAC" w14:textId="228B7321" w:rsidR="00B479BD" w:rsidRPr="00BD0648" w:rsidRDefault="00B479BD" w:rsidP="00880BD0">
            <w:pPr>
              <w:ind w:left="0"/>
              <w:jc w:val="both"/>
              <w:rPr>
                <w:rFonts w:ascii="Times New Roman" w:eastAsia="Arial" w:hAnsi="Times New Roman" w:cs="Times New Roman"/>
                <w:color w:val="0A0A0A"/>
                <w:sz w:val="20"/>
                <w:szCs w:val="20"/>
              </w:rPr>
            </w:pPr>
            <w:r w:rsidRPr="00BD0648">
              <w:rPr>
                <w:rFonts w:ascii="Times New Roman" w:eastAsia="Arial" w:hAnsi="Times New Roman" w:cs="Times New Roman"/>
                <w:color w:val="0A0A0A"/>
                <w:sz w:val="20"/>
                <w:szCs w:val="20"/>
              </w:rPr>
              <w:t>(e.g.</w:t>
            </w:r>
            <w:r w:rsidR="00880BD0">
              <w:rPr>
                <w:rFonts w:ascii="Times New Roman" w:eastAsia="Arial" w:hAnsi="Times New Roman" w:cs="Times New Roman"/>
                <w:color w:val="0A0A0A"/>
                <w:sz w:val="20"/>
                <w:szCs w:val="20"/>
              </w:rPr>
              <w:t xml:space="preserve"> </w:t>
            </w:r>
            <w:r w:rsidRPr="00BD0648">
              <w:rPr>
                <w:rFonts w:ascii="Times New Roman" w:eastAsia="Arial" w:hAnsi="Times New Roman" w:cs="Times New Roman"/>
                <w:color w:val="0A0A0A"/>
                <w:sz w:val="20"/>
                <w:szCs w:val="20"/>
              </w:rPr>
              <w:t>Crizanlizumab)</w:t>
            </w:r>
          </w:p>
        </w:tc>
        <w:tc>
          <w:tcPr>
            <w:tcW w:w="2126" w:type="dxa"/>
            <w:tcMar>
              <w:top w:w="180" w:type="dxa"/>
              <w:left w:w="0" w:type="dxa"/>
              <w:bottom w:w="180" w:type="dxa"/>
              <w:right w:w="240" w:type="dxa"/>
            </w:tcMar>
            <w:vAlign w:val="center"/>
          </w:tcPr>
          <w:p w14:paraId="56CB9C1A" w14:textId="77777777" w:rsidR="00B479BD" w:rsidRPr="009C3FAA" w:rsidRDefault="00B479BD" w:rsidP="00B479BD">
            <w:pPr>
              <w:ind w:left="0"/>
              <w:rPr>
                <w:rFonts w:ascii="Times New Roman" w:eastAsia="Arial" w:hAnsi="Times New Roman" w:cs="Times New Roman"/>
                <w:color w:val="0A0A0A"/>
                <w:sz w:val="20"/>
                <w:szCs w:val="20"/>
              </w:rPr>
            </w:pPr>
            <w:r w:rsidRPr="009C3FAA">
              <w:rPr>
                <w:rFonts w:ascii="Times New Roman" w:eastAsia="Arial" w:hAnsi="Times New Roman" w:cs="Times New Roman"/>
                <w:color w:val="0A0A0A"/>
                <w:sz w:val="20"/>
                <w:szCs w:val="20"/>
              </w:rPr>
              <w:t>Variable</w:t>
            </w:r>
          </w:p>
        </w:tc>
        <w:tc>
          <w:tcPr>
            <w:tcW w:w="4030" w:type="dxa"/>
            <w:tcMar>
              <w:top w:w="180" w:type="dxa"/>
              <w:left w:w="0" w:type="dxa"/>
              <w:bottom w:w="180" w:type="dxa"/>
              <w:right w:w="0" w:type="dxa"/>
            </w:tcMar>
            <w:vAlign w:val="center"/>
          </w:tcPr>
          <w:p w14:paraId="5C306823" w14:textId="09894813" w:rsidR="00B479BD" w:rsidRPr="00BD0648" w:rsidRDefault="00B479BD" w:rsidP="00B479BD">
            <w:pPr>
              <w:ind w:left="0"/>
              <w:rPr>
                <w:rFonts w:ascii="Times New Roman" w:eastAsia="Arial" w:hAnsi="Times New Roman" w:cs="Times New Roman"/>
                <w:color w:val="0A0A0A"/>
                <w:sz w:val="20"/>
                <w:szCs w:val="20"/>
              </w:rPr>
            </w:pPr>
            <w:r w:rsidRPr="00BD0648">
              <w:rPr>
                <w:rFonts w:ascii="Times New Roman" w:eastAsia="Arial" w:hAnsi="Times New Roman" w:cs="Times New Roman"/>
                <w:color w:val="0A0A0A"/>
                <w:sz w:val="20"/>
                <w:szCs w:val="20"/>
              </w:rPr>
              <w:t>High acquisition costs: often not cost-effective unless hospitalization costs in that region are very high (e.g., USA).</w:t>
            </w:r>
          </w:p>
        </w:tc>
        <w:tc>
          <w:tcPr>
            <w:tcW w:w="0" w:type="auto"/>
            <w:vAlign w:val="center"/>
          </w:tcPr>
          <w:p w14:paraId="7EA12F18" w14:textId="663989F2" w:rsidR="00B479BD" w:rsidRPr="00BD0648" w:rsidRDefault="008E7F75" w:rsidP="00B479BD">
            <w:pPr>
              <w:ind w:left="0"/>
              <w:rPr>
                <w:rFonts w:ascii="Times New Roman" w:eastAsia="Arial" w:hAnsi="Times New Roman" w:cs="Times New Roman"/>
                <w:color w:val="0A0A0A"/>
                <w:sz w:val="20"/>
                <w:szCs w:val="20"/>
              </w:rPr>
            </w:pPr>
            <w:r>
              <w:rPr>
                <w:rFonts w:ascii="Times New Roman" w:eastAsia="Arial" w:hAnsi="Times New Roman" w:cs="Times New Roman"/>
                <w:color w:val="0A0A0A"/>
                <w:sz w:val="20"/>
                <w:szCs w:val="20"/>
              </w:rPr>
              <w:fldChar w:fldCharType="begin"/>
            </w:r>
            <w:r>
              <w:rPr>
                <w:rFonts w:ascii="Times New Roman" w:eastAsia="Arial" w:hAnsi="Times New Roman" w:cs="Times New Roman"/>
                <w:color w:val="0A0A0A"/>
                <w:sz w:val="20"/>
                <w:szCs w:val="20"/>
              </w:rPr>
              <w:instrText xml:space="preserve"> ADDIN ZOTERO_ITEM CSL_CITATION {"citationID":"rELRQoEU","properties":{"formattedCitation":"[6,7]","plainCitation":"[6,7]","noteIndex":0},"citationItems":[{"id":4128,"uris":["http://zotero.org/users/13316261/items/FFM7WNTE"],"itemData":{"id":4128,"type":"article-journal","container-title":"Iran Journal of Medical Sciences","DOI":"10.30476/ijms.2025.102567.3573","issue":"8","journalAbbreviation":"Iran J Med Sci","page":"548-555","title":"Cost-Effectiveness Analysis of Crizanlizumab in Sickle Cell Disease in Iran","volume":"50","author":[{"family":"Nosrati","given":"M"},{"family":"Izadidehkordi","given":"S"},{"family":"Nikfar","given":"S"},{"family":"Heydari","given":"FS"}],"issued":{"date-parts":[["2025"]]}}},{"id":2343,"uris":["http://zotero.org/users/13316261/items/QTYMMXPP"],"itemData":{"id":2343,"type":"article-journal","abstract":"Abstract\n            The cell adhesion molecule P‐selectin plays a key role in the pathogenesis of a vaso‐occlusive crisis (VOC) in patients with sickle cell disease (SCD). In the double‐blind, placebo‐controlled phase 2 SUSTAIN study, crizanlizumab (humanized, anti‐P‐selectin monoclonal antibody) 5 mg/kg significantly lowered the rate of VOC in patients with SCD by 45% vs placebo. In SUSTAIN, patients with SCD were randomized to crizanlizumab 2.5 mg/kg, crizanlizumab 5 mg/kg, or placebo intravenously 14 times over 52 weeks. The primary endpoint was the annual rate of VOC with crizanlizumab vs placebo. This post hoc descriptive analysis evaluated the proportion of patients who did not experience a VOC during the study in the following subgroups: VOCs in the year prior to study entry (2‐4/5‐10), SCD genotype (HbSS/non‐HbSS), and concomitant hydroxyurea use (yes/no). More patients were VOC event‐free in the crizanlizumab 5 mg/kg arm than in the placebo arm, including those with more frequent prior VOCs (ie, 5‐10; 28.0% vs 4.2%), the HbSS genotype (31.9% vs 17.0%) and/or using concomitant hydroxyurea (33.3% vs 17.5%). Further analyses of secondary endpoints demonstrated that crizanlizumab treatment significantly increased time‐to‐first VOC vs placebo in these subgroups. The rates of treatment‐emergent adverse events were similar between treatment arms across all subgroups. This post hoc analysis of SUSTAIN shows that in patients with a high number of prior VOCs, on concomitant hydroxyurea and/or with the HbSS genotype, crizanlizumab treatment increases the likelihood of patients being VOC event‐free and delays time‐to‐first VOC.","container-title":"American Journal of Hematology","DOI":"10.1002/ajh.25308","ISSN":"0361-8609, 1096-8652","issue":"1","journalAbbreviation":"American J Hematol","language":"en","page":"55-61","source":"DOI.org (Crossref)","title":"Effect of crizanlizumab on pain crises in subgroups of patients with sickle cell disease: A SUSTAIN study analysis","title-short":"Effect of crizanlizumab on pain crises in subgroups of patients with sickle cell disease","volume":"94","author":[{"family":"Kutlar","given":"Abdullah"},{"family":"Kanter","given":"Julie"},{"family":"Liles","given":"Darla K."},{"family":"Alvarez","given":"Ofelia A."},{"family":"Cançado","given":"Rodolfo D."},{"family":"Friedrisch","given":"João R."},{"family":"Knight‐Madden","given":"Jennifer M."},{"family":"Bruederle","given":"Andreas"},{"family":"Shi","given":"Michael"},{"family":"Zhu","given":"Zewen"},{"family":"Ataga","given":"Kenneth I."}],"issued":{"date-parts":[["2019",1]]}}}],"schema":"https://github.com/citation-style-language/schema/raw/master/csl-citation.json"} </w:instrText>
            </w:r>
            <w:r>
              <w:rPr>
                <w:rFonts w:ascii="Times New Roman" w:eastAsia="Arial" w:hAnsi="Times New Roman" w:cs="Times New Roman"/>
                <w:color w:val="0A0A0A"/>
                <w:sz w:val="20"/>
                <w:szCs w:val="20"/>
              </w:rPr>
              <w:fldChar w:fldCharType="separate"/>
            </w:r>
            <w:r w:rsidRPr="008E7F75">
              <w:rPr>
                <w:rFonts w:ascii="Times New Roman" w:hAnsi="Times New Roman" w:cs="Times New Roman"/>
                <w:sz w:val="20"/>
              </w:rPr>
              <w:t>[6,7]</w:t>
            </w:r>
            <w:r>
              <w:rPr>
                <w:rFonts w:ascii="Times New Roman" w:eastAsia="Arial" w:hAnsi="Times New Roman" w:cs="Times New Roman"/>
                <w:color w:val="0A0A0A"/>
                <w:sz w:val="20"/>
                <w:szCs w:val="20"/>
              </w:rPr>
              <w:fldChar w:fldCharType="end"/>
            </w:r>
          </w:p>
        </w:tc>
      </w:tr>
      <w:tr w:rsidR="00B479BD" w:rsidRPr="00BD0648" w14:paraId="58CFE984" w14:textId="0898A5A1" w:rsidTr="00595398">
        <w:trPr>
          <w:trHeight w:val="20"/>
        </w:trPr>
        <w:tc>
          <w:tcPr>
            <w:tcW w:w="1985" w:type="dxa"/>
            <w:tcMar>
              <w:top w:w="180" w:type="dxa"/>
              <w:left w:w="0" w:type="dxa"/>
              <w:bottom w:w="180" w:type="dxa"/>
              <w:right w:w="240" w:type="dxa"/>
            </w:tcMar>
            <w:vAlign w:val="center"/>
          </w:tcPr>
          <w:p w14:paraId="57F74EC8" w14:textId="77777777" w:rsidR="00B479BD" w:rsidRPr="00BD0648" w:rsidRDefault="00B479BD" w:rsidP="00B479BD">
            <w:pPr>
              <w:ind w:left="0"/>
              <w:rPr>
                <w:rFonts w:ascii="Times New Roman" w:eastAsia="Arial" w:hAnsi="Times New Roman" w:cs="Times New Roman"/>
                <w:color w:val="0A0A0A"/>
                <w:sz w:val="20"/>
                <w:szCs w:val="20"/>
              </w:rPr>
            </w:pPr>
            <w:r w:rsidRPr="00BD0648">
              <w:rPr>
                <w:rFonts w:ascii="Times New Roman" w:eastAsia="Arial" w:hAnsi="Times New Roman" w:cs="Times New Roman"/>
                <w:b/>
                <w:bCs/>
                <w:color w:val="0A0A0A"/>
                <w:sz w:val="20"/>
                <w:szCs w:val="20"/>
              </w:rPr>
              <w:t>Gene Therapies</w:t>
            </w:r>
          </w:p>
        </w:tc>
        <w:tc>
          <w:tcPr>
            <w:tcW w:w="2126" w:type="dxa"/>
            <w:tcMar>
              <w:top w:w="180" w:type="dxa"/>
              <w:left w:w="0" w:type="dxa"/>
              <w:bottom w:w="180" w:type="dxa"/>
              <w:right w:w="240" w:type="dxa"/>
            </w:tcMar>
            <w:vAlign w:val="center"/>
          </w:tcPr>
          <w:p w14:paraId="45963382" w14:textId="77777777" w:rsidR="00B479BD" w:rsidRPr="009C3FAA" w:rsidRDefault="00B479BD" w:rsidP="00B479BD">
            <w:pPr>
              <w:ind w:left="0"/>
              <w:rPr>
                <w:rFonts w:ascii="Times New Roman" w:eastAsia="Arial" w:hAnsi="Times New Roman" w:cs="Times New Roman"/>
                <w:color w:val="0A0A0A"/>
                <w:sz w:val="20"/>
                <w:szCs w:val="20"/>
              </w:rPr>
            </w:pPr>
            <w:r w:rsidRPr="009C3FAA">
              <w:rPr>
                <w:rFonts w:ascii="Times New Roman" w:eastAsia="Arial" w:hAnsi="Times New Roman" w:cs="Times New Roman"/>
                <w:color w:val="0A0A0A"/>
                <w:sz w:val="20"/>
                <w:szCs w:val="20"/>
              </w:rPr>
              <w:t>Potentially Cost-Effective</w:t>
            </w:r>
          </w:p>
        </w:tc>
        <w:tc>
          <w:tcPr>
            <w:tcW w:w="4030" w:type="dxa"/>
            <w:tcMar>
              <w:top w:w="180" w:type="dxa"/>
              <w:left w:w="0" w:type="dxa"/>
              <w:bottom w:w="180" w:type="dxa"/>
              <w:right w:w="0" w:type="dxa"/>
            </w:tcMar>
            <w:vAlign w:val="center"/>
          </w:tcPr>
          <w:p w14:paraId="2E42EECD" w14:textId="75CF0289" w:rsidR="00B479BD" w:rsidRPr="00BD0648" w:rsidRDefault="00B479BD" w:rsidP="00B479BD">
            <w:pPr>
              <w:ind w:left="0"/>
              <w:rPr>
                <w:rFonts w:ascii="Times New Roman" w:eastAsia="Arial" w:hAnsi="Times New Roman" w:cs="Times New Roman"/>
                <w:color w:val="0A0A0A"/>
                <w:sz w:val="20"/>
                <w:szCs w:val="20"/>
              </w:rPr>
            </w:pPr>
            <w:r w:rsidRPr="00BD0648">
              <w:rPr>
                <w:rFonts w:ascii="Times New Roman" w:eastAsia="Arial" w:hAnsi="Times New Roman" w:cs="Times New Roman"/>
                <w:color w:val="0A0A0A"/>
                <w:sz w:val="20"/>
                <w:szCs w:val="20"/>
              </w:rPr>
              <w:t>High upfront cost ($2.2</w:t>
            </w:r>
            <w:r w:rsidR="00CD78C7">
              <w:rPr>
                <w:rFonts w:ascii="Times New Roman" w:eastAsia="Arial" w:hAnsi="Times New Roman" w:cs="Times New Roman"/>
                <w:color w:val="0A0A0A"/>
                <w:sz w:val="20"/>
                <w:szCs w:val="20"/>
              </w:rPr>
              <w:t xml:space="preserve"> </w:t>
            </w:r>
            <w:r w:rsidRPr="00BD0648">
              <w:rPr>
                <w:rFonts w:ascii="Times New Roman" w:eastAsia="Arial" w:hAnsi="Times New Roman" w:cs="Times New Roman"/>
                <w:color w:val="0A0A0A"/>
                <w:sz w:val="20"/>
                <w:szCs w:val="20"/>
              </w:rPr>
              <w:t>M - $3.1</w:t>
            </w:r>
            <w:r w:rsidR="00CD78C7">
              <w:rPr>
                <w:rFonts w:ascii="Times New Roman" w:eastAsia="Arial" w:hAnsi="Times New Roman" w:cs="Times New Roman"/>
                <w:color w:val="0A0A0A"/>
                <w:sz w:val="20"/>
                <w:szCs w:val="20"/>
              </w:rPr>
              <w:t xml:space="preserve"> </w:t>
            </w:r>
            <w:r w:rsidRPr="00BD0648">
              <w:rPr>
                <w:rFonts w:ascii="Times New Roman" w:eastAsia="Arial" w:hAnsi="Times New Roman" w:cs="Times New Roman"/>
                <w:color w:val="0A0A0A"/>
                <w:sz w:val="20"/>
                <w:szCs w:val="20"/>
              </w:rPr>
              <w:t>M) but potentially saves ~$600</w:t>
            </w:r>
            <w:r w:rsidR="00697B10">
              <w:rPr>
                <w:rFonts w:ascii="Times New Roman" w:eastAsia="Arial" w:hAnsi="Times New Roman" w:cs="Times New Roman"/>
                <w:color w:val="0A0A0A"/>
                <w:sz w:val="20"/>
                <w:szCs w:val="20"/>
              </w:rPr>
              <w:t xml:space="preserve"> </w:t>
            </w:r>
            <w:r w:rsidRPr="00BD0648">
              <w:rPr>
                <w:rFonts w:ascii="Times New Roman" w:eastAsia="Arial" w:hAnsi="Times New Roman" w:cs="Times New Roman"/>
                <w:color w:val="0A0A0A"/>
                <w:sz w:val="20"/>
                <w:szCs w:val="20"/>
              </w:rPr>
              <w:t>k+ in lifetime complication costs.</w:t>
            </w:r>
          </w:p>
        </w:tc>
        <w:tc>
          <w:tcPr>
            <w:tcW w:w="0" w:type="auto"/>
            <w:vAlign w:val="center"/>
          </w:tcPr>
          <w:p w14:paraId="6316D958" w14:textId="1BB17CBA" w:rsidR="00B479BD" w:rsidRPr="00BD0648" w:rsidRDefault="008E7F75" w:rsidP="00B479BD">
            <w:pPr>
              <w:ind w:left="0"/>
              <w:rPr>
                <w:rFonts w:ascii="Times New Roman" w:eastAsia="Arial" w:hAnsi="Times New Roman" w:cs="Times New Roman"/>
                <w:color w:val="0A0A0A"/>
                <w:sz w:val="20"/>
                <w:szCs w:val="20"/>
              </w:rPr>
            </w:pPr>
            <w:r>
              <w:rPr>
                <w:rFonts w:ascii="Times New Roman" w:eastAsia="Arial" w:hAnsi="Times New Roman" w:cs="Times New Roman"/>
                <w:color w:val="0A0A0A"/>
                <w:sz w:val="20"/>
                <w:szCs w:val="20"/>
              </w:rPr>
              <w:fldChar w:fldCharType="begin"/>
            </w:r>
            <w:r w:rsidR="00697B10">
              <w:rPr>
                <w:rFonts w:ascii="Times New Roman" w:eastAsia="Arial" w:hAnsi="Times New Roman" w:cs="Times New Roman"/>
                <w:color w:val="0A0A0A"/>
                <w:sz w:val="20"/>
                <w:szCs w:val="20"/>
              </w:rPr>
              <w:instrText xml:space="preserve"> ADDIN ZOTERO_ITEM CSL_CITATION {"citationID":"mrrXfgld","properties":{"formattedCitation":"[8,9]","plainCitation":"[8,9]","noteIndex":0},"citationItems":[{"id":3372,"uris":["http://zotero.org/users/13316261/items/AUKEJ34L"],"itemData":{"id":3372,"type":"article-journal","abstract":"Abstract\n            Sickle cell disease (SCD) is a group of inherited genetic conditions associated with lifelong complications and increased healthcare resource utilization. Standard treatment for SCD in the US varies based on stage of the disease and observed clinical severity. In this study, we aim to evaluate the potential cost-effectiveness of a durable cell or gene therapy cure for sickle cell disease from the US healthcare sector perspective. We developed a lifetime Markov model to evaluate the cost-effectiveness of a hypothetical single-administration durable treatment (DT) for SCD provided at birth, relative to standard of care (SOC). We informed model inputs including direct healthcare costs, health state utility weights, transition probabilities, and mortality rates using a retrospective database analysis of commercially insured individuals and the medical literature. Our primary outcome of interest was the incremental cost-effectiveness ratio (ICER) of DT versus SOC evaluated at a base case willingness-to-pay (WTP) threshold of $150,000 per quality-adjusted life year (QALY). We tested the robustness of our base case findings through scenario, deterministic sensitivity (DSA), and probabilistic sensitivity analyses (PSA). In the base case analysis, treatment with DT was cost-effective with an ICER of $140,877/QALY relative to SOC for a hypothetical cohort involving 47% females. Both males (ICER of $135,574/QALY) and females (ICER of $146,511/QALY) were similarly cost-effective to treat. In univariate DSA the base case ICER was most sensitive to the costs of treating males, DT treatment cost, and the discount rate. In PSA, DT was cost-effective in 32.7%, 66.0%, and 92.6% of 10,000 simulations at WTP values of $100,000, $150,000, and $200,000 per QALY, respectively. A scenario analysis showed cost-effectiveness of DT is highly contingent on assumed lifetime durability of the cure. A hypothetical cell or gene therapy cure for SCD is likely to be cost-effective from the US healthcare sector perspective. Large upfront costs of a single administration cure are offset by significant downstream gains in health for patients treated early in life. We find cost-effectiveness outcomes do not vary substantially by gender; however, several model parameters including assumed durability and upfront cost of DT are likely to influence cost-effectiveness findings.","container-title":"Scientific Reports","DOI":"10.1038/s41598-021-90405-1","ISSN":"2045-2322","issue":"1","journalAbbreviation":"Sci Rep","language":"en","page":"10838","source":"DOI.org (Crossref)","title":"Cost-effectiveness of a hypothetical cell or gene therapy cure for sickle cell disease","volume":"11","author":[{"family":"Salcedo","given":"Jonathan"},{"family":"Bulovic","given":"Jenniffer"},{"family":"Young","given":"Colin M."}],"issued":{"date-parts":[["2021",5,25]]}}},{"id":4129,"uris":["http://zotero.org/users/13316261/items/ANBAUGWU"],"itemData":{"id":4129,"type":"article-journal","container-title":"Scientific Reports","DOI":"10.1038/s41598-024-53121-0","journalAbbreviation":"Sci Rep","page":"2714-2739","title":"The Value-based Price of Transformative Gene Therapy for Sickle Cell Disease: A Modeling Analysis","volume":"1","author":[{"family":"Morgan","given":"George"},{"family":"Back","given":"Emily"},{"family":"Besser","given":"Martin"},{"family":"Hallet","given":"Timothy B"},{"family":"Guzauskas","given":"Gregory F"}],"issued":{"date-parts":[["2024"]]}}}],"schema":"https://github.com/citation-style-language/schema/raw/master/csl-citation.json"} </w:instrText>
            </w:r>
            <w:r>
              <w:rPr>
                <w:rFonts w:ascii="Times New Roman" w:eastAsia="Arial" w:hAnsi="Times New Roman" w:cs="Times New Roman"/>
                <w:color w:val="0A0A0A"/>
                <w:sz w:val="20"/>
                <w:szCs w:val="20"/>
              </w:rPr>
              <w:fldChar w:fldCharType="separate"/>
            </w:r>
            <w:r w:rsidR="00697B10" w:rsidRPr="00697B10">
              <w:rPr>
                <w:rFonts w:ascii="Times New Roman" w:hAnsi="Times New Roman" w:cs="Times New Roman"/>
                <w:sz w:val="20"/>
              </w:rPr>
              <w:t>[8,9]</w:t>
            </w:r>
            <w:r>
              <w:rPr>
                <w:rFonts w:ascii="Times New Roman" w:eastAsia="Arial" w:hAnsi="Times New Roman" w:cs="Times New Roman"/>
                <w:color w:val="0A0A0A"/>
                <w:sz w:val="20"/>
                <w:szCs w:val="20"/>
              </w:rPr>
              <w:fldChar w:fldCharType="end"/>
            </w:r>
          </w:p>
        </w:tc>
      </w:tr>
    </w:tbl>
    <w:p w14:paraId="5FF2229F" w14:textId="77777777" w:rsidR="00995447" w:rsidRDefault="00995447">
      <w:pPr>
        <w:spacing w:line="360" w:lineRule="auto"/>
        <w:ind w:left="0"/>
        <w:jc w:val="both"/>
        <w:rPr>
          <w:rFonts w:ascii="Times New Roman" w:eastAsia="Times New Roman" w:hAnsi="Times New Roman" w:cs="Times New Roman"/>
          <w:sz w:val="24"/>
          <w:szCs w:val="24"/>
        </w:rPr>
      </w:pPr>
    </w:p>
    <w:p w14:paraId="672721D3" w14:textId="68E63F0C"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Patients with SCD require lifelong health management and frequent emergency department visits. Ensuring equitable access to a minimum standard of care (SOC), regardless of available resources, remains a major challenge in </w:t>
      </w:r>
      <w:r>
        <w:rPr>
          <w:rFonts w:ascii="Times New Roman" w:eastAsia="Times New Roman" w:hAnsi="Times New Roman" w:cs="Times New Roman"/>
          <w:sz w:val="24"/>
          <w:szCs w:val="24"/>
        </w:rPr>
        <w:t>regions where coverage is limited, and treatment is largely financed directly by households out-of-pocket (OOP)</w:t>
      </w:r>
      <w:r w:rsidR="006B619A">
        <w:rPr>
          <w:rFonts w:ascii="Times New Roman" w:eastAsia="Times New Roman" w:hAnsi="Times New Roman" w:cs="Times New Roman"/>
          <w:sz w:val="24"/>
          <w:szCs w:val="24"/>
        </w:rPr>
        <w:t xml:space="preserve"> </w:t>
      </w:r>
      <w:r w:rsidR="006B619A">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vzeOmht1","properties":{"formattedCitation":"[10]","plainCitation":"[10]","noteIndex":0},"citationItems":[{"id":3481,"uris":["http://zotero.org/users/13316261/items/PXH64A7Z"],"itemData":{"id":3481,"type":"report","event-place":"Geneva","language":"eng","number":"9789240040335","publisher":"World Health Organization","publisher-place":"Geneva","source":"K10plus ISBN","title":"Public Spending on Health: A Closer Look at Global Trends","title-short":"Public Spending on Health","author":[{"family":"World Health Organization","given":""}],"issued":{"date-parts":[["2018",12]]}}}],"schema":"https://github.com/citation-style-language/schema/raw/master/csl-citation.json"} </w:instrText>
      </w:r>
      <w:r w:rsidR="006B619A">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[10]</w:t>
      </w:r>
      <w:r w:rsidR="006B619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Standards for managing acute and chronic complications, emergency care, and disease-modifying treatments–including hydroxyurea, routine blood transfusions, antibiotic prophylaxis, vac</w:t>
      </w:r>
      <w:r>
        <w:rPr>
          <w:rFonts w:ascii="Times New Roman" w:eastAsia="Times New Roman" w:hAnsi="Times New Roman" w:cs="Times New Roman"/>
          <w:sz w:val="24"/>
          <w:szCs w:val="24"/>
        </w:rPr>
        <w:t>cination, and regular outpatient follow-up visits are indispensable for patients’ survival and minimization of healthcare resource utilization</w:t>
      </w:r>
      <w:r w:rsidR="008078D1">
        <w:rPr>
          <w:rFonts w:ascii="Times New Roman" w:eastAsia="Times New Roman" w:hAnsi="Times New Roman" w:cs="Times New Roman"/>
          <w:sz w:val="24"/>
          <w:szCs w:val="24"/>
        </w:rPr>
        <w:t xml:space="preserve"> </w:t>
      </w:r>
      <w:r w:rsidR="008078D1">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{"citationID":"vH1D6Er1","properties":{"formattedCitation":"[11\\uc0\\u8211{}13]","plainCitation":"[11–13]","noteIndex":0},"citationItems":[{"id":2296,"uris":["http://zotero.org/users/13316261/items/ASCXV997"],"itemData":{"id":2296,"type":"book","edition":"2nd edition, 2018","event-place":"London","ISBN":"978-1-5272-2070-6","language":"eng","note":"OCLC: 1246493649","publisher":"Sickle Cell Society","publisher-place":"London","source":"Open WorldCat","title":"Standards for the clinical care of adults with sickle cell disease in the UK","issued":{"date-parts":[["2018"]]}}},{"id":394,"uris":["http://zotero.org/users/13316261/items/Y2UM87CF"],"itemData":{"id":394,"type":"article-journal","abstract":"Background:\n              The management of acute and chronic pain for individuals living with sickle cell disease (SCD) is a clinical challenge. This reflects the paucity of clinical SCD pain research and limited understanding of the complex biological differences between acute and chronic pain. These issues collectively create barriers to effective, targeted interventions. Optimal pain management requires interdisciplinary care.\n            \n            \n              Objective:\n              These evidence-based guidelines developed by the American Society of Hematology (ASH) are intended to support patients, clinicians, and other health care professionals in pain management decisions for children and adults with SCD.\n            \n            \n              Methods:\n              ASH formed a multidisciplinary panel, including 2 patient representatives, that was thoroughly vetted to minimize bias from conflicts of interest. The Mayo Evidence-Based Practice Research Program supported the guideline development process, including updating or performing systematic reviews. Clinical questions and outcomes were prioritized according to importance for clinicians and patients. The Grading of Recommendations Assessment, Development and Evaluation (GRADE) approach was used, including GRADE evidence-to-decision frameworks, to assess evidence and make recommendations, which were subject to public comment.\n            \n            \n              Results:\n              The panel reached consensus on 18 recommendations specific to acute and chronic pain. The recommendations reflect a broad pain management approach, encompassing pharmacological and nonpharmacological interventions and analgesic delivery.\n            \n            \n              Conclusions:\n              Because of low-certainty evidence and closely balanced benefits and harms, most recommendations are conditional. Patient preferences should drive clinical decisions. Policymaking, including that by payers, will require substantial debate and input from stakeholders. Randomized controlled trials and comparative-effectiveness studies are needed for chronic opioid therapy, nonopioid therapies, and nonpharmacological interventions.","container-title":"Blood Advances","DOI":"10.1182/bloodadvances.2020001851","ISSN":"2473-9529, 2473-9537","issue":"12","language":"en","page":"2656-2701","source":"DOI.org (Crossref)","title":"American Society of Hematology 2020 guidelines for sickle cell disease: management of acute and chronic pain","title-short":"American Society of Hematology 2020 guidelines for sickle cell disease","volume":"4","author":[{"family":"Brandow","given":"Amanda M."},{"family":"Carroll","given":"C. Patrick"},{"family":"Creary","given":"Susan"},{"family":"Edwards-Elliott","given":"Ronisha"},{"family":"Glassberg","given":"Jeffrey"},{"family":"Hurley","given":"Robert W."},{"family":"Kutlar","given":"Abdullah"},{"family":"Seisa","given":"Mohamed"},{"family":"Stinson","given":"Jennifer"},{"family":"Strouse","given":"John J."},{"family":"Yusuf","given":"Fouza"},{"family":"Zempsky","given":"William"},{"family":"Lang","given":"Eddy"}],"issued":{"date-parts":[["2020",6,23]]}}},{"id":4100,"uris":["http://zotero.org/users/13316261/items/MEH45J58"],"itemData":{"id":4100,"type":"article-journal","abstract":"Introduction:\n              Sickle Cell Disease (SCD) causes significant morbidity and mortality particularly in sub-Saharan Africa (SSA) where it contributes to early childhood deaths. There is need to standardize treatment guidelines to help improve overall SCD patient health outcomes. We set out to review existing guidelines on SCD and to set minimum standards for management of SCD for the different referral levels of healthcare.\n            \n            \n              Methods:\n              A standards of care working group (SoC-WG) was established to develop the SoC recommendations. About 15 available SCD management guidelines and protocols were reviewed and themes extracted from them. The first draft was on chosen themes with 64 major headings and subtopics. Using a summarised WHO levels of referral document, we were able to get six different referral levels of healthcare. The highest referral level was the tertiary facilities whilst the lowest level was the home setting. Recommendations for SCD management for the regional, district, sub-districts, health posts and CHPs compounds were also drafted.\n            \n            \n              Results:\n              The results from this review yielded a guidelines document which had recommendations for management of SCD on 64 topics and subtopic for all the six (6) different referral levels.\n            \n            \n              Discussions:\n              Every child with SCD need to receive comprehensive care that is coordinated at each level. This recommendation is unique in terms of the availability of recommendations for different levels of care as compared to the traditional guidelines which is more focused at the tertiary levels. Patients can access care at any of the other lower referral hospitals and be managed with recommendations that are in keeping with institutional resources at that level. When such patients need care that requires expertise that is not available at that level, the recommendations will be to refer to the appropriate referral level where those expertise are available. This encourages patients to have good clinical care nearer their homes but also having access to specialist screening modalities and expertise at the tertiary hospitals if need be. With this, patient are not limited to a specific referral level when interventions cannot be instituted for them.\n            \n            \n              Conclusion:\n              This SoC recommendations document is a useful material that can be used for consistent standards of treatment in SSA.","container-title":"Frontiers in Genetics","DOI":"10.3389/fgene.2022.1052179","ISSN":"1664-8021","journalAbbreviation":"Front. Genet.","page":"1052179","source":"DOI.org (Crossref)","title":"Development of multi-level standards of care recommendations for sickle cell disease: Experience from SickleInAfrica","title-short":"Development of multi-level standards of care recommendations for sickle cell disease","volume":"13","author":[{"family":"Paintsil","given":"Vivian"},{"family":"Ally","given":"Mwashungi"},{"family":"Isa","given":"Hezekiah"},{"family":"Anie","given":"Kofi A."},{"family":"Mgaya","given":"Josephine"},{"family":"Nkanyemka","given":"Malula"},{"family":"Nembaware","given":"Victoria"},{"family":"Oppong-Mensah","given":"Yaa Gyamfua"},{"family":"Ndobho","given":"Flora"},{"family":"Chirande","given":"Lulu"},{"family":"Makubi","given":"Abel"},{"family":"Nnodu","given":"Obiageli"},{"family":"Wonkam","given":"Ambroise"},{"family":"Makani","given":"Julie"},{"family":"Ohene-Frempong","given":"Kwaku"}],"issued":{"date-parts":[["2023",1,12]]}}}],"schema":"https://github.com/citation-style-language/schema/raw/master/csl-citation.json"} </w:instrText>
      </w:r>
      <w:r w:rsidR="008078D1">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[11–13]</w:t>
      </w:r>
      <w:r w:rsidR="008078D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Regular outpatient follow-ups every 3–4 months are recommended as part of SOC to monitor complications. These visits provide opportunities for patient education, mental health support, vital sign checks, organ function monitoring, r</w:t>
      </w:r>
      <w:r>
        <w:rPr>
          <w:rFonts w:ascii="Times New Roman" w:eastAsia="Times New Roman" w:hAnsi="Times New Roman" w:cs="Times New Roman"/>
          <w:sz w:val="24"/>
          <w:szCs w:val="24"/>
        </w:rPr>
        <w:t>outine laboratory tests, and assessment of treatment adherence, thereby facilitating early detection of complications and appropriate intervention</w:t>
      </w:r>
      <w:r w:rsidR="00784AEF">
        <w:rPr>
          <w:rFonts w:ascii="Times New Roman" w:eastAsia="Times New Roman" w:hAnsi="Times New Roman" w:cs="Times New Roman"/>
          <w:sz w:val="24"/>
          <w:szCs w:val="24"/>
        </w:rPr>
        <w:t xml:space="preserve"> </w:t>
      </w:r>
      <w:r w:rsidR="00784AEF">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{"citationID":"Nxp0Alkj","properties":{"formattedCitation":"[12,13]","plainCitation":"[12,13]","noteIndex":0},"citationItems":[{"id":394,"uris":["http://zotero.org/users/13316261/items/Y2UM87CF"],"itemData":{"id":394,"type":"article-journal","abstract":"Background:\n              The management of acute and chronic pain for individuals living with sickle cell disease (SCD) is a clinical challenge. This reflects the paucity of clinical SCD pain research and limited understanding of the complex biological differences between acute and chronic pain. These issues collectively create barriers to effective, targeted interventions. Optimal pain management requires interdisciplinary care.\n            \n            \n              Objective:\n              These evidence-based guidelines developed by the American Society of Hematology (ASH) are intended to support patients, clinicians, and other health care professionals in pain management decisions for children and adults with SCD.\n            \n            \n              Methods:\n              ASH formed a multidisciplinary panel, including 2 patient representatives, that was thoroughly vetted to minimize bias from conflicts of interest. The Mayo Evidence-Based Practice Research Program supported the guideline development process, including updating or performing systematic reviews. Clinical questions and outcomes were prioritized according to importance for clinicians and patients. The Grading of Recommendations Assessment, Development and Evaluation (GRADE) approach was used, including GRADE evidence-to-decision frameworks, to assess evidence and make recommendations, which were subject to public comment.\n            \n            \n              Results:\n              The panel reached consensus on 18 recommendations specific to acute and chronic pain. The recommendations reflect a broad pain management approach, encompassing pharmacological and nonpharmacological interventions and analgesic delivery.\n            \n            \n              Conclusions:\n              Because of low-certainty evidence and closely balanced benefits and harms, most recommendations are conditional. Patient preferences should drive clinical decisions. Policymaking, including that by payers, will require substantial debate and input from stakeholders. Randomized controlled trials and comparative-effectiveness studies are needed for chronic opioid therapy, nonopioid therapies, and nonpharmacological interventions.","container-title":"Blood Advances","DOI":"10.1182/bloodadvances.2020001851","ISSN":"2473-9529, 2473-9537","issue":"12","language":"en","page":"2656-2701","source":"DOI.org (Crossref)","title":"American Society of Hematology 2020 guidelines for sickle cell disease: management of acute and chronic pain","title-short":"American Society of Hematology 2020 guidelines for sickle cell disease","volume":"4","author":[{"family":"Brandow","given":"Amanda M."},{"family":"Carroll","given":"C. Patrick"},{"family":"Creary","given":"Susan"},{"family":"Edwards-Elliott","given":"Ronisha"},{"family":"Glassberg","given":"Jeffrey"},{"family":"Hurley","given":"Robert W."},{"family":"Kutlar","given":"Abdullah"},{"family":"Seisa","given":"Mohamed"},{"family":"Stinson","given":"Jennifer"},{"family":"Strouse","given":"John J."},{"family":"Yusuf","given":"Fouza"},{"family":"Zempsky","given":"William"},{"family":"Lang","given":"Eddy"}],"issued":{"date-parts":[["2020",6,23]]}}},{"id":4100,"uris":["http://zotero.org/users/13316261/items/MEH45J58"],"itemData":{"id":4100,"type":"article-journal","abstract":"Introduction:\n              Sickle Cell Disease (SCD) causes significant morbidity and mortality particularly in sub-Saharan Africa (SSA) where it contributes to early childhood deaths. There is need to standardize treatment guidelines to help improve overall SCD patient health outcomes. We set out to review existing guidelines on SCD and to set minimum standards for management of SCD for the different referral levels of healthcare.\n            \n            \n              Methods:\n              A standards of care working group (SoC-WG) was established to develop the SoC recommendations. About 15 available SCD management guidelines and protocols were reviewed and themes extracted from them. The first draft was on chosen themes with 64 major headings and subtopics. Using a summarised WHO levels of referral document, we were able to get six different referral levels of healthcare. The highest referral level was the tertiary facilities whilst the lowest level was the home setting. Recommendations for SCD management for the regional, district, sub-districts, health posts and CHPs compounds were also drafted.\n            \n            \n              Results:\n              The results from this review yielded a guidelines document which had recommendations for management of SCD on 64 topics and subtopic for all the six (6) different referral levels.\n            \n            \n              Discussions:\n              Every child with SCD need to receive comprehensive care that is coordinated at each level. This recommendation is unique in terms of the availability of recommendations for different levels of care as compared to the traditional guidelines which is more focused at the tertiary levels. Patients can access care at any of the other lower referral hospitals and be managed with recommendations that are in keeping with institutional resources at that level. When such patients need care that requires expertise that is not available at that level, the recommendations will be to refer to the appropriate referral level where those expertise are available. This encourages patients to have good clinical care nearer their homes but also having access to specialist screening modalities and expertise at the tertiary hospitals if need be. With this, patient are not limited to a specific referral level when interventions cannot be instituted for them.\n            \n            \n              Conclusion:\n              This SoC recommendations document is a useful material that can be used for consistent standards of treatment in SSA.","container-title":"Frontiers in Genetics","DOI":"10.3389/fgene.2022.1052179","ISSN":"1664-8021","journalAbbreviation":"Front. Genet.","page":"1052179","source":"DOI.org (Crossref)","title":"Development of multi-level standards of care recommendations for sickle cell disease: Experience from SickleInAfrica","title-short":"Development of multi-level standards of care recommendations for sickle cell disease","volume":"13","author":[{"family":"Paintsil","given":"Vivian"},{"family":"Ally","given":"Mwashungi"},{"family":"Isa","given":"Hezekiah"},{"family":"Anie","given":"Kofi A."},{"family":"Mgaya","given":"Josephine"},{"family":"Nkanyemka","given":"Malula"},{"family":"Nembaware","given":"Victoria"},{"family":"Oppong-Mensah","given":"Yaa Gyamfua"},{"family":"Ndobho","given":"Flora"},{"family":"Chirande","given":"Lulu"},{"family":"Makubi","given":"Abel"},{"family":"Nnodu","given":"Obiageli"},{"family":"Wonkam","given":"Ambroise"},{"family":"Makani","given":"Julie"},{"family":"Ohene-Frempong","given":"Kwaku"}],"issued":{"date-parts":[["2023",1,12]]}}}],"schema":"https://github.com/citation-style-language/schema/raw/master/csl-citation.json"} </w:instrText>
      </w:r>
      <w:r w:rsidR="00784AEF">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[12,13]</w:t>
      </w:r>
      <w:r w:rsidR="00784AE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In Cameroon, follow-ups are inconsistent especially among younger adult patients</w:t>
      </w:r>
      <w:r w:rsidR="005A4367">
        <w:rPr>
          <w:rFonts w:ascii="Times New Roman" w:eastAsia="Times New Roman" w:hAnsi="Times New Roman" w:cs="Times New Roman"/>
          <w:sz w:val="24"/>
          <w:szCs w:val="24"/>
        </w:rPr>
        <w:t xml:space="preserve"> </w:t>
      </w:r>
      <w:r w:rsidR="005A4367">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{"citationID":"3CX0cBV9","properties":{"formattedCitation":"[14,15]","plainCitation":"[14,15]","noteIndex":0},"citationItems":[{"id":3684,"uris":["http://zotero.org/users/13316261/items/CJNREXHP"],"itemData":{"id":3684,"type":"article-journal","abstract":"Sickle Cell Disease (SCD) is a serious genetic disorder with astounding regional differences in childhood survival. Alarmingly, over 90% of children with SCD in SSA die before their fifth birthday. In Cameroon, approximately 7,000 children are born with SCD annually; however, most of them go undiagnosed until their fourth birthday, resulting into untold pain and suffering. Despite this, little is known about the barriers to optimal care and treatment for SCD in Cameroon. Here, we assess these barriers, and consider opportunities that could be leveraged, for a sustainable control of SCD in Cameroon. We conducted a qualitative study, with documentary analysis of key national and international policy documents related to SCD management in Cameroon; semi-structured interviews; and focus group discussions, used for data collection. Key informants were selected purposively, and met at the central level of the health system (in Yaoundé) and the operational level (Mfou health district). These were policy makers, health workers, parents with SCD children and teenagers with SCD. Several critical gaps exist which hinder SCD control in Cameroon. These include lack of a national sickle cell disease strategy, no proportional allocation of funds for SCD in the national budget, and gaps in service delivery. These are translated into healthcare providers having little knowledge on SCD, absence of SCD-specific indicators in the health information system, challenges accessing essential medicines, and limited awareness raising in communities on SCD. Still, several opportunities exist which could be leveraged for improving SCD care in Cameroon. These include the possibility of integrating SCD screening and care into well-established primary healthcare services like vaccination, antenatal care, and non-communicable disease clinics. In the light of such limited resource settings, considering opportunities for integration in existing health programs could go a long way to reduce morbidities and mortalities from SCD over the coming years.","container-title":"PLOS Global Public Health","DOI":"10.1371/journal.pgph.0003668","ISSN":"2767-3375","issue":"10","journalAbbreviation":"PLOS Glob Public Health","language":"en","page":"e0003668","source":"DOI.org (Crossref)","title":"Sickle cell disease in Cameroon: Taking out the “neglect” and highlighting key opportunities for sustainable control","title-short":"Sickle cell disease in Cameroon","volume":"4","author":[{"family":"Saidu","given":"Yauba"},{"family":"Masong","given":"Makia Christine"},{"family":"Francoise","given":"Nwabufo"},{"family":"Ngenge","given":"Budzi Michael"},{"family":"Ndansi","given":"Elvis"},{"family":"Foma","given":"Munoh Kenne"}],"editor":[{"family":"Krishnasastry","given":"Suma"}],"issued":{"date-parts":[["2024",10,24]]}}},{"id":3992,"uris":["http://zotero.org/users/13316261/items/SI9FUERC"],"itemData":{"id":3992,"type":"article-journal","abstract":"Background: Despite growing evidence that exogenous factors such as environmental conditions, influence the clinical severity of sickle cell anemia, their impact remain poorly understood in Cameroon. This study explores clinical clusters of sickle cell anemia and their associations with lifestyle, environmental, and socioeconomic factors among patients in Cameroon’s cosmopolitan Centre region. \nMethods: We enrolled 185 participants from four hospitals in Yaoundé between October 2023 and September 2024. We collected data on lifestyle factors (stress, anxiety, nutritional habits, physical activity, and routine checkups), environmental influences (seasonal variations, weather changes, and exposure to pollutants), and socioeconomic factors (household income, household size, and parental education level) over the 12 months preceding enrollment using self-reported questionnaires. Clinical data were retrieved from patients’ medical records. KAy-means for Mixed Large Data (KAMILA) was used to cluster patients based on similar clinical characteristics. Associations between clinical clusters and exogenous factors were evaluated using association plots, chi-square tests, and relationships were quantified using regression analysis. \nResults: Two distinct clinical clusters were identified (Cluster 1 and Cluster 2) sharing common symptoms and sickle-related complications, but differing significantly in disease severity, with Cluster 1 exhibiting a higher burden of hospitalizations, transfusions, painful episodes and pain severity. Lifestyle factors (stress, anxiety, physical inactivity, and routine checkups) and environmental conditions (sensitivity to wind, humidity, dust and smoke) were significantly associated with cluster membership, and contributed to the greater clinical burden observed in Cluster 1. \nConclusion: The study provides a foundation for further research into the multifactorial drivers of disease severity in Cameroon and highlights the importance of patient and caregiver education on lifestyle optimization and the health risks of environmental exposures, with potential benefits for healthcare burden reduction among sickle cell patients.","container-title":"Journal of Advances in Medical and Pharmaceutical Sciences","DOI":"10.9734/jamps/2025/v27i7805","ISSN":"2394-1111","issue":"7","journalAbbreviation":"J. Adv. Med. Pharm. Sci.","page":"137-163","source":"DOI.org (Crossref)","title":"Clinical Clusters of Sickle Cell Anemia: Exploring the Impact of Lifestyle, Environmental, and Socioeconomic Influences in Cameroon","title-short":"Clinical Clusters of Sickle Cell Anemia","volume":"27","author":[{"family":"Bakia","given":"Ngoe Samuel"},{"family":"Epoh","given":"Mbappe Herguel"},{"family":"Bissohong","given":"Grâce"},{"family":"Hott","given":"Pouth Guy"},{"family":"Berinyuy","given":"Eustace Bongang"},{"family":"Chenmagni","given":"Chetcha Bernard"},{"family":"Fokunang","given":"Charles"}],"issued":{"date-parts":[["2025",8,4]]}}}],"schema":"https://github.com/citation-style-language/schema/raw/master/csl-citation.json"} </w:instrText>
      </w:r>
      <w:r w:rsidR="005A4367">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[14,15]</w:t>
      </w:r>
      <w:r w:rsidR="005A436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6349835A" w14:textId="77777777" w:rsidR="00995447" w:rsidRDefault="00995447">
      <w:pPr>
        <w:spacing w:line="360" w:lineRule="auto"/>
        <w:ind w:left="0"/>
        <w:jc w:val="both"/>
        <w:rPr>
          <w:rFonts w:ascii="Times New Roman" w:eastAsia="Times New Roman" w:hAnsi="Times New Roman" w:cs="Times New Roman"/>
          <w:sz w:val="24"/>
          <w:szCs w:val="24"/>
        </w:rPr>
      </w:pPr>
    </w:p>
    <w:p w14:paraId="1640FC86"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lifetime condition, the physical, psychological, and financial burden of</w:t>
      </w:r>
      <w:r>
        <w:rPr>
          <w:rFonts w:ascii="Times New Roman" w:eastAsia="Times New Roman" w:hAnsi="Times New Roman" w:cs="Times New Roman"/>
          <w:sz w:val="24"/>
          <w:szCs w:val="24"/>
        </w:rPr>
        <w:t xml:space="preserve"> continuous medical care, along with the strain on healthcare resources, places enormous pressure on patients, families, and health systems. We hypothesized that adult SCA patients in Cameroon who consistently attended three or more routine outpatient foll</w:t>
      </w:r>
      <w:r>
        <w:rPr>
          <w:rFonts w:ascii="Times New Roman" w:eastAsia="Times New Roman" w:hAnsi="Times New Roman" w:cs="Times New Roman"/>
          <w:sz w:val="24"/>
          <w:szCs w:val="24"/>
        </w:rPr>
        <w:t xml:space="preserve">ow-ups per year ((≤4 months apart) to monitor complications, and who received standard care during </w:t>
      </w:r>
      <w:proofErr w:type="spellStart"/>
      <w:r>
        <w:rPr>
          <w:rFonts w:ascii="Times New Roman" w:eastAsia="Times New Roman" w:hAnsi="Times New Roman" w:cs="Times New Roman"/>
          <w:sz w:val="24"/>
          <w:szCs w:val="24"/>
        </w:rPr>
        <w:t>vaso</w:t>
      </w:r>
      <w:proofErr w:type="spellEnd"/>
      <w:r>
        <w:rPr>
          <w:rFonts w:ascii="Times New Roman" w:eastAsia="Times New Roman" w:hAnsi="Times New Roman" w:cs="Times New Roman"/>
          <w:sz w:val="24"/>
          <w:szCs w:val="24"/>
        </w:rPr>
        <w:t>-occlusive crises (VOC), would experience fewer painful episodes requiring hospitalization and reduced use of hospital resources compared to those with o</w:t>
      </w:r>
      <w:r>
        <w:rPr>
          <w:rFonts w:ascii="Times New Roman" w:eastAsia="Times New Roman" w:hAnsi="Times New Roman" w:cs="Times New Roman"/>
          <w:sz w:val="24"/>
          <w:szCs w:val="24"/>
        </w:rPr>
        <w:t>nly 1–2 follow-ups per year (4–6 months apart) or none.</w:t>
      </w:r>
    </w:p>
    <w:p w14:paraId="56245893" w14:textId="77777777" w:rsidR="00995447" w:rsidRDefault="00995447">
      <w:pPr>
        <w:spacing w:line="360" w:lineRule="auto"/>
        <w:ind w:left="0"/>
        <w:jc w:val="both"/>
        <w:rPr>
          <w:rFonts w:ascii="Times New Roman" w:eastAsia="Times New Roman" w:hAnsi="Times New Roman" w:cs="Times New Roman"/>
          <w:sz w:val="24"/>
          <w:szCs w:val="24"/>
        </w:rPr>
      </w:pPr>
    </w:p>
    <w:p w14:paraId="4B66EC93"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of this pilot study was to compare the cost-effectiveness of different intervals of routine outpatient follow-ups as part of SOC for monitoring SCA complications. Such evidence may serv</w:t>
      </w:r>
      <w:r>
        <w:rPr>
          <w:rFonts w:ascii="Times New Roman" w:eastAsia="Times New Roman" w:hAnsi="Times New Roman" w:cs="Times New Roman"/>
          <w:sz w:val="24"/>
          <w:szCs w:val="24"/>
        </w:rPr>
        <w:t>e as a foundation for larger studies and inform policy decisions regarding the implementation of copay healthcare packages for routine outpatient follow-ups in primary healthcare centers across the national territory.</w:t>
      </w:r>
    </w:p>
    <w:p w14:paraId="468E8FD4" w14:textId="77777777" w:rsidR="00995447" w:rsidRDefault="00995447">
      <w:pPr>
        <w:spacing w:line="360" w:lineRule="auto"/>
        <w:ind w:left="0"/>
        <w:jc w:val="both"/>
        <w:rPr>
          <w:rFonts w:ascii="Times New Roman" w:eastAsia="Times New Roman" w:hAnsi="Times New Roman" w:cs="Times New Roman"/>
          <w:sz w:val="24"/>
          <w:szCs w:val="24"/>
        </w:rPr>
      </w:pPr>
    </w:p>
    <w:p w14:paraId="66309C58" w14:textId="77777777" w:rsidR="00995447" w:rsidRDefault="000E4D7A">
      <w:pPr>
        <w:pStyle w:val="Heading1"/>
        <w:ind w:left="0"/>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Methods</w:t>
      </w:r>
    </w:p>
    <w:p w14:paraId="71EABE1F"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cost-effectiveness analysis</w:t>
      </w:r>
      <w:r>
        <w:rPr>
          <w:rFonts w:ascii="Times New Roman" w:eastAsia="Times New Roman" w:hAnsi="Times New Roman" w:cs="Times New Roman"/>
          <w:sz w:val="24"/>
          <w:szCs w:val="24"/>
        </w:rPr>
        <w:t xml:space="preserve"> (CEA) was conducted using individual patient-level data. We retrospectively collected observational data between March 2024 and September 2024 at the Yaoundé Central Hospital (YCH), Cameroon. The CEA compared patients who attended ≥3 </w:t>
      </w:r>
      <w:r>
        <w:rPr>
          <w:rFonts w:ascii="Times New Roman" w:eastAsia="Times New Roman" w:hAnsi="Times New Roman" w:cs="Times New Roman"/>
          <w:sz w:val="24"/>
          <w:szCs w:val="24"/>
        </w:rPr>
        <w:lastRenderedPageBreak/>
        <w:t>outpatient follow-ups</w:t>
      </w:r>
      <w:r>
        <w:rPr>
          <w:rFonts w:ascii="Times New Roman" w:eastAsia="Times New Roman" w:hAnsi="Times New Roman" w:cs="Times New Roman"/>
          <w:sz w:val="24"/>
          <w:szCs w:val="24"/>
        </w:rPr>
        <w:t xml:space="preserve"> per year and received standard VOC treatment during acute pains with those who attended 1–2 follow-ups per year or none plus standard treatment.</w:t>
      </w:r>
    </w:p>
    <w:p w14:paraId="558CA984" w14:textId="77777777" w:rsidR="00995447" w:rsidRDefault="00995447">
      <w:pPr>
        <w:spacing w:line="360" w:lineRule="auto"/>
        <w:ind w:left="0"/>
        <w:jc w:val="both"/>
        <w:rPr>
          <w:rFonts w:ascii="Times New Roman" w:eastAsia="Times New Roman" w:hAnsi="Times New Roman" w:cs="Times New Roman"/>
          <w:sz w:val="24"/>
          <w:szCs w:val="24"/>
        </w:rPr>
      </w:pPr>
    </w:p>
    <w:p w14:paraId="10500958"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Eighty patients who had been followed at YCH for at least 12 months were approached in the outpatient departm</w:t>
      </w:r>
      <w:r>
        <w:rPr>
          <w:rFonts w:ascii="Times New Roman" w:eastAsia="Times New Roman" w:hAnsi="Times New Roman" w:cs="Times New Roman"/>
          <w:sz w:val="24"/>
          <w:szCs w:val="24"/>
        </w:rPr>
        <w:t>ent. None were experiencing acute VOC episodes requiring hospitalization at recruitment. Seventy patients consented to participate, of whom 51 were retained. Exclusion criteria included: incomplete patient-held health records over the past 12 months, treat</w:t>
      </w:r>
      <w:r>
        <w:rPr>
          <w:rFonts w:ascii="Times New Roman" w:eastAsia="Times New Roman" w:hAnsi="Times New Roman" w:cs="Times New Roman"/>
          <w:sz w:val="24"/>
          <w:szCs w:val="24"/>
        </w:rPr>
        <w:t xml:space="preserve">ment at multiple hospitals during the same period, absence of prescription records, undocumented hemoglobin SS diagnosis, and use of hydroxyurea within the past 12 months. Medical data were extracted from patient-held health records and inpatient hospital </w:t>
      </w:r>
      <w:r>
        <w:rPr>
          <w:rFonts w:ascii="Times New Roman" w:eastAsia="Times New Roman" w:hAnsi="Times New Roman" w:cs="Times New Roman"/>
          <w:sz w:val="24"/>
          <w:szCs w:val="24"/>
        </w:rPr>
        <w:t>files at YCH. Ethical approval was obtained from the YCH ethics committee, and all participants provided written informed consent.</w:t>
      </w:r>
    </w:p>
    <w:p w14:paraId="388C2CF5" w14:textId="77777777" w:rsidR="00B10A39" w:rsidRDefault="00B10A39">
      <w:pPr>
        <w:spacing w:line="360" w:lineRule="auto"/>
        <w:ind w:left="0"/>
        <w:jc w:val="both"/>
        <w:rPr>
          <w:rFonts w:ascii="Times New Roman" w:eastAsia="Times New Roman" w:hAnsi="Times New Roman" w:cs="Times New Roman"/>
          <w:sz w:val="24"/>
          <w:szCs w:val="24"/>
        </w:rPr>
      </w:pPr>
    </w:p>
    <w:p w14:paraId="69832705" w14:textId="77777777" w:rsidR="00995447" w:rsidRDefault="000E4D7A">
      <w:pPr>
        <w:spacing w:line="360" w:lineRule="auto"/>
        <w:ind w:left="0"/>
        <w:jc w:val="both"/>
        <w:rPr>
          <w:rFonts w:ascii="Times New Roman" w:eastAsia="Times New Roman" w:hAnsi="Times New Roman" w:cs="Times New Roman"/>
          <w:sz w:val="24"/>
          <w:szCs w:val="24"/>
        </w:rPr>
      </w:pPr>
      <w:bookmarkStart w:id="1" w:name="_47hxf3kbqamb" w:colFirst="0" w:colLast="0"/>
      <w:bookmarkEnd w:id="1"/>
      <w:r>
        <w:rPr>
          <w:rFonts w:ascii="Times New Roman" w:eastAsia="Times New Roman" w:hAnsi="Times New Roman" w:cs="Times New Roman"/>
          <w:b/>
          <w:bCs/>
          <w:sz w:val="24"/>
          <w:szCs w:val="24"/>
        </w:rPr>
        <w:t xml:space="preserve">Interventions Compared: </w:t>
      </w:r>
      <w:r>
        <w:rPr>
          <w:rFonts w:ascii="Times New Roman" w:eastAsia="Times New Roman" w:hAnsi="Times New Roman" w:cs="Times New Roman"/>
          <w:sz w:val="24"/>
          <w:szCs w:val="24"/>
        </w:rPr>
        <w:t>Outpatient follow-up strategies were defined as: (1) patients attended three or more outpatient visi</w:t>
      </w:r>
      <w:r>
        <w:rPr>
          <w:rFonts w:ascii="Times New Roman" w:eastAsia="Times New Roman" w:hAnsi="Times New Roman" w:cs="Times New Roman"/>
          <w:sz w:val="24"/>
          <w:szCs w:val="24"/>
        </w:rPr>
        <w:t>ts in the past 12 months, scheduled at most 4 months apart, as part of SOC for monitoring SCA complications (≥3 routine follow-ups per year); (2) patients attended one or two outpatient visits in the past 12 months, 4–6 months apart (1–2 routine follow-ups</w:t>
      </w:r>
      <w:r>
        <w:rPr>
          <w:rFonts w:ascii="Times New Roman" w:eastAsia="Times New Roman" w:hAnsi="Times New Roman" w:cs="Times New Roman"/>
          <w:sz w:val="24"/>
          <w:szCs w:val="24"/>
        </w:rPr>
        <w:t xml:space="preserve"> per year:); and (3) patients did not attend outpatient visits in the past 12 months (no routine follow-ups per year).</w:t>
      </w:r>
    </w:p>
    <w:p w14:paraId="677CD18A" w14:textId="77777777" w:rsidR="00995447" w:rsidRDefault="00995447">
      <w:pPr>
        <w:spacing w:line="360" w:lineRule="auto"/>
        <w:ind w:left="0"/>
        <w:jc w:val="both"/>
        <w:rPr>
          <w:rFonts w:ascii="Times New Roman" w:eastAsia="Times New Roman" w:hAnsi="Times New Roman" w:cs="Times New Roman"/>
          <w:sz w:val="24"/>
          <w:szCs w:val="24"/>
        </w:rPr>
      </w:pPr>
    </w:p>
    <w:p w14:paraId="3A7F9C76" w14:textId="77777777" w:rsidR="00995447" w:rsidRDefault="000E4D7A">
      <w:pPr>
        <w:spacing w:line="360" w:lineRule="auto"/>
        <w:ind w:left="0"/>
        <w:jc w:val="both"/>
        <w:rPr>
          <w:rFonts w:ascii="Times New Roman" w:eastAsia="Times New Roman" w:hAnsi="Times New Roman" w:cs="Times New Roman"/>
          <w:sz w:val="24"/>
          <w:szCs w:val="24"/>
        </w:rPr>
      </w:pPr>
      <w:bookmarkStart w:id="2" w:name="_vmgoncvvbhil" w:colFirst="0" w:colLast="0"/>
      <w:bookmarkEnd w:id="2"/>
      <w:r>
        <w:rPr>
          <w:rFonts w:ascii="Times New Roman" w:eastAsia="Times New Roman" w:hAnsi="Times New Roman" w:cs="Times New Roman"/>
          <w:sz w:val="24"/>
          <w:szCs w:val="24"/>
        </w:rPr>
        <w:t>Routine follow-ups were defined as outpatient consultations during steady state, including vital signs monitoring, physical examination,</w:t>
      </w:r>
      <w:r>
        <w:rPr>
          <w:rFonts w:ascii="Times New Roman" w:eastAsia="Times New Roman" w:hAnsi="Times New Roman" w:cs="Times New Roman"/>
          <w:sz w:val="24"/>
          <w:szCs w:val="24"/>
        </w:rPr>
        <w:t xml:space="preserve"> and routine laboratory tests. Post-hospital discharge appointments were excluded, as they were considered recovery treatment rather than routine follow-up. All participants were assumed to have received standard care during VOC according to YCH guidelines</w:t>
      </w:r>
      <w:r>
        <w:rPr>
          <w:rFonts w:ascii="Times New Roman" w:eastAsia="Times New Roman" w:hAnsi="Times New Roman" w:cs="Times New Roman"/>
          <w:sz w:val="24"/>
          <w:szCs w:val="24"/>
        </w:rPr>
        <w:t xml:space="preserve"> for SCA.</w:t>
      </w:r>
    </w:p>
    <w:p w14:paraId="4CA221F9" w14:textId="77777777" w:rsidR="00995447" w:rsidRDefault="00995447">
      <w:pPr>
        <w:spacing w:line="360" w:lineRule="auto"/>
        <w:ind w:left="0"/>
        <w:jc w:val="both"/>
        <w:rPr>
          <w:rFonts w:ascii="Times New Roman" w:eastAsia="Times New Roman" w:hAnsi="Times New Roman" w:cs="Times New Roman"/>
          <w:sz w:val="24"/>
          <w:szCs w:val="24"/>
        </w:rPr>
      </w:pPr>
    </w:p>
    <w:p w14:paraId="02FE35C3" w14:textId="77777777" w:rsidR="00995447" w:rsidRDefault="000E4D7A">
      <w:pPr>
        <w:spacing w:line="360" w:lineRule="auto"/>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Clinical outcomes</w:t>
      </w:r>
    </w:p>
    <w:p w14:paraId="6D612752" w14:textId="380D7EB3"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initially intended primary outcome was years lost due to disability (prevalence approach), calculated using disabilities weights for severe painful episodes requiring hospitalization, avascular necrosis, ulceration, stroke,</w:t>
      </w:r>
      <w:r>
        <w:rPr>
          <w:rFonts w:ascii="Times New Roman" w:eastAsia="Times New Roman" w:hAnsi="Times New Roman" w:cs="Times New Roman"/>
          <w:sz w:val="24"/>
          <w:szCs w:val="24"/>
        </w:rPr>
        <w:t xml:space="preserve"> and baseline hemoglobin levels (reflecting anemia severity) over the preceding year. However, given the short study duration and limited data availability, hospital-free days (HFDs) during the past 3 months were adopted as the primary outcome. Hospital-fr</w:t>
      </w:r>
      <w:r>
        <w:rPr>
          <w:rFonts w:ascii="Times New Roman" w:eastAsia="Times New Roman" w:hAnsi="Times New Roman" w:cs="Times New Roman"/>
          <w:sz w:val="24"/>
          <w:szCs w:val="24"/>
        </w:rPr>
        <w:t>ee days were defined as the number of days spent outside an inpatient or emergency department bed</w:t>
      </w:r>
      <w:r w:rsidR="00B71C9F">
        <w:rPr>
          <w:rFonts w:ascii="Times New Roman" w:eastAsia="Times New Roman" w:hAnsi="Times New Roman" w:cs="Times New Roman"/>
          <w:sz w:val="24"/>
          <w:szCs w:val="24"/>
        </w:rPr>
        <w:t xml:space="preserve"> </w:t>
      </w:r>
      <w:r w:rsidR="00B71C9F">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{"citationID":"Q09bdEtu","properties":{"formattedCitation":"[16]","plainCitation":"[16]","noteIndex":0},"citationItems":[{"id":3700,"uris":["http://zotero.org/users/13316261/items/SAXKFY4P"],"itemData":{"id":3700,"type":"article-journal","container-title":"American Journal of Respiratory and Critical Care Medicine","DOI":"10.1164/rccm.202104-1063PP","ISSN":"1073-449X, 1535-4970","issue":"8","journalAbbreviation":"Am J Respir Crit Care Med","language":"en","page":"902-909","source":"DOI.org (Crossref)","title":"Hospital-Free Days: A Pragmatic and Patient-centered Outcome for Trials among Critically and Seriously Ill Patients","title-short":"Hospital-Free Days","volume":"204","author":[{"family":"Auriemma","given":"Catherine L."},{"family":"Taylor","given":"Stephanie P."},{"family":"Harhay","given":"Michael O."},{"family":"Courtright","given":"Katherine R."},{"family":"Halpern","given":"Scott D."}],"issued":{"date-parts":[["2021",10,15]]}}}],"schema":"https://github.com/citation-style-language/schema/raw/master/csl-citation.json"} </w:instrText>
      </w:r>
      <w:r w:rsidR="00B71C9F">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[16]</w:t>
      </w:r>
      <w:r w:rsidR="00B71C9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with ≥8 hours in a hospital bed counted as one hospital day. </w:t>
      </w:r>
      <w:r>
        <w:rPr>
          <w:rFonts w:ascii="Times New Roman" w:eastAsia="Times New Roman" w:hAnsi="Times New Roman" w:cs="Times New Roman"/>
          <w:sz w:val="24"/>
          <w:szCs w:val="24"/>
        </w:rPr>
        <w:lastRenderedPageBreak/>
        <w:t>This measure was selected because i</w:t>
      </w:r>
      <w:r>
        <w:rPr>
          <w:rFonts w:ascii="Times New Roman" w:eastAsia="Times New Roman" w:hAnsi="Times New Roman" w:cs="Times New Roman"/>
          <w:sz w:val="24"/>
          <w:szCs w:val="24"/>
        </w:rPr>
        <w:t>t captures multiple SCA scenarios, reflects survival and resource utilization, and facilitates interpretation of the incremental cost-effectiveness ratio (ICER). The 3-month timeframe was selected due to challenges in ensuring complete patient data (partic</w:t>
      </w:r>
      <w:r>
        <w:rPr>
          <w:rFonts w:ascii="Times New Roman" w:eastAsia="Times New Roman" w:hAnsi="Times New Roman" w:cs="Times New Roman"/>
          <w:sz w:val="24"/>
          <w:szCs w:val="24"/>
        </w:rPr>
        <w:t xml:space="preserve">ularly prescriptions and hospital consumables) over longer periods. The secondary outcome was number of mild-to-severe painful episodes in the past 3 months. Health benefits of routine follow-up strategies were measured as longer HFDs, and fewer frequency </w:t>
      </w:r>
      <w:r>
        <w:rPr>
          <w:rFonts w:ascii="Times New Roman" w:eastAsia="Times New Roman" w:hAnsi="Times New Roman" w:cs="Times New Roman"/>
          <w:sz w:val="24"/>
          <w:szCs w:val="24"/>
        </w:rPr>
        <w:t>of painful episodes.</w:t>
      </w:r>
    </w:p>
    <w:p w14:paraId="432E5872" w14:textId="77777777" w:rsidR="00995447" w:rsidRDefault="00995447">
      <w:pPr>
        <w:spacing w:line="360" w:lineRule="auto"/>
        <w:ind w:left="0"/>
        <w:jc w:val="both"/>
        <w:rPr>
          <w:rFonts w:ascii="Times New Roman" w:eastAsia="Times New Roman" w:hAnsi="Times New Roman" w:cs="Times New Roman"/>
          <w:sz w:val="24"/>
          <w:szCs w:val="24"/>
        </w:rPr>
      </w:pPr>
    </w:p>
    <w:p w14:paraId="6403EE4B" w14:textId="77777777" w:rsidR="00995447" w:rsidRDefault="000E4D7A">
      <w:pPr>
        <w:spacing w:line="360" w:lineRule="auto"/>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Cost calculation</w:t>
      </w:r>
    </w:p>
    <w:p w14:paraId="05D9AE22" w14:textId="694B62C4"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Costs were estimated from a limited healthcare sector perspective, as medical expenses were largely out-of-pocket (OOP)</w:t>
      </w:r>
      <w:r w:rsidR="00B71C9F">
        <w:rPr>
          <w:rFonts w:ascii="Times New Roman" w:eastAsia="Times New Roman" w:hAnsi="Times New Roman" w:cs="Times New Roman"/>
          <w:sz w:val="24"/>
          <w:szCs w:val="24"/>
        </w:rPr>
        <w:t xml:space="preserve"> </w:t>
      </w:r>
      <w:r w:rsidR="00B71C9F">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{"citationID":"Yde6VJJp","properties":{"formattedCitation":"[17]","plainCitation":"[17]","noteIndex":0},"citationItems":[{"id":4066,"uris":["http://zotero.org/users/13316261/items/4GGLQSUL"],"itemData":{"id":4066,"type":"article-journal","abstract":"Abstract\n            The term ‘perspective’ in the context of economic evaluations and costing studies in healthcare refers to the viewpoint that an analyst has adopted to define the types of costs and outcomes to consider in their studies. However, there are currently notable variations in terms of methodological recommendations, definitions, and applications of different perspectives, depending on the objective or intended user of the study. This can make it a complex area for stakeholders when interpreting these studies. Consequently, there is a need for a comprehensive overview regarding the different types of perspectives employed in such analyses, along with the corresponding implications of their use. This is particularly important, in the context of low-and-middle-income countries (LMICs), where practical guidelines may be less well-established and infrastructure for conducting economic evaluations may be more limited. This article addresses this gap by summarising the main types of perspectives commonly found in the literature to a broad audience (namely the patient, payer, health care providers, healthcare sector, health system, and societal perspectives), providing their most established definitions and outlining the corresponding implications of their uses in health economic studies, with examples particularly from LMIC settings. We then discuss important considerations when selecting the perspective and present key arguments to consider when deciding whether the societal perspective should be used. We conclude that there is no one-size-fits-all answer to what perspective should be used and the perspective chosen will be influenced by the context, policymakers'/stakeholders’ viewpoints, resource/data availability, and intended use of the analysis. Moving forward, considering the ongoing issues regarding the variation in terminology and practice in this area, we urge that more standardised definitions of the different perspectives and the boundaries between them are further developed to support future studies and guidelines, as well as to improve the interpretation and comparison of health economic evidence.","container-title":"Cost Effectiveness and Resource Allocation","DOI":"10.1186/s12962-024-00552-1","ISSN":"1478-7547","issue":"1","journalAbbreviation":"Cost Eff Resour Alloc","language":"en","page":"41","source":"DOI.org (Crossref)","title":"An overview of the perspectives used in health economic evaluations","volume":"22","author":[{"family":"Sittimart","given":"Manit"},{"family":"Rattanavipapong","given":"Waranya"},{"family":"Mirelman","given":"Andrew J."},{"family":"Hung","given":"Trinh Manh"},{"family":"Dabak","given":"Saudamini"},{"family":"Downey","given":"Laura E."},{"family":"Jit","given":"Mark"},{"family":"Teerawattananon","given":"Yot"},{"family":"Turner","given":"Hugo C."}],"issued":{"date-parts":[["2024",5,14]]}}}],"schema":"https://github.com/citation-style-language/schema/raw/master/csl-citation.json"} </w:instrText>
      </w:r>
      <w:r w:rsidR="00B71C9F">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[17]</w:t>
      </w:r>
      <w:r w:rsidR="00B71C9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 societal perspective was not considered because non-medical costs and health service costs (such as staff time, equipment and clinic supplies) we</w:t>
      </w:r>
      <w:r>
        <w:rPr>
          <w:rFonts w:ascii="Times New Roman" w:eastAsia="Times New Roman" w:hAnsi="Times New Roman" w:cs="Times New Roman"/>
          <w:sz w:val="24"/>
          <w:szCs w:val="24"/>
        </w:rPr>
        <w:t>re difficult to quantify in this setting. Only direct medical costs were included: outpatient consultation fees, emergency consultation fees, inpatient bed-days, laboratory and imaging tests, hospital consumables, medications, blood products, oxygen therap</w:t>
      </w:r>
      <w:r>
        <w:rPr>
          <w:rFonts w:ascii="Times New Roman" w:eastAsia="Times New Roman" w:hAnsi="Times New Roman" w:cs="Times New Roman"/>
          <w:sz w:val="24"/>
          <w:szCs w:val="24"/>
        </w:rPr>
        <w:t>y, and leg ulcer debridement. Unit costs were obtained from the YCH billing department, and local pharmacies. Total costs were calculated by multiplying unit costs by resource quantities. Costs were recorded in local currency (Central African Franc CFA – X</w:t>
      </w:r>
      <w:r>
        <w:rPr>
          <w:rFonts w:ascii="Times New Roman" w:eastAsia="Times New Roman" w:hAnsi="Times New Roman" w:cs="Times New Roman"/>
          <w:sz w:val="24"/>
          <w:szCs w:val="24"/>
        </w:rPr>
        <w:t>AF), with an average exchange rate of $1 USD ≈ XAF 606.35 in 2024</w:t>
      </w:r>
      <w:r w:rsidR="00EA6B9E">
        <w:rPr>
          <w:rFonts w:ascii="Times New Roman" w:eastAsia="Times New Roman" w:hAnsi="Times New Roman" w:cs="Times New Roman"/>
          <w:sz w:val="24"/>
          <w:szCs w:val="24"/>
        </w:rPr>
        <w:t xml:space="preserve"> </w:t>
      </w:r>
      <w:r w:rsidR="00EA6B9E">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{"citationID":"5bQaWBWG","properties":{"formattedCitation":"[18]","plainCitation":"[18]","noteIndex":0},"citationItems":[{"id":3950,"uris":["http://zotero.org/users/13316261/items/VI6KXGAU"],"itemData":{"id":3950,"type":"webpage","language":"en","title":"Official exchange rate (LCU per US$, period dollar). International Monetary Fund, International Financial Statistics.","URL":"https://data.worldbank.org/indicator/PA.NUS.FCRF","author":[{"family":"World Bank Group","given":""}],"accessed":{"date-parts":[["2025",5,9]]},"issued":{"date-parts":[["2025"]]}}}],"schema":"https://github.com/citation-style-language/schema/raw/master/csl-citation.json"} </w:instrText>
      </w:r>
      <w:r w:rsidR="00EA6B9E">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[18]</w:t>
      </w:r>
      <w:r w:rsidR="00EA6B9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Painful </w:t>
      </w:r>
      <w:r>
        <w:rPr>
          <w:rFonts w:ascii="Times New Roman" w:eastAsia="Times New Roman" w:hAnsi="Times New Roman" w:cs="Times New Roman"/>
          <w:sz w:val="24"/>
          <w:szCs w:val="24"/>
        </w:rPr>
        <w:t>episodes treated at home were excluded, as patient/caregiver costs were intractable to determine.</w:t>
      </w:r>
    </w:p>
    <w:p w14:paraId="0AF9FDA3" w14:textId="77777777" w:rsidR="00995447" w:rsidRDefault="00995447">
      <w:pPr>
        <w:spacing w:line="360" w:lineRule="auto"/>
        <w:ind w:left="0"/>
        <w:jc w:val="both"/>
        <w:rPr>
          <w:rFonts w:ascii="Times New Roman" w:eastAsia="Times New Roman" w:hAnsi="Times New Roman" w:cs="Times New Roman"/>
          <w:sz w:val="24"/>
          <w:szCs w:val="24"/>
        </w:rPr>
      </w:pPr>
    </w:p>
    <w:p w14:paraId="3383FAEE" w14:textId="77777777" w:rsidR="00995447" w:rsidRDefault="000E4D7A">
      <w:pPr>
        <w:spacing w:line="360" w:lineRule="auto"/>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Incremental Cost-Effectiveness Analysis</w:t>
      </w:r>
    </w:p>
    <w:p w14:paraId="693E5673" w14:textId="7110974F"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cost-effectiveness of ≥3 routine follow-ups per year was compared with no follow-ups per year and with 1–2 follow</w:t>
      </w:r>
      <w:r>
        <w:rPr>
          <w:rFonts w:ascii="Times New Roman" w:eastAsia="Times New Roman" w:hAnsi="Times New Roman" w:cs="Times New Roman"/>
          <w:sz w:val="24"/>
          <w:szCs w:val="24"/>
        </w:rPr>
        <w:t xml:space="preserve">-ups per year. ICERs were calculated both undiscounted and discounted costs at 3%. Given the observational design, selection bias and unobserved confounding (e.g., genetic and environmental influences on SCA severity) were addressed using genetic matching </w:t>
      </w:r>
      <w:r>
        <w:rPr>
          <w:rFonts w:ascii="Times New Roman" w:eastAsia="Times New Roman" w:hAnsi="Times New Roman" w:cs="Times New Roman"/>
          <w:sz w:val="24"/>
          <w:szCs w:val="24"/>
        </w:rPr>
        <w:t>with covariate balancing propensity score (CBPS)</w:t>
      </w:r>
      <w:r w:rsidR="00760F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regression methods to estimate costs and effectiveness.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The ICER was defined as the additional cost per unit of HFD gained, computed as the difference in incremental costs between strategies divided by </w:t>
      </w:r>
      <w:r>
        <w:rPr>
          <w:rFonts w:ascii="Times New Roman" w:eastAsia="Times New Roman" w:hAnsi="Times New Roman" w:cs="Times New Roman"/>
          <w:sz w:val="24"/>
          <w:szCs w:val="24"/>
        </w:rPr>
        <w:t>the difference in incremental HFDs. Uncertainty was assessed using bootstrap confidence intervals. Net monetary benefit and willingness-to-pay sensitivity analyses were not performed, as Cameroon lacks a defined cost-effectiveness threshold.</w:t>
      </w:r>
    </w:p>
    <w:p w14:paraId="17875963" w14:textId="77777777" w:rsidR="00995447" w:rsidRDefault="00995447">
      <w:pPr>
        <w:spacing w:line="360" w:lineRule="auto"/>
        <w:ind w:left="0"/>
        <w:jc w:val="both"/>
        <w:rPr>
          <w:rFonts w:ascii="Times New Roman" w:eastAsia="Times New Roman" w:hAnsi="Times New Roman" w:cs="Times New Roman"/>
          <w:sz w:val="24"/>
          <w:szCs w:val="24"/>
        </w:rPr>
      </w:pPr>
    </w:p>
    <w:p w14:paraId="3E7CFC1D" w14:textId="77777777" w:rsidR="00995447" w:rsidRDefault="000E4D7A">
      <w:pPr>
        <w:spacing w:line="360" w:lineRule="auto"/>
        <w:ind w:left="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Statistical a</w:t>
      </w:r>
      <w:r>
        <w:rPr>
          <w:rFonts w:ascii="Times New Roman" w:eastAsia="Times New Roman" w:hAnsi="Times New Roman" w:cs="Times New Roman"/>
          <w:b/>
          <w:bCs/>
          <w:sz w:val="24"/>
          <w:szCs w:val="24"/>
        </w:rPr>
        <w:t>nalysis</w:t>
      </w:r>
    </w:p>
    <w:p w14:paraId="5BE0B382" w14:textId="0687855F"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Patient characteristics were described using mean, median, and percentages. Observational data in CEA can generate biased estimates due to selection bias and unobserved confounding</w:t>
      </w:r>
      <w:r w:rsidR="00985F33">
        <w:rPr>
          <w:rFonts w:ascii="Times New Roman" w:eastAsia="Times New Roman" w:hAnsi="Times New Roman" w:cs="Times New Roman"/>
          <w:sz w:val="24"/>
          <w:szCs w:val="24"/>
        </w:rPr>
        <w:t xml:space="preserve"> </w:t>
      </w:r>
      <w:r w:rsidR="00985F33">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{"citationID":"ObOp0ct3","properties":{"formattedCitation":"[19,20]","plainCitation":"[19,20]","noteIndex":0},"citationItems":[{"id":3929,"uris":["http://zotero.org/users/13316261/items/5C6C57I8"],"itemData":{"id":3929,"type":"article-journal","abstract":"SUMMARY\n            Many cost‐effectiveness analyses (CEAs) use data from observational studies. Statistical methods can only address selection bias if they make plausible assumptions. No quality assessment tool is available for appraising CEAs that use observational studies. We developed a new checklist to assess statistical methods for addressing selection bias in CEAs that use observational data.\n            The checklist criteria were informed by a conceptual review and applied in a systematic review of economic evaluations. Criteria included whether the study assessed the ‘no unobserved confounding’ assumption, overlap of baseline covariates between the treatment groups and the specification of the regression models. The checklist also considered structural uncertainty from the choice of statistical approach.\n            We found 81 studies that met the inclusion criteria: studies tended to use regression (51%), matching on individual covariates (25%) or matching on the propensity score (22%). Most studies (77%) did not assess the ‘no observed confounding’ assumption, and few studies (16%) fully considered structural uncertainty from the choice of statistical approach.\n            We conclude that published CEAs do not assess the main assumptions behind statistical methods for addressing selection bias. This checklist can raise awareness about the assumptions behind statistical methods for addressing selection bias and can complement existing method guidelines for CEAs. Copyright © 2012 John Wiley &amp; Sons, Ltd.","container-title":"Health Economics","DOI":"10.1002/hec.2806","ISSN":"1057-9230, 1099-1050","issue":"4","journalAbbreviation":"Health Economics","language":"en","license":"http://onlinelibrary.wiley.com/termsAndConditions#vor","page":"486-500","source":"DOI.org (Crossref)","title":"Statistical Methods for Cost Effectiveness Analyses That use Observational Data: A Critical Appraisal Tool and Review of Current Practice","title-short":"STATISTICAL METHODS FOR COST‐EFFECTIVENESS ANALYSES THAT USE OBSERVATIONAL DATA","volume":"22","author":[{"family":"Kreif","given":"Noémi"},{"family":"Grieve","given":"Richard"},{"family":"Sadique","given":"M. Zia"}],"issued":{"date-parts":[["2013",4]]}}},{"id":4089,"uris":["http://zotero.org/users/13316261/items/EYZS2B65"],"itemData":{"id":4089,"type":"article-journal","abstract":"Abstract\n            Propensity score methods are increasingly used as a tool to control for confounding bias in pharmacoepidemiologic studies. The propensity score is a dimension reducing balancing score, creating treatment, and reference groups that have comparable distributions of measured covariates. The purpose of this methods review is to provide an overview of the use of propensity score methods, including a summary of important data assumptions, various applications of the propensity score, and how to evaluate covariate balance. This article is intended for pharmacists and researchers who wish to receive an introduction to propensity score methods and be able to engage in high‐level discussions on application and reporting.","container-title":"JACCP:  JOURNAL OF THE AMERICAN COLLEGE OF CLINICAL PHARMACY","DOI":"10.1002/jac5.1591","ISSN":"2574-9870, 2574-9870","issue":"4","journalAbbreviation":"J Am Coll Clin Pharm","language":"en","page":"467-475","source":"DOI.org (Crossref)","title":"Research and scholarly methods: Propensity scores","title-short":"Research and scholarly methods","volume":"5","author":[{"family":"Medaglio","given":"Dominique"},{"family":"Stephens‐Shields","given":"Alisa J."},{"family":"Leonard","given":"Charles E."}],"issued":{"date-parts":[["2022",4]]}}}],"schema":"https://github.com/citation-style-language/schema/raw/master/csl-citation.json"} </w:instrText>
      </w:r>
      <w:r w:rsidR="00985F33">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[19,20]</w:t>
      </w:r>
      <w:r w:rsidR="00985F3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To address this, genetic matching with CBPS was applied with age, gender, number of hospitalization</w:t>
      </w:r>
      <w:r>
        <w:rPr>
          <w:rFonts w:ascii="Times New Roman" w:eastAsia="Times New Roman" w:hAnsi="Times New Roman" w:cs="Times New Roman"/>
          <w:sz w:val="24"/>
          <w:szCs w:val="24"/>
        </w:rPr>
        <w:t>s/year and blood transfusion sessions/year serving as covariates. Matching was performed for ≥3 follow-ups per year versus no follow-up per year, and for ≥3 follow-ups per year versus 1–2 follow-ups per year. Balanced datasets were analyzed using general l</w:t>
      </w:r>
      <w:r>
        <w:rPr>
          <w:rFonts w:ascii="Times New Roman" w:eastAsia="Times New Roman" w:hAnsi="Times New Roman" w:cs="Times New Roman"/>
          <w:sz w:val="24"/>
          <w:szCs w:val="24"/>
        </w:rPr>
        <w:t>inear regression and generalized additive models to estimate mean costs and outcomes. Gamma or Tweedie statistical distributions (to account for zero-cost instances) with log-link functions were applied to estimate mean costs. The mean HFDs and painful epi</w:t>
      </w:r>
      <w:r>
        <w:rPr>
          <w:rFonts w:ascii="Times New Roman" w:eastAsia="Times New Roman" w:hAnsi="Times New Roman" w:cs="Times New Roman"/>
          <w:sz w:val="24"/>
          <w:szCs w:val="24"/>
        </w:rPr>
        <w:t>sodes across treatments were estimated using beta regression with a logit link and negative binomial with log-link respectively. HFDs was normalized before beta regression using the Smithson and Verkuilen's method to exclude the zeros and ones limits</w:t>
      </w:r>
      <w:r w:rsidR="00E543C5">
        <w:rPr>
          <w:rFonts w:ascii="Times New Roman" w:eastAsia="Times New Roman" w:hAnsi="Times New Roman" w:cs="Times New Roman"/>
          <w:sz w:val="24"/>
          <w:szCs w:val="24"/>
        </w:rPr>
        <w:t xml:space="preserve"> </w:t>
      </w:r>
      <w:r w:rsidR="00E543C5">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{"citationID":"Y7TxlMsB","properties":{"formattedCitation":"[21]","plainCitation":"[21]","noteIndex":0},"citationItems":[{"id":4120,"uris":["http://zotero.org/users/13316261/items/5CQDL39K"],"itemData":{"id":4120,"type":"article-journal","container-title":"Psychol Methods","DOI":"10.1037/1082-989X.11.1.54","issue":"1","page":"54-71","title":"A better lemon squeezer? Maximum-likelihood regression with beta-distributed dependent variables.","volume":"11","author":[{"family":"Smithson","given":"Michael"},{"family":"Verkuilen","given":"Jay"}],"issued":{"date-parts":[["2006"]]}}}],"schema":"https://github.com/citation-style-language/schema/raw/master/csl-citation.json"} </w:instrText>
      </w:r>
      <w:r w:rsidR="00E543C5">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[21]</w:t>
      </w:r>
      <w:r w:rsidR="00E543C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Total costs per strategy were computed as the sum of estim</w:t>
      </w:r>
      <w:r>
        <w:rPr>
          <w:rFonts w:ascii="Times New Roman" w:eastAsia="Times New Roman" w:hAnsi="Times New Roman" w:cs="Times New Roman"/>
          <w:sz w:val="24"/>
          <w:szCs w:val="24"/>
        </w:rPr>
        <w:t>ated marginal costs and used to calculate ICERs.</w:t>
      </w:r>
    </w:p>
    <w:p w14:paraId="56536D4C" w14:textId="77777777" w:rsidR="00995447" w:rsidRDefault="00995447">
      <w:pPr>
        <w:spacing w:line="360" w:lineRule="auto"/>
        <w:ind w:left="0"/>
        <w:jc w:val="both"/>
        <w:rPr>
          <w:rFonts w:ascii="Times New Roman" w:eastAsia="Times New Roman" w:hAnsi="Times New Roman" w:cs="Times New Roman"/>
          <w:sz w:val="24"/>
          <w:szCs w:val="24"/>
        </w:rPr>
      </w:pPr>
    </w:p>
    <w:p w14:paraId="5994EC1A" w14:textId="6D2F5C41"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Uncertainty in ICERs was addressed through patient-level resampling with </w:t>
      </w:r>
      <w:r w:rsidR="00EC4CF1">
        <w:rPr>
          <w:rFonts w:ascii="Times New Roman" w:eastAsia="Times New Roman" w:hAnsi="Times New Roman" w:cs="Times New Roman"/>
          <w:sz w:val="24"/>
          <w:szCs w:val="24"/>
        </w:rPr>
        <w:t>2</w:t>
      </w:r>
      <w:r>
        <w:rPr>
          <w:rFonts w:ascii="Times New Roman" w:eastAsia="Times New Roman" w:hAnsi="Times New Roman" w:cs="Times New Roman"/>
          <w:sz w:val="24"/>
          <w:szCs w:val="24"/>
        </w:rPr>
        <w:t>,000 bootstrap iterations to generate bias-corrected and accelerated (</w:t>
      </w:r>
      <w:proofErr w:type="spellStart"/>
      <w:r>
        <w:rPr>
          <w:rFonts w:ascii="Times New Roman" w:eastAsia="Times New Roman" w:hAnsi="Times New Roman" w:cs="Times New Roman"/>
          <w:sz w:val="24"/>
          <w:szCs w:val="24"/>
        </w:rPr>
        <w:t>BCa</w:t>
      </w:r>
      <w:proofErr w:type="spellEnd"/>
      <w:r>
        <w:rPr>
          <w:rFonts w:ascii="Times New Roman" w:eastAsia="Times New Roman" w:hAnsi="Times New Roman" w:cs="Times New Roman"/>
          <w:sz w:val="24"/>
          <w:szCs w:val="24"/>
        </w:rPr>
        <w:t>) confidence intervals. All analyses were conducted using R</w:t>
      </w:r>
      <w:r>
        <w:rPr>
          <w:rFonts w:ascii="Times New Roman" w:eastAsia="Times New Roman" w:hAnsi="Times New Roman" w:cs="Times New Roman"/>
          <w:sz w:val="24"/>
          <w:szCs w:val="24"/>
        </w:rPr>
        <w:t xml:space="preserve"> software for statistical computing and graphics</w:t>
      </w:r>
      <w:r w:rsidR="00615318">
        <w:rPr>
          <w:rFonts w:ascii="Times New Roman" w:eastAsia="Times New Roman" w:hAnsi="Times New Roman" w:cs="Times New Roman"/>
          <w:sz w:val="24"/>
          <w:szCs w:val="24"/>
        </w:rPr>
        <w:t xml:space="preserve"> </w:t>
      </w:r>
      <w:r w:rsidR="00615318">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{"citationID":"9YkKCwin","properties":{"formattedCitation":"[22]","plainCitation":"[22]","noteIndex":0},"citationItems":[{"id":3935,"uris":["http://zotero.org/users/13316261/items/QX3YYNDA"],"itemData":{"id":3935,"type":"software","event-place":"Vienna, Austria","genre":"R","medium":"x86_64, mingw32","publisher":"R Foundation for Statistical Computing","publisher-place":"Vienna, Austria","title":"R: A Language and Environment for Statistical Computing.","URL":"https://www.R-project.org","version":"R version 4.3.2","author":[{"family":"R Core Team","given":""}],"issued":{"date-parts":[["2023"]]}}}],"schema":"https://github.com/citation-style-language/schema/raw/master/csl-citation.json"} </w:instrText>
      </w:r>
      <w:r w:rsidR="00615318">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[22]</w:t>
      </w:r>
      <w:r w:rsidR="0061531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1328613" w14:textId="77777777" w:rsidR="00995447" w:rsidRDefault="000E4D7A">
      <w:pPr>
        <w:pStyle w:val="Heading1"/>
        <w:ind w:left="0"/>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Results</w:t>
      </w:r>
    </w:p>
    <w:p w14:paraId="4A4E5E91"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Seventeen individuals a</w:t>
      </w:r>
      <w:r>
        <w:rPr>
          <w:rFonts w:ascii="Times New Roman" w:eastAsia="Times New Roman" w:hAnsi="Times New Roman" w:cs="Times New Roman"/>
          <w:sz w:val="24"/>
          <w:szCs w:val="24"/>
        </w:rPr>
        <w:t>ttended ≥3 follow-ups per year, 13 attended 1–2 follow-ups per year, and 21 had no outpatient routine follow-ups per year. Most participants were female (n = 30, 59%). Baseline characteristics across follow-up strategies prior to covariate balancing are pr</w:t>
      </w:r>
      <w:r>
        <w:rPr>
          <w:rFonts w:ascii="Times New Roman" w:eastAsia="Times New Roman" w:hAnsi="Times New Roman" w:cs="Times New Roman"/>
          <w:sz w:val="24"/>
          <w:szCs w:val="24"/>
        </w:rPr>
        <w:t xml:space="preserve">esented in </w:t>
      </w:r>
      <w:r w:rsidRPr="000F5574">
        <w:rPr>
          <w:rFonts w:ascii="Times New Roman" w:eastAsia="Times New Roman" w:hAnsi="Times New Roman" w:cs="Times New Roman"/>
          <w:sz w:val="24"/>
          <w:szCs w:val="24"/>
        </w:rPr>
        <w:t>Table 2.</w:t>
      </w:r>
    </w:p>
    <w:p w14:paraId="3B8ECE72" w14:textId="77777777" w:rsidR="00995447" w:rsidRDefault="00995447">
      <w:pPr>
        <w:spacing w:line="360" w:lineRule="auto"/>
        <w:ind w:left="0"/>
        <w:jc w:val="both"/>
        <w:rPr>
          <w:rFonts w:ascii="Times New Roman" w:eastAsia="Times New Roman" w:hAnsi="Times New Roman" w:cs="Times New Roman"/>
          <w:sz w:val="24"/>
          <w:szCs w:val="24"/>
        </w:rPr>
      </w:pPr>
    </w:p>
    <w:p w14:paraId="7092C939" w14:textId="77777777" w:rsidR="00995447" w:rsidRDefault="000E4D7A">
      <w:pPr>
        <w:keepNext/>
        <w:spacing w:after="200"/>
        <w:ind w:left="0"/>
        <w:jc w:val="left"/>
        <w:rPr>
          <w:rFonts w:ascii="Times New Roman" w:eastAsia="Times New Roman" w:hAnsi="Times New Roman" w:cs="Times New Roman"/>
          <w:sz w:val="20"/>
          <w:szCs w:val="20"/>
        </w:rPr>
      </w:pPr>
      <w:r w:rsidRPr="000F5574">
        <w:rPr>
          <w:rFonts w:ascii="Times New Roman" w:eastAsia="Times New Roman" w:hAnsi="Times New Roman" w:cs="Times New Roman"/>
          <w:sz w:val="20"/>
          <w:szCs w:val="20"/>
        </w:rPr>
        <w:t>Table 2.</w:t>
      </w:r>
      <w:r>
        <w:rPr>
          <w:rFonts w:ascii="Times New Roman" w:eastAsia="Times New Roman" w:hAnsi="Times New Roman" w:cs="Times New Roman"/>
          <w:sz w:val="20"/>
          <w:szCs w:val="20"/>
        </w:rPr>
        <w:t xml:space="preserve"> Baseline characteristics.</w:t>
      </w:r>
    </w:p>
    <w:tbl>
      <w:tblPr>
        <w:tblStyle w:val="a0"/>
        <w:tblW w:w="9016" w:type="dxa"/>
        <w:tblInd w:w="0" w:type="dxa"/>
        <w:tblBorders>
          <w:top w:val="single" w:sz="8" w:space="0" w:color="000000"/>
          <w:left w:val="nil"/>
          <w:bottom w:val="nil"/>
          <w:right w:val="nil"/>
          <w:insideH w:val="nil"/>
          <w:insideV w:val="nil"/>
        </w:tblBorders>
        <w:tblLayout w:type="fixed"/>
        <w:tblLook w:val="0400" w:firstRow="0" w:lastRow="0" w:firstColumn="0" w:lastColumn="0" w:noHBand="0" w:noVBand="1"/>
      </w:tblPr>
      <w:tblGrid>
        <w:gridCol w:w="2977"/>
        <w:gridCol w:w="1425"/>
        <w:gridCol w:w="1827"/>
        <w:gridCol w:w="1730"/>
        <w:gridCol w:w="1057"/>
      </w:tblGrid>
      <w:tr w:rsidR="00995447" w14:paraId="37144191" w14:textId="77777777">
        <w:trPr>
          <w:trHeight w:val="340"/>
        </w:trPr>
        <w:tc>
          <w:tcPr>
            <w:tcW w:w="2977" w:type="dxa"/>
            <w:tcBorders>
              <w:top w:val="single" w:sz="8" w:space="0" w:color="000000"/>
              <w:bottom w:val="single" w:sz="8" w:space="0" w:color="000000"/>
            </w:tcBorders>
            <w:vAlign w:val="center"/>
          </w:tcPr>
          <w:p w14:paraId="4A3E796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Variable</w:t>
            </w:r>
          </w:p>
        </w:tc>
        <w:tc>
          <w:tcPr>
            <w:tcW w:w="1425" w:type="dxa"/>
            <w:tcBorders>
              <w:top w:val="single" w:sz="8" w:space="0" w:color="000000"/>
              <w:bottom w:val="single" w:sz="8" w:space="0" w:color="000000"/>
            </w:tcBorders>
            <w:vAlign w:val="center"/>
          </w:tcPr>
          <w:p w14:paraId="59C5563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No follow-up </w:t>
            </w:r>
          </w:p>
          <w:p w14:paraId="0288587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(n =21)</w:t>
            </w:r>
          </w:p>
        </w:tc>
        <w:tc>
          <w:tcPr>
            <w:tcW w:w="1827" w:type="dxa"/>
            <w:tcBorders>
              <w:top w:val="single" w:sz="8" w:space="0" w:color="000000"/>
              <w:bottom w:val="single" w:sz="8" w:space="0" w:color="000000"/>
            </w:tcBorders>
            <w:vAlign w:val="center"/>
          </w:tcPr>
          <w:p w14:paraId="43B7803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1–2 follow-ups  </w:t>
            </w:r>
          </w:p>
          <w:p w14:paraId="71BE786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(n = 13)</w:t>
            </w:r>
          </w:p>
        </w:tc>
        <w:tc>
          <w:tcPr>
            <w:tcW w:w="1730" w:type="dxa"/>
            <w:tcBorders>
              <w:top w:val="single" w:sz="8" w:space="0" w:color="000000"/>
              <w:bottom w:val="single" w:sz="8" w:space="0" w:color="000000"/>
            </w:tcBorders>
            <w:vAlign w:val="center"/>
          </w:tcPr>
          <w:p w14:paraId="331ED22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≥3 follow-ups </w:t>
            </w:r>
          </w:p>
          <w:p w14:paraId="4070F30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(n = 17)</w:t>
            </w:r>
          </w:p>
        </w:tc>
        <w:tc>
          <w:tcPr>
            <w:tcW w:w="1057" w:type="dxa"/>
            <w:tcBorders>
              <w:top w:val="single" w:sz="8" w:space="0" w:color="000000"/>
              <w:bottom w:val="single" w:sz="8" w:space="0" w:color="000000"/>
            </w:tcBorders>
            <w:vAlign w:val="center"/>
          </w:tcPr>
          <w:p w14:paraId="4827B9E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i/>
                <w:iCs/>
                <w:sz w:val="18"/>
                <w:szCs w:val="18"/>
              </w:rPr>
              <w:t>p</w:t>
            </w:r>
            <w:r>
              <w:rPr>
                <w:rFonts w:ascii="Times New Roman" w:eastAsia="Times New Roman" w:hAnsi="Times New Roman" w:cs="Times New Roman"/>
                <w:sz w:val="18"/>
                <w:szCs w:val="18"/>
              </w:rPr>
              <w:t xml:space="preserve"> Value</w:t>
            </w:r>
          </w:p>
        </w:tc>
      </w:tr>
      <w:tr w:rsidR="00995447" w14:paraId="38E139F2" w14:textId="77777777">
        <w:trPr>
          <w:trHeight w:val="340"/>
        </w:trPr>
        <w:tc>
          <w:tcPr>
            <w:tcW w:w="2977" w:type="dxa"/>
            <w:tcBorders>
              <w:top w:val="single" w:sz="8" w:space="0" w:color="000000"/>
            </w:tcBorders>
            <w:vAlign w:val="center"/>
          </w:tcPr>
          <w:p w14:paraId="1F241F4F"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Gender, n (%)</w:t>
            </w:r>
          </w:p>
        </w:tc>
        <w:tc>
          <w:tcPr>
            <w:tcW w:w="1425" w:type="dxa"/>
            <w:tcBorders>
              <w:top w:val="single" w:sz="8" w:space="0" w:color="000000"/>
            </w:tcBorders>
            <w:vAlign w:val="center"/>
          </w:tcPr>
          <w:p w14:paraId="47D1E60D" w14:textId="77777777" w:rsidR="00995447" w:rsidRDefault="00995447">
            <w:pPr>
              <w:ind w:left="0"/>
              <w:rPr>
                <w:rFonts w:ascii="Times New Roman" w:eastAsia="Times New Roman" w:hAnsi="Times New Roman" w:cs="Times New Roman"/>
                <w:sz w:val="18"/>
                <w:szCs w:val="18"/>
              </w:rPr>
            </w:pPr>
          </w:p>
        </w:tc>
        <w:tc>
          <w:tcPr>
            <w:tcW w:w="1827" w:type="dxa"/>
            <w:tcBorders>
              <w:top w:val="single" w:sz="8" w:space="0" w:color="000000"/>
            </w:tcBorders>
            <w:vAlign w:val="center"/>
          </w:tcPr>
          <w:p w14:paraId="5A735E15" w14:textId="77777777" w:rsidR="00995447" w:rsidRDefault="00995447">
            <w:pPr>
              <w:ind w:left="0"/>
              <w:rPr>
                <w:rFonts w:ascii="Times New Roman" w:eastAsia="Times New Roman" w:hAnsi="Times New Roman" w:cs="Times New Roman"/>
                <w:sz w:val="18"/>
                <w:szCs w:val="18"/>
              </w:rPr>
            </w:pPr>
          </w:p>
        </w:tc>
        <w:tc>
          <w:tcPr>
            <w:tcW w:w="1730" w:type="dxa"/>
            <w:tcBorders>
              <w:top w:val="single" w:sz="8" w:space="0" w:color="000000"/>
            </w:tcBorders>
            <w:vAlign w:val="center"/>
          </w:tcPr>
          <w:p w14:paraId="16ED31E9" w14:textId="77777777" w:rsidR="00995447" w:rsidRDefault="00995447">
            <w:pPr>
              <w:ind w:left="0"/>
              <w:rPr>
                <w:rFonts w:ascii="Times New Roman" w:eastAsia="Times New Roman" w:hAnsi="Times New Roman" w:cs="Times New Roman"/>
                <w:sz w:val="18"/>
                <w:szCs w:val="18"/>
              </w:rPr>
            </w:pPr>
          </w:p>
        </w:tc>
        <w:tc>
          <w:tcPr>
            <w:tcW w:w="1057" w:type="dxa"/>
            <w:tcBorders>
              <w:top w:val="single" w:sz="8" w:space="0" w:color="000000"/>
            </w:tcBorders>
            <w:vAlign w:val="center"/>
          </w:tcPr>
          <w:p w14:paraId="24A068CD" w14:textId="77777777" w:rsidR="00995447" w:rsidRDefault="00995447">
            <w:pPr>
              <w:ind w:left="0"/>
              <w:rPr>
                <w:rFonts w:ascii="Times New Roman" w:eastAsia="Times New Roman" w:hAnsi="Times New Roman" w:cs="Times New Roman"/>
                <w:sz w:val="18"/>
                <w:szCs w:val="18"/>
              </w:rPr>
            </w:pPr>
          </w:p>
        </w:tc>
      </w:tr>
      <w:tr w:rsidR="00995447" w14:paraId="4BC1977B" w14:textId="77777777">
        <w:trPr>
          <w:trHeight w:val="340"/>
        </w:trPr>
        <w:tc>
          <w:tcPr>
            <w:tcW w:w="2977" w:type="dxa"/>
            <w:vAlign w:val="center"/>
          </w:tcPr>
          <w:p w14:paraId="3378B89B"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Female</w:t>
            </w:r>
          </w:p>
        </w:tc>
        <w:tc>
          <w:tcPr>
            <w:tcW w:w="1425" w:type="dxa"/>
            <w:vAlign w:val="center"/>
          </w:tcPr>
          <w:p w14:paraId="394ED4E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13 (25)</w:t>
            </w:r>
          </w:p>
        </w:tc>
        <w:tc>
          <w:tcPr>
            <w:tcW w:w="1827" w:type="dxa"/>
            <w:vAlign w:val="center"/>
          </w:tcPr>
          <w:p w14:paraId="204B279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 (10)</w:t>
            </w:r>
          </w:p>
        </w:tc>
        <w:tc>
          <w:tcPr>
            <w:tcW w:w="1730" w:type="dxa"/>
            <w:vAlign w:val="center"/>
          </w:tcPr>
          <w:p w14:paraId="7E39CA9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12 (23)</w:t>
            </w:r>
          </w:p>
        </w:tc>
        <w:tc>
          <w:tcPr>
            <w:tcW w:w="1057" w:type="dxa"/>
            <w:vAlign w:val="center"/>
          </w:tcPr>
          <w:p w14:paraId="0A1E697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0.194</w:t>
            </w:r>
            <w:r>
              <w:rPr>
                <w:rFonts w:ascii="Times New Roman" w:eastAsia="Times New Roman" w:hAnsi="Times New Roman" w:cs="Times New Roman"/>
                <w:sz w:val="18"/>
                <w:szCs w:val="18"/>
                <w:vertAlign w:val="superscript"/>
              </w:rPr>
              <w:t>a</w:t>
            </w:r>
          </w:p>
        </w:tc>
      </w:tr>
      <w:tr w:rsidR="00995447" w14:paraId="26B5F0D4" w14:textId="77777777">
        <w:trPr>
          <w:trHeight w:val="340"/>
        </w:trPr>
        <w:tc>
          <w:tcPr>
            <w:tcW w:w="2977" w:type="dxa"/>
            <w:vAlign w:val="center"/>
          </w:tcPr>
          <w:p w14:paraId="5CDD36ED"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Male</w:t>
            </w:r>
          </w:p>
        </w:tc>
        <w:tc>
          <w:tcPr>
            <w:tcW w:w="1425" w:type="dxa"/>
            <w:vAlign w:val="center"/>
          </w:tcPr>
          <w:p w14:paraId="2D911BD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 (16)</w:t>
            </w:r>
          </w:p>
        </w:tc>
        <w:tc>
          <w:tcPr>
            <w:tcW w:w="1827" w:type="dxa"/>
            <w:vAlign w:val="center"/>
          </w:tcPr>
          <w:p w14:paraId="32E680C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 (16)</w:t>
            </w:r>
          </w:p>
        </w:tc>
        <w:tc>
          <w:tcPr>
            <w:tcW w:w="1730" w:type="dxa"/>
            <w:vAlign w:val="center"/>
          </w:tcPr>
          <w:p w14:paraId="4FE6C1B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 (10)</w:t>
            </w:r>
          </w:p>
        </w:tc>
        <w:tc>
          <w:tcPr>
            <w:tcW w:w="1057" w:type="dxa"/>
            <w:vAlign w:val="center"/>
          </w:tcPr>
          <w:p w14:paraId="62A31DAA" w14:textId="77777777" w:rsidR="00995447" w:rsidRDefault="00995447">
            <w:pPr>
              <w:ind w:left="0"/>
              <w:rPr>
                <w:rFonts w:ascii="Times New Roman" w:eastAsia="Times New Roman" w:hAnsi="Times New Roman" w:cs="Times New Roman"/>
                <w:sz w:val="18"/>
                <w:szCs w:val="18"/>
              </w:rPr>
            </w:pPr>
          </w:p>
        </w:tc>
      </w:tr>
      <w:tr w:rsidR="00995447" w14:paraId="0E318CE5" w14:textId="77777777">
        <w:trPr>
          <w:trHeight w:val="340"/>
        </w:trPr>
        <w:tc>
          <w:tcPr>
            <w:tcW w:w="2977" w:type="dxa"/>
            <w:vAlign w:val="center"/>
          </w:tcPr>
          <w:p w14:paraId="2CE4C856"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Age (year), Mean (SD)</w:t>
            </w:r>
          </w:p>
        </w:tc>
        <w:tc>
          <w:tcPr>
            <w:tcW w:w="1425" w:type="dxa"/>
            <w:vAlign w:val="center"/>
          </w:tcPr>
          <w:p w14:paraId="5FE6647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23.29 (7.42)</w:t>
            </w:r>
          </w:p>
        </w:tc>
        <w:tc>
          <w:tcPr>
            <w:tcW w:w="1827" w:type="dxa"/>
            <w:vAlign w:val="center"/>
          </w:tcPr>
          <w:p w14:paraId="24A9A95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25.46 (7.52)</w:t>
            </w:r>
          </w:p>
        </w:tc>
        <w:tc>
          <w:tcPr>
            <w:tcW w:w="1730" w:type="dxa"/>
            <w:vAlign w:val="center"/>
          </w:tcPr>
          <w:p w14:paraId="1BD21C3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32.59 (13.1)</w:t>
            </w:r>
          </w:p>
        </w:tc>
        <w:tc>
          <w:tcPr>
            <w:tcW w:w="1057" w:type="dxa"/>
            <w:vAlign w:val="center"/>
          </w:tcPr>
          <w:p w14:paraId="66921B6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0.016</w:t>
            </w:r>
            <w:r>
              <w:rPr>
                <w:rFonts w:ascii="Times New Roman" w:eastAsia="Times New Roman" w:hAnsi="Times New Roman" w:cs="Times New Roman"/>
                <w:sz w:val="18"/>
                <w:szCs w:val="18"/>
                <w:vertAlign w:val="superscript"/>
              </w:rPr>
              <w:t>b</w:t>
            </w:r>
          </w:p>
        </w:tc>
      </w:tr>
      <w:tr w:rsidR="00995447" w14:paraId="22B6F610" w14:textId="77777777">
        <w:trPr>
          <w:trHeight w:val="340"/>
        </w:trPr>
        <w:tc>
          <w:tcPr>
            <w:tcW w:w="9016" w:type="dxa"/>
            <w:gridSpan w:val="5"/>
            <w:vAlign w:val="center"/>
          </w:tcPr>
          <w:p w14:paraId="1DF6DE32" w14:textId="77777777" w:rsidR="00995447" w:rsidRDefault="000E4D7A">
            <w:pPr>
              <w:ind w:left="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Clinical outcome, Median (IQR)</w:t>
            </w:r>
          </w:p>
        </w:tc>
      </w:tr>
      <w:tr w:rsidR="00995447" w14:paraId="0A0015F9" w14:textId="77777777">
        <w:trPr>
          <w:trHeight w:val="340"/>
        </w:trPr>
        <w:tc>
          <w:tcPr>
            <w:tcW w:w="2977" w:type="dxa"/>
            <w:vAlign w:val="center"/>
          </w:tcPr>
          <w:p w14:paraId="600A8BBE"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HFDs (past 3 months)</w:t>
            </w:r>
          </w:p>
        </w:tc>
        <w:tc>
          <w:tcPr>
            <w:tcW w:w="1425" w:type="dxa"/>
            <w:vAlign w:val="center"/>
          </w:tcPr>
          <w:p w14:paraId="0F9FE04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79.0 (5.0)</w:t>
            </w:r>
          </w:p>
        </w:tc>
        <w:tc>
          <w:tcPr>
            <w:tcW w:w="1827" w:type="dxa"/>
            <w:vAlign w:val="center"/>
          </w:tcPr>
          <w:p w14:paraId="036AC42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82.0 (6.0)</w:t>
            </w:r>
          </w:p>
        </w:tc>
        <w:tc>
          <w:tcPr>
            <w:tcW w:w="1730" w:type="dxa"/>
            <w:vAlign w:val="center"/>
          </w:tcPr>
          <w:p w14:paraId="31F2E76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88.0 (4.0)</w:t>
            </w:r>
          </w:p>
        </w:tc>
        <w:tc>
          <w:tcPr>
            <w:tcW w:w="1057" w:type="dxa"/>
            <w:vAlign w:val="center"/>
          </w:tcPr>
          <w:p w14:paraId="4EA423D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r>
      <w:tr w:rsidR="00995447" w14:paraId="784715DC" w14:textId="77777777">
        <w:trPr>
          <w:trHeight w:val="340"/>
        </w:trPr>
        <w:tc>
          <w:tcPr>
            <w:tcW w:w="2977" w:type="dxa"/>
            <w:vAlign w:val="center"/>
          </w:tcPr>
          <w:p w14:paraId="4057B8A4" w14:textId="77777777" w:rsidR="00995447" w:rsidRDefault="000E4D7A">
            <w:pPr>
              <w:ind w:firstLine="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Pain episodes (past 3 months)</w:t>
            </w:r>
          </w:p>
        </w:tc>
        <w:tc>
          <w:tcPr>
            <w:tcW w:w="1425" w:type="dxa"/>
            <w:vAlign w:val="center"/>
          </w:tcPr>
          <w:p w14:paraId="0053347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4.0 (6.0)</w:t>
            </w:r>
          </w:p>
        </w:tc>
        <w:tc>
          <w:tcPr>
            <w:tcW w:w="1827" w:type="dxa"/>
            <w:vAlign w:val="center"/>
          </w:tcPr>
          <w:p w14:paraId="131148C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3.0 (4.0)</w:t>
            </w:r>
          </w:p>
        </w:tc>
        <w:tc>
          <w:tcPr>
            <w:tcW w:w="1730" w:type="dxa"/>
            <w:vAlign w:val="center"/>
          </w:tcPr>
          <w:p w14:paraId="1921919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 (1.0)</w:t>
            </w:r>
          </w:p>
        </w:tc>
        <w:tc>
          <w:tcPr>
            <w:tcW w:w="1057" w:type="dxa"/>
            <w:vAlign w:val="center"/>
          </w:tcPr>
          <w:p w14:paraId="37DB6F3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0.001</w:t>
            </w:r>
          </w:p>
        </w:tc>
      </w:tr>
      <w:tr w:rsidR="00995447" w14:paraId="5B3EA6C0" w14:textId="77777777">
        <w:trPr>
          <w:trHeight w:val="340"/>
        </w:trPr>
        <w:tc>
          <w:tcPr>
            <w:tcW w:w="2977" w:type="dxa"/>
            <w:vAlign w:val="center"/>
          </w:tcPr>
          <w:p w14:paraId="5A1E8CC2" w14:textId="77777777" w:rsidR="00995447" w:rsidRDefault="000E4D7A">
            <w:pPr>
              <w:ind w:firstLine="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Hospitalizations (past 12 months)</w:t>
            </w:r>
          </w:p>
        </w:tc>
        <w:tc>
          <w:tcPr>
            <w:tcW w:w="1425" w:type="dxa"/>
            <w:vAlign w:val="center"/>
          </w:tcPr>
          <w:p w14:paraId="610AE7C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 (2.0)</w:t>
            </w:r>
          </w:p>
        </w:tc>
        <w:tc>
          <w:tcPr>
            <w:tcW w:w="1827" w:type="dxa"/>
            <w:vAlign w:val="center"/>
          </w:tcPr>
          <w:p w14:paraId="7A6AE6C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2.0 </w:t>
            </w:r>
            <w:r>
              <w:rPr>
                <w:rFonts w:ascii="Times New Roman" w:eastAsia="Times New Roman" w:hAnsi="Times New Roman" w:cs="Times New Roman"/>
                <w:sz w:val="18"/>
                <w:szCs w:val="18"/>
              </w:rPr>
              <w:t>(2.0)</w:t>
            </w:r>
          </w:p>
        </w:tc>
        <w:tc>
          <w:tcPr>
            <w:tcW w:w="1730" w:type="dxa"/>
            <w:vAlign w:val="center"/>
          </w:tcPr>
          <w:p w14:paraId="72245B8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 (1.0)</w:t>
            </w:r>
          </w:p>
        </w:tc>
        <w:tc>
          <w:tcPr>
            <w:tcW w:w="1057" w:type="dxa"/>
            <w:vAlign w:val="center"/>
          </w:tcPr>
          <w:p w14:paraId="77D9026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r>
      <w:tr w:rsidR="00995447" w14:paraId="1C150DA0" w14:textId="77777777">
        <w:trPr>
          <w:trHeight w:val="340"/>
        </w:trPr>
        <w:tc>
          <w:tcPr>
            <w:tcW w:w="2977" w:type="dxa"/>
            <w:vAlign w:val="center"/>
          </w:tcPr>
          <w:p w14:paraId="0D8FF28A" w14:textId="77777777" w:rsidR="00995447" w:rsidRDefault="000E4D7A">
            <w:pPr>
              <w:ind w:firstLine="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Transfusions (past 12 months)</w:t>
            </w:r>
          </w:p>
        </w:tc>
        <w:tc>
          <w:tcPr>
            <w:tcW w:w="1425" w:type="dxa"/>
            <w:vAlign w:val="center"/>
          </w:tcPr>
          <w:p w14:paraId="665842F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 (1.0)</w:t>
            </w:r>
          </w:p>
        </w:tc>
        <w:tc>
          <w:tcPr>
            <w:tcW w:w="1827" w:type="dxa"/>
            <w:vAlign w:val="center"/>
          </w:tcPr>
          <w:p w14:paraId="630EE03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 (1.0)</w:t>
            </w:r>
          </w:p>
        </w:tc>
        <w:tc>
          <w:tcPr>
            <w:tcW w:w="1730" w:type="dxa"/>
            <w:vAlign w:val="center"/>
          </w:tcPr>
          <w:p w14:paraId="4CBC84E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 (1.0)</w:t>
            </w:r>
          </w:p>
        </w:tc>
        <w:tc>
          <w:tcPr>
            <w:tcW w:w="1057" w:type="dxa"/>
            <w:vAlign w:val="center"/>
          </w:tcPr>
          <w:p w14:paraId="77448E5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0.001</w:t>
            </w:r>
          </w:p>
        </w:tc>
      </w:tr>
      <w:tr w:rsidR="00995447" w14:paraId="359AD8B8" w14:textId="77777777">
        <w:trPr>
          <w:trHeight w:val="340"/>
        </w:trPr>
        <w:tc>
          <w:tcPr>
            <w:tcW w:w="9016" w:type="dxa"/>
            <w:gridSpan w:val="5"/>
            <w:vAlign w:val="center"/>
          </w:tcPr>
          <w:p w14:paraId="6EB8762F"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Cost (XAF), Median (IQR)</w:t>
            </w:r>
          </w:p>
        </w:tc>
      </w:tr>
      <w:tr w:rsidR="00995447" w14:paraId="5B4323EE" w14:textId="77777777">
        <w:trPr>
          <w:trHeight w:val="340"/>
        </w:trPr>
        <w:tc>
          <w:tcPr>
            <w:tcW w:w="2977" w:type="dxa"/>
            <w:vAlign w:val="center"/>
          </w:tcPr>
          <w:p w14:paraId="1078D733"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Outpatients consult fee</w:t>
            </w:r>
          </w:p>
        </w:tc>
        <w:tc>
          <w:tcPr>
            <w:tcW w:w="1425" w:type="dxa"/>
            <w:vAlign w:val="center"/>
          </w:tcPr>
          <w:p w14:paraId="06E4768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 (0)</w:t>
            </w:r>
          </w:p>
        </w:tc>
        <w:tc>
          <w:tcPr>
            <w:tcW w:w="1827" w:type="dxa"/>
            <w:vAlign w:val="center"/>
          </w:tcPr>
          <w:p w14:paraId="05A3D8F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5,000 (5,000)</w:t>
            </w:r>
          </w:p>
        </w:tc>
        <w:tc>
          <w:tcPr>
            <w:tcW w:w="1730" w:type="dxa"/>
            <w:vAlign w:val="center"/>
          </w:tcPr>
          <w:p w14:paraId="79C7068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15,000 (5,000)</w:t>
            </w:r>
          </w:p>
        </w:tc>
        <w:tc>
          <w:tcPr>
            <w:tcW w:w="1057" w:type="dxa"/>
            <w:vAlign w:val="center"/>
          </w:tcPr>
          <w:p w14:paraId="6351FC2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r>
      <w:tr w:rsidR="00995447" w14:paraId="369A80B1" w14:textId="77777777">
        <w:trPr>
          <w:trHeight w:val="340"/>
        </w:trPr>
        <w:tc>
          <w:tcPr>
            <w:tcW w:w="2977" w:type="dxa"/>
            <w:vAlign w:val="center"/>
          </w:tcPr>
          <w:p w14:paraId="39C65168"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ED consult fee</w:t>
            </w:r>
          </w:p>
        </w:tc>
        <w:tc>
          <w:tcPr>
            <w:tcW w:w="1425" w:type="dxa"/>
            <w:vAlign w:val="center"/>
          </w:tcPr>
          <w:p w14:paraId="082DC47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10,000 (10,000)</w:t>
            </w:r>
          </w:p>
        </w:tc>
        <w:tc>
          <w:tcPr>
            <w:tcW w:w="1827" w:type="dxa"/>
            <w:vAlign w:val="center"/>
          </w:tcPr>
          <w:p w14:paraId="5ED7FB1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10,000 (10,000)</w:t>
            </w:r>
          </w:p>
        </w:tc>
        <w:tc>
          <w:tcPr>
            <w:tcW w:w="1730" w:type="dxa"/>
            <w:vAlign w:val="center"/>
          </w:tcPr>
          <w:p w14:paraId="1EC7F7E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5,000 (5,000)</w:t>
            </w:r>
          </w:p>
        </w:tc>
        <w:tc>
          <w:tcPr>
            <w:tcW w:w="1057" w:type="dxa"/>
            <w:vAlign w:val="center"/>
          </w:tcPr>
          <w:p w14:paraId="787EE16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r>
      <w:tr w:rsidR="00995447" w14:paraId="611BC3B8" w14:textId="77777777">
        <w:trPr>
          <w:trHeight w:val="340"/>
        </w:trPr>
        <w:tc>
          <w:tcPr>
            <w:tcW w:w="2977" w:type="dxa"/>
            <w:vAlign w:val="center"/>
          </w:tcPr>
          <w:p w14:paraId="6047D067"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Medication</w:t>
            </w:r>
          </w:p>
        </w:tc>
        <w:tc>
          <w:tcPr>
            <w:tcW w:w="1425" w:type="dxa"/>
            <w:vAlign w:val="center"/>
          </w:tcPr>
          <w:p w14:paraId="3E12F1E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59,800 (47,800)</w:t>
            </w:r>
          </w:p>
        </w:tc>
        <w:tc>
          <w:tcPr>
            <w:tcW w:w="1827" w:type="dxa"/>
            <w:vAlign w:val="center"/>
          </w:tcPr>
          <w:p w14:paraId="77D7401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58,000 (55,700)</w:t>
            </w:r>
          </w:p>
        </w:tc>
        <w:tc>
          <w:tcPr>
            <w:tcW w:w="1730" w:type="dxa"/>
            <w:vAlign w:val="center"/>
          </w:tcPr>
          <w:p w14:paraId="17C2F1B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23,900 (32,400)</w:t>
            </w:r>
          </w:p>
        </w:tc>
        <w:tc>
          <w:tcPr>
            <w:tcW w:w="1057" w:type="dxa"/>
            <w:vAlign w:val="center"/>
          </w:tcPr>
          <w:p w14:paraId="2CC01CC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0.001</w:t>
            </w:r>
          </w:p>
        </w:tc>
      </w:tr>
      <w:tr w:rsidR="00995447" w14:paraId="42FCF2EA" w14:textId="77777777">
        <w:trPr>
          <w:trHeight w:val="340"/>
        </w:trPr>
        <w:tc>
          <w:tcPr>
            <w:tcW w:w="2977" w:type="dxa"/>
            <w:vAlign w:val="center"/>
          </w:tcPr>
          <w:p w14:paraId="01305F1C"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Laboratory test</w:t>
            </w:r>
          </w:p>
        </w:tc>
        <w:tc>
          <w:tcPr>
            <w:tcW w:w="1425" w:type="dxa"/>
            <w:vAlign w:val="center"/>
          </w:tcPr>
          <w:p w14:paraId="37BD72E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19,800 (14,800)</w:t>
            </w:r>
          </w:p>
        </w:tc>
        <w:tc>
          <w:tcPr>
            <w:tcW w:w="1827" w:type="dxa"/>
            <w:vAlign w:val="center"/>
          </w:tcPr>
          <w:p w14:paraId="79EE484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40,500 (37,250)</w:t>
            </w:r>
          </w:p>
        </w:tc>
        <w:tc>
          <w:tcPr>
            <w:tcW w:w="1730" w:type="dxa"/>
            <w:vAlign w:val="center"/>
          </w:tcPr>
          <w:p w14:paraId="4556FBB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8,500 (16,000)</w:t>
            </w:r>
          </w:p>
        </w:tc>
        <w:tc>
          <w:tcPr>
            <w:tcW w:w="1057" w:type="dxa"/>
            <w:vAlign w:val="center"/>
          </w:tcPr>
          <w:p w14:paraId="3502AEE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0.002</w:t>
            </w:r>
          </w:p>
        </w:tc>
      </w:tr>
      <w:tr w:rsidR="00995447" w14:paraId="277055ED" w14:textId="77777777">
        <w:trPr>
          <w:trHeight w:val="340"/>
        </w:trPr>
        <w:tc>
          <w:tcPr>
            <w:tcW w:w="2977" w:type="dxa"/>
            <w:vAlign w:val="center"/>
          </w:tcPr>
          <w:p w14:paraId="7CFFE5C7"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Imaging</w:t>
            </w:r>
          </w:p>
        </w:tc>
        <w:tc>
          <w:tcPr>
            <w:tcW w:w="1425" w:type="dxa"/>
            <w:vAlign w:val="center"/>
          </w:tcPr>
          <w:p w14:paraId="001EFD4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7,000 (8,000)</w:t>
            </w:r>
          </w:p>
        </w:tc>
        <w:tc>
          <w:tcPr>
            <w:tcW w:w="1827" w:type="dxa"/>
            <w:vAlign w:val="center"/>
          </w:tcPr>
          <w:p w14:paraId="3FE75B8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7,000 (8,000)</w:t>
            </w:r>
          </w:p>
        </w:tc>
        <w:tc>
          <w:tcPr>
            <w:tcW w:w="1730" w:type="dxa"/>
            <w:vAlign w:val="center"/>
          </w:tcPr>
          <w:p w14:paraId="29AFB9A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 (7,000)</w:t>
            </w:r>
          </w:p>
        </w:tc>
        <w:tc>
          <w:tcPr>
            <w:tcW w:w="1057" w:type="dxa"/>
            <w:vAlign w:val="center"/>
          </w:tcPr>
          <w:p w14:paraId="557292A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r>
      <w:tr w:rsidR="00995447" w14:paraId="3A77868B" w14:textId="77777777">
        <w:trPr>
          <w:trHeight w:val="340"/>
        </w:trPr>
        <w:tc>
          <w:tcPr>
            <w:tcW w:w="2977" w:type="dxa"/>
            <w:vAlign w:val="center"/>
          </w:tcPr>
          <w:p w14:paraId="1B9D2F5B"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Hospital consumables</w:t>
            </w:r>
          </w:p>
        </w:tc>
        <w:tc>
          <w:tcPr>
            <w:tcW w:w="1425" w:type="dxa"/>
            <w:vAlign w:val="center"/>
          </w:tcPr>
          <w:p w14:paraId="782E69C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4,500 (1,900)</w:t>
            </w:r>
          </w:p>
        </w:tc>
        <w:tc>
          <w:tcPr>
            <w:tcW w:w="1827" w:type="dxa"/>
            <w:vAlign w:val="center"/>
          </w:tcPr>
          <w:p w14:paraId="279C1E0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3,400 (3,200)</w:t>
            </w:r>
          </w:p>
        </w:tc>
        <w:tc>
          <w:tcPr>
            <w:tcW w:w="1730" w:type="dxa"/>
            <w:vAlign w:val="center"/>
          </w:tcPr>
          <w:p w14:paraId="2B39CC3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1,500 (1,700)</w:t>
            </w:r>
          </w:p>
        </w:tc>
        <w:tc>
          <w:tcPr>
            <w:tcW w:w="1057" w:type="dxa"/>
            <w:vAlign w:val="center"/>
          </w:tcPr>
          <w:p w14:paraId="635B23C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r>
      <w:tr w:rsidR="00995447" w14:paraId="5C288FD8" w14:textId="77777777">
        <w:trPr>
          <w:trHeight w:val="340"/>
        </w:trPr>
        <w:tc>
          <w:tcPr>
            <w:tcW w:w="2977" w:type="dxa"/>
            <w:tcBorders>
              <w:bottom w:val="nil"/>
            </w:tcBorders>
            <w:vAlign w:val="center"/>
          </w:tcPr>
          <w:p w14:paraId="16715DC3"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Transfusion product</w:t>
            </w:r>
          </w:p>
        </w:tc>
        <w:tc>
          <w:tcPr>
            <w:tcW w:w="1425" w:type="dxa"/>
            <w:tcBorders>
              <w:bottom w:val="nil"/>
            </w:tcBorders>
            <w:vAlign w:val="center"/>
          </w:tcPr>
          <w:p w14:paraId="1626BE7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10,000 (20,000)</w:t>
            </w:r>
          </w:p>
        </w:tc>
        <w:tc>
          <w:tcPr>
            <w:tcW w:w="1827" w:type="dxa"/>
            <w:tcBorders>
              <w:bottom w:val="nil"/>
            </w:tcBorders>
            <w:vAlign w:val="center"/>
          </w:tcPr>
          <w:p w14:paraId="6765665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20,000 (10,000)</w:t>
            </w:r>
          </w:p>
        </w:tc>
        <w:tc>
          <w:tcPr>
            <w:tcW w:w="1730" w:type="dxa"/>
            <w:tcBorders>
              <w:bottom w:val="nil"/>
            </w:tcBorders>
            <w:vAlign w:val="center"/>
          </w:tcPr>
          <w:p w14:paraId="38132D2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 (10,000)</w:t>
            </w:r>
          </w:p>
        </w:tc>
        <w:tc>
          <w:tcPr>
            <w:tcW w:w="1057" w:type="dxa"/>
            <w:tcBorders>
              <w:bottom w:val="nil"/>
            </w:tcBorders>
            <w:vAlign w:val="center"/>
          </w:tcPr>
          <w:p w14:paraId="52B746E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0.007</w:t>
            </w:r>
          </w:p>
        </w:tc>
      </w:tr>
      <w:tr w:rsidR="00995447" w14:paraId="6E2FF6CE" w14:textId="77777777">
        <w:trPr>
          <w:trHeight w:val="340"/>
        </w:trPr>
        <w:tc>
          <w:tcPr>
            <w:tcW w:w="2977" w:type="dxa"/>
            <w:tcBorders>
              <w:top w:val="nil"/>
              <w:bottom w:val="single" w:sz="8" w:space="0" w:color="000000"/>
            </w:tcBorders>
            <w:vAlign w:val="center"/>
          </w:tcPr>
          <w:p w14:paraId="1B232F95" w14:textId="77777777" w:rsidR="00995447" w:rsidRDefault="000E4D7A">
            <w:pPr>
              <w:ind w:firstLine="284"/>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Inpatient bed-stay</w:t>
            </w:r>
          </w:p>
        </w:tc>
        <w:tc>
          <w:tcPr>
            <w:tcW w:w="1425" w:type="dxa"/>
            <w:tcBorders>
              <w:top w:val="nil"/>
              <w:bottom w:val="single" w:sz="8" w:space="0" w:color="000000"/>
            </w:tcBorders>
            <w:vAlign w:val="center"/>
          </w:tcPr>
          <w:p w14:paraId="2FE5200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165,000 (75,000)</w:t>
            </w:r>
          </w:p>
        </w:tc>
        <w:tc>
          <w:tcPr>
            <w:tcW w:w="1827" w:type="dxa"/>
            <w:tcBorders>
              <w:top w:val="nil"/>
              <w:bottom w:val="single" w:sz="8" w:space="0" w:color="000000"/>
            </w:tcBorders>
            <w:vAlign w:val="center"/>
          </w:tcPr>
          <w:p w14:paraId="040974A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120,000 (90,000)</w:t>
            </w:r>
          </w:p>
        </w:tc>
        <w:tc>
          <w:tcPr>
            <w:tcW w:w="1730" w:type="dxa"/>
            <w:tcBorders>
              <w:top w:val="nil"/>
              <w:bottom w:val="single" w:sz="8" w:space="0" w:color="000000"/>
            </w:tcBorders>
            <w:vAlign w:val="center"/>
          </w:tcPr>
          <w:p w14:paraId="79CDA7B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30,000 (60,000)</w:t>
            </w:r>
          </w:p>
        </w:tc>
        <w:tc>
          <w:tcPr>
            <w:tcW w:w="1057" w:type="dxa"/>
            <w:tcBorders>
              <w:top w:val="nil"/>
              <w:bottom w:val="single" w:sz="8" w:space="0" w:color="000000"/>
            </w:tcBorders>
            <w:vAlign w:val="center"/>
          </w:tcPr>
          <w:p w14:paraId="61A7673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r>
      <w:tr w:rsidR="00995447" w14:paraId="51213CBC" w14:textId="77777777">
        <w:trPr>
          <w:trHeight w:val="340"/>
        </w:trPr>
        <w:tc>
          <w:tcPr>
            <w:tcW w:w="9016" w:type="dxa"/>
            <w:gridSpan w:val="5"/>
            <w:tcBorders>
              <w:top w:val="single" w:sz="8" w:space="0" w:color="000000"/>
            </w:tcBorders>
            <w:vAlign w:val="center"/>
          </w:tcPr>
          <w:p w14:paraId="411C3BC4" w14:textId="3A0AEF00"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HFDs</w:t>
            </w:r>
            <w:r>
              <w:rPr>
                <w:rFonts w:ascii="Times New Roman" w:eastAsia="Times New Roman" w:hAnsi="Times New Roman" w:cs="Times New Roman"/>
                <w:sz w:val="18"/>
                <w:szCs w:val="18"/>
              </w:rPr>
              <w:t xml:space="preserve">, Hospital-free Days; </w:t>
            </w:r>
            <w:r>
              <w:rPr>
                <w:rFonts w:ascii="Times New Roman" w:eastAsia="Times New Roman" w:hAnsi="Times New Roman" w:cs="Times New Roman"/>
                <w:b/>
                <w:bCs/>
                <w:sz w:val="18"/>
                <w:szCs w:val="18"/>
              </w:rPr>
              <w:t>ED</w:t>
            </w:r>
            <w:r>
              <w:rPr>
                <w:rFonts w:ascii="Times New Roman" w:eastAsia="Times New Roman" w:hAnsi="Times New Roman" w:cs="Times New Roman"/>
                <w:sz w:val="18"/>
                <w:szCs w:val="18"/>
              </w:rPr>
              <w:t xml:space="preserve">, Emergency department; </w:t>
            </w:r>
            <w:r>
              <w:rPr>
                <w:rFonts w:ascii="Times New Roman" w:eastAsia="Times New Roman" w:hAnsi="Times New Roman" w:cs="Times New Roman"/>
                <w:b/>
                <w:bCs/>
                <w:sz w:val="18"/>
                <w:szCs w:val="18"/>
              </w:rPr>
              <w:t>XAF</w:t>
            </w:r>
            <w:r>
              <w:rPr>
                <w:rFonts w:ascii="Times New Roman" w:eastAsia="Times New Roman" w:hAnsi="Times New Roman" w:cs="Times New Roman"/>
                <w:sz w:val="18"/>
                <w:szCs w:val="18"/>
              </w:rPr>
              <w:t xml:space="preserve">, Central African Franc CFA ($1 USD ≈ XAF </w:t>
            </w:r>
            <w:r>
              <w:rPr>
                <w:rFonts w:ascii="Times New Roman" w:eastAsia="Times New Roman" w:hAnsi="Times New Roman" w:cs="Times New Roman"/>
                <w:sz w:val="18"/>
                <w:szCs w:val="18"/>
              </w:rPr>
              <w:t>606.35)</w:t>
            </w:r>
            <w:r w:rsidR="00851FB3">
              <w:rPr>
                <w:rFonts w:ascii="Times New Roman" w:eastAsia="Times New Roman" w:hAnsi="Times New Roman" w:cs="Times New Roman"/>
                <w:sz w:val="18"/>
                <w:szCs w:val="18"/>
              </w:rPr>
              <w:t xml:space="preserve"> </w:t>
            </w:r>
            <w:r w:rsidR="00851FB3">
              <w:rPr>
                <w:rFonts w:ascii="Times New Roman" w:eastAsia="Times New Roman" w:hAnsi="Times New Roman" w:cs="Times New Roman"/>
                <w:sz w:val="18"/>
                <w:szCs w:val="18"/>
              </w:rPr>
              <w:fldChar w:fldCharType="begin"/>
            </w:r>
            <w:r w:rsidR="00851FB3">
              <w:rPr>
                <w:rFonts w:ascii="Times New Roman" w:eastAsia="Times New Roman" w:hAnsi="Times New Roman" w:cs="Times New Roman"/>
                <w:sz w:val="18"/>
                <w:szCs w:val="18"/>
              </w:rPr>
              <w:instrText xml:space="preserve"> ADDIN ZOTERO_ITEM CSL_CITATION {"citationID":"PtH7c34R","properties":{"formattedCitation":"[18]","plainCitation":"[18]","noteIndex":0},"citationItems":[{"id":3950,"uris":["http://zotero.org/users/13316261/items/VI6KXGAU"],"itemData":{"id":3950,"type":"webpage","language":"en","title":"Official exchange rate (LCU per US$, period dollar). International Monetary Fund, International Financial Statistics.","URL":"https://data.worldbank.org/indicator/PA.NUS.FCRF","author":[{"family":"World Bank Group","given":""}],"accessed":{"date-parts":[["2025",5,9]]},"issued":{"date-parts":[["2025"]]}}}],"schema":"https://github.com/citation-style-language/schema/raw/master/csl-citation.json"} </w:instrText>
            </w:r>
            <w:r w:rsidR="00851FB3">
              <w:rPr>
                <w:rFonts w:ascii="Times New Roman" w:eastAsia="Times New Roman" w:hAnsi="Times New Roman" w:cs="Times New Roman"/>
                <w:sz w:val="18"/>
                <w:szCs w:val="18"/>
              </w:rPr>
              <w:fldChar w:fldCharType="separate"/>
            </w:r>
            <w:r w:rsidR="00851FB3" w:rsidRPr="00851FB3">
              <w:rPr>
                <w:rFonts w:ascii="Times New Roman" w:hAnsi="Times New Roman" w:cs="Times New Roman"/>
                <w:sz w:val="18"/>
              </w:rPr>
              <w:t>[18]</w:t>
            </w:r>
            <w:r w:rsidR="00851FB3">
              <w:rPr>
                <w:rFonts w:ascii="Times New Roman" w:eastAsia="Times New Roman" w:hAnsi="Times New Roman" w:cs="Times New Roman"/>
                <w:sz w:val="18"/>
                <w:szCs w:val="18"/>
              </w:rPr>
              <w:fldChar w:fldCharType="end"/>
            </w:r>
          </w:p>
          <w:p w14:paraId="732D9CA6"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p-values computed from Krustal-Wallis rank test unless otherwise st</w:t>
            </w:r>
            <w:r>
              <w:rPr>
                <w:rFonts w:ascii="Times New Roman" w:eastAsia="Times New Roman" w:hAnsi="Times New Roman" w:cs="Times New Roman"/>
                <w:sz w:val="18"/>
                <w:szCs w:val="18"/>
              </w:rPr>
              <w:t>ated</w:t>
            </w:r>
          </w:p>
          <w:p w14:paraId="37DF9354"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a</w:t>
            </w:r>
            <w:r>
              <w:rPr>
                <w:rFonts w:ascii="Times New Roman" w:eastAsia="Times New Roman" w:hAnsi="Times New Roman" w:cs="Times New Roman"/>
                <w:sz w:val="18"/>
                <w:szCs w:val="18"/>
              </w:rPr>
              <w:t xml:space="preserve"> p-value from chi-square test</w:t>
            </w:r>
          </w:p>
          <w:p w14:paraId="1723BD48"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b</w:t>
            </w:r>
            <w:r>
              <w:rPr>
                <w:rFonts w:ascii="Times New Roman" w:eastAsia="Times New Roman" w:hAnsi="Times New Roman" w:cs="Times New Roman"/>
                <w:sz w:val="18"/>
                <w:szCs w:val="18"/>
              </w:rPr>
              <w:t xml:space="preserve"> p-value from the analysis of variance</w:t>
            </w:r>
          </w:p>
        </w:tc>
      </w:tr>
    </w:tbl>
    <w:p w14:paraId="0323E060" w14:textId="77777777" w:rsidR="00995447" w:rsidRDefault="00995447">
      <w:pPr>
        <w:spacing w:line="360" w:lineRule="auto"/>
        <w:ind w:left="0"/>
        <w:jc w:val="both"/>
        <w:rPr>
          <w:rFonts w:ascii="Times New Roman" w:eastAsia="Times New Roman" w:hAnsi="Times New Roman" w:cs="Times New Roman"/>
          <w:sz w:val="24"/>
          <w:szCs w:val="24"/>
        </w:rPr>
      </w:pPr>
    </w:p>
    <w:p w14:paraId="126381D1"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Costs and effectiveness were estimated using regression methods after genetic matching with CBPS. The estimated marginal means are shown in Tables </w:t>
      </w:r>
      <w:r w:rsidRPr="00F95FB2">
        <w:rPr>
          <w:rFonts w:ascii="Times New Roman" w:eastAsia="Times New Roman" w:hAnsi="Times New Roman" w:cs="Times New Roman"/>
          <w:sz w:val="24"/>
          <w:szCs w:val="24"/>
        </w:rPr>
        <w:t>3 and 4. B</w:t>
      </w:r>
      <w:r>
        <w:rPr>
          <w:rFonts w:ascii="Times New Roman" w:eastAsia="Times New Roman" w:hAnsi="Times New Roman" w:cs="Times New Roman"/>
          <w:sz w:val="24"/>
          <w:szCs w:val="24"/>
        </w:rPr>
        <w:t xml:space="preserve">alancing was performed between two strategies at a time, mimicking randomized controlled trial conditions [16]. </w:t>
      </w:r>
    </w:p>
    <w:p w14:paraId="0E77F896" w14:textId="77777777" w:rsidR="00995447" w:rsidRDefault="00995447">
      <w:pPr>
        <w:spacing w:line="360" w:lineRule="auto"/>
        <w:ind w:left="0"/>
        <w:jc w:val="both"/>
        <w:rPr>
          <w:rFonts w:ascii="Times New Roman" w:eastAsia="Times New Roman" w:hAnsi="Times New Roman" w:cs="Times New Roman"/>
          <w:sz w:val="24"/>
          <w:szCs w:val="24"/>
        </w:rPr>
      </w:pPr>
    </w:p>
    <w:p w14:paraId="2B884BD0" w14:textId="77777777" w:rsidR="00995447" w:rsidRDefault="000E4D7A">
      <w:pPr>
        <w:keepNext/>
        <w:spacing w:after="200"/>
        <w:ind w:left="0"/>
        <w:jc w:val="left"/>
        <w:rPr>
          <w:rFonts w:ascii="Times New Roman" w:eastAsia="Times New Roman" w:hAnsi="Times New Roman" w:cs="Times New Roman"/>
          <w:sz w:val="20"/>
          <w:szCs w:val="20"/>
        </w:rPr>
      </w:pPr>
      <w:r w:rsidRPr="00271428">
        <w:rPr>
          <w:rFonts w:ascii="Times New Roman" w:eastAsia="Times New Roman" w:hAnsi="Times New Roman" w:cs="Times New Roman"/>
          <w:sz w:val="20"/>
          <w:szCs w:val="20"/>
        </w:rPr>
        <w:t>Table 3</w:t>
      </w:r>
      <w:r>
        <w:rPr>
          <w:rFonts w:ascii="Times New Roman" w:eastAsia="Times New Roman" w:hAnsi="Times New Roman" w:cs="Times New Roman"/>
          <w:sz w:val="20"/>
          <w:szCs w:val="20"/>
        </w:rPr>
        <w:t xml:space="preserve">. Estimated marginal means of clinical outcomes and costs of ≥3 routine follow-ups per year compared no follow-ups per year. </w:t>
      </w:r>
    </w:p>
    <w:tbl>
      <w:tblPr>
        <w:tblStyle w:val="a1"/>
        <w:tblW w:w="5000" w:type="pct"/>
        <w:tblInd w:w="0" w:type="dxa"/>
        <w:tblBorders>
          <w:top w:val="single" w:sz="8" w:space="0" w:color="000000"/>
          <w:left w:val="nil"/>
          <w:bottom w:val="nil"/>
          <w:right w:val="nil"/>
          <w:insideH w:val="nil"/>
          <w:insideV w:val="nil"/>
        </w:tblBorders>
        <w:tblLook w:val="0400" w:firstRow="0" w:lastRow="0" w:firstColumn="0" w:lastColumn="0" w:noHBand="0" w:noVBand="1"/>
      </w:tblPr>
      <w:tblGrid>
        <w:gridCol w:w="2649"/>
        <w:gridCol w:w="1068"/>
        <w:gridCol w:w="1069"/>
        <w:gridCol w:w="1069"/>
        <w:gridCol w:w="246"/>
        <w:gridCol w:w="975"/>
        <w:gridCol w:w="975"/>
        <w:gridCol w:w="975"/>
      </w:tblGrid>
      <w:tr w:rsidR="00995447" w14:paraId="539F3E60" w14:textId="77777777" w:rsidTr="00245D3B">
        <w:trPr>
          <w:trHeight w:val="340"/>
        </w:trPr>
        <w:tc>
          <w:tcPr>
            <w:tcW w:w="1468" w:type="pct"/>
            <w:vMerge w:val="restart"/>
            <w:tcBorders>
              <w:top w:val="single" w:sz="8" w:space="0" w:color="000000"/>
            </w:tcBorders>
            <w:vAlign w:val="center"/>
          </w:tcPr>
          <w:p w14:paraId="26D142AE"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Variable</w:t>
            </w:r>
          </w:p>
        </w:tc>
        <w:tc>
          <w:tcPr>
            <w:tcW w:w="1775" w:type="pct"/>
            <w:gridSpan w:val="3"/>
            <w:tcBorders>
              <w:top w:val="single" w:sz="8" w:space="0" w:color="000000"/>
              <w:bottom w:val="single" w:sz="8" w:space="0" w:color="000000"/>
            </w:tcBorders>
            <w:vAlign w:val="center"/>
          </w:tcPr>
          <w:p w14:paraId="44F7D810"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No follow-ups/year</w:t>
            </w:r>
          </w:p>
        </w:tc>
        <w:tc>
          <w:tcPr>
            <w:tcW w:w="136" w:type="pct"/>
            <w:tcBorders>
              <w:top w:val="single" w:sz="8" w:space="0" w:color="000000"/>
            </w:tcBorders>
            <w:vAlign w:val="center"/>
          </w:tcPr>
          <w:p w14:paraId="7328C942" w14:textId="77777777" w:rsidR="00995447" w:rsidRDefault="00995447">
            <w:pPr>
              <w:ind w:left="0"/>
              <w:rPr>
                <w:rFonts w:ascii="Times New Roman" w:eastAsia="Times New Roman" w:hAnsi="Times New Roman" w:cs="Times New Roman"/>
                <w:b/>
                <w:bCs/>
                <w:sz w:val="18"/>
                <w:szCs w:val="18"/>
              </w:rPr>
            </w:pPr>
          </w:p>
        </w:tc>
        <w:tc>
          <w:tcPr>
            <w:tcW w:w="1621" w:type="pct"/>
            <w:gridSpan w:val="3"/>
            <w:tcBorders>
              <w:top w:val="single" w:sz="8" w:space="0" w:color="000000"/>
              <w:bottom w:val="single" w:sz="8" w:space="0" w:color="000000"/>
            </w:tcBorders>
            <w:vAlign w:val="center"/>
          </w:tcPr>
          <w:p w14:paraId="7EBDD4F2"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 follow-ups/year</w:t>
            </w:r>
          </w:p>
        </w:tc>
      </w:tr>
      <w:tr w:rsidR="00995447" w14:paraId="1E1FB68C" w14:textId="77777777" w:rsidTr="00245D3B">
        <w:trPr>
          <w:trHeight w:val="340"/>
        </w:trPr>
        <w:tc>
          <w:tcPr>
            <w:tcW w:w="1468" w:type="pct"/>
            <w:vMerge/>
            <w:tcBorders>
              <w:top w:val="single" w:sz="8" w:space="0" w:color="000000"/>
            </w:tcBorders>
            <w:vAlign w:val="center"/>
          </w:tcPr>
          <w:p w14:paraId="1F28C976" w14:textId="77777777" w:rsidR="00995447" w:rsidRDefault="00995447">
            <w:pPr>
              <w:widowControl w:val="0"/>
              <w:pBdr>
                <w:top w:val="nil"/>
                <w:left w:val="nil"/>
                <w:bottom w:val="nil"/>
                <w:right w:val="nil"/>
                <w:between w:val="nil"/>
              </w:pBdr>
              <w:spacing w:line="276" w:lineRule="auto"/>
              <w:ind w:left="0"/>
              <w:jc w:val="left"/>
              <w:rPr>
                <w:rFonts w:ascii="Times New Roman" w:eastAsia="Times New Roman" w:hAnsi="Times New Roman" w:cs="Times New Roman"/>
                <w:b/>
                <w:bCs/>
                <w:sz w:val="18"/>
                <w:szCs w:val="18"/>
              </w:rPr>
            </w:pPr>
          </w:p>
        </w:tc>
        <w:tc>
          <w:tcPr>
            <w:tcW w:w="592" w:type="pct"/>
            <w:tcBorders>
              <w:top w:val="single" w:sz="8" w:space="0" w:color="000000"/>
            </w:tcBorders>
            <w:vAlign w:val="center"/>
          </w:tcPr>
          <w:p w14:paraId="7AC56C82" w14:textId="77777777" w:rsidR="00995447" w:rsidRDefault="00995447">
            <w:pPr>
              <w:ind w:left="0"/>
              <w:rPr>
                <w:rFonts w:ascii="Times New Roman" w:eastAsia="Times New Roman" w:hAnsi="Times New Roman" w:cs="Times New Roman"/>
                <w:b/>
                <w:bCs/>
                <w:sz w:val="18"/>
                <w:szCs w:val="18"/>
              </w:rPr>
            </w:pPr>
          </w:p>
        </w:tc>
        <w:tc>
          <w:tcPr>
            <w:tcW w:w="1183" w:type="pct"/>
            <w:gridSpan w:val="2"/>
            <w:tcBorders>
              <w:top w:val="single" w:sz="8" w:space="0" w:color="000000"/>
              <w:bottom w:val="single" w:sz="8" w:space="0" w:color="000000"/>
            </w:tcBorders>
            <w:vAlign w:val="center"/>
          </w:tcPr>
          <w:p w14:paraId="02E0C3B9"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95% CI</w:t>
            </w:r>
          </w:p>
        </w:tc>
        <w:tc>
          <w:tcPr>
            <w:tcW w:w="136" w:type="pct"/>
            <w:tcBorders>
              <w:top w:val="nil"/>
            </w:tcBorders>
            <w:vAlign w:val="center"/>
          </w:tcPr>
          <w:p w14:paraId="03C13381" w14:textId="77777777" w:rsidR="00995447" w:rsidRDefault="00995447">
            <w:pPr>
              <w:ind w:left="0"/>
              <w:rPr>
                <w:rFonts w:ascii="Times New Roman" w:eastAsia="Times New Roman" w:hAnsi="Times New Roman" w:cs="Times New Roman"/>
                <w:b/>
                <w:bCs/>
                <w:sz w:val="18"/>
                <w:szCs w:val="18"/>
              </w:rPr>
            </w:pPr>
          </w:p>
        </w:tc>
        <w:tc>
          <w:tcPr>
            <w:tcW w:w="540" w:type="pct"/>
            <w:tcBorders>
              <w:top w:val="single" w:sz="8" w:space="0" w:color="000000"/>
            </w:tcBorders>
            <w:vAlign w:val="center"/>
          </w:tcPr>
          <w:p w14:paraId="25E17E2F" w14:textId="77777777" w:rsidR="00995447" w:rsidRDefault="00995447">
            <w:pPr>
              <w:ind w:left="0"/>
              <w:rPr>
                <w:rFonts w:ascii="Times New Roman" w:eastAsia="Times New Roman" w:hAnsi="Times New Roman" w:cs="Times New Roman"/>
                <w:b/>
                <w:bCs/>
                <w:sz w:val="18"/>
                <w:szCs w:val="18"/>
              </w:rPr>
            </w:pPr>
          </w:p>
        </w:tc>
        <w:tc>
          <w:tcPr>
            <w:tcW w:w="1080" w:type="pct"/>
            <w:gridSpan w:val="2"/>
            <w:tcBorders>
              <w:top w:val="single" w:sz="8" w:space="0" w:color="000000"/>
              <w:bottom w:val="single" w:sz="8" w:space="0" w:color="000000"/>
            </w:tcBorders>
            <w:vAlign w:val="center"/>
          </w:tcPr>
          <w:p w14:paraId="56B2A2E3"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95% CI</w:t>
            </w:r>
          </w:p>
        </w:tc>
      </w:tr>
      <w:tr w:rsidR="00995447" w14:paraId="05B3A0A8" w14:textId="77777777" w:rsidTr="00245D3B">
        <w:trPr>
          <w:trHeight w:val="340"/>
        </w:trPr>
        <w:tc>
          <w:tcPr>
            <w:tcW w:w="1468" w:type="pct"/>
            <w:vMerge/>
            <w:tcBorders>
              <w:top w:val="single" w:sz="8" w:space="0" w:color="000000"/>
            </w:tcBorders>
            <w:vAlign w:val="center"/>
          </w:tcPr>
          <w:p w14:paraId="41AACD02" w14:textId="77777777" w:rsidR="00995447" w:rsidRDefault="00995447">
            <w:pPr>
              <w:widowControl w:val="0"/>
              <w:pBdr>
                <w:top w:val="nil"/>
                <w:left w:val="nil"/>
                <w:bottom w:val="nil"/>
                <w:right w:val="nil"/>
                <w:between w:val="nil"/>
              </w:pBdr>
              <w:spacing w:line="276" w:lineRule="auto"/>
              <w:ind w:left="0"/>
              <w:jc w:val="left"/>
              <w:rPr>
                <w:rFonts w:ascii="Times New Roman" w:eastAsia="Times New Roman" w:hAnsi="Times New Roman" w:cs="Times New Roman"/>
                <w:b/>
                <w:bCs/>
                <w:sz w:val="18"/>
                <w:szCs w:val="18"/>
              </w:rPr>
            </w:pPr>
          </w:p>
        </w:tc>
        <w:tc>
          <w:tcPr>
            <w:tcW w:w="592" w:type="pct"/>
            <w:tcBorders>
              <w:top w:val="nil"/>
              <w:bottom w:val="single" w:sz="8" w:space="0" w:color="000000"/>
            </w:tcBorders>
            <w:vAlign w:val="center"/>
          </w:tcPr>
          <w:p w14:paraId="5087AFC0"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EMM</w:t>
            </w:r>
          </w:p>
        </w:tc>
        <w:tc>
          <w:tcPr>
            <w:tcW w:w="592" w:type="pct"/>
            <w:tcBorders>
              <w:top w:val="single" w:sz="8" w:space="0" w:color="000000"/>
              <w:bottom w:val="single" w:sz="8" w:space="0" w:color="000000"/>
            </w:tcBorders>
            <w:vAlign w:val="center"/>
          </w:tcPr>
          <w:p w14:paraId="006E336B"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Lower</w:t>
            </w:r>
          </w:p>
        </w:tc>
        <w:tc>
          <w:tcPr>
            <w:tcW w:w="592" w:type="pct"/>
            <w:tcBorders>
              <w:top w:val="single" w:sz="8" w:space="0" w:color="000000"/>
              <w:bottom w:val="single" w:sz="8" w:space="0" w:color="000000"/>
            </w:tcBorders>
            <w:vAlign w:val="center"/>
          </w:tcPr>
          <w:p w14:paraId="1EB73B1B"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Upper</w:t>
            </w:r>
          </w:p>
        </w:tc>
        <w:tc>
          <w:tcPr>
            <w:tcW w:w="136" w:type="pct"/>
            <w:tcBorders>
              <w:top w:val="nil"/>
              <w:bottom w:val="single" w:sz="8" w:space="0" w:color="000000"/>
            </w:tcBorders>
            <w:vAlign w:val="center"/>
          </w:tcPr>
          <w:p w14:paraId="76634D3A" w14:textId="77777777" w:rsidR="00995447" w:rsidRDefault="00995447">
            <w:pPr>
              <w:ind w:left="0"/>
              <w:rPr>
                <w:rFonts w:ascii="Times New Roman" w:eastAsia="Times New Roman" w:hAnsi="Times New Roman" w:cs="Times New Roman"/>
                <w:b/>
                <w:bCs/>
                <w:sz w:val="18"/>
                <w:szCs w:val="18"/>
              </w:rPr>
            </w:pPr>
          </w:p>
        </w:tc>
        <w:tc>
          <w:tcPr>
            <w:tcW w:w="540" w:type="pct"/>
            <w:tcBorders>
              <w:top w:val="nil"/>
              <w:bottom w:val="single" w:sz="8" w:space="0" w:color="000000"/>
            </w:tcBorders>
            <w:vAlign w:val="center"/>
          </w:tcPr>
          <w:p w14:paraId="5A96AE48"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EMM</w:t>
            </w:r>
          </w:p>
        </w:tc>
        <w:tc>
          <w:tcPr>
            <w:tcW w:w="540" w:type="pct"/>
            <w:tcBorders>
              <w:top w:val="single" w:sz="8" w:space="0" w:color="000000"/>
              <w:bottom w:val="single" w:sz="8" w:space="0" w:color="000000"/>
            </w:tcBorders>
            <w:vAlign w:val="center"/>
          </w:tcPr>
          <w:p w14:paraId="61A8DA4B"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Lower</w:t>
            </w:r>
          </w:p>
        </w:tc>
        <w:tc>
          <w:tcPr>
            <w:tcW w:w="540" w:type="pct"/>
            <w:tcBorders>
              <w:top w:val="single" w:sz="8" w:space="0" w:color="000000"/>
              <w:bottom w:val="single" w:sz="8" w:space="0" w:color="000000"/>
            </w:tcBorders>
            <w:vAlign w:val="center"/>
          </w:tcPr>
          <w:p w14:paraId="25CB5CCB"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Upper</w:t>
            </w:r>
          </w:p>
        </w:tc>
      </w:tr>
      <w:tr w:rsidR="00995447" w14:paraId="267B015E" w14:textId="77777777" w:rsidTr="00245D3B">
        <w:trPr>
          <w:trHeight w:val="340"/>
        </w:trPr>
        <w:tc>
          <w:tcPr>
            <w:tcW w:w="1468" w:type="pct"/>
            <w:tcBorders>
              <w:top w:val="single" w:sz="8" w:space="0" w:color="000000"/>
            </w:tcBorders>
            <w:vAlign w:val="center"/>
          </w:tcPr>
          <w:p w14:paraId="5726F664" w14:textId="77777777" w:rsidR="00995447" w:rsidRPr="003F6781" w:rsidRDefault="000E4D7A">
            <w:pPr>
              <w:ind w:left="0"/>
              <w:jc w:val="left"/>
              <w:rPr>
                <w:rFonts w:ascii="Times New Roman" w:eastAsia="Times New Roman" w:hAnsi="Times New Roman" w:cs="Times New Roman"/>
                <w:b/>
                <w:bCs/>
                <w:sz w:val="18"/>
                <w:szCs w:val="18"/>
              </w:rPr>
            </w:pPr>
            <w:r w:rsidRPr="003F6781">
              <w:rPr>
                <w:rFonts w:ascii="Times New Roman" w:eastAsia="Times New Roman" w:hAnsi="Times New Roman" w:cs="Times New Roman"/>
                <w:b/>
                <w:bCs/>
                <w:sz w:val="18"/>
                <w:szCs w:val="18"/>
              </w:rPr>
              <w:t>Clinical outcome</w:t>
            </w:r>
          </w:p>
        </w:tc>
        <w:tc>
          <w:tcPr>
            <w:tcW w:w="592" w:type="pct"/>
            <w:tcBorders>
              <w:top w:val="single" w:sz="8" w:space="0" w:color="000000"/>
            </w:tcBorders>
            <w:vAlign w:val="center"/>
          </w:tcPr>
          <w:p w14:paraId="0CC73E5C" w14:textId="77777777" w:rsidR="00995447" w:rsidRDefault="00995447">
            <w:pPr>
              <w:ind w:left="0"/>
              <w:rPr>
                <w:rFonts w:ascii="Times New Roman" w:eastAsia="Times New Roman" w:hAnsi="Times New Roman" w:cs="Times New Roman"/>
                <w:sz w:val="18"/>
                <w:szCs w:val="18"/>
              </w:rPr>
            </w:pPr>
          </w:p>
        </w:tc>
        <w:tc>
          <w:tcPr>
            <w:tcW w:w="592" w:type="pct"/>
            <w:tcBorders>
              <w:top w:val="single" w:sz="8" w:space="0" w:color="000000"/>
            </w:tcBorders>
            <w:vAlign w:val="center"/>
          </w:tcPr>
          <w:p w14:paraId="52B015B4" w14:textId="77777777" w:rsidR="00995447" w:rsidRDefault="00995447">
            <w:pPr>
              <w:ind w:left="0"/>
              <w:rPr>
                <w:rFonts w:ascii="Times New Roman" w:eastAsia="Times New Roman" w:hAnsi="Times New Roman" w:cs="Times New Roman"/>
                <w:sz w:val="18"/>
                <w:szCs w:val="18"/>
              </w:rPr>
            </w:pPr>
          </w:p>
        </w:tc>
        <w:tc>
          <w:tcPr>
            <w:tcW w:w="592" w:type="pct"/>
            <w:tcBorders>
              <w:top w:val="single" w:sz="8" w:space="0" w:color="000000"/>
            </w:tcBorders>
            <w:vAlign w:val="center"/>
          </w:tcPr>
          <w:p w14:paraId="483D82C4" w14:textId="77777777" w:rsidR="00995447" w:rsidRDefault="00995447">
            <w:pPr>
              <w:ind w:left="0"/>
              <w:rPr>
                <w:rFonts w:ascii="Times New Roman" w:eastAsia="Times New Roman" w:hAnsi="Times New Roman" w:cs="Times New Roman"/>
                <w:sz w:val="18"/>
                <w:szCs w:val="18"/>
              </w:rPr>
            </w:pPr>
          </w:p>
        </w:tc>
        <w:tc>
          <w:tcPr>
            <w:tcW w:w="136" w:type="pct"/>
            <w:tcBorders>
              <w:top w:val="single" w:sz="8" w:space="0" w:color="000000"/>
            </w:tcBorders>
            <w:vAlign w:val="center"/>
          </w:tcPr>
          <w:p w14:paraId="7ACE7403" w14:textId="77777777" w:rsidR="00995447" w:rsidRDefault="00995447">
            <w:pPr>
              <w:ind w:left="0"/>
              <w:rPr>
                <w:rFonts w:ascii="Times New Roman" w:eastAsia="Times New Roman" w:hAnsi="Times New Roman" w:cs="Times New Roman"/>
                <w:sz w:val="18"/>
                <w:szCs w:val="18"/>
              </w:rPr>
            </w:pPr>
          </w:p>
        </w:tc>
        <w:tc>
          <w:tcPr>
            <w:tcW w:w="540" w:type="pct"/>
            <w:tcBorders>
              <w:top w:val="single" w:sz="8" w:space="0" w:color="000000"/>
            </w:tcBorders>
            <w:vAlign w:val="center"/>
          </w:tcPr>
          <w:p w14:paraId="5D459CFC" w14:textId="77777777" w:rsidR="00995447" w:rsidRDefault="00995447">
            <w:pPr>
              <w:ind w:left="0"/>
              <w:rPr>
                <w:rFonts w:ascii="Times New Roman" w:eastAsia="Times New Roman" w:hAnsi="Times New Roman" w:cs="Times New Roman"/>
                <w:sz w:val="18"/>
                <w:szCs w:val="18"/>
              </w:rPr>
            </w:pPr>
          </w:p>
        </w:tc>
        <w:tc>
          <w:tcPr>
            <w:tcW w:w="540" w:type="pct"/>
            <w:tcBorders>
              <w:top w:val="single" w:sz="8" w:space="0" w:color="000000"/>
            </w:tcBorders>
            <w:vAlign w:val="center"/>
          </w:tcPr>
          <w:p w14:paraId="52A4602A" w14:textId="77777777" w:rsidR="00995447" w:rsidRDefault="00995447">
            <w:pPr>
              <w:ind w:left="0"/>
              <w:rPr>
                <w:rFonts w:ascii="Times New Roman" w:eastAsia="Times New Roman" w:hAnsi="Times New Roman" w:cs="Times New Roman"/>
                <w:sz w:val="18"/>
                <w:szCs w:val="18"/>
              </w:rPr>
            </w:pPr>
          </w:p>
        </w:tc>
        <w:tc>
          <w:tcPr>
            <w:tcW w:w="540" w:type="pct"/>
            <w:tcBorders>
              <w:top w:val="single" w:sz="8" w:space="0" w:color="000000"/>
            </w:tcBorders>
            <w:vAlign w:val="center"/>
          </w:tcPr>
          <w:p w14:paraId="070A0553" w14:textId="77777777" w:rsidR="00995447" w:rsidRDefault="00995447">
            <w:pPr>
              <w:ind w:left="0"/>
              <w:rPr>
                <w:rFonts w:ascii="Times New Roman" w:eastAsia="Times New Roman" w:hAnsi="Times New Roman" w:cs="Times New Roman"/>
                <w:sz w:val="18"/>
                <w:szCs w:val="18"/>
              </w:rPr>
            </w:pPr>
          </w:p>
        </w:tc>
      </w:tr>
      <w:tr w:rsidR="00995447" w14:paraId="15FECEA8" w14:textId="77777777" w:rsidTr="00245D3B">
        <w:trPr>
          <w:trHeight w:val="340"/>
        </w:trPr>
        <w:tc>
          <w:tcPr>
            <w:tcW w:w="1468" w:type="pct"/>
            <w:vAlign w:val="center"/>
          </w:tcPr>
          <w:p w14:paraId="57F0402C"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HFDs (past 3 months)</w:t>
            </w:r>
          </w:p>
        </w:tc>
        <w:tc>
          <w:tcPr>
            <w:tcW w:w="592" w:type="pct"/>
            <w:vAlign w:val="center"/>
          </w:tcPr>
          <w:p w14:paraId="36DACDB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81.93</w:t>
            </w:r>
          </w:p>
        </w:tc>
        <w:tc>
          <w:tcPr>
            <w:tcW w:w="592" w:type="pct"/>
            <w:vAlign w:val="center"/>
          </w:tcPr>
          <w:p w14:paraId="03120D3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81.45</w:t>
            </w:r>
          </w:p>
        </w:tc>
        <w:tc>
          <w:tcPr>
            <w:tcW w:w="592" w:type="pct"/>
            <w:vAlign w:val="center"/>
          </w:tcPr>
          <w:p w14:paraId="6691D1D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82.4</w:t>
            </w:r>
          </w:p>
        </w:tc>
        <w:tc>
          <w:tcPr>
            <w:tcW w:w="136" w:type="pct"/>
            <w:vAlign w:val="center"/>
          </w:tcPr>
          <w:p w14:paraId="032D1828"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74046D3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c>
          <w:tcPr>
            <w:tcW w:w="540" w:type="pct"/>
            <w:vAlign w:val="center"/>
          </w:tcPr>
          <w:p w14:paraId="68DF3AD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83.91</w:t>
            </w:r>
          </w:p>
        </w:tc>
        <w:tc>
          <w:tcPr>
            <w:tcW w:w="540" w:type="pct"/>
            <w:vAlign w:val="center"/>
          </w:tcPr>
          <w:p w14:paraId="56E122B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84.37</w:t>
            </w:r>
          </w:p>
        </w:tc>
      </w:tr>
      <w:tr w:rsidR="00995447" w14:paraId="19E07F34" w14:textId="77777777" w:rsidTr="00245D3B">
        <w:trPr>
          <w:trHeight w:val="340"/>
        </w:trPr>
        <w:tc>
          <w:tcPr>
            <w:tcW w:w="1468" w:type="pct"/>
            <w:vAlign w:val="center"/>
          </w:tcPr>
          <w:p w14:paraId="6B4AD1A1"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Pain episodes (past 3 months)</w:t>
            </w:r>
          </w:p>
        </w:tc>
        <w:tc>
          <w:tcPr>
            <w:tcW w:w="592" w:type="pct"/>
            <w:vAlign w:val="center"/>
          </w:tcPr>
          <w:p w14:paraId="3058FC1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4.44</w:t>
            </w:r>
          </w:p>
        </w:tc>
        <w:tc>
          <w:tcPr>
            <w:tcW w:w="592" w:type="pct"/>
            <w:vAlign w:val="center"/>
          </w:tcPr>
          <w:p w14:paraId="60CB8F5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3.41</w:t>
            </w:r>
          </w:p>
        </w:tc>
        <w:tc>
          <w:tcPr>
            <w:tcW w:w="592" w:type="pct"/>
            <w:vAlign w:val="center"/>
          </w:tcPr>
          <w:p w14:paraId="7C47C58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5.78</w:t>
            </w:r>
          </w:p>
        </w:tc>
        <w:tc>
          <w:tcPr>
            <w:tcW w:w="136" w:type="pct"/>
            <w:vAlign w:val="center"/>
          </w:tcPr>
          <w:p w14:paraId="68722868"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7E84FF8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1.71</w:t>
            </w:r>
          </w:p>
        </w:tc>
        <w:tc>
          <w:tcPr>
            <w:tcW w:w="540" w:type="pct"/>
            <w:vAlign w:val="center"/>
          </w:tcPr>
          <w:p w14:paraId="4F4D12B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1.15</w:t>
            </w:r>
          </w:p>
        </w:tc>
        <w:tc>
          <w:tcPr>
            <w:tcW w:w="540" w:type="pct"/>
            <w:vAlign w:val="center"/>
          </w:tcPr>
          <w:p w14:paraId="5AD4341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2.55</w:t>
            </w:r>
          </w:p>
        </w:tc>
      </w:tr>
      <w:tr w:rsidR="00995447" w14:paraId="721CC5A6" w14:textId="77777777" w:rsidTr="00245D3B">
        <w:trPr>
          <w:trHeight w:val="340"/>
        </w:trPr>
        <w:tc>
          <w:tcPr>
            <w:tcW w:w="1468" w:type="pct"/>
            <w:vAlign w:val="center"/>
          </w:tcPr>
          <w:p w14:paraId="547C9D9E" w14:textId="77777777" w:rsidR="00995447" w:rsidRPr="003F6781" w:rsidRDefault="000E4D7A">
            <w:pPr>
              <w:ind w:left="0"/>
              <w:jc w:val="left"/>
              <w:rPr>
                <w:rFonts w:ascii="Times New Roman" w:eastAsia="Times New Roman" w:hAnsi="Times New Roman" w:cs="Times New Roman"/>
                <w:b/>
                <w:bCs/>
                <w:sz w:val="18"/>
                <w:szCs w:val="18"/>
              </w:rPr>
            </w:pPr>
            <w:r w:rsidRPr="003F6781">
              <w:rPr>
                <w:rFonts w:ascii="Times New Roman" w:eastAsia="Times New Roman" w:hAnsi="Times New Roman" w:cs="Times New Roman"/>
                <w:b/>
                <w:bCs/>
                <w:sz w:val="18"/>
                <w:szCs w:val="18"/>
              </w:rPr>
              <w:t xml:space="preserve">Cost </w:t>
            </w:r>
            <w:r w:rsidRPr="003F6781">
              <w:rPr>
                <w:rFonts w:ascii="Times New Roman" w:eastAsia="Times New Roman" w:hAnsi="Times New Roman" w:cs="Times New Roman"/>
                <w:b/>
                <w:bCs/>
                <w:sz w:val="18"/>
                <w:szCs w:val="18"/>
              </w:rPr>
              <w:t>(XAF)</w:t>
            </w:r>
          </w:p>
        </w:tc>
        <w:tc>
          <w:tcPr>
            <w:tcW w:w="592" w:type="pct"/>
            <w:vAlign w:val="center"/>
          </w:tcPr>
          <w:p w14:paraId="4BB7AB49" w14:textId="77777777" w:rsidR="00995447" w:rsidRDefault="00995447">
            <w:pPr>
              <w:ind w:left="0"/>
              <w:rPr>
                <w:rFonts w:ascii="Times New Roman" w:eastAsia="Times New Roman" w:hAnsi="Times New Roman" w:cs="Times New Roman"/>
                <w:sz w:val="18"/>
                <w:szCs w:val="18"/>
              </w:rPr>
            </w:pPr>
          </w:p>
        </w:tc>
        <w:tc>
          <w:tcPr>
            <w:tcW w:w="592" w:type="pct"/>
            <w:vAlign w:val="center"/>
          </w:tcPr>
          <w:p w14:paraId="6032F725" w14:textId="77777777" w:rsidR="00995447" w:rsidRDefault="00995447">
            <w:pPr>
              <w:ind w:left="0"/>
              <w:rPr>
                <w:rFonts w:ascii="Times New Roman" w:eastAsia="Times New Roman" w:hAnsi="Times New Roman" w:cs="Times New Roman"/>
                <w:sz w:val="18"/>
                <w:szCs w:val="18"/>
              </w:rPr>
            </w:pPr>
          </w:p>
        </w:tc>
        <w:tc>
          <w:tcPr>
            <w:tcW w:w="592" w:type="pct"/>
            <w:vAlign w:val="center"/>
          </w:tcPr>
          <w:p w14:paraId="1E40284D" w14:textId="77777777" w:rsidR="00995447" w:rsidRDefault="00995447">
            <w:pPr>
              <w:ind w:left="0"/>
              <w:rPr>
                <w:rFonts w:ascii="Times New Roman" w:eastAsia="Times New Roman" w:hAnsi="Times New Roman" w:cs="Times New Roman"/>
                <w:sz w:val="18"/>
                <w:szCs w:val="18"/>
              </w:rPr>
            </w:pPr>
          </w:p>
        </w:tc>
        <w:tc>
          <w:tcPr>
            <w:tcW w:w="136" w:type="pct"/>
            <w:vAlign w:val="center"/>
          </w:tcPr>
          <w:p w14:paraId="1E56CDFE"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03294FB6"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62E3A2B3"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51E5A5F7" w14:textId="77777777" w:rsidR="00995447" w:rsidRDefault="00995447">
            <w:pPr>
              <w:ind w:left="0"/>
              <w:rPr>
                <w:rFonts w:ascii="Times New Roman" w:eastAsia="Times New Roman" w:hAnsi="Times New Roman" w:cs="Times New Roman"/>
                <w:sz w:val="18"/>
                <w:szCs w:val="18"/>
              </w:rPr>
            </w:pPr>
          </w:p>
        </w:tc>
      </w:tr>
      <w:tr w:rsidR="00995447" w14:paraId="5EC5EC34" w14:textId="77777777" w:rsidTr="00245D3B">
        <w:trPr>
          <w:trHeight w:val="340"/>
        </w:trPr>
        <w:tc>
          <w:tcPr>
            <w:tcW w:w="1468" w:type="pct"/>
            <w:vAlign w:val="center"/>
          </w:tcPr>
          <w:p w14:paraId="54D7781A"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Outpatient consultation fees</w:t>
            </w:r>
          </w:p>
        </w:tc>
        <w:tc>
          <w:tcPr>
            <w:tcW w:w="592" w:type="pct"/>
            <w:vAlign w:val="center"/>
          </w:tcPr>
          <w:p w14:paraId="69274E9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592" w:type="pct"/>
            <w:vAlign w:val="center"/>
          </w:tcPr>
          <w:p w14:paraId="23FEEC3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592" w:type="pct"/>
            <w:vAlign w:val="center"/>
          </w:tcPr>
          <w:p w14:paraId="05B7FEE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6" w:type="pct"/>
            <w:vAlign w:val="center"/>
          </w:tcPr>
          <w:p w14:paraId="7EB9A080"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324F597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18,428.02</w:t>
            </w:r>
          </w:p>
        </w:tc>
        <w:tc>
          <w:tcPr>
            <w:tcW w:w="540" w:type="pct"/>
            <w:vAlign w:val="center"/>
          </w:tcPr>
          <w:p w14:paraId="29290E8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540" w:type="pct"/>
            <w:vAlign w:val="center"/>
          </w:tcPr>
          <w:p w14:paraId="271EAC5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995447" w14:paraId="608A2C28" w14:textId="77777777" w:rsidTr="00245D3B">
        <w:trPr>
          <w:trHeight w:val="340"/>
        </w:trPr>
        <w:tc>
          <w:tcPr>
            <w:tcW w:w="1468" w:type="pct"/>
            <w:vAlign w:val="center"/>
          </w:tcPr>
          <w:p w14:paraId="6A0370FD"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Emergency consultation fees</w:t>
            </w:r>
          </w:p>
        </w:tc>
        <w:tc>
          <w:tcPr>
            <w:tcW w:w="592" w:type="pct"/>
            <w:vAlign w:val="center"/>
          </w:tcPr>
          <w:p w14:paraId="21127B8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6,217.73</w:t>
            </w:r>
          </w:p>
        </w:tc>
        <w:tc>
          <w:tcPr>
            <w:tcW w:w="592" w:type="pct"/>
            <w:vAlign w:val="center"/>
          </w:tcPr>
          <w:p w14:paraId="5D1A50F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4,719.06</w:t>
            </w:r>
          </w:p>
        </w:tc>
        <w:tc>
          <w:tcPr>
            <w:tcW w:w="592" w:type="pct"/>
            <w:vAlign w:val="center"/>
          </w:tcPr>
          <w:p w14:paraId="55A1334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8,192.33</w:t>
            </w:r>
          </w:p>
        </w:tc>
        <w:tc>
          <w:tcPr>
            <w:tcW w:w="136" w:type="pct"/>
            <w:vAlign w:val="center"/>
          </w:tcPr>
          <w:p w14:paraId="24381371"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164E8CD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3,359.38</w:t>
            </w:r>
          </w:p>
        </w:tc>
        <w:tc>
          <w:tcPr>
            <w:tcW w:w="540" w:type="pct"/>
            <w:vAlign w:val="center"/>
          </w:tcPr>
          <w:p w14:paraId="5E7D4C0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2,211.88</w:t>
            </w:r>
          </w:p>
        </w:tc>
        <w:tc>
          <w:tcPr>
            <w:tcW w:w="540" w:type="pct"/>
            <w:vAlign w:val="center"/>
          </w:tcPr>
          <w:p w14:paraId="07DA661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5,102.20</w:t>
            </w:r>
          </w:p>
        </w:tc>
      </w:tr>
      <w:tr w:rsidR="00995447" w14:paraId="15673EA9" w14:textId="77777777" w:rsidTr="00245D3B">
        <w:trPr>
          <w:trHeight w:val="340"/>
        </w:trPr>
        <w:tc>
          <w:tcPr>
            <w:tcW w:w="1468" w:type="pct"/>
            <w:vAlign w:val="center"/>
          </w:tcPr>
          <w:p w14:paraId="2FCCEB26"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Medication</w:t>
            </w:r>
          </w:p>
        </w:tc>
        <w:tc>
          <w:tcPr>
            <w:tcW w:w="592" w:type="pct"/>
            <w:vAlign w:val="center"/>
          </w:tcPr>
          <w:p w14:paraId="6365EAD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63,688.31</w:t>
            </w:r>
          </w:p>
        </w:tc>
        <w:tc>
          <w:tcPr>
            <w:tcW w:w="592" w:type="pct"/>
            <w:vAlign w:val="center"/>
          </w:tcPr>
          <w:p w14:paraId="57F02D3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42,739.33</w:t>
            </w:r>
          </w:p>
        </w:tc>
        <w:tc>
          <w:tcPr>
            <w:tcW w:w="592" w:type="pct"/>
            <w:vAlign w:val="center"/>
          </w:tcPr>
          <w:p w14:paraId="3403D71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94,905.57</w:t>
            </w:r>
          </w:p>
        </w:tc>
        <w:tc>
          <w:tcPr>
            <w:tcW w:w="136" w:type="pct"/>
            <w:vAlign w:val="center"/>
          </w:tcPr>
          <w:p w14:paraId="125FA96F"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7AF3C88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23,876.43</w:t>
            </w:r>
          </w:p>
        </w:tc>
        <w:tc>
          <w:tcPr>
            <w:tcW w:w="540" w:type="pct"/>
            <w:vAlign w:val="center"/>
          </w:tcPr>
          <w:p w14:paraId="7560247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13,228.18</w:t>
            </w:r>
          </w:p>
        </w:tc>
        <w:tc>
          <w:tcPr>
            <w:tcW w:w="540" w:type="pct"/>
            <w:vAlign w:val="center"/>
          </w:tcPr>
          <w:p w14:paraId="046442E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43,096.16</w:t>
            </w:r>
          </w:p>
        </w:tc>
      </w:tr>
      <w:tr w:rsidR="00995447" w14:paraId="6C73542C" w14:textId="77777777" w:rsidTr="00245D3B">
        <w:trPr>
          <w:trHeight w:val="340"/>
        </w:trPr>
        <w:tc>
          <w:tcPr>
            <w:tcW w:w="1468" w:type="pct"/>
            <w:vAlign w:val="center"/>
          </w:tcPr>
          <w:p w14:paraId="34DB895A"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Laboratory test</w:t>
            </w:r>
          </w:p>
        </w:tc>
        <w:tc>
          <w:tcPr>
            <w:tcW w:w="592" w:type="pct"/>
            <w:vAlign w:val="center"/>
          </w:tcPr>
          <w:p w14:paraId="6530FEC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31,681.39</w:t>
            </w:r>
          </w:p>
        </w:tc>
        <w:tc>
          <w:tcPr>
            <w:tcW w:w="592" w:type="pct"/>
            <w:vAlign w:val="center"/>
          </w:tcPr>
          <w:p w14:paraId="23AA5A1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22,271.02</w:t>
            </w:r>
          </w:p>
        </w:tc>
        <w:tc>
          <w:tcPr>
            <w:tcW w:w="592" w:type="pct"/>
            <w:vAlign w:val="center"/>
          </w:tcPr>
          <w:p w14:paraId="594F7A6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45,068.01</w:t>
            </w:r>
          </w:p>
        </w:tc>
        <w:tc>
          <w:tcPr>
            <w:tcW w:w="136" w:type="pct"/>
            <w:vAlign w:val="center"/>
          </w:tcPr>
          <w:p w14:paraId="59187F6A"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1BDCDAD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10,124.44</w:t>
            </w:r>
          </w:p>
        </w:tc>
        <w:tc>
          <w:tcPr>
            <w:tcW w:w="540" w:type="pct"/>
            <w:vAlign w:val="center"/>
          </w:tcPr>
          <w:p w14:paraId="02C4B2C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7,046.89</w:t>
            </w:r>
          </w:p>
        </w:tc>
        <w:tc>
          <w:tcPr>
            <w:tcW w:w="540" w:type="pct"/>
            <w:vAlign w:val="center"/>
          </w:tcPr>
          <w:p w14:paraId="4F0ACD5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14,546.03</w:t>
            </w:r>
          </w:p>
        </w:tc>
      </w:tr>
      <w:tr w:rsidR="00995447" w14:paraId="3039C190" w14:textId="77777777" w:rsidTr="00245D3B">
        <w:trPr>
          <w:trHeight w:val="340"/>
        </w:trPr>
        <w:tc>
          <w:tcPr>
            <w:tcW w:w="1468" w:type="pct"/>
            <w:vAlign w:val="center"/>
          </w:tcPr>
          <w:p w14:paraId="1F711239"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Imaging test</w:t>
            </w:r>
          </w:p>
        </w:tc>
        <w:tc>
          <w:tcPr>
            <w:tcW w:w="592" w:type="pct"/>
            <w:vAlign w:val="center"/>
          </w:tcPr>
          <w:p w14:paraId="4FD4E07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5,432.61</w:t>
            </w:r>
          </w:p>
        </w:tc>
        <w:tc>
          <w:tcPr>
            <w:tcW w:w="592" w:type="pct"/>
            <w:vAlign w:val="center"/>
          </w:tcPr>
          <w:p w14:paraId="34B3DAD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2,760.46</w:t>
            </w:r>
          </w:p>
        </w:tc>
        <w:tc>
          <w:tcPr>
            <w:tcW w:w="592" w:type="pct"/>
            <w:vAlign w:val="center"/>
          </w:tcPr>
          <w:p w14:paraId="72DF715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10,691.41</w:t>
            </w:r>
          </w:p>
        </w:tc>
        <w:tc>
          <w:tcPr>
            <w:tcW w:w="136" w:type="pct"/>
            <w:vAlign w:val="center"/>
          </w:tcPr>
          <w:p w14:paraId="010C5E38"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5287399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2,295.61</w:t>
            </w:r>
          </w:p>
        </w:tc>
        <w:tc>
          <w:tcPr>
            <w:tcW w:w="540" w:type="pct"/>
            <w:vAlign w:val="center"/>
          </w:tcPr>
          <w:p w14:paraId="28BA7A3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860.19</w:t>
            </w:r>
          </w:p>
        </w:tc>
        <w:tc>
          <w:tcPr>
            <w:tcW w:w="540" w:type="pct"/>
            <w:vAlign w:val="center"/>
          </w:tcPr>
          <w:p w14:paraId="14EF025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6,126.35</w:t>
            </w:r>
          </w:p>
        </w:tc>
      </w:tr>
      <w:tr w:rsidR="00995447" w14:paraId="2EF8E27D" w14:textId="77777777" w:rsidTr="00245D3B">
        <w:trPr>
          <w:trHeight w:val="340"/>
        </w:trPr>
        <w:tc>
          <w:tcPr>
            <w:tcW w:w="1468" w:type="pct"/>
            <w:vAlign w:val="center"/>
          </w:tcPr>
          <w:p w14:paraId="32C371C1"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Hospital consumables</w:t>
            </w:r>
          </w:p>
        </w:tc>
        <w:tc>
          <w:tcPr>
            <w:tcW w:w="592" w:type="pct"/>
            <w:vAlign w:val="center"/>
          </w:tcPr>
          <w:p w14:paraId="0EEFB4A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4,473.93</w:t>
            </w:r>
          </w:p>
        </w:tc>
        <w:tc>
          <w:tcPr>
            <w:tcW w:w="592" w:type="pct"/>
            <w:vAlign w:val="center"/>
          </w:tcPr>
          <w:p w14:paraId="1CF3609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3,168.66</w:t>
            </w:r>
          </w:p>
        </w:tc>
        <w:tc>
          <w:tcPr>
            <w:tcW w:w="592" w:type="pct"/>
            <w:vAlign w:val="center"/>
          </w:tcPr>
          <w:p w14:paraId="3FCC36A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6,316.88</w:t>
            </w:r>
          </w:p>
        </w:tc>
        <w:tc>
          <w:tcPr>
            <w:tcW w:w="136" w:type="pct"/>
            <w:vAlign w:val="center"/>
          </w:tcPr>
          <w:p w14:paraId="18586873"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12ABD2D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1,052.20</w:t>
            </w:r>
          </w:p>
        </w:tc>
        <w:tc>
          <w:tcPr>
            <w:tcW w:w="540" w:type="pct"/>
            <w:vAlign w:val="center"/>
          </w:tcPr>
          <w:p w14:paraId="64C3DAB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550.21</w:t>
            </w:r>
          </w:p>
        </w:tc>
        <w:tc>
          <w:tcPr>
            <w:tcW w:w="540" w:type="pct"/>
            <w:vAlign w:val="center"/>
          </w:tcPr>
          <w:p w14:paraId="48A9A3A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2,012.18</w:t>
            </w:r>
          </w:p>
        </w:tc>
      </w:tr>
      <w:tr w:rsidR="00995447" w14:paraId="7637C309" w14:textId="77777777" w:rsidTr="00245D3B">
        <w:trPr>
          <w:trHeight w:val="340"/>
        </w:trPr>
        <w:tc>
          <w:tcPr>
            <w:tcW w:w="1468" w:type="pct"/>
            <w:vAlign w:val="center"/>
          </w:tcPr>
          <w:p w14:paraId="1D15A98F"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Blood products</w:t>
            </w:r>
          </w:p>
        </w:tc>
        <w:tc>
          <w:tcPr>
            <w:tcW w:w="592" w:type="pct"/>
            <w:vAlign w:val="center"/>
          </w:tcPr>
          <w:p w14:paraId="631685C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13,556.51</w:t>
            </w:r>
          </w:p>
        </w:tc>
        <w:tc>
          <w:tcPr>
            <w:tcW w:w="592" w:type="pct"/>
            <w:vAlign w:val="center"/>
          </w:tcPr>
          <w:p w14:paraId="7215F66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8,409.20</w:t>
            </w:r>
          </w:p>
        </w:tc>
        <w:tc>
          <w:tcPr>
            <w:tcW w:w="592" w:type="pct"/>
            <w:vAlign w:val="center"/>
          </w:tcPr>
          <w:p w14:paraId="4F9BD87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21,854.51</w:t>
            </w:r>
          </w:p>
        </w:tc>
        <w:tc>
          <w:tcPr>
            <w:tcW w:w="136" w:type="pct"/>
            <w:vAlign w:val="center"/>
          </w:tcPr>
          <w:p w14:paraId="28CB31E8"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1646565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3,027.41</w:t>
            </w:r>
          </w:p>
        </w:tc>
        <w:tc>
          <w:tcPr>
            <w:tcW w:w="540" w:type="pct"/>
            <w:vAlign w:val="center"/>
          </w:tcPr>
          <w:p w14:paraId="236C19C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1,187.89</w:t>
            </w:r>
          </w:p>
        </w:tc>
        <w:tc>
          <w:tcPr>
            <w:tcW w:w="540" w:type="pct"/>
            <w:vAlign w:val="center"/>
          </w:tcPr>
          <w:p w14:paraId="0524F78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7,715.56</w:t>
            </w:r>
          </w:p>
        </w:tc>
      </w:tr>
      <w:tr w:rsidR="00995447" w14:paraId="4F0745D7" w14:textId="77777777" w:rsidTr="00245D3B">
        <w:trPr>
          <w:trHeight w:val="340"/>
        </w:trPr>
        <w:tc>
          <w:tcPr>
            <w:tcW w:w="1468" w:type="pct"/>
            <w:tcBorders>
              <w:bottom w:val="single" w:sz="8" w:space="0" w:color="000000"/>
            </w:tcBorders>
            <w:vAlign w:val="center"/>
          </w:tcPr>
          <w:p w14:paraId="544232CB"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Inpatient stay</w:t>
            </w:r>
          </w:p>
        </w:tc>
        <w:tc>
          <w:tcPr>
            <w:tcW w:w="592" w:type="pct"/>
            <w:tcBorders>
              <w:bottom w:val="single" w:sz="8" w:space="0" w:color="000000"/>
            </w:tcBorders>
            <w:vAlign w:val="center"/>
          </w:tcPr>
          <w:p w14:paraId="0AA37FC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173,948.59</w:t>
            </w:r>
          </w:p>
        </w:tc>
        <w:tc>
          <w:tcPr>
            <w:tcW w:w="592" w:type="pct"/>
            <w:tcBorders>
              <w:bottom w:val="single" w:sz="8" w:space="0" w:color="000000"/>
            </w:tcBorders>
            <w:vAlign w:val="center"/>
          </w:tcPr>
          <w:p w14:paraId="3D69833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133,413.34</w:t>
            </w:r>
          </w:p>
        </w:tc>
        <w:tc>
          <w:tcPr>
            <w:tcW w:w="592" w:type="pct"/>
            <w:tcBorders>
              <w:bottom w:val="single" w:sz="8" w:space="0" w:color="000000"/>
            </w:tcBorders>
            <w:vAlign w:val="center"/>
          </w:tcPr>
          <w:p w14:paraId="13DC400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226,799.75</w:t>
            </w:r>
          </w:p>
        </w:tc>
        <w:tc>
          <w:tcPr>
            <w:tcW w:w="136" w:type="pct"/>
            <w:tcBorders>
              <w:bottom w:val="single" w:sz="8" w:space="0" w:color="000000"/>
            </w:tcBorders>
            <w:vAlign w:val="center"/>
          </w:tcPr>
          <w:p w14:paraId="03914555" w14:textId="77777777" w:rsidR="00995447" w:rsidRDefault="00995447">
            <w:pPr>
              <w:ind w:left="0"/>
              <w:rPr>
                <w:rFonts w:ascii="Times New Roman" w:eastAsia="Times New Roman" w:hAnsi="Times New Roman" w:cs="Times New Roman"/>
                <w:sz w:val="18"/>
                <w:szCs w:val="18"/>
              </w:rPr>
            </w:pPr>
          </w:p>
        </w:tc>
        <w:tc>
          <w:tcPr>
            <w:tcW w:w="540" w:type="pct"/>
            <w:tcBorders>
              <w:bottom w:val="single" w:sz="8" w:space="0" w:color="000000"/>
            </w:tcBorders>
            <w:vAlign w:val="center"/>
          </w:tcPr>
          <w:p w14:paraId="771D79D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35,408.61</w:t>
            </w:r>
          </w:p>
        </w:tc>
        <w:tc>
          <w:tcPr>
            <w:tcW w:w="540" w:type="pct"/>
            <w:tcBorders>
              <w:bottom w:val="single" w:sz="8" w:space="0" w:color="000000"/>
            </w:tcBorders>
            <w:vAlign w:val="center"/>
          </w:tcPr>
          <w:p w14:paraId="40D8DEA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21,492.03</w:t>
            </w:r>
          </w:p>
        </w:tc>
        <w:tc>
          <w:tcPr>
            <w:tcW w:w="540" w:type="pct"/>
            <w:tcBorders>
              <w:bottom w:val="single" w:sz="8" w:space="0" w:color="000000"/>
            </w:tcBorders>
            <w:vAlign w:val="center"/>
          </w:tcPr>
          <w:p w14:paraId="5AE2EF6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58,336.49</w:t>
            </w:r>
          </w:p>
        </w:tc>
      </w:tr>
      <w:tr w:rsidR="00995447" w14:paraId="142C0804" w14:textId="77777777" w:rsidTr="00245D3B">
        <w:trPr>
          <w:trHeight w:val="340"/>
        </w:trPr>
        <w:tc>
          <w:tcPr>
            <w:tcW w:w="5000" w:type="pct"/>
            <w:gridSpan w:val="8"/>
            <w:tcBorders>
              <w:top w:val="single" w:sz="8" w:space="0" w:color="000000"/>
              <w:bottom w:val="nil"/>
            </w:tcBorders>
            <w:vAlign w:val="center"/>
          </w:tcPr>
          <w:p w14:paraId="650F39DF"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EMM</w:t>
            </w:r>
            <w:r>
              <w:rPr>
                <w:rFonts w:ascii="Times New Roman" w:eastAsia="Times New Roman" w:hAnsi="Times New Roman" w:cs="Times New Roman"/>
                <w:sz w:val="18"/>
                <w:szCs w:val="18"/>
              </w:rPr>
              <w:t>, Estimated Marginal Mean</w:t>
            </w:r>
            <w:r>
              <w:rPr>
                <w:rFonts w:ascii="Times New Roman" w:eastAsia="Times New Roman" w:hAnsi="Times New Roman" w:cs="Times New Roman"/>
                <w:sz w:val="18"/>
                <w:szCs w:val="18"/>
              </w:rPr>
              <w:br/>
            </w:r>
            <w:r>
              <w:rPr>
                <w:rFonts w:ascii="Times New Roman" w:eastAsia="Times New Roman" w:hAnsi="Times New Roman" w:cs="Times New Roman"/>
                <w:b/>
                <w:bCs/>
                <w:sz w:val="18"/>
                <w:szCs w:val="18"/>
              </w:rPr>
              <w:t>XAF</w:t>
            </w:r>
            <w:r>
              <w:rPr>
                <w:rFonts w:ascii="Times New Roman" w:eastAsia="Times New Roman" w:hAnsi="Times New Roman" w:cs="Times New Roman"/>
                <w:sz w:val="18"/>
                <w:szCs w:val="18"/>
              </w:rPr>
              <w:t>, Central African Franc CFA</w:t>
            </w:r>
          </w:p>
        </w:tc>
      </w:tr>
    </w:tbl>
    <w:p w14:paraId="46C6C028" w14:textId="77777777" w:rsidR="00995447" w:rsidRDefault="00995447">
      <w:pPr>
        <w:spacing w:line="360" w:lineRule="auto"/>
        <w:ind w:left="0"/>
        <w:jc w:val="both"/>
        <w:rPr>
          <w:rFonts w:ascii="Times New Roman" w:eastAsia="Times New Roman" w:hAnsi="Times New Roman" w:cs="Times New Roman"/>
          <w:sz w:val="24"/>
          <w:szCs w:val="24"/>
        </w:rPr>
      </w:pPr>
    </w:p>
    <w:p w14:paraId="51C694EC" w14:textId="77777777" w:rsidR="00995447" w:rsidRDefault="000E4D7A">
      <w:pPr>
        <w:keepNext/>
        <w:spacing w:after="200"/>
        <w:ind w:left="0"/>
        <w:jc w:val="left"/>
        <w:rPr>
          <w:rFonts w:ascii="Times New Roman" w:eastAsia="Times New Roman" w:hAnsi="Times New Roman" w:cs="Times New Roman"/>
          <w:sz w:val="20"/>
          <w:szCs w:val="20"/>
        </w:rPr>
      </w:pPr>
      <w:r w:rsidRPr="00291967">
        <w:rPr>
          <w:rFonts w:ascii="Times New Roman" w:eastAsia="Times New Roman" w:hAnsi="Times New Roman" w:cs="Times New Roman"/>
          <w:sz w:val="20"/>
          <w:szCs w:val="20"/>
        </w:rPr>
        <w:t>Table 4.</w:t>
      </w:r>
      <w:r>
        <w:rPr>
          <w:rFonts w:ascii="Times New Roman" w:eastAsia="Times New Roman" w:hAnsi="Times New Roman" w:cs="Times New Roman"/>
          <w:sz w:val="20"/>
          <w:szCs w:val="20"/>
        </w:rPr>
        <w:t xml:space="preserve"> Estimated marginal means of costs and clinical outcomes of ≥3 routine follow-ups per year vs. 1–2 follow-ups per year.</w:t>
      </w:r>
    </w:p>
    <w:tbl>
      <w:tblPr>
        <w:tblStyle w:val="a2"/>
        <w:tblW w:w="5000" w:type="pct"/>
        <w:tblInd w:w="0" w:type="dxa"/>
        <w:tblBorders>
          <w:top w:val="single" w:sz="8" w:space="0" w:color="000000"/>
          <w:left w:val="nil"/>
          <w:bottom w:val="nil"/>
          <w:right w:val="nil"/>
          <w:insideH w:val="nil"/>
          <w:insideV w:val="nil"/>
        </w:tblBorders>
        <w:tblLook w:val="0400" w:firstRow="0" w:lastRow="0" w:firstColumn="0" w:lastColumn="0" w:noHBand="0" w:noVBand="1"/>
      </w:tblPr>
      <w:tblGrid>
        <w:gridCol w:w="2649"/>
        <w:gridCol w:w="1068"/>
        <w:gridCol w:w="975"/>
        <w:gridCol w:w="1069"/>
        <w:gridCol w:w="246"/>
        <w:gridCol w:w="975"/>
        <w:gridCol w:w="975"/>
        <w:gridCol w:w="1069"/>
      </w:tblGrid>
      <w:tr w:rsidR="00995447" w14:paraId="174EC343" w14:textId="77777777" w:rsidTr="003F6781">
        <w:trPr>
          <w:trHeight w:val="340"/>
        </w:trPr>
        <w:tc>
          <w:tcPr>
            <w:tcW w:w="1468" w:type="pct"/>
            <w:vMerge w:val="restart"/>
            <w:tcBorders>
              <w:top w:val="single" w:sz="8" w:space="0" w:color="000000"/>
            </w:tcBorders>
            <w:vAlign w:val="center"/>
          </w:tcPr>
          <w:p w14:paraId="4A4C0C22"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Variable</w:t>
            </w:r>
          </w:p>
        </w:tc>
        <w:tc>
          <w:tcPr>
            <w:tcW w:w="1723" w:type="pct"/>
            <w:gridSpan w:val="3"/>
            <w:tcBorders>
              <w:top w:val="single" w:sz="8" w:space="0" w:color="000000"/>
              <w:bottom w:val="single" w:sz="8" w:space="0" w:color="000000"/>
            </w:tcBorders>
            <w:vAlign w:val="center"/>
          </w:tcPr>
          <w:p w14:paraId="627A4B7E"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 follow-ups/year</w:t>
            </w:r>
          </w:p>
        </w:tc>
        <w:tc>
          <w:tcPr>
            <w:tcW w:w="136" w:type="pct"/>
            <w:tcBorders>
              <w:top w:val="single" w:sz="8" w:space="0" w:color="000000"/>
            </w:tcBorders>
            <w:vAlign w:val="center"/>
          </w:tcPr>
          <w:p w14:paraId="08AF0422" w14:textId="77777777" w:rsidR="00995447" w:rsidRDefault="00995447">
            <w:pPr>
              <w:ind w:left="0"/>
              <w:rPr>
                <w:rFonts w:ascii="Times New Roman" w:eastAsia="Times New Roman" w:hAnsi="Times New Roman" w:cs="Times New Roman"/>
                <w:b/>
                <w:bCs/>
                <w:sz w:val="18"/>
                <w:szCs w:val="18"/>
              </w:rPr>
            </w:pPr>
          </w:p>
        </w:tc>
        <w:tc>
          <w:tcPr>
            <w:tcW w:w="1672" w:type="pct"/>
            <w:gridSpan w:val="3"/>
            <w:tcBorders>
              <w:top w:val="single" w:sz="8" w:space="0" w:color="000000"/>
              <w:bottom w:val="single" w:sz="8" w:space="0" w:color="000000"/>
            </w:tcBorders>
            <w:vAlign w:val="center"/>
          </w:tcPr>
          <w:p w14:paraId="3D3E3A48"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 follow-ups/year</w:t>
            </w:r>
          </w:p>
        </w:tc>
      </w:tr>
      <w:tr w:rsidR="00995447" w14:paraId="49E55BB6" w14:textId="77777777" w:rsidTr="003F6781">
        <w:trPr>
          <w:trHeight w:val="340"/>
        </w:trPr>
        <w:tc>
          <w:tcPr>
            <w:tcW w:w="1468" w:type="pct"/>
            <w:vMerge/>
            <w:tcBorders>
              <w:top w:val="single" w:sz="8" w:space="0" w:color="000000"/>
            </w:tcBorders>
            <w:vAlign w:val="center"/>
          </w:tcPr>
          <w:p w14:paraId="43A5926B" w14:textId="77777777" w:rsidR="00995447" w:rsidRDefault="00995447">
            <w:pPr>
              <w:widowControl w:val="0"/>
              <w:pBdr>
                <w:top w:val="nil"/>
                <w:left w:val="nil"/>
                <w:bottom w:val="nil"/>
                <w:right w:val="nil"/>
                <w:between w:val="nil"/>
              </w:pBdr>
              <w:spacing w:line="276" w:lineRule="auto"/>
              <w:ind w:left="0"/>
              <w:jc w:val="left"/>
              <w:rPr>
                <w:rFonts w:ascii="Times New Roman" w:eastAsia="Times New Roman" w:hAnsi="Times New Roman" w:cs="Times New Roman"/>
                <w:b/>
                <w:bCs/>
                <w:sz w:val="18"/>
                <w:szCs w:val="18"/>
              </w:rPr>
            </w:pPr>
          </w:p>
        </w:tc>
        <w:tc>
          <w:tcPr>
            <w:tcW w:w="592" w:type="pct"/>
            <w:tcBorders>
              <w:top w:val="single" w:sz="8" w:space="0" w:color="000000"/>
            </w:tcBorders>
            <w:vAlign w:val="center"/>
          </w:tcPr>
          <w:p w14:paraId="41EEEBBC" w14:textId="77777777" w:rsidR="00995447" w:rsidRDefault="00995447">
            <w:pPr>
              <w:ind w:left="0"/>
              <w:rPr>
                <w:rFonts w:ascii="Times New Roman" w:eastAsia="Times New Roman" w:hAnsi="Times New Roman" w:cs="Times New Roman"/>
                <w:b/>
                <w:bCs/>
                <w:sz w:val="18"/>
                <w:szCs w:val="18"/>
              </w:rPr>
            </w:pPr>
          </w:p>
        </w:tc>
        <w:tc>
          <w:tcPr>
            <w:tcW w:w="1132" w:type="pct"/>
            <w:gridSpan w:val="2"/>
            <w:tcBorders>
              <w:top w:val="single" w:sz="8" w:space="0" w:color="000000"/>
              <w:bottom w:val="single" w:sz="8" w:space="0" w:color="000000"/>
            </w:tcBorders>
            <w:vAlign w:val="center"/>
          </w:tcPr>
          <w:p w14:paraId="05D67579"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95% CI</w:t>
            </w:r>
          </w:p>
        </w:tc>
        <w:tc>
          <w:tcPr>
            <w:tcW w:w="136" w:type="pct"/>
            <w:tcBorders>
              <w:top w:val="nil"/>
            </w:tcBorders>
            <w:vAlign w:val="center"/>
          </w:tcPr>
          <w:p w14:paraId="0F656532" w14:textId="77777777" w:rsidR="00995447" w:rsidRDefault="00995447">
            <w:pPr>
              <w:ind w:left="0"/>
              <w:rPr>
                <w:rFonts w:ascii="Times New Roman" w:eastAsia="Times New Roman" w:hAnsi="Times New Roman" w:cs="Times New Roman"/>
                <w:b/>
                <w:bCs/>
                <w:sz w:val="18"/>
                <w:szCs w:val="18"/>
              </w:rPr>
            </w:pPr>
          </w:p>
        </w:tc>
        <w:tc>
          <w:tcPr>
            <w:tcW w:w="540" w:type="pct"/>
            <w:tcBorders>
              <w:top w:val="single" w:sz="8" w:space="0" w:color="000000"/>
            </w:tcBorders>
            <w:vAlign w:val="center"/>
          </w:tcPr>
          <w:p w14:paraId="3FE7F885" w14:textId="77777777" w:rsidR="00995447" w:rsidRDefault="00995447">
            <w:pPr>
              <w:ind w:left="0"/>
              <w:rPr>
                <w:rFonts w:ascii="Times New Roman" w:eastAsia="Times New Roman" w:hAnsi="Times New Roman" w:cs="Times New Roman"/>
                <w:b/>
                <w:bCs/>
                <w:sz w:val="18"/>
                <w:szCs w:val="18"/>
              </w:rPr>
            </w:pPr>
          </w:p>
        </w:tc>
        <w:tc>
          <w:tcPr>
            <w:tcW w:w="1132" w:type="pct"/>
            <w:gridSpan w:val="2"/>
            <w:tcBorders>
              <w:top w:val="single" w:sz="8" w:space="0" w:color="000000"/>
              <w:bottom w:val="single" w:sz="8" w:space="0" w:color="000000"/>
            </w:tcBorders>
            <w:vAlign w:val="center"/>
          </w:tcPr>
          <w:p w14:paraId="4135D97D"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95% CI</w:t>
            </w:r>
          </w:p>
        </w:tc>
      </w:tr>
      <w:tr w:rsidR="00995447" w14:paraId="497D01DA" w14:textId="77777777" w:rsidTr="003F6781">
        <w:trPr>
          <w:trHeight w:val="340"/>
        </w:trPr>
        <w:tc>
          <w:tcPr>
            <w:tcW w:w="1468" w:type="pct"/>
            <w:vMerge/>
            <w:tcBorders>
              <w:top w:val="single" w:sz="8" w:space="0" w:color="000000"/>
            </w:tcBorders>
            <w:vAlign w:val="center"/>
          </w:tcPr>
          <w:p w14:paraId="7EFC4402" w14:textId="77777777" w:rsidR="00995447" w:rsidRDefault="00995447">
            <w:pPr>
              <w:widowControl w:val="0"/>
              <w:pBdr>
                <w:top w:val="nil"/>
                <w:left w:val="nil"/>
                <w:bottom w:val="nil"/>
                <w:right w:val="nil"/>
                <w:between w:val="nil"/>
              </w:pBdr>
              <w:spacing w:line="276" w:lineRule="auto"/>
              <w:ind w:left="0"/>
              <w:jc w:val="left"/>
              <w:rPr>
                <w:rFonts w:ascii="Times New Roman" w:eastAsia="Times New Roman" w:hAnsi="Times New Roman" w:cs="Times New Roman"/>
                <w:b/>
                <w:bCs/>
                <w:sz w:val="18"/>
                <w:szCs w:val="18"/>
              </w:rPr>
            </w:pPr>
          </w:p>
        </w:tc>
        <w:tc>
          <w:tcPr>
            <w:tcW w:w="592" w:type="pct"/>
            <w:tcBorders>
              <w:top w:val="nil"/>
              <w:bottom w:val="single" w:sz="8" w:space="0" w:color="000000"/>
            </w:tcBorders>
            <w:vAlign w:val="center"/>
          </w:tcPr>
          <w:p w14:paraId="2EC9FA56"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EMM</w:t>
            </w:r>
          </w:p>
        </w:tc>
        <w:tc>
          <w:tcPr>
            <w:tcW w:w="540" w:type="pct"/>
            <w:tcBorders>
              <w:top w:val="single" w:sz="8" w:space="0" w:color="000000"/>
              <w:bottom w:val="single" w:sz="8" w:space="0" w:color="000000"/>
            </w:tcBorders>
            <w:vAlign w:val="center"/>
          </w:tcPr>
          <w:p w14:paraId="15958797"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Lower</w:t>
            </w:r>
          </w:p>
        </w:tc>
        <w:tc>
          <w:tcPr>
            <w:tcW w:w="592" w:type="pct"/>
            <w:tcBorders>
              <w:top w:val="single" w:sz="8" w:space="0" w:color="000000"/>
              <w:bottom w:val="single" w:sz="8" w:space="0" w:color="000000"/>
            </w:tcBorders>
            <w:vAlign w:val="center"/>
          </w:tcPr>
          <w:p w14:paraId="247F773C"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Upper</w:t>
            </w:r>
          </w:p>
        </w:tc>
        <w:tc>
          <w:tcPr>
            <w:tcW w:w="136" w:type="pct"/>
            <w:tcBorders>
              <w:top w:val="nil"/>
              <w:bottom w:val="single" w:sz="8" w:space="0" w:color="000000"/>
            </w:tcBorders>
            <w:vAlign w:val="center"/>
          </w:tcPr>
          <w:p w14:paraId="490E084C" w14:textId="77777777" w:rsidR="00995447" w:rsidRDefault="00995447">
            <w:pPr>
              <w:ind w:left="0"/>
              <w:rPr>
                <w:rFonts w:ascii="Times New Roman" w:eastAsia="Times New Roman" w:hAnsi="Times New Roman" w:cs="Times New Roman"/>
                <w:b/>
                <w:bCs/>
                <w:sz w:val="18"/>
                <w:szCs w:val="18"/>
              </w:rPr>
            </w:pPr>
          </w:p>
        </w:tc>
        <w:tc>
          <w:tcPr>
            <w:tcW w:w="540" w:type="pct"/>
            <w:tcBorders>
              <w:top w:val="nil"/>
              <w:bottom w:val="single" w:sz="8" w:space="0" w:color="000000"/>
            </w:tcBorders>
            <w:vAlign w:val="center"/>
          </w:tcPr>
          <w:p w14:paraId="3A611ABC"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EMM</w:t>
            </w:r>
          </w:p>
        </w:tc>
        <w:tc>
          <w:tcPr>
            <w:tcW w:w="540" w:type="pct"/>
            <w:tcBorders>
              <w:top w:val="single" w:sz="8" w:space="0" w:color="000000"/>
              <w:bottom w:val="single" w:sz="8" w:space="0" w:color="000000"/>
            </w:tcBorders>
            <w:vAlign w:val="center"/>
          </w:tcPr>
          <w:p w14:paraId="3A4B70F2"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Lower</w:t>
            </w:r>
          </w:p>
        </w:tc>
        <w:tc>
          <w:tcPr>
            <w:tcW w:w="592" w:type="pct"/>
            <w:tcBorders>
              <w:top w:val="single" w:sz="8" w:space="0" w:color="000000"/>
              <w:bottom w:val="single" w:sz="8" w:space="0" w:color="000000"/>
            </w:tcBorders>
            <w:vAlign w:val="center"/>
          </w:tcPr>
          <w:p w14:paraId="7B38B4CC"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Upper</w:t>
            </w:r>
          </w:p>
        </w:tc>
      </w:tr>
      <w:tr w:rsidR="00995447" w14:paraId="4514AD8C" w14:textId="77777777" w:rsidTr="003F6781">
        <w:trPr>
          <w:trHeight w:val="340"/>
        </w:trPr>
        <w:tc>
          <w:tcPr>
            <w:tcW w:w="1468" w:type="pct"/>
            <w:tcBorders>
              <w:top w:val="single" w:sz="8" w:space="0" w:color="000000"/>
            </w:tcBorders>
            <w:vAlign w:val="center"/>
          </w:tcPr>
          <w:p w14:paraId="5BBCD8E4" w14:textId="77777777" w:rsidR="00995447" w:rsidRPr="003F6781" w:rsidRDefault="000E4D7A">
            <w:pPr>
              <w:ind w:left="0"/>
              <w:jc w:val="left"/>
              <w:rPr>
                <w:rFonts w:ascii="Times New Roman" w:eastAsia="Times New Roman" w:hAnsi="Times New Roman" w:cs="Times New Roman"/>
                <w:b/>
                <w:bCs/>
                <w:sz w:val="18"/>
                <w:szCs w:val="18"/>
              </w:rPr>
            </w:pPr>
            <w:r w:rsidRPr="003F6781">
              <w:rPr>
                <w:rFonts w:ascii="Times New Roman" w:eastAsia="Times New Roman" w:hAnsi="Times New Roman" w:cs="Times New Roman"/>
                <w:b/>
                <w:bCs/>
                <w:sz w:val="18"/>
                <w:szCs w:val="18"/>
              </w:rPr>
              <w:t>Clinical outcome</w:t>
            </w:r>
          </w:p>
        </w:tc>
        <w:tc>
          <w:tcPr>
            <w:tcW w:w="592" w:type="pct"/>
            <w:tcBorders>
              <w:top w:val="single" w:sz="8" w:space="0" w:color="000000"/>
            </w:tcBorders>
            <w:vAlign w:val="center"/>
          </w:tcPr>
          <w:p w14:paraId="76D994B7" w14:textId="77777777" w:rsidR="00995447" w:rsidRDefault="00995447">
            <w:pPr>
              <w:ind w:left="0"/>
              <w:rPr>
                <w:rFonts w:ascii="Times New Roman" w:eastAsia="Times New Roman" w:hAnsi="Times New Roman" w:cs="Times New Roman"/>
                <w:sz w:val="18"/>
                <w:szCs w:val="18"/>
              </w:rPr>
            </w:pPr>
          </w:p>
        </w:tc>
        <w:tc>
          <w:tcPr>
            <w:tcW w:w="540" w:type="pct"/>
            <w:tcBorders>
              <w:top w:val="single" w:sz="8" w:space="0" w:color="000000"/>
            </w:tcBorders>
            <w:vAlign w:val="center"/>
          </w:tcPr>
          <w:p w14:paraId="142B3448" w14:textId="77777777" w:rsidR="00995447" w:rsidRDefault="00995447">
            <w:pPr>
              <w:ind w:left="0"/>
              <w:rPr>
                <w:rFonts w:ascii="Times New Roman" w:eastAsia="Times New Roman" w:hAnsi="Times New Roman" w:cs="Times New Roman"/>
                <w:sz w:val="18"/>
                <w:szCs w:val="18"/>
              </w:rPr>
            </w:pPr>
          </w:p>
        </w:tc>
        <w:tc>
          <w:tcPr>
            <w:tcW w:w="592" w:type="pct"/>
            <w:tcBorders>
              <w:top w:val="single" w:sz="8" w:space="0" w:color="000000"/>
            </w:tcBorders>
            <w:vAlign w:val="center"/>
          </w:tcPr>
          <w:p w14:paraId="5881751D" w14:textId="77777777" w:rsidR="00995447" w:rsidRDefault="00995447">
            <w:pPr>
              <w:ind w:left="0"/>
              <w:rPr>
                <w:rFonts w:ascii="Times New Roman" w:eastAsia="Times New Roman" w:hAnsi="Times New Roman" w:cs="Times New Roman"/>
                <w:sz w:val="18"/>
                <w:szCs w:val="18"/>
              </w:rPr>
            </w:pPr>
          </w:p>
        </w:tc>
        <w:tc>
          <w:tcPr>
            <w:tcW w:w="136" w:type="pct"/>
            <w:tcBorders>
              <w:top w:val="single" w:sz="8" w:space="0" w:color="000000"/>
            </w:tcBorders>
            <w:vAlign w:val="center"/>
          </w:tcPr>
          <w:p w14:paraId="7976B3E5" w14:textId="77777777" w:rsidR="00995447" w:rsidRDefault="00995447">
            <w:pPr>
              <w:ind w:left="0"/>
              <w:rPr>
                <w:rFonts w:ascii="Times New Roman" w:eastAsia="Times New Roman" w:hAnsi="Times New Roman" w:cs="Times New Roman"/>
                <w:sz w:val="18"/>
                <w:szCs w:val="18"/>
              </w:rPr>
            </w:pPr>
          </w:p>
        </w:tc>
        <w:tc>
          <w:tcPr>
            <w:tcW w:w="540" w:type="pct"/>
            <w:tcBorders>
              <w:top w:val="single" w:sz="8" w:space="0" w:color="000000"/>
            </w:tcBorders>
            <w:vAlign w:val="center"/>
          </w:tcPr>
          <w:p w14:paraId="59E05AA4" w14:textId="77777777" w:rsidR="00995447" w:rsidRDefault="00995447">
            <w:pPr>
              <w:ind w:left="0"/>
              <w:rPr>
                <w:rFonts w:ascii="Times New Roman" w:eastAsia="Times New Roman" w:hAnsi="Times New Roman" w:cs="Times New Roman"/>
                <w:sz w:val="18"/>
                <w:szCs w:val="18"/>
              </w:rPr>
            </w:pPr>
          </w:p>
        </w:tc>
        <w:tc>
          <w:tcPr>
            <w:tcW w:w="540" w:type="pct"/>
            <w:tcBorders>
              <w:top w:val="single" w:sz="8" w:space="0" w:color="000000"/>
            </w:tcBorders>
            <w:vAlign w:val="center"/>
          </w:tcPr>
          <w:p w14:paraId="0F022890" w14:textId="77777777" w:rsidR="00995447" w:rsidRDefault="00995447">
            <w:pPr>
              <w:ind w:left="0"/>
              <w:rPr>
                <w:rFonts w:ascii="Times New Roman" w:eastAsia="Times New Roman" w:hAnsi="Times New Roman" w:cs="Times New Roman"/>
                <w:sz w:val="18"/>
                <w:szCs w:val="18"/>
              </w:rPr>
            </w:pPr>
          </w:p>
        </w:tc>
        <w:tc>
          <w:tcPr>
            <w:tcW w:w="592" w:type="pct"/>
            <w:tcBorders>
              <w:top w:val="single" w:sz="8" w:space="0" w:color="000000"/>
            </w:tcBorders>
            <w:vAlign w:val="center"/>
          </w:tcPr>
          <w:p w14:paraId="60DACDC3" w14:textId="77777777" w:rsidR="00995447" w:rsidRDefault="00995447">
            <w:pPr>
              <w:ind w:left="0"/>
              <w:rPr>
                <w:rFonts w:ascii="Times New Roman" w:eastAsia="Times New Roman" w:hAnsi="Times New Roman" w:cs="Times New Roman"/>
                <w:sz w:val="18"/>
                <w:szCs w:val="18"/>
              </w:rPr>
            </w:pPr>
          </w:p>
        </w:tc>
      </w:tr>
      <w:tr w:rsidR="00995447" w14:paraId="6D24DF85" w14:textId="77777777" w:rsidTr="003F6781">
        <w:trPr>
          <w:trHeight w:val="340"/>
        </w:trPr>
        <w:tc>
          <w:tcPr>
            <w:tcW w:w="1468" w:type="pct"/>
            <w:vAlign w:val="center"/>
          </w:tcPr>
          <w:p w14:paraId="4552A96D"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HFDs (past 3 months)</w:t>
            </w:r>
          </w:p>
        </w:tc>
        <w:tc>
          <w:tcPr>
            <w:tcW w:w="592" w:type="pct"/>
            <w:vAlign w:val="center"/>
          </w:tcPr>
          <w:p w14:paraId="0F3AA51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81.95</w:t>
            </w:r>
          </w:p>
        </w:tc>
        <w:tc>
          <w:tcPr>
            <w:tcW w:w="540" w:type="pct"/>
            <w:vAlign w:val="center"/>
          </w:tcPr>
          <w:p w14:paraId="57DB81A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80.89</w:t>
            </w:r>
          </w:p>
        </w:tc>
        <w:tc>
          <w:tcPr>
            <w:tcW w:w="592" w:type="pct"/>
            <w:vAlign w:val="center"/>
          </w:tcPr>
          <w:p w14:paraId="1B099C8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82.95</w:t>
            </w:r>
          </w:p>
        </w:tc>
        <w:tc>
          <w:tcPr>
            <w:tcW w:w="136" w:type="pct"/>
            <w:vAlign w:val="center"/>
          </w:tcPr>
          <w:p w14:paraId="5AC72ECD"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265B520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82.73</w:t>
            </w:r>
          </w:p>
        </w:tc>
        <w:tc>
          <w:tcPr>
            <w:tcW w:w="540" w:type="pct"/>
            <w:vAlign w:val="center"/>
          </w:tcPr>
          <w:p w14:paraId="1867A5E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81.82</w:t>
            </w:r>
          </w:p>
        </w:tc>
        <w:tc>
          <w:tcPr>
            <w:tcW w:w="592" w:type="pct"/>
            <w:vAlign w:val="center"/>
          </w:tcPr>
          <w:p w14:paraId="5B55297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83.57</w:t>
            </w:r>
          </w:p>
        </w:tc>
      </w:tr>
      <w:tr w:rsidR="00995447" w14:paraId="75D45120" w14:textId="77777777" w:rsidTr="003F6781">
        <w:trPr>
          <w:trHeight w:val="340"/>
        </w:trPr>
        <w:tc>
          <w:tcPr>
            <w:tcW w:w="1468" w:type="pct"/>
            <w:vAlign w:val="center"/>
          </w:tcPr>
          <w:p w14:paraId="3A9FE5FB"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Pain episodes (past 3 months)</w:t>
            </w:r>
          </w:p>
        </w:tc>
        <w:tc>
          <w:tcPr>
            <w:tcW w:w="592" w:type="pct"/>
            <w:vAlign w:val="center"/>
          </w:tcPr>
          <w:p w14:paraId="2346A0F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2.41</w:t>
            </w:r>
          </w:p>
        </w:tc>
        <w:tc>
          <w:tcPr>
            <w:tcW w:w="540" w:type="pct"/>
            <w:vAlign w:val="center"/>
          </w:tcPr>
          <w:p w14:paraId="679A8C0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1.34</w:t>
            </w:r>
          </w:p>
        </w:tc>
        <w:tc>
          <w:tcPr>
            <w:tcW w:w="592" w:type="pct"/>
            <w:vAlign w:val="center"/>
          </w:tcPr>
          <w:p w14:paraId="2EFA05D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4.33</w:t>
            </w:r>
          </w:p>
        </w:tc>
        <w:tc>
          <w:tcPr>
            <w:tcW w:w="136" w:type="pct"/>
            <w:vAlign w:val="center"/>
          </w:tcPr>
          <w:p w14:paraId="48BFC0A8"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7F4ED0E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2.84</w:t>
            </w:r>
          </w:p>
        </w:tc>
        <w:tc>
          <w:tcPr>
            <w:tcW w:w="540" w:type="pct"/>
            <w:vAlign w:val="center"/>
          </w:tcPr>
          <w:p w14:paraId="0DB1595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1.46</w:t>
            </w:r>
          </w:p>
        </w:tc>
        <w:tc>
          <w:tcPr>
            <w:tcW w:w="592" w:type="pct"/>
            <w:vAlign w:val="center"/>
          </w:tcPr>
          <w:p w14:paraId="67BDC24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5.54</w:t>
            </w:r>
          </w:p>
        </w:tc>
      </w:tr>
      <w:tr w:rsidR="00995447" w14:paraId="1204202E" w14:textId="77777777" w:rsidTr="003F6781">
        <w:trPr>
          <w:trHeight w:val="340"/>
        </w:trPr>
        <w:tc>
          <w:tcPr>
            <w:tcW w:w="1468" w:type="pct"/>
            <w:vAlign w:val="center"/>
          </w:tcPr>
          <w:p w14:paraId="6D391F33" w14:textId="77777777" w:rsidR="00995447" w:rsidRPr="003F6781" w:rsidRDefault="000E4D7A">
            <w:pPr>
              <w:ind w:left="0"/>
              <w:jc w:val="left"/>
              <w:rPr>
                <w:rFonts w:ascii="Times New Roman" w:eastAsia="Times New Roman" w:hAnsi="Times New Roman" w:cs="Times New Roman"/>
                <w:b/>
                <w:bCs/>
                <w:sz w:val="18"/>
                <w:szCs w:val="18"/>
              </w:rPr>
            </w:pPr>
            <w:r w:rsidRPr="003F6781">
              <w:rPr>
                <w:rFonts w:ascii="Times New Roman" w:eastAsia="Times New Roman" w:hAnsi="Times New Roman" w:cs="Times New Roman"/>
                <w:b/>
                <w:bCs/>
                <w:sz w:val="18"/>
                <w:szCs w:val="18"/>
              </w:rPr>
              <w:t>Cost (XAF)</w:t>
            </w:r>
          </w:p>
        </w:tc>
        <w:tc>
          <w:tcPr>
            <w:tcW w:w="592" w:type="pct"/>
            <w:vAlign w:val="center"/>
          </w:tcPr>
          <w:p w14:paraId="436EDAFE"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0ED418AB" w14:textId="77777777" w:rsidR="00995447" w:rsidRDefault="00995447">
            <w:pPr>
              <w:ind w:left="0"/>
              <w:rPr>
                <w:rFonts w:ascii="Times New Roman" w:eastAsia="Times New Roman" w:hAnsi="Times New Roman" w:cs="Times New Roman"/>
                <w:sz w:val="18"/>
                <w:szCs w:val="18"/>
              </w:rPr>
            </w:pPr>
          </w:p>
        </w:tc>
        <w:tc>
          <w:tcPr>
            <w:tcW w:w="592" w:type="pct"/>
            <w:vAlign w:val="center"/>
          </w:tcPr>
          <w:p w14:paraId="79C31C27" w14:textId="77777777" w:rsidR="00995447" w:rsidRDefault="00995447">
            <w:pPr>
              <w:ind w:left="0"/>
              <w:rPr>
                <w:rFonts w:ascii="Times New Roman" w:eastAsia="Times New Roman" w:hAnsi="Times New Roman" w:cs="Times New Roman"/>
                <w:sz w:val="18"/>
                <w:szCs w:val="18"/>
              </w:rPr>
            </w:pPr>
          </w:p>
        </w:tc>
        <w:tc>
          <w:tcPr>
            <w:tcW w:w="136" w:type="pct"/>
            <w:vAlign w:val="center"/>
          </w:tcPr>
          <w:p w14:paraId="4D1C01AC"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467906EA"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2C0B1A46" w14:textId="77777777" w:rsidR="00995447" w:rsidRDefault="00995447">
            <w:pPr>
              <w:ind w:left="0"/>
              <w:rPr>
                <w:rFonts w:ascii="Times New Roman" w:eastAsia="Times New Roman" w:hAnsi="Times New Roman" w:cs="Times New Roman"/>
                <w:sz w:val="18"/>
                <w:szCs w:val="18"/>
              </w:rPr>
            </w:pPr>
          </w:p>
        </w:tc>
        <w:tc>
          <w:tcPr>
            <w:tcW w:w="592" w:type="pct"/>
            <w:vAlign w:val="center"/>
          </w:tcPr>
          <w:p w14:paraId="40FBAC0C" w14:textId="77777777" w:rsidR="00995447" w:rsidRDefault="00995447">
            <w:pPr>
              <w:ind w:left="0"/>
              <w:rPr>
                <w:rFonts w:ascii="Times New Roman" w:eastAsia="Times New Roman" w:hAnsi="Times New Roman" w:cs="Times New Roman"/>
                <w:sz w:val="18"/>
                <w:szCs w:val="18"/>
              </w:rPr>
            </w:pPr>
          </w:p>
        </w:tc>
      </w:tr>
      <w:tr w:rsidR="00995447" w14:paraId="23000F06" w14:textId="77777777" w:rsidTr="003F6781">
        <w:trPr>
          <w:trHeight w:val="340"/>
        </w:trPr>
        <w:tc>
          <w:tcPr>
            <w:tcW w:w="1468" w:type="pct"/>
            <w:vAlign w:val="center"/>
          </w:tcPr>
          <w:p w14:paraId="435333B1"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Outpatient consultation fees</w:t>
            </w:r>
          </w:p>
        </w:tc>
        <w:tc>
          <w:tcPr>
            <w:tcW w:w="592" w:type="pct"/>
            <w:vAlign w:val="center"/>
          </w:tcPr>
          <w:p w14:paraId="69F2E2D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7,280.57</w:t>
            </w:r>
          </w:p>
        </w:tc>
        <w:tc>
          <w:tcPr>
            <w:tcW w:w="540" w:type="pct"/>
            <w:vAlign w:val="center"/>
          </w:tcPr>
          <w:p w14:paraId="25F6492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4,978.45</w:t>
            </w:r>
          </w:p>
        </w:tc>
        <w:tc>
          <w:tcPr>
            <w:tcW w:w="592" w:type="pct"/>
            <w:vAlign w:val="center"/>
          </w:tcPr>
          <w:p w14:paraId="7460085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10,647.21</w:t>
            </w:r>
          </w:p>
        </w:tc>
        <w:tc>
          <w:tcPr>
            <w:tcW w:w="136" w:type="pct"/>
            <w:vAlign w:val="center"/>
          </w:tcPr>
          <w:p w14:paraId="232E03BF"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37528B2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16,828.05</w:t>
            </w:r>
          </w:p>
        </w:tc>
        <w:tc>
          <w:tcPr>
            <w:tcW w:w="540" w:type="pct"/>
            <w:vAlign w:val="center"/>
          </w:tcPr>
          <w:p w14:paraId="74B05B8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10,891.26</w:t>
            </w:r>
          </w:p>
        </w:tc>
        <w:tc>
          <w:tcPr>
            <w:tcW w:w="592" w:type="pct"/>
            <w:vAlign w:val="center"/>
          </w:tcPr>
          <w:p w14:paraId="2CB47BD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26,000.98</w:t>
            </w:r>
          </w:p>
        </w:tc>
      </w:tr>
      <w:tr w:rsidR="00995447" w14:paraId="762141F5" w14:textId="77777777" w:rsidTr="003F6781">
        <w:trPr>
          <w:trHeight w:val="340"/>
        </w:trPr>
        <w:tc>
          <w:tcPr>
            <w:tcW w:w="1468" w:type="pct"/>
            <w:vAlign w:val="center"/>
          </w:tcPr>
          <w:p w14:paraId="544D0ED4"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Emergency consultation fees</w:t>
            </w:r>
          </w:p>
        </w:tc>
        <w:tc>
          <w:tcPr>
            <w:tcW w:w="592" w:type="pct"/>
            <w:vAlign w:val="center"/>
          </w:tcPr>
          <w:p w14:paraId="2B3EB6F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7,308.28</w:t>
            </w:r>
          </w:p>
        </w:tc>
        <w:tc>
          <w:tcPr>
            <w:tcW w:w="540" w:type="pct"/>
            <w:vAlign w:val="center"/>
          </w:tcPr>
          <w:p w14:paraId="1FFD839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3,169.37</w:t>
            </w:r>
          </w:p>
        </w:tc>
        <w:tc>
          <w:tcPr>
            <w:tcW w:w="592" w:type="pct"/>
            <w:vAlign w:val="center"/>
          </w:tcPr>
          <w:p w14:paraId="5BAED0C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16,852.25</w:t>
            </w:r>
          </w:p>
        </w:tc>
        <w:tc>
          <w:tcPr>
            <w:tcW w:w="136" w:type="pct"/>
            <w:vAlign w:val="center"/>
          </w:tcPr>
          <w:p w14:paraId="5C8BA18E"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73C1A0D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3,800.36</w:t>
            </w:r>
          </w:p>
        </w:tc>
        <w:tc>
          <w:tcPr>
            <w:tcW w:w="540" w:type="pct"/>
            <w:vAlign w:val="center"/>
          </w:tcPr>
          <w:p w14:paraId="6643892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1,213.03</w:t>
            </w:r>
          </w:p>
        </w:tc>
        <w:tc>
          <w:tcPr>
            <w:tcW w:w="592" w:type="pct"/>
            <w:vAlign w:val="center"/>
          </w:tcPr>
          <w:p w14:paraId="47F0A61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11,906.32</w:t>
            </w:r>
          </w:p>
        </w:tc>
      </w:tr>
      <w:tr w:rsidR="00995447" w14:paraId="04C3189E" w14:textId="77777777" w:rsidTr="003F6781">
        <w:trPr>
          <w:trHeight w:val="340"/>
        </w:trPr>
        <w:tc>
          <w:tcPr>
            <w:tcW w:w="1468" w:type="pct"/>
            <w:vAlign w:val="center"/>
          </w:tcPr>
          <w:p w14:paraId="74EC4046"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Medication</w:t>
            </w:r>
          </w:p>
        </w:tc>
        <w:tc>
          <w:tcPr>
            <w:tcW w:w="592" w:type="pct"/>
            <w:vAlign w:val="center"/>
          </w:tcPr>
          <w:p w14:paraId="266AA96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49,177.17</w:t>
            </w:r>
          </w:p>
        </w:tc>
        <w:tc>
          <w:tcPr>
            <w:tcW w:w="540" w:type="pct"/>
            <w:vAlign w:val="center"/>
          </w:tcPr>
          <w:p w14:paraId="64F1A48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20,631.62</w:t>
            </w:r>
          </w:p>
        </w:tc>
        <w:tc>
          <w:tcPr>
            <w:tcW w:w="592" w:type="pct"/>
            <w:vAlign w:val="center"/>
          </w:tcPr>
          <w:p w14:paraId="25413C7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117,217.84</w:t>
            </w:r>
          </w:p>
        </w:tc>
        <w:tc>
          <w:tcPr>
            <w:tcW w:w="136" w:type="pct"/>
            <w:vAlign w:val="center"/>
          </w:tcPr>
          <w:p w14:paraId="52B952E8"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2AAE788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31,540.46</w:t>
            </w:r>
          </w:p>
        </w:tc>
        <w:tc>
          <w:tcPr>
            <w:tcW w:w="540" w:type="pct"/>
            <w:vAlign w:val="center"/>
          </w:tcPr>
          <w:p w14:paraId="0252C29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10,522.36</w:t>
            </w:r>
          </w:p>
        </w:tc>
        <w:tc>
          <w:tcPr>
            <w:tcW w:w="592" w:type="pct"/>
            <w:vAlign w:val="center"/>
          </w:tcPr>
          <w:p w14:paraId="3C00C64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94,541.62</w:t>
            </w:r>
          </w:p>
        </w:tc>
      </w:tr>
      <w:tr w:rsidR="00995447" w14:paraId="78FEA7F4" w14:textId="77777777" w:rsidTr="003F6781">
        <w:trPr>
          <w:trHeight w:val="340"/>
        </w:trPr>
        <w:tc>
          <w:tcPr>
            <w:tcW w:w="1468" w:type="pct"/>
            <w:vAlign w:val="center"/>
          </w:tcPr>
          <w:p w14:paraId="4B941DD2"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Laboratory test</w:t>
            </w:r>
          </w:p>
        </w:tc>
        <w:tc>
          <w:tcPr>
            <w:tcW w:w="592" w:type="pct"/>
            <w:vAlign w:val="center"/>
          </w:tcPr>
          <w:p w14:paraId="0C48D28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35,096.61</w:t>
            </w:r>
          </w:p>
        </w:tc>
        <w:tc>
          <w:tcPr>
            <w:tcW w:w="540" w:type="pct"/>
            <w:vAlign w:val="center"/>
          </w:tcPr>
          <w:p w14:paraId="60C0C18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18,094.37</w:t>
            </w:r>
          </w:p>
        </w:tc>
        <w:tc>
          <w:tcPr>
            <w:tcW w:w="592" w:type="pct"/>
            <w:vAlign w:val="center"/>
          </w:tcPr>
          <w:p w14:paraId="5DCD655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68,074.88</w:t>
            </w:r>
          </w:p>
        </w:tc>
        <w:tc>
          <w:tcPr>
            <w:tcW w:w="136" w:type="pct"/>
            <w:vAlign w:val="center"/>
          </w:tcPr>
          <w:p w14:paraId="2BB643EE"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0A58BC3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12,090.01</w:t>
            </w:r>
          </w:p>
        </w:tc>
        <w:tc>
          <w:tcPr>
            <w:tcW w:w="540" w:type="pct"/>
            <w:vAlign w:val="center"/>
          </w:tcPr>
          <w:p w14:paraId="0939005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5,663.34</w:t>
            </w:r>
          </w:p>
        </w:tc>
        <w:tc>
          <w:tcPr>
            <w:tcW w:w="592" w:type="pct"/>
            <w:vAlign w:val="center"/>
          </w:tcPr>
          <w:p w14:paraId="6ACDECB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25,809.57</w:t>
            </w:r>
          </w:p>
        </w:tc>
      </w:tr>
      <w:tr w:rsidR="00995447" w14:paraId="3B00742B" w14:textId="77777777" w:rsidTr="003F6781">
        <w:trPr>
          <w:trHeight w:val="340"/>
        </w:trPr>
        <w:tc>
          <w:tcPr>
            <w:tcW w:w="1468" w:type="pct"/>
            <w:vAlign w:val="center"/>
          </w:tcPr>
          <w:p w14:paraId="5C7E3180"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Imaging test</w:t>
            </w:r>
          </w:p>
        </w:tc>
        <w:tc>
          <w:tcPr>
            <w:tcW w:w="592" w:type="pct"/>
            <w:vAlign w:val="center"/>
          </w:tcPr>
          <w:p w14:paraId="703DF10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8,692.30</w:t>
            </w:r>
          </w:p>
        </w:tc>
        <w:tc>
          <w:tcPr>
            <w:tcW w:w="540" w:type="pct"/>
            <w:vAlign w:val="center"/>
          </w:tcPr>
          <w:p w14:paraId="1355CC6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3,050.64</w:t>
            </w:r>
          </w:p>
        </w:tc>
        <w:tc>
          <w:tcPr>
            <w:tcW w:w="592" w:type="pct"/>
            <w:vAlign w:val="center"/>
          </w:tcPr>
          <w:p w14:paraId="5D9054B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24,767.25</w:t>
            </w:r>
          </w:p>
        </w:tc>
        <w:tc>
          <w:tcPr>
            <w:tcW w:w="136" w:type="pct"/>
            <w:vAlign w:val="center"/>
          </w:tcPr>
          <w:p w14:paraId="050F4954"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367CC24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3,086.57</w:t>
            </w:r>
          </w:p>
        </w:tc>
        <w:tc>
          <w:tcPr>
            <w:tcW w:w="540" w:type="pct"/>
            <w:vAlign w:val="center"/>
          </w:tcPr>
          <w:p w14:paraId="6B350DE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753.68</w:t>
            </w:r>
          </w:p>
        </w:tc>
        <w:tc>
          <w:tcPr>
            <w:tcW w:w="592" w:type="pct"/>
            <w:vAlign w:val="center"/>
          </w:tcPr>
          <w:p w14:paraId="6D6446E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12,640.53</w:t>
            </w:r>
          </w:p>
        </w:tc>
      </w:tr>
      <w:tr w:rsidR="00995447" w14:paraId="6FF9BC20" w14:textId="77777777" w:rsidTr="003F6781">
        <w:trPr>
          <w:trHeight w:val="340"/>
        </w:trPr>
        <w:tc>
          <w:tcPr>
            <w:tcW w:w="1468" w:type="pct"/>
            <w:vAlign w:val="center"/>
          </w:tcPr>
          <w:p w14:paraId="1B755949"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Hospital consumables</w:t>
            </w:r>
          </w:p>
        </w:tc>
        <w:tc>
          <w:tcPr>
            <w:tcW w:w="592" w:type="pct"/>
            <w:vAlign w:val="center"/>
          </w:tcPr>
          <w:p w14:paraId="7FEEF9D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4,351.32</w:t>
            </w:r>
          </w:p>
        </w:tc>
        <w:tc>
          <w:tcPr>
            <w:tcW w:w="540" w:type="pct"/>
            <w:vAlign w:val="center"/>
          </w:tcPr>
          <w:p w14:paraId="0DF2BEE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1,727.49</w:t>
            </w:r>
          </w:p>
        </w:tc>
        <w:tc>
          <w:tcPr>
            <w:tcW w:w="592" w:type="pct"/>
            <w:vAlign w:val="center"/>
          </w:tcPr>
          <w:p w14:paraId="3491DCF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10,960.36</w:t>
            </w:r>
          </w:p>
        </w:tc>
        <w:tc>
          <w:tcPr>
            <w:tcW w:w="136" w:type="pct"/>
            <w:vAlign w:val="center"/>
          </w:tcPr>
          <w:p w14:paraId="5AD6A2AE"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772BDAD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923.87</w:t>
            </w:r>
          </w:p>
        </w:tc>
        <w:tc>
          <w:tcPr>
            <w:tcW w:w="540" w:type="pct"/>
            <w:vAlign w:val="center"/>
          </w:tcPr>
          <w:p w14:paraId="6876ED4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225.82</w:t>
            </w:r>
          </w:p>
        </w:tc>
        <w:tc>
          <w:tcPr>
            <w:tcW w:w="592" w:type="pct"/>
            <w:vAlign w:val="center"/>
          </w:tcPr>
          <w:p w14:paraId="3578A25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3,779.73</w:t>
            </w:r>
          </w:p>
        </w:tc>
      </w:tr>
      <w:tr w:rsidR="00995447" w14:paraId="0CDC1630" w14:textId="77777777" w:rsidTr="003F6781">
        <w:trPr>
          <w:trHeight w:val="340"/>
        </w:trPr>
        <w:tc>
          <w:tcPr>
            <w:tcW w:w="1468" w:type="pct"/>
            <w:vAlign w:val="center"/>
          </w:tcPr>
          <w:p w14:paraId="5AB2F882"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Blood products</w:t>
            </w:r>
          </w:p>
        </w:tc>
        <w:tc>
          <w:tcPr>
            <w:tcW w:w="592" w:type="pct"/>
            <w:vAlign w:val="center"/>
          </w:tcPr>
          <w:p w14:paraId="1EF467D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25,239.05</w:t>
            </w:r>
          </w:p>
        </w:tc>
        <w:tc>
          <w:tcPr>
            <w:tcW w:w="540" w:type="pct"/>
            <w:vAlign w:val="center"/>
          </w:tcPr>
          <w:p w14:paraId="213FBFE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7,674.64</w:t>
            </w:r>
          </w:p>
        </w:tc>
        <w:tc>
          <w:tcPr>
            <w:tcW w:w="592" w:type="pct"/>
            <w:vAlign w:val="center"/>
          </w:tcPr>
          <w:p w14:paraId="25B1C7E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83,001.88</w:t>
            </w:r>
          </w:p>
        </w:tc>
        <w:tc>
          <w:tcPr>
            <w:tcW w:w="136" w:type="pct"/>
            <w:vAlign w:val="center"/>
          </w:tcPr>
          <w:p w14:paraId="304DB6BD" w14:textId="77777777" w:rsidR="00995447" w:rsidRDefault="00995447">
            <w:pPr>
              <w:ind w:left="0"/>
              <w:rPr>
                <w:rFonts w:ascii="Times New Roman" w:eastAsia="Times New Roman" w:hAnsi="Times New Roman" w:cs="Times New Roman"/>
                <w:sz w:val="18"/>
                <w:szCs w:val="18"/>
              </w:rPr>
            </w:pPr>
          </w:p>
        </w:tc>
        <w:tc>
          <w:tcPr>
            <w:tcW w:w="540" w:type="pct"/>
            <w:vAlign w:val="center"/>
          </w:tcPr>
          <w:p w14:paraId="30684CC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2,693.71</w:t>
            </w:r>
          </w:p>
        </w:tc>
        <w:tc>
          <w:tcPr>
            <w:tcW w:w="540" w:type="pct"/>
            <w:vAlign w:val="center"/>
          </w:tcPr>
          <w:p w14:paraId="2C551E4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389.80</w:t>
            </w:r>
          </w:p>
        </w:tc>
        <w:tc>
          <w:tcPr>
            <w:tcW w:w="592" w:type="pct"/>
            <w:vAlign w:val="center"/>
          </w:tcPr>
          <w:p w14:paraId="5877F41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18,614.78</w:t>
            </w:r>
          </w:p>
        </w:tc>
      </w:tr>
      <w:tr w:rsidR="00995447" w14:paraId="2A144220" w14:textId="77777777" w:rsidTr="003F6781">
        <w:trPr>
          <w:trHeight w:val="340"/>
        </w:trPr>
        <w:tc>
          <w:tcPr>
            <w:tcW w:w="1468" w:type="pct"/>
            <w:tcBorders>
              <w:bottom w:val="single" w:sz="8" w:space="0" w:color="000000"/>
            </w:tcBorders>
            <w:vAlign w:val="center"/>
          </w:tcPr>
          <w:p w14:paraId="724BDE44"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Inpatient stay</w:t>
            </w:r>
          </w:p>
        </w:tc>
        <w:tc>
          <w:tcPr>
            <w:tcW w:w="592" w:type="pct"/>
            <w:tcBorders>
              <w:bottom w:val="single" w:sz="8" w:space="0" w:color="000000"/>
            </w:tcBorders>
            <w:vAlign w:val="center"/>
          </w:tcPr>
          <w:p w14:paraId="639AC4B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134,204.20</w:t>
            </w:r>
          </w:p>
        </w:tc>
        <w:tc>
          <w:tcPr>
            <w:tcW w:w="540" w:type="pct"/>
            <w:tcBorders>
              <w:bottom w:val="single" w:sz="8" w:space="0" w:color="000000"/>
            </w:tcBorders>
            <w:vAlign w:val="center"/>
          </w:tcPr>
          <w:p w14:paraId="4378D36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64,014.99</w:t>
            </w:r>
          </w:p>
        </w:tc>
        <w:tc>
          <w:tcPr>
            <w:tcW w:w="592" w:type="pct"/>
            <w:tcBorders>
              <w:bottom w:val="single" w:sz="8" w:space="0" w:color="000000"/>
            </w:tcBorders>
            <w:vAlign w:val="center"/>
          </w:tcPr>
          <w:p w14:paraId="0D520D9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281,352.34</w:t>
            </w:r>
          </w:p>
        </w:tc>
        <w:tc>
          <w:tcPr>
            <w:tcW w:w="136" w:type="pct"/>
            <w:tcBorders>
              <w:bottom w:val="single" w:sz="8" w:space="0" w:color="000000"/>
            </w:tcBorders>
            <w:vAlign w:val="center"/>
          </w:tcPr>
          <w:p w14:paraId="1FE08CDD" w14:textId="77777777" w:rsidR="00995447" w:rsidRDefault="00995447">
            <w:pPr>
              <w:ind w:left="0"/>
              <w:rPr>
                <w:rFonts w:ascii="Times New Roman" w:eastAsia="Times New Roman" w:hAnsi="Times New Roman" w:cs="Times New Roman"/>
                <w:sz w:val="18"/>
                <w:szCs w:val="18"/>
              </w:rPr>
            </w:pPr>
          </w:p>
        </w:tc>
        <w:tc>
          <w:tcPr>
            <w:tcW w:w="540" w:type="pct"/>
            <w:tcBorders>
              <w:bottom w:val="single" w:sz="8" w:space="0" w:color="000000"/>
            </w:tcBorders>
            <w:vAlign w:val="center"/>
          </w:tcPr>
          <w:p w14:paraId="0488AB7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45,071.08</w:t>
            </w:r>
          </w:p>
        </w:tc>
        <w:tc>
          <w:tcPr>
            <w:tcW w:w="540" w:type="pct"/>
            <w:tcBorders>
              <w:bottom w:val="single" w:sz="8" w:space="0" w:color="000000"/>
            </w:tcBorders>
            <w:vAlign w:val="center"/>
          </w:tcPr>
          <w:p w14:paraId="0A25C78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16,020.56</w:t>
            </w:r>
          </w:p>
        </w:tc>
        <w:tc>
          <w:tcPr>
            <w:tcW w:w="592" w:type="pct"/>
            <w:tcBorders>
              <w:bottom w:val="single" w:sz="8" w:space="0" w:color="000000"/>
            </w:tcBorders>
            <w:vAlign w:val="center"/>
          </w:tcPr>
          <w:p w14:paraId="66641F5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126,799.75</w:t>
            </w:r>
          </w:p>
        </w:tc>
      </w:tr>
      <w:tr w:rsidR="00995447" w14:paraId="48A7EC6F" w14:textId="77777777" w:rsidTr="003F6781">
        <w:trPr>
          <w:trHeight w:val="340"/>
        </w:trPr>
        <w:tc>
          <w:tcPr>
            <w:tcW w:w="5000" w:type="pct"/>
            <w:gridSpan w:val="8"/>
            <w:tcBorders>
              <w:top w:val="single" w:sz="8" w:space="0" w:color="000000"/>
              <w:bottom w:val="nil"/>
            </w:tcBorders>
            <w:vAlign w:val="center"/>
          </w:tcPr>
          <w:p w14:paraId="66398B75"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EMM</w:t>
            </w:r>
            <w:r>
              <w:rPr>
                <w:rFonts w:ascii="Times New Roman" w:eastAsia="Times New Roman" w:hAnsi="Times New Roman" w:cs="Times New Roman"/>
                <w:sz w:val="18"/>
                <w:szCs w:val="18"/>
              </w:rPr>
              <w:t>, Estimated Marginal Mean</w:t>
            </w:r>
            <w:r>
              <w:rPr>
                <w:rFonts w:ascii="Times New Roman" w:eastAsia="Times New Roman" w:hAnsi="Times New Roman" w:cs="Times New Roman"/>
                <w:sz w:val="18"/>
                <w:szCs w:val="18"/>
              </w:rPr>
              <w:br/>
            </w:r>
            <w:r>
              <w:rPr>
                <w:rFonts w:ascii="Times New Roman" w:eastAsia="Times New Roman" w:hAnsi="Times New Roman" w:cs="Times New Roman"/>
                <w:b/>
                <w:bCs/>
                <w:sz w:val="18"/>
                <w:szCs w:val="18"/>
              </w:rPr>
              <w:t>XAF</w:t>
            </w:r>
            <w:r>
              <w:rPr>
                <w:rFonts w:ascii="Times New Roman" w:eastAsia="Times New Roman" w:hAnsi="Times New Roman" w:cs="Times New Roman"/>
                <w:sz w:val="18"/>
                <w:szCs w:val="18"/>
              </w:rPr>
              <w:t>, Central African Franc CFA</w:t>
            </w:r>
          </w:p>
        </w:tc>
      </w:tr>
    </w:tbl>
    <w:p w14:paraId="6D262B7F" w14:textId="77777777" w:rsidR="00995447" w:rsidRDefault="00995447">
      <w:pPr>
        <w:spacing w:line="360" w:lineRule="auto"/>
        <w:ind w:left="0"/>
        <w:jc w:val="both"/>
        <w:rPr>
          <w:rFonts w:ascii="Times New Roman" w:eastAsia="Times New Roman" w:hAnsi="Times New Roman" w:cs="Times New Roman"/>
          <w:sz w:val="24"/>
          <w:szCs w:val="24"/>
        </w:rPr>
      </w:pPr>
    </w:p>
    <w:p w14:paraId="6C5FAAC9" w14:textId="77777777" w:rsidR="00995447" w:rsidRDefault="000E4D7A">
      <w:pPr>
        <w:keepNext/>
        <w:keepLines/>
        <w:spacing w:before="200" w:line="360" w:lineRule="auto"/>
        <w:ind w:left="720" w:hanging="720"/>
        <w:jc w:val="both"/>
        <w:rPr>
          <w:rFonts w:ascii="Times New Roman" w:eastAsia="Times New Roman" w:hAnsi="Times New Roman" w:cs="Times New Roman"/>
          <w:b/>
          <w:bCs/>
          <w:sz w:val="24"/>
          <w:szCs w:val="24"/>
        </w:rPr>
      </w:pPr>
      <w:bookmarkStart w:id="3" w:name="_zigfggkoz6fk" w:colFirst="0" w:colLast="0"/>
      <w:bookmarkEnd w:id="3"/>
      <w:r>
        <w:rPr>
          <w:rFonts w:ascii="Times New Roman" w:eastAsia="Times New Roman" w:hAnsi="Times New Roman" w:cs="Times New Roman"/>
          <w:b/>
          <w:bCs/>
          <w:sz w:val="24"/>
          <w:szCs w:val="24"/>
        </w:rPr>
        <w:t>Cost-Effectiveness Analysis</w:t>
      </w:r>
    </w:p>
    <w:p w14:paraId="2D27C068" w14:textId="3FA5549A"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CEA was conducted using estimated marginal means of costs and clinical outcomes derived from regression models after covariate adjustment. Table </w:t>
      </w:r>
      <w:r w:rsidR="009C427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presents the undiscounted and discounted results of the ≥3 follow-ups per year monitoring strategy compared w</w:t>
      </w:r>
      <w:r>
        <w:rPr>
          <w:rFonts w:ascii="Times New Roman" w:eastAsia="Times New Roman" w:hAnsi="Times New Roman" w:cs="Times New Roman"/>
          <w:sz w:val="24"/>
          <w:szCs w:val="24"/>
        </w:rPr>
        <w:t>ith no follow-ups per year and 1–2 follow-ups/year. The ≥3 follow-ups per year strategy was associated with both lower costs and better clinical outcomes. Compared with no follow-ups/year, the mean incremental cost (discounted) was –XAF 195,384.15, with an</w:t>
      </w:r>
      <w:r>
        <w:rPr>
          <w:rFonts w:ascii="Times New Roman" w:eastAsia="Times New Roman" w:hAnsi="Times New Roman" w:cs="Times New Roman"/>
          <w:sz w:val="24"/>
          <w:szCs w:val="24"/>
        </w:rPr>
        <w:t xml:space="preserve"> incremental effect of 2.21 HFDs. This indicated substantial cost savings and gains in HFDs. The discounted ICER was –XAF 88,409.12 per HFD, demonstrating dominance (greater effectiveness at lower cost). The 95% bootstrap </w:t>
      </w:r>
      <w:proofErr w:type="spellStart"/>
      <w:r>
        <w:rPr>
          <w:rFonts w:ascii="Times New Roman" w:eastAsia="Times New Roman" w:hAnsi="Times New Roman" w:cs="Times New Roman"/>
          <w:sz w:val="24"/>
          <w:szCs w:val="24"/>
        </w:rPr>
        <w:t>BCa</w:t>
      </w:r>
      <w:proofErr w:type="spellEnd"/>
      <w:r>
        <w:rPr>
          <w:rFonts w:ascii="Times New Roman" w:eastAsia="Times New Roman" w:hAnsi="Times New Roman" w:cs="Times New Roman"/>
          <w:sz w:val="24"/>
          <w:szCs w:val="24"/>
        </w:rPr>
        <w:t xml:space="preserve"> confidence interval ranged fro</w:t>
      </w:r>
      <w:r>
        <w:rPr>
          <w:rFonts w:ascii="Times New Roman" w:eastAsia="Times New Roman" w:hAnsi="Times New Roman" w:cs="Times New Roman"/>
          <w:sz w:val="24"/>
          <w:szCs w:val="24"/>
        </w:rPr>
        <w:t>m –XAF 115,552.60 to –XAF 26,256.74 per HFD, confirming robustness in the ICER estimate (Figure 1). Similarly, the ≥3 follow-ups per year strategy was dominant compared with the 1–2 follow-ups per year strategy. The discounted ICER was –XAF198,231.49 per H</w:t>
      </w:r>
      <w:r>
        <w:rPr>
          <w:rFonts w:ascii="Times New Roman" w:eastAsia="Times New Roman" w:hAnsi="Times New Roman" w:cs="Times New Roman"/>
          <w:sz w:val="24"/>
          <w:szCs w:val="24"/>
        </w:rPr>
        <w:t xml:space="preserve">FD gained. The 95% bootstrap </w:t>
      </w:r>
      <w:proofErr w:type="spellStart"/>
      <w:r>
        <w:rPr>
          <w:rFonts w:ascii="Times New Roman" w:eastAsia="Times New Roman" w:hAnsi="Times New Roman" w:cs="Times New Roman"/>
          <w:sz w:val="24"/>
          <w:szCs w:val="24"/>
        </w:rPr>
        <w:t>BCa</w:t>
      </w:r>
      <w:proofErr w:type="spellEnd"/>
      <w:r>
        <w:rPr>
          <w:rFonts w:ascii="Times New Roman" w:eastAsia="Times New Roman" w:hAnsi="Times New Roman" w:cs="Times New Roman"/>
          <w:sz w:val="24"/>
          <w:szCs w:val="24"/>
        </w:rPr>
        <w:t xml:space="preserve"> confidence interval was –XAF 1,243,058.00 to 970,953.80 per HFDs, reflecting significant uncertainty in the ICER estimate. This uncertainty is illustrated in Figure 1. The incremental cost-effectiveness plane indicates that</w:t>
      </w:r>
      <w:r>
        <w:rPr>
          <w:rFonts w:ascii="Times New Roman" w:eastAsia="Times New Roman" w:hAnsi="Times New Roman" w:cs="Times New Roman"/>
          <w:sz w:val="24"/>
          <w:szCs w:val="24"/>
        </w:rPr>
        <w:t xml:space="preserve"> ≥3 follow-ups per year may be more cost-saving than 1–2 follow-ups per year. Nonetheless, the dispersion of points across all quadrants highlights substantial uncertainty in the cost-effectiveness estimates.</w:t>
      </w:r>
    </w:p>
    <w:p w14:paraId="690D1219" w14:textId="77777777" w:rsidR="00995447" w:rsidRDefault="00995447">
      <w:pPr>
        <w:spacing w:line="360" w:lineRule="auto"/>
        <w:ind w:left="0"/>
        <w:jc w:val="both"/>
        <w:rPr>
          <w:rFonts w:ascii="Times New Roman" w:eastAsia="Times New Roman" w:hAnsi="Times New Roman" w:cs="Times New Roman"/>
          <w:sz w:val="24"/>
          <w:szCs w:val="24"/>
        </w:rPr>
      </w:pPr>
    </w:p>
    <w:p w14:paraId="357C2B64" w14:textId="77777777" w:rsidR="00995447" w:rsidRDefault="000E4D7A">
      <w:pPr>
        <w:keepNext/>
        <w:spacing w:after="200"/>
        <w:ind w:left="0"/>
        <w:jc w:val="left"/>
        <w:rPr>
          <w:rFonts w:ascii="Times New Roman" w:eastAsia="Times New Roman" w:hAnsi="Times New Roman" w:cs="Times New Roman"/>
          <w:sz w:val="20"/>
          <w:szCs w:val="20"/>
        </w:rPr>
      </w:pPr>
      <w:r w:rsidRPr="00D821E7">
        <w:rPr>
          <w:rFonts w:ascii="Times New Roman" w:eastAsia="Times New Roman" w:hAnsi="Times New Roman" w:cs="Times New Roman"/>
          <w:sz w:val="20"/>
          <w:szCs w:val="20"/>
        </w:rPr>
        <w:lastRenderedPageBreak/>
        <w:t>Table 5.</w:t>
      </w:r>
      <w:r>
        <w:rPr>
          <w:rFonts w:ascii="Times New Roman" w:eastAsia="Times New Roman" w:hAnsi="Times New Roman" w:cs="Times New Roman"/>
          <w:sz w:val="20"/>
          <w:szCs w:val="20"/>
        </w:rPr>
        <w:t xml:space="preserve"> Cost-effectiveness analysis table of </w:t>
      </w:r>
      <w:r>
        <w:rPr>
          <w:rFonts w:ascii="Times New Roman" w:eastAsia="Times New Roman" w:hAnsi="Times New Roman" w:cs="Times New Roman"/>
          <w:sz w:val="20"/>
          <w:szCs w:val="20"/>
        </w:rPr>
        <w:t>≥3 routine follow-ups per year compared with 1–2 and no follow-ups per year.</w:t>
      </w:r>
    </w:p>
    <w:tbl>
      <w:tblPr>
        <w:tblStyle w:val="a3"/>
        <w:tblW w:w="9362" w:type="dxa"/>
        <w:tblInd w:w="0" w:type="dxa"/>
        <w:tblBorders>
          <w:top w:val="single" w:sz="8" w:space="0" w:color="000000"/>
          <w:left w:val="nil"/>
          <w:bottom w:val="nil"/>
          <w:right w:val="nil"/>
          <w:insideH w:val="nil"/>
          <w:insideV w:val="nil"/>
        </w:tblBorders>
        <w:tblLayout w:type="fixed"/>
        <w:tblLook w:val="0400" w:firstRow="0" w:lastRow="0" w:firstColumn="0" w:lastColumn="0" w:noHBand="0" w:noVBand="1"/>
      </w:tblPr>
      <w:tblGrid>
        <w:gridCol w:w="1383"/>
        <w:gridCol w:w="1084"/>
        <w:gridCol w:w="929"/>
        <w:gridCol w:w="1156"/>
        <w:gridCol w:w="1156"/>
        <w:gridCol w:w="1236"/>
        <w:gridCol w:w="1221"/>
        <w:gridCol w:w="1197"/>
      </w:tblGrid>
      <w:tr w:rsidR="00995447" w14:paraId="586DCFD0" w14:textId="77777777">
        <w:trPr>
          <w:trHeight w:val="357"/>
        </w:trPr>
        <w:tc>
          <w:tcPr>
            <w:tcW w:w="1383" w:type="dxa"/>
            <w:tcBorders>
              <w:bottom w:val="nil"/>
            </w:tcBorders>
            <w:vAlign w:val="center"/>
          </w:tcPr>
          <w:p w14:paraId="77995ACA" w14:textId="77777777" w:rsidR="00995447" w:rsidRDefault="00995447">
            <w:pPr>
              <w:ind w:left="0"/>
              <w:rPr>
                <w:rFonts w:ascii="Times New Roman" w:eastAsia="Times New Roman" w:hAnsi="Times New Roman" w:cs="Times New Roman"/>
                <w:b/>
                <w:bCs/>
                <w:sz w:val="18"/>
                <w:szCs w:val="18"/>
              </w:rPr>
            </w:pPr>
          </w:p>
        </w:tc>
        <w:tc>
          <w:tcPr>
            <w:tcW w:w="1084" w:type="dxa"/>
            <w:tcBorders>
              <w:bottom w:val="nil"/>
            </w:tcBorders>
            <w:vAlign w:val="center"/>
          </w:tcPr>
          <w:p w14:paraId="513CF1D1" w14:textId="77777777" w:rsidR="00995447" w:rsidRDefault="00995447">
            <w:pPr>
              <w:ind w:left="0"/>
              <w:rPr>
                <w:rFonts w:ascii="Times New Roman" w:eastAsia="Times New Roman" w:hAnsi="Times New Roman" w:cs="Times New Roman"/>
                <w:b/>
                <w:bCs/>
                <w:sz w:val="18"/>
                <w:szCs w:val="18"/>
              </w:rPr>
            </w:pPr>
          </w:p>
        </w:tc>
        <w:tc>
          <w:tcPr>
            <w:tcW w:w="929" w:type="dxa"/>
            <w:tcBorders>
              <w:bottom w:val="nil"/>
            </w:tcBorders>
            <w:vAlign w:val="center"/>
          </w:tcPr>
          <w:p w14:paraId="2A15B146" w14:textId="77777777" w:rsidR="00995447" w:rsidRDefault="00995447">
            <w:pPr>
              <w:ind w:left="0"/>
              <w:rPr>
                <w:rFonts w:ascii="Times New Roman" w:eastAsia="Times New Roman" w:hAnsi="Times New Roman" w:cs="Times New Roman"/>
                <w:b/>
                <w:bCs/>
                <w:sz w:val="18"/>
                <w:szCs w:val="18"/>
              </w:rPr>
            </w:pPr>
          </w:p>
        </w:tc>
        <w:tc>
          <w:tcPr>
            <w:tcW w:w="1156" w:type="dxa"/>
            <w:tcBorders>
              <w:bottom w:val="nil"/>
            </w:tcBorders>
            <w:vAlign w:val="center"/>
          </w:tcPr>
          <w:p w14:paraId="1D3E95CF" w14:textId="77777777" w:rsidR="00995447" w:rsidRDefault="00995447">
            <w:pPr>
              <w:ind w:left="0"/>
              <w:rPr>
                <w:rFonts w:ascii="Times New Roman" w:eastAsia="Times New Roman" w:hAnsi="Times New Roman" w:cs="Times New Roman"/>
                <w:b/>
                <w:bCs/>
                <w:sz w:val="18"/>
                <w:szCs w:val="18"/>
              </w:rPr>
            </w:pPr>
          </w:p>
        </w:tc>
        <w:tc>
          <w:tcPr>
            <w:tcW w:w="1156" w:type="dxa"/>
            <w:tcBorders>
              <w:bottom w:val="nil"/>
            </w:tcBorders>
            <w:vAlign w:val="center"/>
          </w:tcPr>
          <w:p w14:paraId="0505F5B4" w14:textId="77777777" w:rsidR="00995447" w:rsidRDefault="00995447">
            <w:pPr>
              <w:ind w:left="0"/>
              <w:rPr>
                <w:rFonts w:ascii="Times New Roman" w:eastAsia="Times New Roman" w:hAnsi="Times New Roman" w:cs="Times New Roman"/>
                <w:b/>
                <w:bCs/>
                <w:sz w:val="18"/>
                <w:szCs w:val="18"/>
              </w:rPr>
            </w:pPr>
          </w:p>
        </w:tc>
        <w:tc>
          <w:tcPr>
            <w:tcW w:w="1236" w:type="dxa"/>
            <w:tcBorders>
              <w:bottom w:val="nil"/>
            </w:tcBorders>
            <w:vAlign w:val="center"/>
          </w:tcPr>
          <w:p w14:paraId="50AFA327" w14:textId="77777777" w:rsidR="00995447" w:rsidRDefault="00995447">
            <w:pPr>
              <w:ind w:left="0"/>
              <w:rPr>
                <w:rFonts w:ascii="Times New Roman" w:eastAsia="Times New Roman" w:hAnsi="Times New Roman" w:cs="Times New Roman"/>
                <w:b/>
                <w:bCs/>
                <w:sz w:val="18"/>
                <w:szCs w:val="18"/>
              </w:rPr>
            </w:pPr>
          </w:p>
        </w:tc>
        <w:tc>
          <w:tcPr>
            <w:tcW w:w="2418" w:type="dxa"/>
            <w:gridSpan w:val="2"/>
            <w:tcBorders>
              <w:bottom w:val="single" w:sz="8" w:space="0" w:color="000000"/>
            </w:tcBorders>
            <w:vAlign w:val="center"/>
          </w:tcPr>
          <w:p w14:paraId="7D12E1CF"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95% confidence interval‡</w:t>
            </w:r>
          </w:p>
        </w:tc>
      </w:tr>
      <w:tr w:rsidR="00995447" w14:paraId="27CB5499" w14:textId="77777777">
        <w:trPr>
          <w:trHeight w:val="170"/>
        </w:trPr>
        <w:tc>
          <w:tcPr>
            <w:tcW w:w="1383" w:type="dxa"/>
            <w:tcBorders>
              <w:top w:val="nil"/>
              <w:bottom w:val="single" w:sz="8" w:space="0" w:color="000000"/>
            </w:tcBorders>
            <w:vAlign w:val="center"/>
          </w:tcPr>
          <w:p w14:paraId="07CA4418"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Intervention </w:t>
            </w:r>
          </w:p>
          <w:p w14:paraId="75A304E9"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(per year)</w:t>
            </w:r>
          </w:p>
        </w:tc>
        <w:tc>
          <w:tcPr>
            <w:tcW w:w="1084" w:type="dxa"/>
            <w:tcBorders>
              <w:top w:val="nil"/>
              <w:bottom w:val="single" w:sz="8" w:space="0" w:color="000000"/>
            </w:tcBorders>
            <w:vAlign w:val="center"/>
          </w:tcPr>
          <w:p w14:paraId="0A0067B1"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Total cost</w:t>
            </w:r>
          </w:p>
          <w:p w14:paraId="4C96AD51"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(XAF)</w:t>
            </w:r>
          </w:p>
        </w:tc>
        <w:tc>
          <w:tcPr>
            <w:tcW w:w="929" w:type="dxa"/>
            <w:tcBorders>
              <w:top w:val="nil"/>
              <w:bottom w:val="single" w:sz="8" w:space="0" w:color="000000"/>
            </w:tcBorders>
            <w:vAlign w:val="center"/>
          </w:tcPr>
          <w:p w14:paraId="4B83E939"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Effect</w:t>
            </w:r>
          </w:p>
          <w:p w14:paraId="1E96FFA8"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(HFDs)</w:t>
            </w:r>
          </w:p>
        </w:tc>
        <w:tc>
          <w:tcPr>
            <w:tcW w:w="1156" w:type="dxa"/>
            <w:tcBorders>
              <w:top w:val="nil"/>
              <w:bottom w:val="single" w:sz="8" w:space="0" w:color="000000"/>
            </w:tcBorders>
            <w:vAlign w:val="center"/>
          </w:tcPr>
          <w:p w14:paraId="21DAA29B"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Incremental </w:t>
            </w:r>
          </w:p>
          <w:p w14:paraId="5B9CCE3A"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cost </w:t>
            </w:r>
          </w:p>
          <w:p w14:paraId="29A07092"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(XAF)</w:t>
            </w:r>
          </w:p>
        </w:tc>
        <w:tc>
          <w:tcPr>
            <w:tcW w:w="1156" w:type="dxa"/>
            <w:tcBorders>
              <w:top w:val="nil"/>
              <w:bottom w:val="single" w:sz="8" w:space="0" w:color="000000"/>
            </w:tcBorders>
            <w:vAlign w:val="center"/>
          </w:tcPr>
          <w:p w14:paraId="0B0B614A"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Incremental</w:t>
            </w:r>
          </w:p>
          <w:p w14:paraId="4EA01BF7"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Effect</w:t>
            </w:r>
          </w:p>
          <w:p w14:paraId="6F5DA287"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(HFDs)</w:t>
            </w:r>
          </w:p>
        </w:tc>
        <w:tc>
          <w:tcPr>
            <w:tcW w:w="1236" w:type="dxa"/>
            <w:tcBorders>
              <w:top w:val="nil"/>
              <w:bottom w:val="single" w:sz="8" w:space="0" w:color="000000"/>
            </w:tcBorders>
            <w:vAlign w:val="center"/>
          </w:tcPr>
          <w:p w14:paraId="7631000A"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ICER†</w:t>
            </w:r>
          </w:p>
          <w:p w14:paraId="50DB6828"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(XAF/HFD)</w:t>
            </w:r>
          </w:p>
        </w:tc>
        <w:tc>
          <w:tcPr>
            <w:tcW w:w="1221" w:type="dxa"/>
            <w:tcBorders>
              <w:top w:val="single" w:sz="8" w:space="0" w:color="000000"/>
              <w:bottom w:val="single" w:sz="8" w:space="0" w:color="000000"/>
            </w:tcBorders>
            <w:vAlign w:val="center"/>
          </w:tcPr>
          <w:p w14:paraId="0C37AF5C"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Lower</w:t>
            </w:r>
          </w:p>
        </w:tc>
        <w:tc>
          <w:tcPr>
            <w:tcW w:w="1197" w:type="dxa"/>
            <w:tcBorders>
              <w:top w:val="single" w:sz="8" w:space="0" w:color="000000"/>
              <w:bottom w:val="single" w:sz="8" w:space="0" w:color="000000"/>
            </w:tcBorders>
            <w:vAlign w:val="center"/>
          </w:tcPr>
          <w:p w14:paraId="4F4F1451" w14:textId="77777777" w:rsidR="00995447" w:rsidRDefault="000E4D7A">
            <w:pPr>
              <w:ind w:left="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Upper</w:t>
            </w:r>
          </w:p>
        </w:tc>
      </w:tr>
      <w:tr w:rsidR="00995447" w14:paraId="538DA589" w14:textId="77777777">
        <w:trPr>
          <w:trHeight w:val="283"/>
        </w:trPr>
        <w:tc>
          <w:tcPr>
            <w:tcW w:w="1383" w:type="dxa"/>
            <w:tcBorders>
              <w:top w:val="single" w:sz="8" w:space="0" w:color="000000"/>
            </w:tcBorders>
            <w:vAlign w:val="center"/>
          </w:tcPr>
          <w:p w14:paraId="3E793E02" w14:textId="77777777" w:rsidR="00995447" w:rsidRDefault="000E4D7A">
            <w:pPr>
              <w:ind w:left="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Undiscounted</w:t>
            </w:r>
          </w:p>
        </w:tc>
        <w:tc>
          <w:tcPr>
            <w:tcW w:w="1084" w:type="dxa"/>
            <w:tcBorders>
              <w:top w:val="single" w:sz="8" w:space="0" w:color="000000"/>
            </w:tcBorders>
            <w:vAlign w:val="center"/>
          </w:tcPr>
          <w:p w14:paraId="4C4CB70E" w14:textId="77777777" w:rsidR="00995447" w:rsidRDefault="00995447">
            <w:pPr>
              <w:ind w:left="0"/>
              <w:rPr>
                <w:rFonts w:ascii="Times New Roman" w:eastAsia="Times New Roman" w:hAnsi="Times New Roman" w:cs="Times New Roman"/>
                <w:b/>
                <w:bCs/>
                <w:sz w:val="18"/>
                <w:szCs w:val="18"/>
              </w:rPr>
            </w:pPr>
          </w:p>
        </w:tc>
        <w:tc>
          <w:tcPr>
            <w:tcW w:w="929" w:type="dxa"/>
            <w:tcBorders>
              <w:top w:val="single" w:sz="8" w:space="0" w:color="000000"/>
            </w:tcBorders>
            <w:vAlign w:val="center"/>
          </w:tcPr>
          <w:p w14:paraId="3617763E" w14:textId="77777777" w:rsidR="00995447" w:rsidRDefault="00995447">
            <w:pPr>
              <w:ind w:left="0"/>
              <w:rPr>
                <w:rFonts w:ascii="Times New Roman" w:eastAsia="Times New Roman" w:hAnsi="Times New Roman" w:cs="Times New Roman"/>
                <w:sz w:val="18"/>
                <w:szCs w:val="18"/>
              </w:rPr>
            </w:pPr>
          </w:p>
        </w:tc>
        <w:tc>
          <w:tcPr>
            <w:tcW w:w="1156" w:type="dxa"/>
            <w:tcBorders>
              <w:top w:val="single" w:sz="8" w:space="0" w:color="000000"/>
            </w:tcBorders>
            <w:vAlign w:val="center"/>
          </w:tcPr>
          <w:p w14:paraId="3D20006A" w14:textId="77777777" w:rsidR="00995447" w:rsidRDefault="00995447">
            <w:pPr>
              <w:ind w:left="0"/>
              <w:rPr>
                <w:rFonts w:ascii="Times New Roman" w:eastAsia="Times New Roman" w:hAnsi="Times New Roman" w:cs="Times New Roman"/>
                <w:sz w:val="18"/>
                <w:szCs w:val="18"/>
              </w:rPr>
            </w:pPr>
          </w:p>
        </w:tc>
        <w:tc>
          <w:tcPr>
            <w:tcW w:w="1156" w:type="dxa"/>
            <w:tcBorders>
              <w:top w:val="single" w:sz="8" w:space="0" w:color="000000"/>
            </w:tcBorders>
            <w:vAlign w:val="center"/>
          </w:tcPr>
          <w:p w14:paraId="0FBCBED3" w14:textId="77777777" w:rsidR="00995447" w:rsidRDefault="00995447">
            <w:pPr>
              <w:ind w:left="0"/>
              <w:rPr>
                <w:rFonts w:ascii="Times New Roman" w:eastAsia="Times New Roman" w:hAnsi="Times New Roman" w:cs="Times New Roman"/>
                <w:sz w:val="18"/>
                <w:szCs w:val="18"/>
              </w:rPr>
            </w:pPr>
          </w:p>
        </w:tc>
        <w:tc>
          <w:tcPr>
            <w:tcW w:w="1236" w:type="dxa"/>
            <w:tcBorders>
              <w:top w:val="single" w:sz="8" w:space="0" w:color="000000"/>
            </w:tcBorders>
            <w:vAlign w:val="center"/>
          </w:tcPr>
          <w:p w14:paraId="56F14FBC" w14:textId="77777777" w:rsidR="00995447" w:rsidRDefault="00995447">
            <w:pPr>
              <w:ind w:left="0"/>
              <w:rPr>
                <w:rFonts w:ascii="Times New Roman" w:eastAsia="Times New Roman" w:hAnsi="Times New Roman" w:cs="Times New Roman"/>
                <w:sz w:val="18"/>
                <w:szCs w:val="18"/>
              </w:rPr>
            </w:pPr>
          </w:p>
        </w:tc>
        <w:tc>
          <w:tcPr>
            <w:tcW w:w="1221" w:type="dxa"/>
            <w:tcBorders>
              <w:top w:val="single" w:sz="8" w:space="0" w:color="000000"/>
            </w:tcBorders>
            <w:vAlign w:val="center"/>
          </w:tcPr>
          <w:p w14:paraId="028CCA26" w14:textId="77777777" w:rsidR="00995447" w:rsidRDefault="00995447">
            <w:pPr>
              <w:ind w:left="0"/>
              <w:rPr>
                <w:rFonts w:ascii="Times New Roman" w:eastAsia="Times New Roman" w:hAnsi="Times New Roman" w:cs="Times New Roman"/>
                <w:sz w:val="18"/>
                <w:szCs w:val="18"/>
              </w:rPr>
            </w:pPr>
          </w:p>
        </w:tc>
        <w:tc>
          <w:tcPr>
            <w:tcW w:w="1197" w:type="dxa"/>
            <w:tcBorders>
              <w:top w:val="single" w:sz="8" w:space="0" w:color="000000"/>
            </w:tcBorders>
            <w:vAlign w:val="center"/>
          </w:tcPr>
          <w:p w14:paraId="6E33C807" w14:textId="77777777" w:rsidR="00995447" w:rsidRDefault="00995447">
            <w:pPr>
              <w:ind w:left="0"/>
              <w:rPr>
                <w:rFonts w:ascii="Times New Roman" w:eastAsia="Times New Roman" w:hAnsi="Times New Roman" w:cs="Times New Roman"/>
                <w:sz w:val="18"/>
                <w:szCs w:val="18"/>
              </w:rPr>
            </w:pPr>
          </w:p>
        </w:tc>
      </w:tr>
      <w:tr w:rsidR="00995447" w14:paraId="520523AC" w14:textId="77777777">
        <w:trPr>
          <w:trHeight w:val="283"/>
        </w:trPr>
        <w:tc>
          <w:tcPr>
            <w:tcW w:w="1383" w:type="dxa"/>
            <w:vAlign w:val="center"/>
          </w:tcPr>
          <w:p w14:paraId="7C146663"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≥3 follow-ups</w:t>
            </w:r>
          </w:p>
        </w:tc>
        <w:tc>
          <w:tcPr>
            <w:tcW w:w="1084" w:type="dxa"/>
            <w:vAlign w:val="center"/>
          </w:tcPr>
          <w:p w14:paraId="35A8DA3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97,572.10</w:t>
            </w:r>
          </w:p>
        </w:tc>
        <w:tc>
          <w:tcPr>
            <w:tcW w:w="929" w:type="dxa"/>
            <w:vAlign w:val="center"/>
          </w:tcPr>
          <w:p w14:paraId="29C7C8A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c>
          <w:tcPr>
            <w:tcW w:w="1156" w:type="dxa"/>
            <w:vAlign w:val="center"/>
          </w:tcPr>
          <w:p w14:paraId="70692DE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56" w:type="dxa"/>
            <w:vAlign w:val="center"/>
          </w:tcPr>
          <w:p w14:paraId="0E13714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36" w:type="dxa"/>
            <w:vAlign w:val="center"/>
          </w:tcPr>
          <w:p w14:paraId="1AEC9F3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21" w:type="dxa"/>
            <w:vAlign w:val="center"/>
          </w:tcPr>
          <w:p w14:paraId="02A490D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97" w:type="dxa"/>
            <w:vAlign w:val="center"/>
          </w:tcPr>
          <w:p w14:paraId="7E565B9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995447" w14:paraId="74A9CE06" w14:textId="77777777">
        <w:trPr>
          <w:trHeight w:val="283"/>
        </w:trPr>
        <w:tc>
          <w:tcPr>
            <w:tcW w:w="1383" w:type="dxa"/>
            <w:vAlign w:val="center"/>
          </w:tcPr>
          <w:p w14:paraId="2A3670A7"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No follow-ups</w:t>
            </w:r>
          </w:p>
        </w:tc>
        <w:tc>
          <w:tcPr>
            <w:tcW w:w="1084" w:type="dxa"/>
            <w:vAlign w:val="center"/>
          </w:tcPr>
          <w:p w14:paraId="058C711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298,999.06</w:t>
            </w:r>
          </w:p>
        </w:tc>
        <w:tc>
          <w:tcPr>
            <w:tcW w:w="929" w:type="dxa"/>
            <w:vAlign w:val="center"/>
          </w:tcPr>
          <w:p w14:paraId="77DC331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81.93</w:t>
            </w:r>
          </w:p>
        </w:tc>
        <w:tc>
          <w:tcPr>
            <w:tcW w:w="1156" w:type="dxa"/>
            <w:vAlign w:val="center"/>
          </w:tcPr>
          <w:p w14:paraId="55A0ACC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-201,426.96</w:t>
            </w:r>
          </w:p>
        </w:tc>
        <w:tc>
          <w:tcPr>
            <w:tcW w:w="1156" w:type="dxa"/>
            <w:vAlign w:val="center"/>
          </w:tcPr>
          <w:p w14:paraId="1010595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2.21</w:t>
            </w:r>
          </w:p>
        </w:tc>
        <w:tc>
          <w:tcPr>
            <w:tcW w:w="1236" w:type="dxa"/>
            <w:vAlign w:val="center"/>
          </w:tcPr>
          <w:p w14:paraId="5E3FD6F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-91,143.42</w:t>
            </w:r>
          </w:p>
        </w:tc>
        <w:tc>
          <w:tcPr>
            <w:tcW w:w="1221" w:type="dxa"/>
            <w:vAlign w:val="center"/>
          </w:tcPr>
          <w:p w14:paraId="5226875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-117,110.30</w:t>
            </w:r>
          </w:p>
        </w:tc>
        <w:tc>
          <w:tcPr>
            <w:tcW w:w="1197" w:type="dxa"/>
            <w:vAlign w:val="center"/>
          </w:tcPr>
          <w:p w14:paraId="2B22E4A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-37,740.00</w:t>
            </w:r>
          </w:p>
        </w:tc>
      </w:tr>
      <w:tr w:rsidR="00995447" w14:paraId="4ED61BA3" w14:textId="77777777">
        <w:trPr>
          <w:trHeight w:val="283"/>
        </w:trPr>
        <w:tc>
          <w:tcPr>
            <w:tcW w:w="1383" w:type="dxa"/>
            <w:vAlign w:val="center"/>
          </w:tcPr>
          <w:p w14:paraId="3151BEB5" w14:textId="77777777" w:rsidR="00995447" w:rsidRDefault="000E4D7A">
            <w:pPr>
              <w:ind w:left="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Discounted</w:t>
            </w:r>
          </w:p>
        </w:tc>
        <w:tc>
          <w:tcPr>
            <w:tcW w:w="1084" w:type="dxa"/>
            <w:vAlign w:val="center"/>
          </w:tcPr>
          <w:p w14:paraId="280DE96A" w14:textId="77777777" w:rsidR="00995447" w:rsidRDefault="00995447">
            <w:pPr>
              <w:ind w:left="0"/>
              <w:rPr>
                <w:rFonts w:ascii="Times New Roman" w:eastAsia="Times New Roman" w:hAnsi="Times New Roman" w:cs="Times New Roman"/>
                <w:b/>
                <w:bCs/>
                <w:sz w:val="18"/>
                <w:szCs w:val="18"/>
              </w:rPr>
            </w:pPr>
          </w:p>
        </w:tc>
        <w:tc>
          <w:tcPr>
            <w:tcW w:w="929" w:type="dxa"/>
            <w:vAlign w:val="center"/>
          </w:tcPr>
          <w:p w14:paraId="38C0622C" w14:textId="77777777" w:rsidR="00995447" w:rsidRDefault="00995447">
            <w:pPr>
              <w:ind w:left="0"/>
              <w:rPr>
                <w:rFonts w:ascii="Times New Roman" w:eastAsia="Times New Roman" w:hAnsi="Times New Roman" w:cs="Times New Roman"/>
                <w:sz w:val="18"/>
                <w:szCs w:val="18"/>
              </w:rPr>
            </w:pPr>
          </w:p>
        </w:tc>
        <w:tc>
          <w:tcPr>
            <w:tcW w:w="1156" w:type="dxa"/>
            <w:vAlign w:val="center"/>
          </w:tcPr>
          <w:p w14:paraId="47830395" w14:textId="77777777" w:rsidR="00995447" w:rsidRDefault="00995447">
            <w:pPr>
              <w:ind w:left="0"/>
              <w:rPr>
                <w:rFonts w:ascii="Times New Roman" w:eastAsia="Times New Roman" w:hAnsi="Times New Roman" w:cs="Times New Roman"/>
                <w:sz w:val="18"/>
                <w:szCs w:val="18"/>
              </w:rPr>
            </w:pPr>
          </w:p>
        </w:tc>
        <w:tc>
          <w:tcPr>
            <w:tcW w:w="1156" w:type="dxa"/>
            <w:vAlign w:val="center"/>
          </w:tcPr>
          <w:p w14:paraId="082D3D8E" w14:textId="77777777" w:rsidR="00995447" w:rsidRDefault="00995447">
            <w:pPr>
              <w:ind w:left="0"/>
              <w:rPr>
                <w:rFonts w:ascii="Times New Roman" w:eastAsia="Times New Roman" w:hAnsi="Times New Roman" w:cs="Times New Roman"/>
                <w:sz w:val="18"/>
                <w:szCs w:val="18"/>
              </w:rPr>
            </w:pPr>
          </w:p>
        </w:tc>
        <w:tc>
          <w:tcPr>
            <w:tcW w:w="1236" w:type="dxa"/>
            <w:vAlign w:val="center"/>
          </w:tcPr>
          <w:p w14:paraId="4A9F1C92" w14:textId="77777777" w:rsidR="00995447" w:rsidRDefault="00995447">
            <w:pPr>
              <w:ind w:left="0"/>
              <w:rPr>
                <w:rFonts w:ascii="Times New Roman" w:eastAsia="Times New Roman" w:hAnsi="Times New Roman" w:cs="Times New Roman"/>
                <w:sz w:val="18"/>
                <w:szCs w:val="18"/>
              </w:rPr>
            </w:pPr>
          </w:p>
        </w:tc>
        <w:tc>
          <w:tcPr>
            <w:tcW w:w="1221" w:type="dxa"/>
            <w:vAlign w:val="center"/>
          </w:tcPr>
          <w:p w14:paraId="5517D86A" w14:textId="77777777" w:rsidR="00995447" w:rsidRDefault="00995447">
            <w:pPr>
              <w:ind w:left="0"/>
              <w:rPr>
                <w:rFonts w:ascii="Times New Roman" w:eastAsia="Times New Roman" w:hAnsi="Times New Roman" w:cs="Times New Roman"/>
                <w:sz w:val="18"/>
                <w:szCs w:val="18"/>
              </w:rPr>
            </w:pPr>
          </w:p>
        </w:tc>
        <w:tc>
          <w:tcPr>
            <w:tcW w:w="1197" w:type="dxa"/>
            <w:vAlign w:val="center"/>
          </w:tcPr>
          <w:p w14:paraId="0ED65060" w14:textId="77777777" w:rsidR="00995447" w:rsidRDefault="00995447">
            <w:pPr>
              <w:ind w:left="0"/>
              <w:rPr>
                <w:rFonts w:ascii="Times New Roman" w:eastAsia="Times New Roman" w:hAnsi="Times New Roman" w:cs="Times New Roman"/>
                <w:sz w:val="18"/>
                <w:szCs w:val="18"/>
              </w:rPr>
            </w:pPr>
          </w:p>
        </w:tc>
      </w:tr>
      <w:tr w:rsidR="00995447" w14:paraId="3F0B46A3" w14:textId="77777777">
        <w:trPr>
          <w:trHeight w:val="283"/>
        </w:trPr>
        <w:tc>
          <w:tcPr>
            <w:tcW w:w="1383" w:type="dxa"/>
            <w:vAlign w:val="center"/>
          </w:tcPr>
          <w:p w14:paraId="06EF0EDD"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≥3 follow-ups</w:t>
            </w:r>
          </w:p>
        </w:tc>
        <w:tc>
          <w:tcPr>
            <w:tcW w:w="1084" w:type="dxa"/>
            <w:vAlign w:val="center"/>
          </w:tcPr>
          <w:p w14:paraId="1C19F52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94,644.94</w:t>
            </w:r>
          </w:p>
        </w:tc>
        <w:tc>
          <w:tcPr>
            <w:tcW w:w="929" w:type="dxa"/>
            <w:vAlign w:val="center"/>
          </w:tcPr>
          <w:p w14:paraId="2ADF7E5D"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c>
          <w:tcPr>
            <w:tcW w:w="1156" w:type="dxa"/>
            <w:vAlign w:val="center"/>
          </w:tcPr>
          <w:p w14:paraId="5AFF866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56" w:type="dxa"/>
            <w:vAlign w:val="center"/>
          </w:tcPr>
          <w:p w14:paraId="17D42EB5"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36" w:type="dxa"/>
            <w:vAlign w:val="center"/>
          </w:tcPr>
          <w:p w14:paraId="421090F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21" w:type="dxa"/>
            <w:vAlign w:val="center"/>
          </w:tcPr>
          <w:p w14:paraId="109580C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97" w:type="dxa"/>
            <w:vAlign w:val="center"/>
          </w:tcPr>
          <w:p w14:paraId="527A75F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995447" w14:paraId="7F6521D4" w14:textId="77777777">
        <w:trPr>
          <w:trHeight w:val="283"/>
        </w:trPr>
        <w:tc>
          <w:tcPr>
            <w:tcW w:w="1383" w:type="dxa"/>
            <w:vAlign w:val="center"/>
          </w:tcPr>
          <w:p w14:paraId="2EA1BBE0"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No follow-ups</w:t>
            </w:r>
          </w:p>
        </w:tc>
        <w:tc>
          <w:tcPr>
            <w:tcW w:w="1084" w:type="dxa"/>
            <w:vAlign w:val="center"/>
          </w:tcPr>
          <w:p w14:paraId="0DB13FF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290,029.09</w:t>
            </w:r>
          </w:p>
        </w:tc>
        <w:tc>
          <w:tcPr>
            <w:tcW w:w="929" w:type="dxa"/>
            <w:vAlign w:val="center"/>
          </w:tcPr>
          <w:p w14:paraId="63F0AEE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81.93</w:t>
            </w:r>
          </w:p>
        </w:tc>
        <w:tc>
          <w:tcPr>
            <w:tcW w:w="1156" w:type="dxa"/>
            <w:vAlign w:val="center"/>
          </w:tcPr>
          <w:p w14:paraId="2373375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-195,384.15</w:t>
            </w:r>
          </w:p>
        </w:tc>
        <w:tc>
          <w:tcPr>
            <w:tcW w:w="1156" w:type="dxa"/>
            <w:vAlign w:val="center"/>
          </w:tcPr>
          <w:p w14:paraId="161E4FB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2.21</w:t>
            </w:r>
          </w:p>
        </w:tc>
        <w:tc>
          <w:tcPr>
            <w:tcW w:w="1236" w:type="dxa"/>
            <w:vAlign w:val="center"/>
          </w:tcPr>
          <w:p w14:paraId="23E4A37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-88,409.12</w:t>
            </w:r>
          </w:p>
        </w:tc>
        <w:tc>
          <w:tcPr>
            <w:tcW w:w="1221" w:type="dxa"/>
            <w:vAlign w:val="center"/>
          </w:tcPr>
          <w:p w14:paraId="155F64AC"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-115,552.60</w:t>
            </w:r>
          </w:p>
        </w:tc>
        <w:tc>
          <w:tcPr>
            <w:tcW w:w="1197" w:type="dxa"/>
            <w:vAlign w:val="center"/>
          </w:tcPr>
          <w:p w14:paraId="07A5D18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-26,256.74</w:t>
            </w:r>
          </w:p>
        </w:tc>
      </w:tr>
      <w:tr w:rsidR="00995447" w14:paraId="2AE5A3F4" w14:textId="77777777">
        <w:trPr>
          <w:trHeight w:val="170"/>
        </w:trPr>
        <w:tc>
          <w:tcPr>
            <w:tcW w:w="1383" w:type="dxa"/>
            <w:tcBorders>
              <w:bottom w:val="single" w:sz="8" w:space="0" w:color="000000"/>
            </w:tcBorders>
            <w:vAlign w:val="center"/>
          </w:tcPr>
          <w:p w14:paraId="65CFBBC6" w14:textId="77777777" w:rsidR="00995447" w:rsidRDefault="00995447">
            <w:pPr>
              <w:ind w:left="0"/>
              <w:jc w:val="left"/>
              <w:rPr>
                <w:rFonts w:ascii="Times New Roman" w:eastAsia="Times New Roman" w:hAnsi="Times New Roman" w:cs="Times New Roman"/>
                <w:sz w:val="18"/>
                <w:szCs w:val="18"/>
              </w:rPr>
            </w:pPr>
          </w:p>
        </w:tc>
        <w:tc>
          <w:tcPr>
            <w:tcW w:w="1084" w:type="dxa"/>
            <w:tcBorders>
              <w:bottom w:val="single" w:sz="8" w:space="0" w:color="000000"/>
            </w:tcBorders>
            <w:vAlign w:val="center"/>
          </w:tcPr>
          <w:p w14:paraId="6D637B36" w14:textId="77777777" w:rsidR="00995447" w:rsidRDefault="00995447">
            <w:pPr>
              <w:ind w:left="0"/>
              <w:rPr>
                <w:rFonts w:ascii="Times New Roman" w:eastAsia="Times New Roman" w:hAnsi="Times New Roman" w:cs="Times New Roman"/>
                <w:sz w:val="18"/>
                <w:szCs w:val="18"/>
              </w:rPr>
            </w:pPr>
          </w:p>
        </w:tc>
        <w:tc>
          <w:tcPr>
            <w:tcW w:w="929" w:type="dxa"/>
            <w:tcBorders>
              <w:bottom w:val="single" w:sz="8" w:space="0" w:color="000000"/>
            </w:tcBorders>
            <w:vAlign w:val="center"/>
          </w:tcPr>
          <w:p w14:paraId="1C7AB01E" w14:textId="77777777" w:rsidR="00995447" w:rsidRDefault="00995447">
            <w:pPr>
              <w:ind w:left="0"/>
              <w:rPr>
                <w:rFonts w:ascii="Times New Roman" w:eastAsia="Times New Roman" w:hAnsi="Times New Roman" w:cs="Times New Roman"/>
                <w:sz w:val="18"/>
                <w:szCs w:val="18"/>
              </w:rPr>
            </w:pPr>
          </w:p>
        </w:tc>
        <w:tc>
          <w:tcPr>
            <w:tcW w:w="1156" w:type="dxa"/>
            <w:tcBorders>
              <w:bottom w:val="single" w:sz="8" w:space="0" w:color="000000"/>
            </w:tcBorders>
            <w:vAlign w:val="center"/>
          </w:tcPr>
          <w:p w14:paraId="29C33F26" w14:textId="77777777" w:rsidR="00995447" w:rsidRDefault="00995447">
            <w:pPr>
              <w:ind w:left="0"/>
              <w:rPr>
                <w:rFonts w:ascii="Times New Roman" w:eastAsia="Times New Roman" w:hAnsi="Times New Roman" w:cs="Times New Roman"/>
                <w:sz w:val="18"/>
                <w:szCs w:val="18"/>
              </w:rPr>
            </w:pPr>
          </w:p>
        </w:tc>
        <w:tc>
          <w:tcPr>
            <w:tcW w:w="1156" w:type="dxa"/>
            <w:tcBorders>
              <w:bottom w:val="single" w:sz="8" w:space="0" w:color="000000"/>
            </w:tcBorders>
            <w:vAlign w:val="center"/>
          </w:tcPr>
          <w:p w14:paraId="425A5CE3" w14:textId="77777777" w:rsidR="00995447" w:rsidRDefault="00995447">
            <w:pPr>
              <w:ind w:left="0"/>
              <w:rPr>
                <w:rFonts w:ascii="Times New Roman" w:eastAsia="Times New Roman" w:hAnsi="Times New Roman" w:cs="Times New Roman"/>
                <w:sz w:val="18"/>
                <w:szCs w:val="18"/>
              </w:rPr>
            </w:pPr>
          </w:p>
        </w:tc>
        <w:tc>
          <w:tcPr>
            <w:tcW w:w="1236" w:type="dxa"/>
            <w:tcBorders>
              <w:bottom w:val="single" w:sz="8" w:space="0" w:color="000000"/>
            </w:tcBorders>
            <w:vAlign w:val="center"/>
          </w:tcPr>
          <w:p w14:paraId="1FAA4044" w14:textId="77777777" w:rsidR="00995447" w:rsidRDefault="00995447">
            <w:pPr>
              <w:ind w:left="0"/>
              <w:rPr>
                <w:rFonts w:ascii="Times New Roman" w:eastAsia="Times New Roman" w:hAnsi="Times New Roman" w:cs="Times New Roman"/>
                <w:sz w:val="18"/>
                <w:szCs w:val="18"/>
              </w:rPr>
            </w:pPr>
          </w:p>
        </w:tc>
        <w:tc>
          <w:tcPr>
            <w:tcW w:w="1221" w:type="dxa"/>
            <w:tcBorders>
              <w:bottom w:val="single" w:sz="8" w:space="0" w:color="000000"/>
            </w:tcBorders>
            <w:vAlign w:val="center"/>
          </w:tcPr>
          <w:p w14:paraId="61703556" w14:textId="77777777" w:rsidR="00995447" w:rsidRDefault="00995447">
            <w:pPr>
              <w:ind w:left="0"/>
              <w:rPr>
                <w:rFonts w:ascii="Times New Roman" w:eastAsia="Times New Roman" w:hAnsi="Times New Roman" w:cs="Times New Roman"/>
                <w:sz w:val="18"/>
                <w:szCs w:val="18"/>
              </w:rPr>
            </w:pPr>
          </w:p>
        </w:tc>
        <w:tc>
          <w:tcPr>
            <w:tcW w:w="1197" w:type="dxa"/>
            <w:tcBorders>
              <w:bottom w:val="single" w:sz="8" w:space="0" w:color="000000"/>
            </w:tcBorders>
            <w:vAlign w:val="center"/>
          </w:tcPr>
          <w:p w14:paraId="28BB0CC5" w14:textId="77777777" w:rsidR="00995447" w:rsidRDefault="00995447">
            <w:pPr>
              <w:ind w:left="0"/>
              <w:rPr>
                <w:rFonts w:ascii="Times New Roman" w:eastAsia="Times New Roman" w:hAnsi="Times New Roman" w:cs="Times New Roman"/>
                <w:sz w:val="18"/>
                <w:szCs w:val="18"/>
              </w:rPr>
            </w:pPr>
          </w:p>
        </w:tc>
      </w:tr>
      <w:tr w:rsidR="00995447" w14:paraId="008D4465" w14:textId="77777777">
        <w:trPr>
          <w:trHeight w:val="283"/>
        </w:trPr>
        <w:tc>
          <w:tcPr>
            <w:tcW w:w="1383" w:type="dxa"/>
            <w:tcBorders>
              <w:top w:val="single" w:sz="8" w:space="0" w:color="000000"/>
            </w:tcBorders>
            <w:vAlign w:val="center"/>
          </w:tcPr>
          <w:p w14:paraId="46CF9EEF" w14:textId="77777777" w:rsidR="00995447" w:rsidRDefault="000E4D7A">
            <w:pPr>
              <w:ind w:left="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Undiscounted</w:t>
            </w:r>
          </w:p>
        </w:tc>
        <w:tc>
          <w:tcPr>
            <w:tcW w:w="1084" w:type="dxa"/>
            <w:tcBorders>
              <w:top w:val="single" w:sz="8" w:space="0" w:color="000000"/>
            </w:tcBorders>
            <w:vAlign w:val="center"/>
          </w:tcPr>
          <w:p w14:paraId="261101C1" w14:textId="77777777" w:rsidR="00995447" w:rsidRDefault="00995447">
            <w:pPr>
              <w:ind w:left="0"/>
              <w:rPr>
                <w:rFonts w:ascii="Times New Roman" w:eastAsia="Times New Roman" w:hAnsi="Times New Roman" w:cs="Times New Roman"/>
                <w:b/>
                <w:bCs/>
                <w:sz w:val="18"/>
                <w:szCs w:val="18"/>
              </w:rPr>
            </w:pPr>
          </w:p>
        </w:tc>
        <w:tc>
          <w:tcPr>
            <w:tcW w:w="929" w:type="dxa"/>
            <w:tcBorders>
              <w:top w:val="single" w:sz="8" w:space="0" w:color="000000"/>
            </w:tcBorders>
            <w:vAlign w:val="center"/>
          </w:tcPr>
          <w:p w14:paraId="757D152A" w14:textId="77777777" w:rsidR="00995447" w:rsidRDefault="00995447">
            <w:pPr>
              <w:ind w:left="0"/>
              <w:rPr>
                <w:rFonts w:ascii="Times New Roman" w:eastAsia="Times New Roman" w:hAnsi="Times New Roman" w:cs="Times New Roman"/>
                <w:sz w:val="18"/>
                <w:szCs w:val="18"/>
              </w:rPr>
            </w:pPr>
          </w:p>
        </w:tc>
        <w:tc>
          <w:tcPr>
            <w:tcW w:w="1156" w:type="dxa"/>
            <w:tcBorders>
              <w:top w:val="single" w:sz="8" w:space="0" w:color="000000"/>
            </w:tcBorders>
            <w:vAlign w:val="center"/>
          </w:tcPr>
          <w:p w14:paraId="5AA1D41B" w14:textId="77777777" w:rsidR="00995447" w:rsidRDefault="00995447">
            <w:pPr>
              <w:ind w:left="0"/>
              <w:rPr>
                <w:rFonts w:ascii="Times New Roman" w:eastAsia="Times New Roman" w:hAnsi="Times New Roman" w:cs="Times New Roman"/>
                <w:sz w:val="18"/>
                <w:szCs w:val="18"/>
              </w:rPr>
            </w:pPr>
          </w:p>
        </w:tc>
        <w:tc>
          <w:tcPr>
            <w:tcW w:w="1156" w:type="dxa"/>
            <w:tcBorders>
              <w:top w:val="single" w:sz="8" w:space="0" w:color="000000"/>
            </w:tcBorders>
            <w:vAlign w:val="center"/>
          </w:tcPr>
          <w:p w14:paraId="0D5306B9" w14:textId="77777777" w:rsidR="00995447" w:rsidRDefault="00995447">
            <w:pPr>
              <w:ind w:left="0"/>
              <w:rPr>
                <w:rFonts w:ascii="Times New Roman" w:eastAsia="Times New Roman" w:hAnsi="Times New Roman" w:cs="Times New Roman"/>
                <w:sz w:val="18"/>
                <w:szCs w:val="18"/>
              </w:rPr>
            </w:pPr>
          </w:p>
        </w:tc>
        <w:tc>
          <w:tcPr>
            <w:tcW w:w="1236" w:type="dxa"/>
            <w:tcBorders>
              <w:top w:val="single" w:sz="8" w:space="0" w:color="000000"/>
            </w:tcBorders>
            <w:vAlign w:val="center"/>
          </w:tcPr>
          <w:p w14:paraId="4535A4CC" w14:textId="77777777" w:rsidR="00995447" w:rsidRDefault="00995447">
            <w:pPr>
              <w:ind w:left="0"/>
              <w:rPr>
                <w:rFonts w:ascii="Times New Roman" w:eastAsia="Times New Roman" w:hAnsi="Times New Roman" w:cs="Times New Roman"/>
                <w:sz w:val="18"/>
                <w:szCs w:val="18"/>
              </w:rPr>
            </w:pPr>
          </w:p>
        </w:tc>
        <w:tc>
          <w:tcPr>
            <w:tcW w:w="1221" w:type="dxa"/>
            <w:tcBorders>
              <w:top w:val="single" w:sz="8" w:space="0" w:color="000000"/>
            </w:tcBorders>
            <w:vAlign w:val="center"/>
          </w:tcPr>
          <w:p w14:paraId="36000BCA" w14:textId="77777777" w:rsidR="00995447" w:rsidRDefault="00995447">
            <w:pPr>
              <w:ind w:left="0"/>
              <w:rPr>
                <w:rFonts w:ascii="Times New Roman" w:eastAsia="Times New Roman" w:hAnsi="Times New Roman" w:cs="Times New Roman"/>
                <w:sz w:val="18"/>
                <w:szCs w:val="18"/>
              </w:rPr>
            </w:pPr>
          </w:p>
        </w:tc>
        <w:tc>
          <w:tcPr>
            <w:tcW w:w="1197" w:type="dxa"/>
            <w:tcBorders>
              <w:top w:val="single" w:sz="8" w:space="0" w:color="000000"/>
            </w:tcBorders>
            <w:vAlign w:val="center"/>
          </w:tcPr>
          <w:p w14:paraId="3AD10A84" w14:textId="77777777" w:rsidR="00995447" w:rsidRDefault="00995447">
            <w:pPr>
              <w:ind w:left="0"/>
              <w:rPr>
                <w:rFonts w:ascii="Times New Roman" w:eastAsia="Times New Roman" w:hAnsi="Times New Roman" w:cs="Times New Roman"/>
                <w:sz w:val="18"/>
                <w:szCs w:val="18"/>
              </w:rPr>
            </w:pPr>
          </w:p>
        </w:tc>
      </w:tr>
      <w:tr w:rsidR="00995447" w14:paraId="7697323B" w14:textId="77777777">
        <w:trPr>
          <w:trHeight w:val="283"/>
        </w:trPr>
        <w:tc>
          <w:tcPr>
            <w:tcW w:w="1383" w:type="dxa"/>
            <w:vAlign w:val="center"/>
          </w:tcPr>
          <w:p w14:paraId="46859362"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≥3 follow-ups</w:t>
            </w:r>
          </w:p>
        </w:tc>
        <w:tc>
          <w:tcPr>
            <w:tcW w:w="1084" w:type="dxa"/>
            <w:vAlign w:val="center"/>
          </w:tcPr>
          <w:p w14:paraId="0D73F56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116,034.11</w:t>
            </w:r>
          </w:p>
        </w:tc>
        <w:tc>
          <w:tcPr>
            <w:tcW w:w="929" w:type="dxa"/>
            <w:vAlign w:val="center"/>
          </w:tcPr>
          <w:p w14:paraId="3499B3A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82.72</w:t>
            </w:r>
          </w:p>
        </w:tc>
        <w:tc>
          <w:tcPr>
            <w:tcW w:w="1156" w:type="dxa"/>
            <w:vAlign w:val="center"/>
          </w:tcPr>
          <w:p w14:paraId="078DDB9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56" w:type="dxa"/>
            <w:vAlign w:val="center"/>
          </w:tcPr>
          <w:p w14:paraId="682E2C7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36" w:type="dxa"/>
            <w:vAlign w:val="center"/>
          </w:tcPr>
          <w:p w14:paraId="4E6C875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21" w:type="dxa"/>
            <w:vAlign w:val="center"/>
          </w:tcPr>
          <w:p w14:paraId="349080E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97" w:type="dxa"/>
            <w:vAlign w:val="center"/>
          </w:tcPr>
          <w:p w14:paraId="26ADDA2A"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995447" w14:paraId="33C44214" w14:textId="77777777">
        <w:trPr>
          <w:trHeight w:val="283"/>
        </w:trPr>
        <w:tc>
          <w:tcPr>
            <w:tcW w:w="1383" w:type="dxa"/>
            <w:vAlign w:val="center"/>
          </w:tcPr>
          <w:p w14:paraId="216EEB62"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1–2 follow-ups</w:t>
            </w:r>
          </w:p>
        </w:tc>
        <w:tc>
          <w:tcPr>
            <w:tcW w:w="1084" w:type="dxa"/>
            <w:vAlign w:val="center"/>
          </w:tcPr>
          <w:p w14:paraId="3748E272"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271,349.50</w:t>
            </w:r>
          </w:p>
        </w:tc>
        <w:tc>
          <w:tcPr>
            <w:tcW w:w="929" w:type="dxa"/>
            <w:vAlign w:val="center"/>
          </w:tcPr>
          <w:p w14:paraId="0224131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81.96</w:t>
            </w:r>
          </w:p>
        </w:tc>
        <w:tc>
          <w:tcPr>
            <w:tcW w:w="1156" w:type="dxa"/>
            <w:vAlign w:val="center"/>
          </w:tcPr>
          <w:p w14:paraId="3CFC635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-155,315.39</w:t>
            </w:r>
          </w:p>
        </w:tc>
        <w:tc>
          <w:tcPr>
            <w:tcW w:w="1156" w:type="dxa"/>
            <w:vAlign w:val="center"/>
          </w:tcPr>
          <w:p w14:paraId="397BFD9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0.76</w:t>
            </w:r>
          </w:p>
        </w:tc>
        <w:tc>
          <w:tcPr>
            <w:tcW w:w="1236" w:type="dxa"/>
            <w:vAlign w:val="center"/>
          </w:tcPr>
          <w:p w14:paraId="64BC536F"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-204,362.36</w:t>
            </w:r>
          </w:p>
        </w:tc>
        <w:tc>
          <w:tcPr>
            <w:tcW w:w="1221" w:type="dxa"/>
            <w:vAlign w:val="center"/>
          </w:tcPr>
          <w:p w14:paraId="27D9B167"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-904,513</w:t>
            </w:r>
          </w:p>
        </w:tc>
        <w:tc>
          <w:tcPr>
            <w:tcW w:w="1197" w:type="dxa"/>
            <w:vAlign w:val="center"/>
          </w:tcPr>
          <w:p w14:paraId="65777B5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1,089,980.80</w:t>
            </w:r>
          </w:p>
        </w:tc>
      </w:tr>
      <w:tr w:rsidR="00995447" w14:paraId="7117611B" w14:textId="77777777">
        <w:trPr>
          <w:trHeight w:val="283"/>
        </w:trPr>
        <w:tc>
          <w:tcPr>
            <w:tcW w:w="1383" w:type="dxa"/>
            <w:vAlign w:val="center"/>
          </w:tcPr>
          <w:p w14:paraId="0B27C1F3" w14:textId="77777777" w:rsidR="00995447" w:rsidRDefault="000E4D7A">
            <w:pPr>
              <w:ind w:left="0"/>
              <w:jc w:val="lef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Discounted</w:t>
            </w:r>
          </w:p>
        </w:tc>
        <w:tc>
          <w:tcPr>
            <w:tcW w:w="1084" w:type="dxa"/>
            <w:vAlign w:val="center"/>
          </w:tcPr>
          <w:p w14:paraId="0F484219" w14:textId="77777777" w:rsidR="00995447" w:rsidRDefault="00995447">
            <w:pPr>
              <w:ind w:left="0"/>
              <w:rPr>
                <w:rFonts w:ascii="Times New Roman" w:eastAsia="Times New Roman" w:hAnsi="Times New Roman" w:cs="Times New Roman"/>
                <w:b/>
                <w:bCs/>
                <w:sz w:val="18"/>
                <w:szCs w:val="18"/>
              </w:rPr>
            </w:pPr>
          </w:p>
        </w:tc>
        <w:tc>
          <w:tcPr>
            <w:tcW w:w="929" w:type="dxa"/>
            <w:vAlign w:val="center"/>
          </w:tcPr>
          <w:p w14:paraId="621C831C" w14:textId="77777777" w:rsidR="00995447" w:rsidRDefault="00995447">
            <w:pPr>
              <w:ind w:left="0"/>
              <w:rPr>
                <w:rFonts w:ascii="Times New Roman" w:eastAsia="Times New Roman" w:hAnsi="Times New Roman" w:cs="Times New Roman"/>
                <w:sz w:val="18"/>
                <w:szCs w:val="18"/>
              </w:rPr>
            </w:pPr>
          </w:p>
        </w:tc>
        <w:tc>
          <w:tcPr>
            <w:tcW w:w="1156" w:type="dxa"/>
            <w:vAlign w:val="center"/>
          </w:tcPr>
          <w:p w14:paraId="7ADEB4B1" w14:textId="77777777" w:rsidR="00995447" w:rsidRDefault="00995447">
            <w:pPr>
              <w:ind w:left="0"/>
              <w:rPr>
                <w:rFonts w:ascii="Times New Roman" w:eastAsia="Times New Roman" w:hAnsi="Times New Roman" w:cs="Times New Roman"/>
                <w:sz w:val="18"/>
                <w:szCs w:val="18"/>
              </w:rPr>
            </w:pPr>
          </w:p>
        </w:tc>
        <w:tc>
          <w:tcPr>
            <w:tcW w:w="1156" w:type="dxa"/>
            <w:vAlign w:val="center"/>
          </w:tcPr>
          <w:p w14:paraId="4CC6DD3E" w14:textId="77777777" w:rsidR="00995447" w:rsidRDefault="00995447">
            <w:pPr>
              <w:ind w:left="0"/>
              <w:rPr>
                <w:rFonts w:ascii="Times New Roman" w:eastAsia="Times New Roman" w:hAnsi="Times New Roman" w:cs="Times New Roman"/>
                <w:sz w:val="18"/>
                <w:szCs w:val="18"/>
              </w:rPr>
            </w:pPr>
          </w:p>
        </w:tc>
        <w:tc>
          <w:tcPr>
            <w:tcW w:w="1236" w:type="dxa"/>
            <w:vAlign w:val="center"/>
          </w:tcPr>
          <w:p w14:paraId="04225F94" w14:textId="77777777" w:rsidR="00995447" w:rsidRDefault="00995447">
            <w:pPr>
              <w:ind w:left="0"/>
              <w:rPr>
                <w:rFonts w:ascii="Times New Roman" w:eastAsia="Times New Roman" w:hAnsi="Times New Roman" w:cs="Times New Roman"/>
                <w:sz w:val="18"/>
                <w:szCs w:val="18"/>
              </w:rPr>
            </w:pPr>
          </w:p>
        </w:tc>
        <w:tc>
          <w:tcPr>
            <w:tcW w:w="1221" w:type="dxa"/>
            <w:vAlign w:val="center"/>
          </w:tcPr>
          <w:p w14:paraId="35B97241" w14:textId="77777777" w:rsidR="00995447" w:rsidRDefault="00995447">
            <w:pPr>
              <w:ind w:left="0"/>
              <w:rPr>
                <w:rFonts w:ascii="Times New Roman" w:eastAsia="Times New Roman" w:hAnsi="Times New Roman" w:cs="Times New Roman"/>
                <w:sz w:val="18"/>
                <w:szCs w:val="18"/>
              </w:rPr>
            </w:pPr>
          </w:p>
        </w:tc>
        <w:tc>
          <w:tcPr>
            <w:tcW w:w="1197" w:type="dxa"/>
            <w:vAlign w:val="center"/>
          </w:tcPr>
          <w:p w14:paraId="2660F803" w14:textId="77777777" w:rsidR="00995447" w:rsidRDefault="00995447">
            <w:pPr>
              <w:ind w:left="0"/>
              <w:rPr>
                <w:rFonts w:ascii="Times New Roman" w:eastAsia="Times New Roman" w:hAnsi="Times New Roman" w:cs="Times New Roman"/>
                <w:sz w:val="18"/>
                <w:szCs w:val="18"/>
              </w:rPr>
            </w:pPr>
          </w:p>
        </w:tc>
      </w:tr>
      <w:tr w:rsidR="00995447" w14:paraId="6BFC0BD0" w14:textId="77777777">
        <w:trPr>
          <w:trHeight w:val="283"/>
        </w:trPr>
        <w:tc>
          <w:tcPr>
            <w:tcW w:w="1383" w:type="dxa"/>
            <w:tcBorders>
              <w:bottom w:val="nil"/>
            </w:tcBorders>
            <w:vAlign w:val="center"/>
          </w:tcPr>
          <w:p w14:paraId="28F536BB"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≥3 follow-ups</w:t>
            </w:r>
          </w:p>
        </w:tc>
        <w:tc>
          <w:tcPr>
            <w:tcW w:w="1084" w:type="dxa"/>
            <w:tcBorders>
              <w:bottom w:val="nil"/>
            </w:tcBorders>
            <w:vAlign w:val="center"/>
          </w:tcPr>
          <w:p w14:paraId="62416964"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112,553.09</w:t>
            </w:r>
          </w:p>
        </w:tc>
        <w:tc>
          <w:tcPr>
            <w:tcW w:w="929" w:type="dxa"/>
            <w:tcBorders>
              <w:bottom w:val="nil"/>
            </w:tcBorders>
            <w:vAlign w:val="center"/>
          </w:tcPr>
          <w:p w14:paraId="027509C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83.02</w:t>
            </w:r>
          </w:p>
        </w:tc>
        <w:tc>
          <w:tcPr>
            <w:tcW w:w="1156" w:type="dxa"/>
            <w:tcBorders>
              <w:bottom w:val="nil"/>
            </w:tcBorders>
            <w:vAlign w:val="center"/>
          </w:tcPr>
          <w:p w14:paraId="5F04F913"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56" w:type="dxa"/>
            <w:tcBorders>
              <w:bottom w:val="nil"/>
            </w:tcBorders>
            <w:vAlign w:val="center"/>
          </w:tcPr>
          <w:p w14:paraId="5CD4295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36" w:type="dxa"/>
            <w:tcBorders>
              <w:bottom w:val="nil"/>
            </w:tcBorders>
            <w:vAlign w:val="center"/>
          </w:tcPr>
          <w:p w14:paraId="5241E9FB"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21" w:type="dxa"/>
            <w:tcBorders>
              <w:bottom w:val="nil"/>
            </w:tcBorders>
            <w:vAlign w:val="center"/>
          </w:tcPr>
          <w:p w14:paraId="45BA2F0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97" w:type="dxa"/>
            <w:tcBorders>
              <w:bottom w:val="nil"/>
            </w:tcBorders>
            <w:vAlign w:val="center"/>
          </w:tcPr>
          <w:p w14:paraId="12AC0301"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995447" w14:paraId="62775D7B" w14:textId="77777777">
        <w:trPr>
          <w:trHeight w:val="283"/>
        </w:trPr>
        <w:tc>
          <w:tcPr>
            <w:tcW w:w="1383" w:type="dxa"/>
            <w:tcBorders>
              <w:top w:val="nil"/>
              <w:bottom w:val="single" w:sz="8" w:space="0" w:color="000000"/>
            </w:tcBorders>
            <w:vAlign w:val="center"/>
          </w:tcPr>
          <w:p w14:paraId="3F5E0B38"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1–2 </w:t>
            </w:r>
            <w:r>
              <w:rPr>
                <w:rFonts w:ascii="Times New Roman" w:eastAsia="Times New Roman" w:hAnsi="Times New Roman" w:cs="Times New Roman"/>
                <w:sz w:val="18"/>
                <w:szCs w:val="18"/>
              </w:rPr>
              <w:t>follow-ups</w:t>
            </w:r>
          </w:p>
        </w:tc>
        <w:tc>
          <w:tcPr>
            <w:tcW w:w="1084" w:type="dxa"/>
            <w:tcBorders>
              <w:top w:val="nil"/>
              <w:bottom w:val="single" w:sz="8" w:space="0" w:color="000000"/>
            </w:tcBorders>
            <w:vAlign w:val="center"/>
          </w:tcPr>
          <w:p w14:paraId="15E1497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263,209.02</w:t>
            </w:r>
          </w:p>
        </w:tc>
        <w:tc>
          <w:tcPr>
            <w:tcW w:w="929" w:type="dxa"/>
            <w:tcBorders>
              <w:top w:val="nil"/>
              <w:bottom w:val="single" w:sz="8" w:space="0" w:color="000000"/>
            </w:tcBorders>
            <w:vAlign w:val="center"/>
          </w:tcPr>
          <w:p w14:paraId="7ECC708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80.27</w:t>
            </w:r>
          </w:p>
        </w:tc>
        <w:tc>
          <w:tcPr>
            <w:tcW w:w="1156" w:type="dxa"/>
            <w:tcBorders>
              <w:top w:val="nil"/>
              <w:bottom w:val="single" w:sz="8" w:space="0" w:color="000000"/>
            </w:tcBorders>
            <w:vAlign w:val="center"/>
          </w:tcPr>
          <w:p w14:paraId="04061FD9"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-150,655.93</w:t>
            </w:r>
          </w:p>
        </w:tc>
        <w:tc>
          <w:tcPr>
            <w:tcW w:w="1156" w:type="dxa"/>
            <w:tcBorders>
              <w:top w:val="nil"/>
              <w:bottom w:val="single" w:sz="8" w:space="0" w:color="000000"/>
            </w:tcBorders>
            <w:vAlign w:val="center"/>
          </w:tcPr>
          <w:p w14:paraId="7A0086D8"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0.76</w:t>
            </w:r>
          </w:p>
        </w:tc>
        <w:tc>
          <w:tcPr>
            <w:tcW w:w="1236" w:type="dxa"/>
            <w:tcBorders>
              <w:top w:val="nil"/>
              <w:bottom w:val="single" w:sz="8" w:space="0" w:color="000000"/>
            </w:tcBorders>
            <w:vAlign w:val="center"/>
          </w:tcPr>
          <w:p w14:paraId="01420376"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-198,231.49</w:t>
            </w:r>
          </w:p>
        </w:tc>
        <w:tc>
          <w:tcPr>
            <w:tcW w:w="1221" w:type="dxa"/>
            <w:tcBorders>
              <w:top w:val="nil"/>
              <w:bottom w:val="single" w:sz="8" w:space="0" w:color="000000"/>
            </w:tcBorders>
            <w:vAlign w:val="center"/>
          </w:tcPr>
          <w:p w14:paraId="5C8B6410"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-1,243,058.00</w:t>
            </w:r>
          </w:p>
        </w:tc>
        <w:tc>
          <w:tcPr>
            <w:tcW w:w="1197" w:type="dxa"/>
            <w:tcBorders>
              <w:top w:val="nil"/>
              <w:bottom w:val="single" w:sz="8" w:space="0" w:color="000000"/>
            </w:tcBorders>
            <w:vAlign w:val="center"/>
          </w:tcPr>
          <w:p w14:paraId="6A8A9B5E" w14:textId="77777777" w:rsidR="00995447" w:rsidRDefault="000E4D7A">
            <w:pPr>
              <w:ind w:left="0"/>
              <w:rPr>
                <w:rFonts w:ascii="Times New Roman" w:eastAsia="Times New Roman" w:hAnsi="Times New Roman" w:cs="Times New Roman"/>
                <w:sz w:val="18"/>
                <w:szCs w:val="18"/>
              </w:rPr>
            </w:pPr>
            <w:r>
              <w:rPr>
                <w:rFonts w:ascii="Times New Roman" w:eastAsia="Times New Roman" w:hAnsi="Times New Roman" w:cs="Times New Roman"/>
                <w:sz w:val="18"/>
                <w:szCs w:val="18"/>
              </w:rPr>
              <w:t>970,953.80</w:t>
            </w:r>
          </w:p>
        </w:tc>
      </w:tr>
      <w:tr w:rsidR="00995447" w14:paraId="70AB2404" w14:textId="77777777">
        <w:trPr>
          <w:trHeight w:val="170"/>
        </w:trPr>
        <w:tc>
          <w:tcPr>
            <w:tcW w:w="9362" w:type="dxa"/>
            <w:gridSpan w:val="8"/>
            <w:tcBorders>
              <w:top w:val="single" w:sz="8" w:space="0" w:color="000000"/>
            </w:tcBorders>
            <w:vAlign w:val="center"/>
          </w:tcPr>
          <w:p w14:paraId="184A2CF3" w14:textId="179610F4"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HFD</w:t>
            </w:r>
            <w:r>
              <w:rPr>
                <w:rFonts w:ascii="Times New Roman" w:eastAsia="Times New Roman" w:hAnsi="Times New Roman" w:cs="Times New Roman"/>
                <w:sz w:val="18"/>
                <w:szCs w:val="18"/>
              </w:rPr>
              <w:t xml:space="preserve">, Hospital-free Days; </w:t>
            </w:r>
            <w:r>
              <w:rPr>
                <w:rFonts w:ascii="Times New Roman" w:eastAsia="Times New Roman" w:hAnsi="Times New Roman" w:cs="Times New Roman"/>
                <w:b/>
                <w:bCs/>
                <w:sz w:val="18"/>
                <w:szCs w:val="18"/>
              </w:rPr>
              <w:t>ICER</w:t>
            </w:r>
            <w:r>
              <w:rPr>
                <w:rFonts w:ascii="Times New Roman" w:eastAsia="Times New Roman" w:hAnsi="Times New Roman" w:cs="Times New Roman"/>
                <w:sz w:val="18"/>
                <w:szCs w:val="18"/>
              </w:rPr>
              <w:t xml:space="preserve">, Incremental Cost-Effectiveness Ratio; </w:t>
            </w:r>
            <w:r>
              <w:rPr>
                <w:rFonts w:ascii="Times New Roman" w:eastAsia="Times New Roman" w:hAnsi="Times New Roman" w:cs="Times New Roman"/>
                <w:b/>
                <w:bCs/>
                <w:sz w:val="18"/>
                <w:szCs w:val="18"/>
              </w:rPr>
              <w:t>XAF</w:t>
            </w:r>
            <w:r>
              <w:rPr>
                <w:rFonts w:ascii="Times New Roman" w:eastAsia="Times New Roman" w:hAnsi="Times New Roman" w:cs="Times New Roman"/>
                <w:sz w:val="18"/>
                <w:szCs w:val="18"/>
              </w:rPr>
              <w:t>, Central African Franc CFA</w:t>
            </w:r>
            <w:r>
              <w:rPr>
                <w:rFonts w:ascii="Times New Roman" w:eastAsia="Times New Roman" w:hAnsi="Times New Roman" w:cs="Times New Roman"/>
                <w:sz w:val="18"/>
                <w:szCs w:val="18"/>
              </w:rPr>
              <w:br/>
              <w:t xml:space="preserve">†Negative values indicate that the ≥3 follow-ups per year strategy was </w:t>
            </w:r>
            <w:r>
              <w:rPr>
                <w:rFonts w:ascii="Times New Roman" w:eastAsia="Times New Roman" w:hAnsi="Times New Roman" w:cs="Times New Roman"/>
                <w:sz w:val="18"/>
                <w:szCs w:val="18"/>
              </w:rPr>
              <w:t>less costly and more effective</w:t>
            </w:r>
            <w:r>
              <w:rPr>
                <w:rFonts w:ascii="Times New Roman" w:eastAsia="Times New Roman" w:hAnsi="Times New Roman" w:cs="Times New Roman"/>
                <w:sz w:val="18"/>
                <w:szCs w:val="18"/>
              </w:rPr>
              <w:br/>
              <w:t>‡ Bias-corrected and accelerated (</w:t>
            </w:r>
            <w:proofErr w:type="spellStart"/>
            <w:r>
              <w:rPr>
                <w:rFonts w:ascii="Times New Roman" w:eastAsia="Times New Roman" w:hAnsi="Times New Roman" w:cs="Times New Roman"/>
                <w:sz w:val="18"/>
                <w:szCs w:val="18"/>
              </w:rPr>
              <w:t>BCa</w:t>
            </w:r>
            <w:proofErr w:type="spellEnd"/>
            <w:r>
              <w:rPr>
                <w:rFonts w:ascii="Times New Roman" w:eastAsia="Times New Roman" w:hAnsi="Times New Roman" w:cs="Times New Roman"/>
                <w:sz w:val="18"/>
                <w:szCs w:val="18"/>
              </w:rPr>
              <w:t>) confidence interval of 2000 bootstrap replicates of the ICER distribution</w:t>
            </w:r>
            <w:r>
              <w:rPr>
                <w:rFonts w:ascii="Times New Roman" w:eastAsia="Times New Roman" w:hAnsi="Times New Roman" w:cs="Times New Roman"/>
                <w:sz w:val="18"/>
                <w:szCs w:val="18"/>
              </w:rPr>
              <w:br/>
              <w:t>1$ USD ≈ XAF 606.35</w:t>
            </w:r>
            <w:r w:rsidR="00C13F38">
              <w:rPr>
                <w:rFonts w:ascii="Times New Roman" w:eastAsia="Times New Roman" w:hAnsi="Times New Roman" w:cs="Times New Roman"/>
                <w:sz w:val="18"/>
                <w:szCs w:val="18"/>
              </w:rPr>
              <w:t xml:space="preserve"> </w:t>
            </w:r>
            <w:r w:rsidR="00C13F38">
              <w:rPr>
                <w:rFonts w:ascii="Times New Roman" w:eastAsia="Times New Roman" w:hAnsi="Times New Roman" w:cs="Times New Roman"/>
                <w:sz w:val="18"/>
                <w:szCs w:val="18"/>
              </w:rPr>
              <w:fldChar w:fldCharType="begin"/>
            </w:r>
            <w:r w:rsidR="00697B10">
              <w:rPr>
                <w:rFonts w:ascii="Times New Roman" w:eastAsia="Times New Roman" w:hAnsi="Times New Roman" w:cs="Times New Roman"/>
                <w:sz w:val="18"/>
                <w:szCs w:val="18"/>
              </w:rPr>
              <w:instrText xml:space="preserve"> ADDIN ZOTERO_ITEM CSL_CITATION {"citationID":"td7qvyf7","properties":{"formattedCitation":"[18]","plainCitation":"[18]","noteIndex":0},"citationItems":[{"id":3950,"uris":["http://zotero.org/users/13316261/items/VI6KXGAU"],"itemData":{"id":3950,"type":"webpage","language":"en","title":"Official exchange rate (LCU per US$, period dollar). International Monetary Fund, International Financial Statistics.","URL":"https://data.worldbank.org/indicator/PA.NUS.FCRF","author":[{"family":"World Bank Group","given":""}],"accessed":{"date-parts":[["2025",5,9]]},"issued":{"date-parts":[["2025"]]}}}],"schema":"https://github.com/citation-style-language/schema/raw/master/csl-citation.json"} </w:instrText>
            </w:r>
            <w:r w:rsidR="00C13F38">
              <w:rPr>
                <w:rFonts w:ascii="Times New Roman" w:eastAsia="Times New Roman" w:hAnsi="Times New Roman" w:cs="Times New Roman"/>
                <w:sz w:val="18"/>
                <w:szCs w:val="18"/>
              </w:rPr>
              <w:fldChar w:fldCharType="separate"/>
            </w:r>
            <w:r w:rsidR="00697B10" w:rsidRPr="00697B10">
              <w:rPr>
                <w:rFonts w:ascii="Times New Roman" w:hAnsi="Times New Roman" w:cs="Times New Roman"/>
                <w:sz w:val="18"/>
              </w:rPr>
              <w:t>[18]</w:t>
            </w:r>
            <w:r w:rsidR="00C13F38">
              <w:rPr>
                <w:rFonts w:ascii="Times New Roman" w:eastAsia="Times New Roman" w:hAnsi="Times New Roman" w:cs="Times New Roman"/>
                <w:sz w:val="18"/>
                <w:szCs w:val="18"/>
              </w:rPr>
              <w:fldChar w:fldCharType="end"/>
            </w:r>
            <w:r w:rsidR="00D37C21">
              <w:rPr>
                <w:rFonts w:ascii="Times New Roman" w:eastAsia="Times New Roman" w:hAnsi="Times New Roman" w:cs="Times New Roman"/>
                <w:sz w:val="18"/>
                <w:szCs w:val="18"/>
              </w:rPr>
              <w:t>.</w:t>
            </w:r>
          </w:p>
        </w:tc>
      </w:tr>
    </w:tbl>
    <w:p w14:paraId="7091A111" w14:textId="77777777" w:rsidR="00995447" w:rsidRDefault="00995447">
      <w:pPr>
        <w:spacing w:line="360" w:lineRule="auto"/>
        <w:ind w:left="0"/>
        <w:jc w:val="both"/>
        <w:rPr>
          <w:rFonts w:ascii="Times New Roman" w:eastAsia="Times New Roman" w:hAnsi="Times New Roman" w:cs="Times New Roman"/>
          <w:sz w:val="24"/>
          <w:szCs w:val="24"/>
        </w:rPr>
      </w:pPr>
    </w:p>
    <w:p w14:paraId="3F905018" w14:textId="77777777" w:rsidR="00995447" w:rsidRDefault="000E4D7A">
      <w:pPr>
        <w:keepNext/>
        <w:spacing w:line="360" w:lineRule="auto"/>
        <w:ind w:left="0"/>
        <w:jc w:val="both"/>
      </w:pPr>
      <w:r>
        <w:rPr>
          <w:noProof/>
        </w:rPr>
        <w:drawing>
          <wp:inline distT="0" distB="0" distL="0" distR="0" wp14:anchorId="75EC55A9" wp14:editId="069F1F2C">
            <wp:extent cx="5731510" cy="238823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510" cy="2388235"/>
                    </a:xfrm>
                    <a:prstGeom prst="rect">
                      <a:avLst/>
                    </a:prstGeom>
                    <a:ln/>
                  </pic:spPr>
                </pic:pic>
              </a:graphicData>
            </a:graphic>
          </wp:inline>
        </w:drawing>
      </w:r>
    </w:p>
    <w:p w14:paraId="1E5D8795" w14:textId="531997A8" w:rsidR="00995447" w:rsidRDefault="000E4D7A">
      <w:pPr>
        <w:pBdr>
          <w:top w:val="nil"/>
          <w:left w:val="nil"/>
          <w:bottom w:val="nil"/>
          <w:right w:val="nil"/>
          <w:between w:val="nil"/>
        </w:pBdr>
        <w:spacing w:after="200"/>
        <w:ind w:left="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Figure 1. Cost-effectiveness plane showing bootstrap replicates of incremental cost (XAF) and incremental effect (hospital-free days). </w:t>
      </w:r>
      <w:r>
        <w:rPr>
          <w:rFonts w:ascii="Times New Roman" w:eastAsia="Times New Roman" w:hAnsi="Times New Roman" w:cs="Times New Roman"/>
          <w:b/>
          <w:bCs/>
          <w:color w:val="000000"/>
          <w:sz w:val="20"/>
          <w:szCs w:val="20"/>
        </w:rPr>
        <w:t>A</w:t>
      </w:r>
      <w:r>
        <w:rPr>
          <w:rFonts w:ascii="Times New Roman" w:eastAsia="Times New Roman" w:hAnsi="Times New Roman" w:cs="Times New Roman"/>
          <w:color w:val="000000"/>
          <w:sz w:val="20"/>
          <w:szCs w:val="20"/>
        </w:rPr>
        <w:t xml:space="preserve">) Cost-effectiveness plane of ≥3 versus no follow-ups per year </w:t>
      </w:r>
      <w:r>
        <w:rPr>
          <w:rFonts w:ascii="Times New Roman" w:eastAsia="Times New Roman" w:hAnsi="Times New Roman" w:cs="Times New Roman"/>
          <w:b/>
          <w:bCs/>
          <w:color w:val="000000"/>
          <w:sz w:val="20"/>
          <w:szCs w:val="20"/>
        </w:rPr>
        <w:t>B</w:t>
      </w:r>
      <w:r>
        <w:rPr>
          <w:rFonts w:ascii="Times New Roman" w:eastAsia="Times New Roman" w:hAnsi="Times New Roman" w:cs="Times New Roman"/>
          <w:color w:val="000000"/>
          <w:sz w:val="20"/>
          <w:szCs w:val="20"/>
        </w:rPr>
        <w:t xml:space="preserve">) Cost-effectiveness plane of ≥3 versus 1–2 follow-ups per year. Each point represents one bootstrap replicate of incremental effect (x-axis) and incremental cost (y-axis). Red marks indicate </w:t>
      </w:r>
      <w:r>
        <w:rPr>
          <w:rFonts w:ascii="Times New Roman" w:eastAsia="Times New Roman" w:hAnsi="Times New Roman" w:cs="Times New Roman"/>
          <w:color w:val="000000"/>
          <w:sz w:val="20"/>
          <w:szCs w:val="20"/>
        </w:rPr>
        <w:t>the incremental-cost effectiveness ratio (ICER). The 95% bootstrap confidence interval (ellipses) is bias-</w:t>
      </w:r>
      <w:r w:rsidR="003F6781">
        <w:rPr>
          <w:rFonts w:ascii="Times New Roman" w:eastAsia="Times New Roman" w:hAnsi="Times New Roman" w:cs="Times New Roman"/>
          <w:color w:val="000000"/>
          <w:sz w:val="20"/>
          <w:szCs w:val="20"/>
        </w:rPr>
        <w:t>corrected</w:t>
      </w:r>
      <w:r>
        <w:rPr>
          <w:rFonts w:ascii="Times New Roman" w:eastAsia="Times New Roman" w:hAnsi="Times New Roman" w:cs="Times New Roman"/>
          <w:color w:val="000000"/>
          <w:sz w:val="20"/>
          <w:szCs w:val="20"/>
        </w:rPr>
        <w:t xml:space="preserve"> and accelerated. The ICER (graph B) shows considerable uncertainty, with points spanning all quadrants’, indicating cost-effectiveness is su</w:t>
      </w:r>
      <w:r>
        <w:rPr>
          <w:rFonts w:ascii="Times New Roman" w:eastAsia="Times New Roman" w:hAnsi="Times New Roman" w:cs="Times New Roman"/>
          <w:color w:val="000000"/>
          <w:sz w:val="20"/>
          <w:szCs w:val="20"/>
        </w:rPr>
        <w:t>bject to uncertainty. 1$ USD ≈ XAF 606.35</w:t>
      </w:r>
      <w:r w:rsidR="004B72D7">
        <w:rPr>
          <w:rFonts w:ascii="Times New Roman" w:eastAsia="Times New Roman" w:hAnsi="Times New Roman" w:cs="Times New Roman"/>
          <w:color w:val="000000"/>
          <w:sz w:val="20"/>
          <w:szCs w:val="20"/>
        </w:rPr>
        <w:t xml:space="preserve"> </w:t>
      </w:r>
      <w:r w:rsidR="004B72D7">
        <w:rPr>
          <w:rFonts w:ascii="Times New Roman" w:eastAsia="Times New Roman" w:hAnsi="Times New Roman" w:cs="Times New Roman"/>
          <w:color w:val="000000"/>
          <w:sz w:val="20"/>
          <w:szCs w:val="20"/>
        </w:rPr>
        <w:fldChar w:fldCharType="begin"/>
      </w:r>
      <w:r w:rsidR="00697B10">
        <w:rPr>
          <w:rFonts w:ascii="Times New Roman" w:eastAsia="Times New Roman" w:hAnsi="Times New Roman" w:cs="Times New Roman"/>
          <w:color w:val="000000"/>
          <w:sz w:val="20"/>
          <w:szCs w:val="20"/>
        </w:rPr>
        <w:instrText xml:space="preserve"> ADDIN ZOTERO_ITEM CSL_CITATION {"citationID":"UTAE5wRp","properties":{"formattedCitation":"[18]","plainCitation":"[18]","noteIndex":0},"citationItems":[{"id":3950,"uris":["http://zotero.org/users/13316261/items/VI6KXGAU"],"itemData":{"id":3950,"type":"webpage","language":"en","title":"Official exchange rate (LCU per US$, period dollar). International Monetary Fund, International Financial Statistics.","URL":"https://data.worldbank.org/indicator/PA.NUS.FCRF","author":[{"family":"World Bank Group","given":""}],"accessed":{"date-parts":[["2025",5,9]]},"issued":{"date-parts":[["2025"]]}}}],"schema":"https://github.com/citation-style-language/schema/raw/master/csl-citation.json"} </w:instrText>
      </w:r>
      <w:r w:rsidR="004B72D7">
        <w:rPr>
          <w:rFonts w:ascii="Times New Roman" w:eastAsia="Times New Roman" w:hAnsi="Times New Roman" w:cs="Times New Roman"/>
          <w:color w:val="000000"/>
          <w:sz w:val="20"/>
          <w:szCs w:val="20"/>
        </w:rPr>
        <w:fldChar w:fldCharType="separate"/>
      </w:r>
      <w:r w:rsidR="00697B10" w:rsidRPr="00697B10">
        <w:rPr>
          <w:rFonts w:ascii="Times New Roman" w:hAnsi="Times New Roman" w:cs="Times New Roman"/>
          <w:sz w:val="20"/>
        </w:rPr>
        <w:t>[18]</w:t>
      </w:r>
      <w:r w:rsidR="004B72D7">
        <w:rPr>
          <w:rFonts w:ascii="Times New Roman" w:eastAsia="Times New Roman" w:hAnsi="Times New Roman" w:cs="Times New Roman"/>
          <w:color w:val="000000"/>
          <w:sz w:val="20"/>
          <w:szCs w:val="20"/>
        </w:rPr>
        <w:fldChar w:fldCharType="end"/>
      </w:r>
      <w:r w:rsidR="004B72D7">
        <w:rPr>
          <w:rFonts w:ascii="Times New Roman" w:eastAsia="Times New Roman" w:hAnsi="Times New Roman" w:cs="Times New Roman"/>
          <w:color w:val="000000"/>
          <w:sz w:val="20"/>
          <w:szCs w:val="20"/>
        </w:rPr>
        <w:t>.</w:t>
      </w:r>
    </w:p>
    <w:p w14:paraId="052710F6" w14:textId="77777777" w:rsidR="00995447" w:rsidRDefault="00995447">
      <w:pPr>
        <w:spacing w:line="360" w:lineRule="auto"/>
        <w:ind w:left="0"/>
        <w:jc w:val="both"/>
        <w:rPr>
          <w:rFonts w:ascii="Times New Roman" w:eastAsia="Times New Roman" w:hAnsi="Times New Roman" w:cs="Times New Roman"/>
          <w:sz w:val="24"/>
          <w:szCs w:val="24"/>
        </w:rPr>
      </w:pPr>
    </w:p>
    <w:p w14:paraId="46C258D3" w14:textId="14F50BF6"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≥3 follow-ups per year moni</w:t>
      </w:r>
      <w:r>
        <w:rPr>
          <w:rFonts w:ascii="Times New Roman" w:eastAsia="Times New Roman" w:hAnsi="Times New Roman" w:cs="Times New Roman"/>
          <w:sz w:val="24"/>
          <w:szCs w:val="24"/>
        </w:rPr>
        <w:t xml:space="preserve">toring strategy compared to no follow-up, was also associated with a mean cost saving of XAF 195,384.15 (95% CI: –XAF 338,907 to –XAF 91,129) and an incremental effect of 2.73. painful episodes averted (95% CI: -7.34 to -0.32). The ICER was </w:t>
      </w:r>
      <w:r>
        <w:rPr>
          <w:rFonts w:ascii="Times New Roman" w:eastAsia="Times New Roman" w:hAnsi="Times New Roman" w:cs="Times New Roman"/>
          <w:sz w:val="24"/>
          <w:szCs w:val="24"/>
        </w:rPr>
        <w:lastRenderedPageBreak/>
        <w:t>XAF 71,569.29 (</w:t>
      </w:r>
      <w:r>
        <w:rPr>
          <w:rFonts w:ascii="Times New Roman" w:eastAsia="Times New Roman" w:hAnsi="Times New Roman" w:cs="Times New Roman"/>
          <w:sz w:val="24"/>
          <w:szCs w:val="24"/>
        </w:rPr>
        <w:t xml:space="preserve">95% CI: –XAF 263,218 to XAF 490,962) per pain episodes averted (Table </w:t>
      </w:r>
      <w:r w:rsidR="00195FBF">
        <w:rPr>
          <w:rFonts w:ascii="Times New Roman" w:eastAsia="Times New Roman" w:hAnsi="Times New Roman" w:cs="Times New Roman"/>
          <w:sz w:val="24"/>
          <w:szCs w:val="24"/>
        </w:rPr>
        <w:t>6</w:t>
      </w:r>
      <w:r>
        <w:rPr>
          <w:rFonts w:ascii="Times New Roman" w:eastAsia="Times New Roman" w:hAnsi="Times New Roman" w:cs="Times New Roman"/>
          <w:sz w:val="24"/>
          <w:szCs w:val="24"/>
        </w:rPr>
        <w:t>). The ICER Confidence interval crossed zero, indicating uncertainty in both incremental cost and effects.</w:t>
      </w:r>
    </w:p>
    <w:p w14:paraId="28D67DFB" w14:textId="77777777" w:rsidR="00995447" w:rsidRDefault="00995447">
      <w:pPr>
        <w:spacing w:line="360" w:lineRule="auto"/>
        <w:ind w:left="0"/>
        <w:jc w:val="both"/>
        <w:rPr>
          <w:rFonts w:ascii="Times New Roman" w:eastAsia="Times New Roman" w:hAnsi="Times New Roman" w:cs="Times New Roman"/>
          <w:sz w:val="24"/>
          <w:szCs w:val="24"/>
        </w:rPr>
      </w:pPr>
    </w:p>
    <w:p w14:paraId="47ABCC2B"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 follow-ups per year strategy, compared with 1–2 follow-up per year, </w:t>
      </w:r>
      <w:r>
        <w:rPr>
          <w:rFonts w:ascii="Times New Roman" w:eastAsia="Times New Roman" w:hAnsi="Times New Roman" w:cs="Times New Roman"/>
          <w:sz w:val="24"/>
          <w:szCs w:val="24"/>
        </w:rPr>
        <w:t xml:space="preserve">was associated with a mean cost saving of XAF 150,655.93 (95% CI: –XAF 284,204 to XAF 143,057) and an incremental effect of 0.43 painful episodes averted (95% CI: -1.36 to 2.47). The ICER was –XAF 350,362.63 per pain episodes averted (95% CI: –XAF 967,935 </w:t>
      </w:r>
      <w:r>
        <w:rPr>
          <w:rFonts w:ascii="Times New Roman" w:eastAsia="Times New Roman" w:hAnsi="Times New Roman" w:cs="Times New Roman"/>
          <w:sz w:val="24"/>
          <w:szCs w:val="24"/>
        </w:rPr>
        <w:t>to XAF 1,027,560), suggesting that ≥3 follow-ups per year and the 1–2 follow-up per year complication monitoring strategies do not differ meaningfully in averting mild to severe painful episodes.</w:t>
      </w:r>
    </w:p>
    <w:p w14:paraId="24C45A20" w14:textId="77777777" w:rsidR="00995447" w:rsidRDefault="00995447">
      <w:pPr>
        <w:spacing w:line="360" w:lineRule="auto"/>
        <w:ind w:left="0"/>
        <w:jc w:val="both"/>
        <w:rPr>
          <w:rFonts w:ascii="Times New Roman" w:eastAsia="Times New Roman" w:hAnsi="Times New Roman" w:cs="Times New Roman"/>
          <w:sz w:val="24"/>
          <w:szCs w:val="24"/>
        </w:rPr>
      </w:pPr>
    </w:p>
    <w:p w14:paraId="1BC24290" w14:textId="77777777" w:rsidR="00995447" w:rsidRDefault="000E4D7A">
      <w:pPr>
        <w:keepNext/>
        <w:spacing w:after="200"/>
        <w:ind w:left="0"/>
        <w:jc w:val="left"/>
        <w:rPr>
          <w:rFonts w:ascii="Times New Roman" w:eastAsia="Times New Roman" w:hAnsi="Times New Roman" w:cs="Times New Roman"/>
          <w:sz w:val="20"/>
          <w:szCs w:val="20"/>
        </w:rPr>
      </w:pPr>
      <w:r w:rsidRPr="00CD3752">
        <w:rPr>
          <w:rFonts w:ascii="Times New Roman" w:eastAsia="Times New Roman" w:hAnsi="Times New Roman" w:cs="Times New Roman"/>
          <w:sz w:val="20"/>
          <w:szCs w:val="20"/>
        </w:rPr>
        <w:t>Table 6. Incremental</w:t>
      </w:r>
      <w:r>
        <w:rPr>
          <w:rFonts w:ascii="Times New Roman" w:eastAsia="Times New Roman" w:hAnsi="Times New Roman" w:cs="Times New Roman"/>
          <w:sz w:val="20"/>
          <w:szCs w:val="20"/>
        </w:rPr>
        <w:t xml:space="preserve">-cost effectiveness ratio of secondary </w:t>
      </w:r>
      <w:r>
        <w:rPr>
          <w:rFonts w:ascii="Times New Roman" w:eastAsia="Times New Roman" w:hAnsi="Times New Roman" w:cs="Times New Roman"/>
          <w:sz w:val="20"/>
          <w:szCs w:val="20"/>
        </w:rPr>
        <w:t>clinical and 95% bootstrap bias corrected and accelerated confidence intervals</w:t>
      </w:r>
      <w:r>
        <w:rPr>
          <w:rFonts w:ascii="Times New Roman" w:eastAsia="Times New Roman" w:hAnsi="Times New Roman" w:cs="Times New Roman"/>
          <w:b/>
          <w:bCs/>
          <w:sz w:val="20"/>
          <w:szCs w:val="20"/>
        </w:rPr>
        <w:t>.</w:t>
      </w:r>
    </w:p>
    <w:tbl>
      <w:tblPr>
        <w:tblStyle w:val="a4"/>
        <w:tblW w:w="7792" w:type="dxa"/>
        <w:tblInd w:w="0" w:type="dxa"/>
        <w:tblBorders>
          <w:top w:val="single" w:sz="8" w:space="0" w:color="000000"/>
          <w:left w:val="nil"/>
          <w:bottom w:val="nil"/>
          <w:right w:val="nil"/>
          <w:insideH w:val="nil"/>
          <w:insideV w:val="nil"/>
        </w:tblBorders>
        <w:tblLayout w:type="fixed"/>
        <w:tblLook w:val="0400" w:firstRow="0" w:lastRow="0" w:firstColumn="0" w:lastColumn="0" w:noHBand="0" w:noVBand="1"/>
      </w:tblPr>
      <w:tblGrid>
        <w:gridCol w:w="1820"/>
        <w:gridCol w:w="2003"/>
        <w:gridCol w:w="1559"/>
        <w:gridCol w:w="2410"/>
      </w:tblGrid>
      <w:tr w:rsidR="00995447" w14:paraId="51B35B35" w14:textId="77777777">
        <w:trPr>
          <w:trHeight w:val="680"/>
        </w:trPr>
        <w:tc>
          <w:tcPr>
            <w:tcW w:w="1820" w:type="dxa"/>
            <w:tcBorders>
              <w:top w:val="single" w:sz="8" w:space="0" w:color="000000"/>
              <w:bottom w:val="single" w:sz="8" w:space="0" w:color="000000"/>
            </w:tcBorders>
            <w:vAlign w:val="center"/>
          </w:tcPr>
          <w:p w14:paraId="068045FD"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Intervention</w:t>
            </w:r>
          </w:p>
        </w:tc>
        <w:tc>
          <w:tcPr>
            <w:tcW w:w="2003" w:type="dxa"/>
            <w:tcBorders>
              <w:top w:val="single" w:sz="8" w:space="0" w:color="000000"/>
              <w:bottom w:val="single" w:sz="8" w:space="0" w:color="000000"/>
            </w:tcBorders>
            <w:vAlign w:val="center"/>
          </w:tcPr>
          <w:p w14:paraId="0209ACD1"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Incremental </w:t>
            </w:r>
          </w:p>
          <w:p w14:paraId="4837805A"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cost†</w:t>
            </w:r>
          </w:p>
          <w:p w14:paraId="1443DFE8"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 CI]</w:t>
            </w:r>
          </w:p>
        </w:tc>
        <w:tc>
          <w:tcPr>
            <w:tcW w:w="1559" w:type="dxa"/>
            <w:tcBorders>
              <w:top w:val="single" w:sz="8" w:space="0" w:color="000000"/>
              <w:bottom w:val="single" w:sz="8" w:space="0" w:color="000000"/>
            </w:tcBorders>
            <w:vAlign w:val="center"/>
          </w:tcPr>
          <w:p w14:paraId="0AF17E48"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Incremental </w:t>
            </w:r>
          </w:p>
          <w:p w14:paraId="6D865011"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effect‡</w:t>
            </w:r>
          </w:p>
          <w:p w14:paraId="54BA9A0E"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 CI]</w:t>
            </w:r>
          </w:p>
        </w:tc>
        <w:tc>
          <w:tcPr>
            <w:tcW w:w="2410" w:type="dxa"/>
            <w:tcBorders>
              <w:top w:val="single" w:sz="8" w:space="0" w:color="000000"/>
              <w:bottom w:val="single" w:sz="8" w:space="0" w:color="000000"/>
            </w:tcBorders>
            <w:vAlign w:val="center"/>
          </w:tcPr>
          <w:p w14:paraId="15B4EAEC"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ICER</w:t>
            </w:r>
          </w:p>
          <w:p w14:paraId="58A51F6C" w14:textId="77777777" w:rsidR="00995447" w:rsidRDefault="000E4D7A">
            <w:pPr>
              <w:ind w:left="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 CI]</w:t>
            </w:r>
          </w:p>
        </w:tc>
      </w:tr>
      <w:tr w:rsidR="00995447" w14:paraId="72229FCC" w14:textId="77777777">
        <w:trPr>
          <w:trHeight w:val="680"/>
        </w:trPr>
        <w:tc>
          <w:tcPr>
            <w:tcW w:w="1820" w:type="dxa"/>
            <w:tcBorders>
              <w:top w:val="single" w:sz="8" w:space="0" w:color="000000"/>
              <w:bottom w:val="nil"/>
            </w:tcBorders>
            <w:vAlign w:val="center"/>
          </w:tcPr>
          <w:p w14:paraId="68BEEC73"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≥3 vs. Zero</w:t>
            </w:r>
          </w:p>
          <w:p w14:paraId="7F81DCB4"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follow-ups per year</w:t>
            </w:r>
          </w:p>
        </w:tc>
        <w:tc>
          <w:tcPr>
            <w:tcW w:w="2003" w:type="dxa"/>
            <w:tcBorders>
              <w:top w:val="single" w:sz="8" w:space="0" w:color="000000"/>
              <w:bottom w:val="nil"/>
            </w:tcBorders>
            <w:vAlign w:val="center"/>
          </w:tcPr>
          <w:p w14:paraId="33FCD8EE" w14:textId="77777777" w:rsidR="00995447" w:rsidRDefault="000E4D7A">
            <w:pPr>
              <w:ind w:left="0"/>
              <w:rPr>
                <w:rFonts w:ascii="Times New Roman" w:eastAsia="Times New Roman" w:hAnsi="Times New Roman" w:cs="Times New Roman"/>
                <w:sz w:val="20"/>
                <w:szCs w:val="20"/>
              </w:rPr>
            </w:pPr>
            <w:bookmarkStart w:id="4" w:name="_bpp7e2xo9v35" w:colFirst="0" w:colLast="0"/>
            <w:bookmarkEnd w:id="4"/>
            <w:r>
              <w:rPr>
                <w:rFonts w:ascii="Times New Roman" w:eastAsia="Times New Roman" w:hAnsi="Times New Roman" w:cs="Times New Roman"/>
                <w:sz w:val="20"/>
                <w:szCs w:val="20"/>
              </w:rPr>
              <w:t>-195,384.15</w:t>
            </w:r>
          </w:p>
          <w:p w14:paraId="061AFFE6" w14:textId="77777777" w:rsidR="00995447" w:rsidRDefault="000E4D7A">
            <w:pPr>
              <w:ind w:left="0"/>
              <w:rPr>
                <w:rFonts w:ascii="Times New Roman" w:eastAsia="Times New Roman" w:hAnsi="Times New Roman" w:cs="Times New Roman"/>
                <w:sz w:val="20"/>
                <w:szCs w:val="20"/>
              </w:rPr>
            </w:pPr>
            <w:bookmarkStart w:id="5" w:name="_fltd8ixjekq9" w:colFirst="0" w:colLast="0"/>
            <w:bookmarkEnd w:id="5"/>
            <w:r>
              <w:rPr>
                <w:rFonts w:ascii="Times New Roman" w:eastAsia="Times New Roman" w:hAnsi="Times New Roman" w:cs="Times New Roman"/>
                <w:sz w:val="20"/>
                <w:szCs w:val="20"/>
              </w:rPr>
              <w:t>[-338,907 to -91,129]</w:t>
            </w:r>
          </w:p>
        </w:tc>
        <w:tc>
          <w:tcPr>
            <w:tcW w:w="1559" w:type="dxa"/>
            <w:tcBorders>
              <w:top w:val="single" w:sz="8" w:space="0" w:color="000000"/>
              <w:bottom w:val="nil"/>
            </w:tcBorders>
            <w:vAlign w:val="center"/>
          </w:tcPr>
          <w:p w14:paraId="54D7E170"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-2.73</w:t>
            </w:r>
          </w:p>
          <w:p w14:paraId="78F05914"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[-7.34 to -0.32]</w:t>
            </w:r>
          </w:p>
        </w:tc>
        <w:tc>
          <w:tcPr>
            <w:tcW w:w="2410" w:type="dxa"/>
            <w:tcBorders>
              <w:top w:val="single" w:sz="8" w:space="0" w:color="000000"/>
              <w:bottom w:val="nil"/>
            </w:tcBorders>
            <w:vAlign w:val="center"/>
          </w:tcPr>
          <w:p w14:paraId="37965AD6" w14:textId="77777777" w:rsidR="00995447" w:rsidRDefault="000E4D7A">
            <w:pPr>
              <w:ind w:left="0"/>
              <w:rPr>
                <w:rFonts w:ascii="Times New Roman" w:eastAsia="Times New Roman" w:hAnsi="Times New Roman" w:cs="Times New Roman"/>
                <w:sz w:val="20"/>
                <w:szCs w:val="20"/>
              </w:rPr>
            </w:pPr>
            <w:bookmarkStart w:id="6" w:name="_k7v2hi4rxs3o" w:colFirst="0" w:colLast="0"/>
            <w:bookmarkEnd w:id="6"/>
            <w:r>
              <w:rPr>
                <w:rFonts w:ascii="Times New Roman" w:eastAsia="Times New Roman" w:hAnsi="Times New Roman" w:cs="Times New Roman"/>
                <w:sz w:val="20"/>
                <w:szCs w:val="20"/>
              </w:rPr>
              <w:t>71,569.29</w:t>
            </w:r>
          </w:p>
          <w:p w14:paraId="1E27A646"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[-263,218 to 490,962]</w:t>
            </w:r>
          </w:p>
        </w:tc>
      </w:tr>
      <w:tr w:rsidR="00995447" w14:paraId="77435DA8" w14:textId="77777777">
        <w:trPr>
          <w:trHeight w:val="850"/>
        </w:trPr>
        <w:tc>
          <w:tcPr>
            <w:tcW w:w="1820" w:type="dxa"/>
            <w:tcBorders>
              <w:top w:val="nil"/>
              <w:bottom w:val="single" w:sz="8" w:space="0" w:color="000000"/>
            </w:tcBorders>
            <w:vAlign w:val="center"/>
          </w:tcPr>
          <w:p w14:paraId="3559432E"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vs. 1–2 </w:t>
            </w:r>
          </w:p>
          <w:p w14:paraId="3C730F1B"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follow-ups per year</w:t>
            </w:r>
          </w:p>
        </w:tc>
        <w:tc>
          <w:tcPr>
            <w:tcW w:w="2003" w:type="dxa"/>
            <w:tcBorders>
              <w:top w:val="nil"/>
              <w:bottom w:val="single" w:sz="8" w:space="0" w:color="000000"/>
            </w:tcBorders>
            <w:vAlign w:val="center"/>
          </w:tcPr>
          <w:p w14:paraId="25175F05" w14:textId="77777777" w:rsidR="00995447" w:rsidRDefault="000E4D7A">
            <w:pPr>
              <w:ind w:left="0"/>
              <w:rPr>
                <w:rFonts w:ascii="Times New Roman" w:eastAsia="Times New Roman" w:hAnsi="Times New Roman" w:cs="Times New Roman"/>
                <w:sz w:val="20"/>
                <w:szCs w:val="20"/>
              </w:rPr>
            </w:pPr>
            <w:bookmarkStart w:id="7" w:name="_y4d32jez9s5l" w:colFirst="0" w:colLast="0"/>
            <w:bookmarkEnd w:id="7"/>
            <w:r>
              <w:rPr>
                <w:rFonts w:ascii="Times New Roman" w:eastAsia="Times New Roman" w:hAnsi="Times New Roman" w:cs="Times New Roman"/>
                <w:sz w:val="20"/>
                <w:szCs w:val="20"/>
              </w:rPr>
              <w:t>-150,655.93</w:t>
            </w:r>
          </w:p>
          <w:p w14:paraId="0CA4FEFD" w14:textId="77777777" w:rsidR="00995447" w:rsidRDefault="000E4D7A">
            <w:pPr>
              <w:ind w:left="0"/>
              <w:rPr>
                <w:rFonts w:ascii="Times New Roman" w:eastAsia="Times New Roman" w:hAnsi="Times New Roman" w:cs="Times New Roman"/>
                <w:sz w:val="20"/>
                <w:szCs w:val="20"/>
              </w:rPr>
            </w:pPr>
            <w:bookmarkStart w:id="8" w:name="_sak64s3a500l" w:colFirst="0" w:colLast="0"/>
            <w:bookmarkEnd w:id="8"/>
            <w:r>
              <w:rPr>
                <w:rFonts w:ascii="Times New Roman" w:eastAsia="Times New Roman" w:hAnsi="Times New Roman" w:cs="Times New Roman"/>
                <w:sz w:val="20"/>
                <w:szCs w:val="20"/>
              </w:rPr>
              <w:t>[-284,204 to 143,057]</w:t>
            </w:r>
          </w:p>
        </w:tc>
        <w:tc>
          <w:tcPr>
            <w:tcW w:w="1559" w:type="dxa"/>
            <w:tcBorders>
              <w:top w:val="nil"/>
              <w:bottom w:val="single" w:sz="8" w:space="0" w:color="000000"/>
            </w:tcBorders>
            <w:vAlign w:val="center"/>
          </w:tcPr>
          <w:p w14:paraId="30D6DDEB" w14:textId="77777777" w:rsidR="00995447" w:rsidRDefault="000E4D7A">
            <w:pPr>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0.43</w:t>
            </w:r>
          </w:p>
          <w:p w14:paraId="3E0C4814" w14:textId="77777777" w:rsidR="00995447" w:rsidRDefault="000E4D7A">
            <w:pPr>
              <w:ind w:left="0"/>
              <w:rPr>
                <w:rFonts w:ascii="Times New Roman" w:eastAsia="Times New Roman" w:hAnsi="Times New Roman" w:cs="Times New Roman"/>
                <w:sz w:val="20"/>
                <w:szCs w:val="20"/>
              </w:rPr>
            </w:pPr>
            <w:bookmarkStart w:id="9" w:name="_c2bl1xrnzfoo" w:colFirst="0" w:colLast="0"/>
            <w:bookmarkEnd w:id="9"/>
            <w:r>
              <w:rPr>
                <w:rFonts w:ascii="Times New Roman" w:eastAsia="Times New Roman" w:hAnsi="Times New Roman" w:cs="Times New Roman"/>
                <w:sz w:val="20"/>
                <w:szCs w:val="20"/>
              </w:rPr>
              <w:t>[-1.36 to 2.47]</w:t>
            </w:r>
          </w:p>
        </w:tc>
        <w:tc>
          <w:tcPr>
            <w:tcW w:w="2410" w:type="dxa"/>
            <w:tcBorders>
              <w:top w:val="nil"/>
              <w:bottom w:val="single" w:sz="8" w:space="0" w:color="000000"/>
            </w:tcBorders>
            <w:vAlign w:val="center"/>
          </w:tcPr>
          <w:p w14:paraId="7835FA95" w14:textId="77777777" w:rsidR="00995447" w:rsidRDefault="000E4D7A">
            <w:pPr>
              <w:ind w:left="0"/>
              <w:rPr>
                <w:rFonts w:ascii="Times New Roman" w:eastAsia="Times New Roman" w:hAnsi="Times New Roman" w:cs="Times New Roman"/>
                <w:sz w:val="20"/>
                <w:szCs w:val="20"/>
              </w:rPr>
            </w:pPr>
            <w:bookmarkStart w:id="10" w:name="_5c2rahfoh3lh" w:colFirst="0" w:colLast="0"/>
            <w:bookmarkEnd w:id="10"/>
            <w:r>
              <w:rPr>
                <w:rFonts w:ascii="Times New Roman" w:eastAsia="Times New Roman" w:hAnsi="Times New Roman" w:cs="Times New Roman"/>
                <w:sz w:val="20"/>
                <w:szCs w:val="20"/>
              </w:rPr>
              <w:t>-350,362.63</w:t>
            </w:r>
          </w:p>
          <w:p w14:paraId="49DB25BB" w14:textId="77777777" w:rsidR="00995447" w:rsidRDefault="000E4D7A">
            <w:pPr>
              <w:ind w:left="0"/>
              <w:rPr>
                <w:rFonts w:ascii="Times New Roman" w:eastAsia="Times New Roman" w:hAnsi="Times New Roman" w:cs="Times New Roman"/>
                <w:sz w:val="20"/>
                <w:szCs w:val="20"/>
              </w:rPr>
            </w:pPr>
            <w:bookmarkStart w:id="11" w:name="_6ojtv6457y8o" w:colFirst="0" w:colLast="0"/>
            <w:bookmarkEnd w:id="11"/>
            <w:r>
              <w:rPr>
                <w:rFonts w:ascii="Times New Roman" w:eastAsia="Times New Roman" w:hAnsi="Times New Roman" w:cs="Times New Roman"/>
                <w:sz w:val="20"/>
                <w:szCs w:val="20"/>
              </w:rPr>
              <w:t>[-967,935 to 1,027,560]</w:t>
            </w:r>
          </w:p>
        </w:tc>
      </w:tr>
      <w:tr w:rsidR="00995447" w14:paraId="0463E52B" w14:textId="77777777">
        <w:trPr>
          <w:trHeight w:val="680"/>
        </w:trPr>
        <w:tc>
          <w:tcPr>
            <w:tcW w:w="7792" w:type="dxa"/>
            <w:gridSpan w:val="4"/>
            <w:tcBorders>
              <w:top w:val="single" w:sz="8" w:space="0" w:color="000000"/>
            </w:tcBorders>
            <w:vAlign w:val="center"/>
          </w:tcPr>
          <w:p w14:paraId="6E6CF75B"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XAF</w:t>
            </w:r>
            <w:r>
              <w:rPr>
                <w:rFonts w:ascii="Times New Roman" w:eastAsia="Times New Roman" w:hAnsi="Times New Roman" w:cs="Times New Roman"/>
                <w:sz w:val="18"/>
                <w:szCs w:val="18"/>
              </w:rPr>
              <w:t>, Central African Franc CFA</w:t>
            </w:r>
          </w:p>
          <w:p w14:paraId="655A4BAD" w14:textId="0370FA2F"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CI</w:t>
            </w:r>
            <w:r>
              <w:rPr>
                <w:rFonts w:ascii="Times New Roman" w:eastAsia="Times New Roman" w:hAnsi="Times New Roman" w:cs="Times New Roman"/>
                <w:sz w:val="18"/>
                <w:szCs w:val="18"/>
              </w:rPr>
              <w:t>, Bias</w:t>
            </w:r>
            <w:r w:rsidR="003F6781">
              <w:rPr>
                <w:rFonts w:ascii="Times New Roman" w:eastAsia="Times New Roman" w:hAnsi="Times New Roman" w:cs="Times New Roman"/>
                <w:sz w:val="18"/>
                <w:szCs w:val="18"/>
              </w:rPr>
              <w:t>-</w:t>
            </w:r>
            <w:r>
              <w:rPr>
                <w:rFonts w:ascii="Times New Roman" w:eastAsia="Times New Roman" w:hAnsi="Times New Roman" w:cs="Times New Roman"/>
                <w:sz w:val="18"/>
                <w:szCs w:val="18"/>
              </w:rPr>
              <w:t>corrected and accelerated confidence interval</w:t>
            </w:r>
          </w:p>
          <w:p w14:paraId="54162229"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†Cost </w:t>
            </w:r>
            <w:r>
              <w:rPr>
                <w:rFonts w:ascii="Times New Roman" w:eastAsia="Times New Roman" w:hAnsi="Times New Roman" w:cs="Times New Roman"/>
                <w:sz w:val="18"/>
                <w:szCs w:val="18"/>
              </w:rPr>
              <w:t>expressed in Central African Franc CFA and 3% discounted</w:t>
            </w:r>
          </w:p>
          <w:p w14:paraId="70295177" w14:textId="77777777" w:rsidR="00995447" w:rsidRDefault="000E4D7A">
            <w:pPr>
              <w:ind w:left="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‡Mild to severe frequency of painful episodes during the past 3 months</w:t>
            </w:r>
          </w:p>
          <w:p w14:paraId="7C272283" w14:textId="77777777" w:rsidR="00995447" w:rsidRDefault="00995447">
            <w:pPr>
              <w:ind w:left="0"/>
              <w:jc w:val="left"/>
              <w:rPr>
                <w:rFonts w:ascii="Times New Roman" w:eastAsia="Times New Roman" w:hAnsi="Times New Roman" w:cs="Times New Roman"/>
                <w:sz w:val="18"/>
                <w:szCs w:val="18"/>
              </w:rPr>
            </w:pPr>
          </w:p>
        </w:tc>
      </w:tr>
    </w:tbl>
    <w:p w14:paraId="075B538E" w14:textId="77777777" w:rsidR="00995447" w:rsidRDefault="00995447">
      <w:pPr>
        <w:spacing w:line="360" w:lineRule="auto"/>
        <w:ind w:left="0"/>
        <w:jc w:val="both"/>
        <w:rPr>
          <w:rFonts w:ascii="Times New Roman" w:eastAsia="Times New Roman" w:hAnsi="Times New Roman" w:cs="Times New Roman"/>
          <w:sz w:val="24"/>
          <w:szCs w:val="24"/>
        </w:rPr>
      </w:pPr>
    </w:p>
    <w:p w14:paraId="55A11326" w14:textId="77777777" w:rsidR="00995447" w:rsidRDefault="000E4D7A">
      <w:pPr>
        <w:pStyle w:val="Heading1"/>
        <w:ind w:left="0"/>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Discussion</w:t>
      </w:r>
    </w:p>
    <w:p w14:paraId="1F688B39"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found that ≥3 routine follow-ups per year for SCA complication monitoring were both less costly and </w:t>
      </w:r>
      <w:r>
        <w:rPr>
          <w:rFonts w:ascii="Times New Roman" w:eastAsia="Times New Roman" w:hAnsi="Times New Roman" w:cs="Times New Roman"/>
          <w:sz w:val="24"/>
          <w:szCs w:val="24"/>
        </w:rPr>
        <w:t>more effective, yielding gains in HFDs. ICER for ≥3 follow-ups per year plus SOC was –XAF 88,409.12 (discounted) per HFD compared with no follow-ups per year, and –XAF 198,231.49 per HFD compared with 1–2 follow-ups per year. Compared with no follow-ups pe</w:t>
      </w:r>
      <w:r>
        <w:rPr>
          <w:rFonts w:ascii="Times New Roman" w:eastAsia="Times New Roman" w:hAnsi="Times New Roman" w:cs="Times New Roman"/>
          <w:sz w:val="24"/>
          <w:szCs w:val="24"/>
        </w:rPr>
        <w:t>r year, the ≥3 follow-ups per year strategy averted an additional 2.21 mild to severe painful episodes. These findings suggest that ≥3 routine follow-ups per year plus SOC is a more cost-effective approach to both patients and the health system for monitor</w:t>
      </w:r>
      <w:r>
        <w:rPr>
          <w:rFonts w:ascii="Times New Roman" w:eastAsia="Times New Roman" w:hAnsi="Times New Roman" w:cs="Times New Roman"/>
          <w:sz w:val="24"/>
          <w:szCs w:val="24"/>
        </w:rPr>
        <w:t>ing complications in this population.</w:t>
      </w:r>
    </w:p>
    <w:p w14:paraId="08B1CB33" w14:textId="77777777" w:rsidR="00995447" w:rsidRDefault="00995447">
      <w:pPr>
        <w:spacing w:line="360" w:lineRule="auto"/>
        <w:ind w:left="0"/>
        <w:jc w:val="both"/>
        <w:rPr>
          <w:rFonts w:ascii="Times New Roman" w:eastAsia="Times New Roman" w:hAnsi="Times New Roman" w:cs="Times New Roman"/>
          <w:sz w:val="24"/>
          <w:szCs w:val="24"/>
        </w:rPr>
      </w:pPr>
    </w:p>
    <w:p w14:paraId="27CD0D90" w14:textId="0421D7B5"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strategy of three or more routine follow-ups per year for monitoring SCA complications appeared dominant compared with no follow-up, as it was associated with fewer mild-to-severe painful episodes in the three mon</w:t>
      </w:r>
      <w:r>
        <w:rPr>
          <w:rFonts w:ascii="Times New Roman" w:eastAsia="Times New Roman" w:hAnsi="Times New Roman" w:cs="Times New Roman"/>
          <w:sz w:val="24"/>
          <w:szCs w:val="24"/>
        </w:rPr>
        <w:t>ths preceding enrollment. It also appeared less costly than 1–2 follow-ups per year, though without a significant reduction in painful episodes. Wide confidence intervals highlight substantial uncertainty, including the possibility of increased pain episod</w:t>
      </w:r>
      <w:r>
        <w:rPr>
          <w:rFonts w:ascii="Times New Roman" w:eastAsia="Times New Roman" w:hAnsi="Times New Roman" w:cs="Times New Roman"/>
          <w:sz w:val="24"/>
          <w:szCs w:val="24"/>
        </w:rPr>
        <w:t>es or added cost. Moreover, the relatively short observational window (three months) and broad definition of pain (mild to severe) may have limited the ability to accurately capture severe episodes averted. Acute pain in adults remains the primary driver o</w:t>
      </w:r>
      <w:r>
        <w:rPr>
          <w:rFonts w:ascii="Times New Roman" w:eastAsia="Times New Roman" w:hAnsi="Times New Roman" w:cs="Times New Roman"/>
          <w:sz w:val="24"/>
          <w:szCs w:val="24"/>
        </w:rPr>
        <w:t>f sickle cell–related emergency department visits and hospitalization</w:t>
      </w:r>
      <w:r w:rsidR="00E576B3">
        <w:rPr>
          <w:rFonts w:ascii="Times New Roman" w:eastAsia="Times New Roman" w:hAnsi="Times New Roman" w:cs="Times New Roman"/>
          <w:sz w:val="24"/>
          <w:szCs w:val="24"/>
        </w:rPr>
        <w:t xml:space="preserve"> </w:t>
      </w:r>
      <w:r w:rsidR="00E576B3">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{"citationID":"qXZuBgMd","properties":{"formattedCitation":"[11]","plainCitation":"[11]","noteIndex":0},"citationItems":[{"id":2296,"uris":["http://zotero.org/users/13316261/items/ASCXV997"],"itemData":{"id":2296,"type":"book","edition":"2nd edition, 2018","event-place":"London","ISBN":"978-1-5272-2070-6","language":"eng","note":"OCLC: 1246493649","publisher":"Sickle Cell Society","publisher-place":"London","source":"Open WorldCat","title":"Standards for the clinical care of adults with sickle cell disease in the UK","issued":{"date-parts":[["2018"]]}}}],"schema":"https://github.com/citation-style-language/schema/raw/master/csl-citation.json"} </w:instrText>
      </w:r>
      <w:r w:rsidR="00E576B3">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[11]</w:t>
      </w:r>
      <w:r w:rsidR="00E576B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absence of statistically significant difference in cost per painful epi</w:t>
      </w:r>
      <w:r>
        <w:rPr>
          <w:rFonts w:ascii="Times New Roman" w:eastAsia="Times New Roman" w:hAnsi="Times New Roman" w:cs="Times New Roman"/>
          <w:sz w:val="24"/>
          <w:szCs w:val="24"/>
        </w:rPr>
        <w:t>sode averted between ≥3 and 1–2 follow-ups per year suggests that larger studies are needed to confirm these findings</w:t>
      </w:r>
    </w:p>
    <w:p w14:paraId="008E2356" w14:textId="77777777" w:rsidR="00995447" w:rsidRDefault="00995447">
      <w:pPr>
        <w:spacing w:line="360" w:lineRule="auto"/>
        <w:ind w:left="0"/>
        <w:jc w:val="both"/>
        <w:rPr>
          <w:rFonts w:ascii="Times New Roman" w:eastAsia="Times New Roman" w:hAnsi="Times New Roman" w:cs="Times New Roman"/>
          <w:sz w:val="24"/>
          <w:szCs w:val="24"/>
        </w:rPr>
      </w:pPr>
    </w:p>
    <w:p w14:paraId="67EE3B6F" w14:textId="149D380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Sickle cell patients are high utilizers of healthcare resources, requiring lifelong management. The disease imposes significant physical,</w:t>
      </w:r>
      <w:r>
        <w:rPr>
          <w:rFonts w:ascii="Times New Roman" w:eastAsia="Times New Roman" w:hAnsi="Times New Roman" w:cs="Times New Roman"/>
          <w:sz w:val="24"/>
          <w:szCs w:val="24"/>
        </w:rPr>
        <w:t xml:space="preserve"> psychological, and financial burdens on patients and families. We hypothesized that routine outpatient follow-ups every 3–4 months, as part of SOC, would positively impact disease severity, progression, and survival, while being cost-effective in a settin</w:t>
      </w:r>
      <w:r>
        <w:rPr>
          <w:rFonts w:ascii="Times New Roman" w:eastAsia="Times New Roman" w:hAnsi="Times New Roman" w:cs="Times New Roman"/>
          <w:sz w:val="24"/>
          <w:szCs w:val="24"/>
        </w:rPr>
        <w:t xml:space="preserve">g where healthcare costs are largely OOP and limited specialized care centers. Reduced hospital utilization, including lower demand for blood products and decreased emergency bed occupancy would benefit the healthcare system, particularly given challenges </w:t>
      </w:r>
      <w:r>
        <w:rPr>
          <w:rFonts w:ascii="Times New Roman" w:eastAsia="Times New Roman" w:hAnsi="Times New Roman" w:cs="Times New Roman"/>
          <w:sz w:val="24"/>
          <w:szCs w:val="24"/>
        </w:rPr>
        <w:t>in recruiting blood donors in Cameroon</w:t>
      </w:r>
      <w:r w:rsidR="008406CF">
        <w:rPr>
          <w:rFonts w:ascii="Times New Roman" w:eastAsia="Times New Roman" w:hAnsi="Times New Roman" w:cs="Times New Roman"/>
          <w:sz w:val="24"/>
          <w:szCs w:val="24"/>
        </w:rPr>
        <w:t xml:space="preserve"> </w:t>
      </w:r>
      <w:r w:rsidR="008406CF">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{"citationID":"4Jv4uSvo","properties":{"formattedCitation":"[23]","plainCitation":"[23]","noteIndex":0},"citationItems":[{"id":4107,"uris":["http://zotero.org/users/13316261/items/YSWY2B8A"],"itemData":{"id":4107,"type":"article-journal","abstract":"Introduction\n              Blood and blood products are essential for patients in need of transfusion therapy, especially those undergoing surgical procedures, childbirth and other injuries. In Cameroon, there is an annual deficit of over 270 000 pints of blood, with a coverage rate of only 17%. This qualitative study investigates the barriers and motivators to blood donation among Cameroonian adults, with the aim of better understanding community perceptions and practices.\n            \n            \n              Methods\n              This ethnographic study was performed using a purposive sampling strategy. Focus group discussions and in-depth interviews were conducted with community members to understand perceptions and practices that serve as motivators and deterrents to blood donation in Yaoundé, Cameroon. Data were transcribed verbatim and analysed thematically to identify emerging themes.\n            \n            \n              Results\n              A total of 25 Cameroonian adults were interviewed. Some participants believed that donating blood is: (1) a humanitarian and life-saving gesture, (2) an act of social and religious responsibility and (3) a means for donors to access health services. Some people do not want to donate blood due to: (1) fear of needles, donor-site pain or possible ritualistic use of donated blood, (2) certain religious beliefs, such as those held by Jehovah’s Witnesses, (3) local and cultural beliefs, (4) the perception that blood donation is a commercial activity for many health personnel and (5) lack of transparency from health personnel. The practice of free and voluntary donation, as well as donations specifically to family and friends, was common. Occasionally, requests for financial remuneration prior to blood donation also emerged.\n            \n            \n              Conclusions\n              Community members displayed both favourable and unfavourable perceptions as well as both safe and risky practices related to blood donation. The positive aspects highlighted the potential for creating a supportive environment for blood donation, while the negative aspects presented the significant challenges facing the development of high-quality blood donation and transfusion services. Efforts to reduce apathy toward blood donation and expand the pool of regular, repeat donors must carefully address the diverse perceptions and practices identified in this study.","container-title":"BMJ Global Health","DOI":"10.1136/bmjgh-2024-017825","ISSN":"2059-7908","issue":"2","journalAbbreviation":"BMJ Glob Health","language":"en","page":"e017825","source":"DOI.org (Crossref)","title":"A qualitative study of community perceptions and practices relating to blood donation in Cameroon","volume":"10","author":[{"family":"Asahngwa","given":"Constantine T"},{"family":"Dongho","given":"Ghyslaine Bruna Djeunang"},{"family":"Ngwa","given":"Wilfred"},{"family":"Sinsai","given":"Regina"},{"family":"Dabou","given":"Solange"},{"family":"Kepgang","given":"Evrard"},{"family":"Kibu","given":"Odette D"},{"family":"Ngo","given":"Ngo Valery"},{"family":"Gobina","given":"Ronald Mbua"},{"family":"Foretia","given":"Denis Alemka"}],"issued":{"date-parts":[["2025",2]]}}}],"schema":"https://github.com/citation-style-language/schema/raw/master/csl-citation.json"} </w:instrText>
      </w:r>
      <w:r w:rsidR="008406CF">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[23]</w:t>
      </w:r>
      <w:r w:rsidR="008406C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96AFD13" w14:textId="77777777" w:rsidR="00995447" w:rsidRDefault="00995447">
      <w:pPr>
        <w:spacing w:line="360" w:lineRule="auto"/>
        <w:ind w:left="0"/>
        <w:jc w:val="both"/>
        <w:rPr>
          <w:rFonts w:ascii="Times New Roman" w:eastAsia="Times New Roman" w:hAnsi="Times New Roman" w:cs="Times New Roman"/>
          <w:sz w:val="24"/>
          <w:szCs w:val="24"/>
        </w:rPr>
      </w:pPr>
    </w:p>
    <w:p w14:paraId="587B887C" w14:textId="72CC8830"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Uncertainty in ICER estimates was addressed using bootstrap </w:t>
      </w:r>
      <w:proofErr w:type="spellStart"/>
      <w:r>
        <w:rPr>
          <w:rFonts w:ascii="Times New Roman" w:eastAsia="Times New Roman" w:hAnsi="Times New Roman" w:cs="Times New Roman"/>
          <w:sz w:val="24"/>
          <w:szCs w:val="24"/>
        </w:rPr>
        <w:t>BCa</w:t>
      </w:r>
      <w:proofErr w:type="spellEnd"/>
      <w:r>
        <w:rPr>
          <w:rFonts w:ascii="Times New Roman" w:eastAsia="Times New Roman" w:hAnsi="Times New Roman" w:cs="Times New Roman"/>
          <w:sz w:val="24"/>
          <w:szCs w:val="24"/>
        </w:rPr>
        <w:t xml:space="preserve"> confidence intervals, supporting the robustness of findings. While the confidence intervals between ≥3 follow-ups </w:t>
      </w:r>
      <w:r>
        <w:rPr>
          <w:rFonts w:ascii="Times New Roman" w:eastAsia="Times New Roman" w:hAnsi="Times New Roman" w:cs="Times New Roman"/>
          <w:sz w:val="24"/>
          <w:szCs w:val="24"/>
        </w:rPr>
        <w:t>per year and no follow-ups per year strategy showed plausible certainty in the direction of the ICER in terms of gains in HFDs, that between ≥3 follow-ups per year and 1–2 follow-ups per year was uncertain as shown in Figure 1. Therefore, decision makers s</w:t>
      </w:r>
      <w:r>
        <w:rPr>
          <w:rFonts w:ascii="Times New Roman" w:eastAsia="Times New Roman" w:hAnsi="Times New Roman" w:cs="Times New Roman"/>
          <w:sz w:val="24"/>
          <w:szCs w:val="24"/>
        </w:rPr>
        <w:t>hould consider the uncertainty and cost-effectiveness thresholds. Although WHO-CHOICE guidelines recommend cost-effectiveness thresholds of one-to-three times gross domestic product per capita in countries without standardized thresholds</w:t>
      </w:r>
      <w:r w:rsidR="00B600F7">
        <w:rPr>
          <w:rFonts w:ascii="Times New Roman" w:eastAsia="Times New Roman" w:hAnsi="Times New Roman" w:cs="Times New Roman"/>
          <w:sz w:val="24"/>
          <w:szCs w:val="24"/>
        </w:rPr>
        <w:t xml:space="preserve"> </w:t>
      </w:r>
      <w:r w:rsidR="00B600F7">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{"citationID":"zFqVCjKa","properties":{"formattedCitation":"[24]","plainCitation":"[24]","noteIndex":0},"citationItems":[{"id":3412,"uris":["http://zotero.org/users/13316261/items/JQSLL9I9"],"itemData":{"id":3412,"type":"book","call-number":"RA410.5 .M35 2003","event-place":"Geneva","ISBN":"978-92-4-154601-0","note":"OCLC: ocm54898555","number-of-pages":"312","publisher":"World Health Organization","publisher-place":"Geneva","source":"Library of Congress ISBN","title":"Making choices in health: WHO guide to cost-effectiveness analysis","title-short":"Making choices in health","editor":[{"family":"Edejer","given":"Tessa Tan-Torres"},{"literal":"World Health Organization"}],"issued":{"date-parts":[["2003"]]}}}],"schema":"https://github.com/citation-style-language/schema/raw/master/csl-citation.json"} </w:instrText>
      </w:r>
      <w:r w:rsidR="00B600F7">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[24]</w:t>
      </w:r>
      <w:r w:rsidR="00B600F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this was not applied due to limited financial resources in the study population</w:t>
      </w:r>
      <w:r w:rsidR="00442127">
        <w:rPr>
          <w:rFonts w:ascii="Times New Roman" w:eastAsia="Times New Roman" w:hAnsi="Times New Roman" w:cs="Times New Roman"/>
          <w:sz w:val="24"/>
          <w:szCs w:val="24"/>
        </w:rPr>
        <w:t xml:space="preserve"> </w:t>
      </w:r>
      <w:r w:rsidR="00442127">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m5m9VMBs","properties":{"formattedCitation":"[25]","plainCitation":"[25]","noteIndex":0},"citationItems":[{"id":3937,"uris":["http://zotero.org/users/13316261/items/7WWFATHY"],"itemData":{"id":3937,"type":"report","event-place":"Yaounde","language":"en","number":"5","publisher":"National Institute of Statistics","publisher-place":"Yaounde","title":"Fifth Cameroon household (ECAM5). Situation of household living conditions in 2021-2022 policy guidance note.","URL":"https://ins-cameroun.cm/stattistique/english-fifth-cameroon-household-survey-ecam5situation-of-household-living.conditions-in-2021-2022polycyguidance-noterue/","author":[{"family":"National Institute of Statistics","given":""}],"accessed":{"date-parts":[["2025",3,20]]},"issued":{"date-parts":[["2024",1]]}}}],"schema":"https://github.com/citation-style-language/schema/raw/master/csl-citation.json"} </w:instrText>
      </w:r>
      <w:r w:rsidR="00442127">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[25]</w:t>
      </w:r>
      <w:r w:rsidR="0044212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and challenges in quantifying intangible costs associated with living with SCA.</w:t>
      </w:r>
    </w:p>
    <w:p w14:paraId="162FDAEF" w14:textId="77777777" w:rsidR="00995447" w:rsidRDefault="00995447">
      <w:pPr>
        <w:spacing w:line="360" w:lineRule="auto"/>
        <w:ind w:left="0"/>
        <w:jc w:val="both"/>
        <w:rPr>
          <w:rFonts w:ascii="Times New Roman" w:eastAsia="Times New Roman" w:hAnsi="Times New Roman" w:cs="Times New Roman"/>
          <w:sz w:val="24"/>
          <w:szCs w:val="24"/>
        </w:rPr>
      </w:pPr>
    </w:p>
    <w:p w14:paraId="3366FCC1" w14:textId="320C900D"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Pharmacoeconomic evaluations of drug</w:t>
      </w:r>
      <w:r w:rsidR="008433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follow-up in</w:t>
      </w:r>
      <w:r w:rsidR="00EA3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SCD</w:t>
      </w:r>
      <w:r w:rsidR="00EA3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focus on how medication adherence and s</w:t>
      </w:r>
      <w:r w:rsidR="001A7EF5">
        <w:rPr>
          <w:rFonts w:ascii="Times New Roman" w:eastAsia="Times New Roman" w:hAnsi="Times New Roman" w:cs="Times New Roman"/>
          <w:sz w:val="24"/>
          <w:szCs w:val="24"/>
        </w:rPr>
        <w:t>tructured</w:t>
      </w:r>
      <w:r>
        <w:rPr>
          <w:rFonts w:ascii="Times New Roman" w:eastAsia="Times New Roman" w:hAnsi="Times New Roman" w:cs="Times New Roman"/>
          <w:sz w:val="24"/>
          <w:szCs w:val="24"/>
        </w:rPr>
        <w:t xml:space="preserve"> monitoring protocols reduce long-term costs by preventing acute crises.</w:t>
      </w:r>
      <w:r w:rsidR="00D22BA5">
        <w:rPr>
          <w:rFonts w:ascii="Times New Roman" w:eastAsia="Times New Roman" w:hAnsi="Times New Roman" w:cs="Times New Roman"/>
          <w:sz w:val="24"/>
          <w:szCs w:val="24"/>
        </w:rPr>
        <w:t xml:space="preserve"> </w:t>
      </w:r>
      <w:r w:rsidR="00D22BA5">
        <w:rPr>
          <w:rFonts w:ascii="Times New Roman" w:eastAsia="Times New Roman" w:hAnsi="Times New Roman" w:cs="Times New Roman"/>
          <w:b/>
          <w:bCs/>
          <w:sz w:val="24"/>
          <w:szCs w:val="24"/>
        </w:rPr>
        <w:lastRenderedPageBreak/>
        <w:t>S</w:t>
      </w:r>
      <w:r>
        <w:rPr>
          <w:rFonts w:ascii="Times New Roman" w:eastAsia="Times New Roman" w:hAnsi="Times New Roman" w:cs="Times New Roman"/>
          <w:sz w:val="24"/>
          <w:szCs w:val="24"/>
        </w:rPr>
        <w:t>tandardized follow-up</w:t>
      </w:r>
      <w:r w:rsidR="00D22BA5">
        <w:rPr>
          <w:rFonts w:ascii="Times New Roman" w:eastAsia="Times New Roman" w:hAnsi="Times New Roman" w:cs="Times New Roman"/>
          <w:sz w:val="24"/>
          <w:szCs w:val="24"/>
        </w:rPr>
        <w:t xml:space="preserve"> protocols</w:t>
      </w:r>
      <w:r>
        <w:rPr>
          <w:rFonts w:ascii="Times New Roman" w:eastAsia="Times New Roman" w:hAnsi="Times New Roman" w:cs="Times New Roman"/>
          <w:sz w:val="24"/>
          <w:szCs w:val="24"/>
        </w:rPr>
        <w:t xml:space="preserve">, such as pharmacist-led monitoring, </w:t>
      </w:r>
      <w:r w:rsidR="00F65260">
        <w:rPr>
          <w:rFonts w:ascii="Times New Roman" w:eastAsia="Times New Roman" w:hAnsi="Times New Roman" w:cs="Times New Roman"/>
          <w:sz w:val="24"/>
          <w:szCs w:val="24"/>
        </w:rPr>
        <w:t>has been shown</w:t>
      </w:r>
      <w:r w:rsidR="001A7EF5">
        <w:rPr>
          <w:rFonts w:ascii="Times New Roman" w:eastAsia="Times New Roman" w:hAnsi="Times New Roman" w:cs="Times New Roman"/>
          <w:sz w:val="24"/>
          <w:szCs w:val="24"/>
        </w:rPr>
        <w:t xml:space="preserve"> to</w:t>
      </w:r>
      <w:r w:rsidR="00F652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optimize </w:t>
      </w:r>
      <w:r w:rsidR="00FD10A1">
        <w:rPr>
          <w:rFonts w:ascii="Times New Roman" w:eastAsia="Times New Roman" w:hAnsi="Times New Roman" w:cs="Times New Roman"/>
          <w:sz w:val="24"/>
          <w:szCs w:val="24"/>
        </w:rPr>
        <w:t xml:space="preserve">hydroxyurea </w:t>
      </w:r>
      <w:r>
        <w:rPr>
          <w:rFonts w:ascii="Times New Roman" w:eastAsia="Times New Roman" w:hAnsi="Times New Roman" w:cs="Times New Roman"/>
          <w:sz w:val="24"/>
          <w:szCs w:val="24"/>
        </w:rPr>
        <w:t>therapy and improve outcome.</w:t>
      </w:r>
      <w:r w:rsidR="00730D76">
        <w:rPr>
          <w:rFonts w:ascii="Times New Roman" w:eastAsia="Times New Roman" w:hAnsi="Times New Roman" w:cs="Times New Roman"/>
          <w:sz w:val="24"/>
          <w:szCs w:val="24"/>
        </w:rPr>
        <w:t xml:space="preserve"> </w:t>
      </w:r>
      <w:r w:rsidR="00184B8C" w:rsidRPr="00730D76">
        <w:rPr>
          <w:rFonts w:ascii="Times New Roman" w:eastAsia="Times New Roman" w:hAnsi="Times New Roman" w:cs="Times New Roman"/>
          <w:sz w:val="24"/>
          <w:szCs w:val="24"/>
        </w:rPr>
        <w:t>Transitioning</w:t>
      </w:r>
      <w:r w:rsidR="00184B8C">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from</w:t>
      </w:r>
      <w:r w:rsidR="00184B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fixed dos</w:t>
      </w:r>
      <w:r w:rsidR="00184B8C">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to the </w:t>
      </w:r>
      <w:r w:rsidR="00184B8C">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aximum </w:t>
      </w:r>
      <w:r w:rsidR="00184B8C">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olerated </w:t>
      </w:r>
      <w:r w:rsidR="00184B8C">
        <w:rPr>
          <w:rFonts w:ascii="Times New Roman" w:eastAsia="Times New Roman" w:hAnsi="Times New Roman" w:cs="Times New Roman"/>
          <w:sz w:val="24"/>
          <w:szCs w:val="24"/>
        </w:rPr>
        <w:t>d</w:t>
      </w:r>
      <w:r>
        <w:rPr>
          <w:rFonts w:ascii="Times New Roman" w:eastAsia="Times New Roman" w:hAnsi="Times New Roman" w:cs="Times New Roman"/>
          <w:sz w:val="24"/>
          <w:szCs w:val="24"/>
        </w:rPr>
        <w:t>ose</w:t>
      </w:r>
      <w:r w:rsidR="00532774">
        <w:rPr>
          <w:rFonts w:ascii="Times New Roman" w:eastAsia="Times New Roman" w:hAnsi="Times New Roman" w:cs="Times New Roman"/>
          <w:sz w:val="24"/>
          <w:szCs w:val="24"/>
        </w:rPr>
        <w:t xml:space="preserve"> (MTD)</w:t>
      </w:r>
      <w:r w:rsidR="00115A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through regular follow-up</w:t>
      </w:r>
      <w:r w:rsidR="00184B8C">
        <w:rPr>
          <w:rFonts w:ascii="Times New Roman" w:eastAsia="Times New Roman" w:hAnsi="Times New Roman" w:cs="Times New Roman"/>
          <w:sz w:val="24"/>
          <w:szCs w:val="24"/>
        </w:rPr>
        <w:t>s</w:t>
      </w:r>
      <w:r w:rsidR="00115AAC">
        <w:rPr>
          <w:rFonts w:ascii="Times New Roman" w:eastAsia="Times New Roman" w:hAnsi="Times New Roman" w:cs="Times New Roman"/>
          <w:sz w:val="24"/>
          <w:szCs w:val="24"/>
        </w:rPr>
        <w:t xml:space="preserve"> has proven </w:t>
      </w:r>
      <w:r>
        <w:rPr>
          <w:rFonts w:ascii="Times New Roman" w:eastAsia="Times New Roman" w:hAnsi="Times New Roman" w:cs="Times New Roman"/>
          <w:sz w:val="24"/>
          <w:szCs w:val="24"/>
        </w:rPr>
        <w:t>highly cost-effective</w:t>
      </w:r>
      <w:r w:rsidR="0005269B">
        <w:rPr>
          <w:rFonts w:ascii="Times New Roman" w:eastAsia="Times New Roman" w:hAnsi="Times New Roman" w:cs="Times New Roman"/>
          <w:sz w:val="24"/>
          <w:szCs w:val="24"/>
        </w:rPr>
        <w:t xml:space="preserve"> </w:t>
      </w:r>
      <w:r w:rsidR="0005269B">
        <w:rPr>
          <w:rFonts w:ascii="Times New Roman" w:eastAsia="Times New Roman" w:hAnsi="Times New Roman" w:cs="Times New Roman"/>
          <w:sz w:val="24"/>
          <w:szCs w:val="24"/>
        </w:rPr>
        <w:fldChar w:fldCharType="begin"/>
      </w:r>
      <w:r w:rsidR="008E7F75">
        <w:rPr>
          <w:rFonts w:ascii="Times New Roman" w:eastAsia="Times New Roman" w:hAnsi="Times New Roman" w:cs="Times New Roman"/>
          <w:sz w:val="24"/>
          <w:szCs w:val="24"/>
        </w:rPr>
        <w:instrText xml:space="preserve"> ADDIN ZOTERO_ITEM CSL_CITATION {"citationID":"dnlpW8XX","properties":{"formattedCitation":"[5]","plainCitation":"[5]","noteIndex":0},"citationItems":[{"id":3374,"uris":["http://zotero.org/users/13316261/items/HNAQDBHI"],"itemData":{"id":3374,"type":"article-journal","container-title":"PharmacoEconomics","DOI":"10.1007/s40273-023-01294-3","ISSN":"1170-7690, 1179-2027","issue":"12","journalAbbreviation":"PharmacoEconomics","language":"en","page":"1603-1615","source":"DOI.org (Crossref)","title":"Cost-Effectiveness of Hydroxyurea for Sickle Cell Anemia in a Low-Income African Setting: A Model-Based Evaluation of Two Dosing Regimens","title-short":"Cost-Effectiveness of Hydroxyurea for Sickle Cell Anemia in a Low-Income African Setting","volume":"41","author":[{"family":"Teigen","given":"David"},{"family":"Opoka","given":"Robert O."},{"family":"Kasirye","given":"Phillip"},{"family":"Nabaggala","given":"Catherine"},{"family":"Hume","given":"Heather A."},{"family":"Blomberg","given":"Bjørn"},{"family":"John","given":"Chandy C."},{"family":"Ware","given":"Russell E."},{"family":"Robberstad","given":"Bjarne"}],"issued":{"date-parts":[["2023",12]]}}}],"schema":"https://github.com/citation-style-language/schema/raw/master/csl-citation.json"} </w:instrText>
      </w:r>
      <w:r w:rsidR="0005269B">
        <w:rPr>
          <w:rFonts w:ascii="Times New Roman" w:eastAsia="Times New Roman" w:hAnsi="Times New Roman" w:cs="Times New Roman"/>
          <w:sz w:val="24"/>
          <w:szCs w:val="24"/>
        </w:rPr>
        <w:fldChar w:fldCharType="separate"/>
      </w:r>
      <w:r w:rsidR="008E7F75" w:rsidRPr="008E7F75">
        <w:rPr>
          <w:rFonts w:ascii="Times New Roman" w:hAnsi="Times New Roman" w:cs="Times New Roman"/>
          <w:sz w:val="24"/>
        </w:rPr>
        <w:t>[5]</w:t>
      </w:r>
      <w:r w:rsidR="0005269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470F3B">
        <w:rPr>
          <w:rFonts w:ascii="Times New Roman" w:eastAsia="Times New Roman" w:hAnsi="Times New Roman" w:cs="Times New Roman"/>
          <w:sz w:val="24"/>
          <w:szCs w:val="24"/>
        </w:rPr>
        <w:t xml:space="preserve"> </w:t>
      </w:r>
      <w:r w:rsidR="0005269B">
        <w:rPr>
          <w:rFonts w:ascii="Times New Roman" w:eastAsia="Times New Roman" w:hAnsi="Times New Roman" w:cs="Times New Roman"/>
          <w:sz w:val="24"/>
          <w:szCs w:val="24"/>
        </w:rPr>
        <w:t xml:space="preserve">Evidence from a </w:t>
      </w:r>
      <w:r>
        <w:rPr>
          <w:rFonts w:ascii="Times New Roman" w:eastAsia="Times New Roman" w:hAnsi="Times New Roman" w:cs="Times New Roman"/>
          <w:sz w:val="24"/>
          <w:szCs w:val="24"/>
        </w:rPr>
        <w:t>real-world stud</w:t>
      </w:r>
      <w:r w:rsidR="0005269B">
        <w:rPr>
          <w:rFonts w:ascii="Times New Roman" w:eastAsia="Times New Roman" w:hAnsi="Times New Roman" w:cs="Times New Roman"/>
          <w:sz w:val="24"/>
          <w:szCs w:val="24"/>
        </w:rPr>
        <w:t xml:space="preserve">y indicates that </w:t>
      </w:r>
      <w:r>
        <w:rPr>
          <w:rFonts w:ascii="Times New Roman" w:eastAsia="Times New Roman" w:hAnsi="Times New Roman" w:cs="Times New Roman"/>
          <w:sz w:val="24"/>
          <w:szCs w:val="24"/>
        </w:rPr>
        <w:t>pharmacist-managed protocol</w:t>
      </w:r>
      <w:r w:rsidR="0005269B">
        <w:rPr>
          <w:rFonts w:ascii="Times New Roman" w:eastAsia="Times New Roman" w:hAnsi="Times New Roman" w:cs="Times New Roman"/>
          <w:sz w:val="24"/>
          <w:szCs w:val="24"/>
        </w:rPr>
        <w:t>s can</w:t>
      </w:r>
      <w:r>
        <w:rPr>
          <w:rFonts w:ascii="Times New Roman" w:eastAsia="Times New Roman" w:hAnsi="Times New Roman" w:cs="Times New Roman"/>
          <w:sz w:val="24"/>
          <w:szCs w:val="24"/>
        </w:rPr>
        <w:t xml:space="preserve"> double hydroxyurea uptake and MTD achievement over 3.5 years</w:t>
      </w:r>
      <w:r w:rsidR="00BF3C04">
        <w:rPr>
          <w:rFonts w:ascii="Times New Roman" w:eastAsia="Times New Roman" w:hAnsi="Times New Roman" w:cs="Times New Roman"/>
          <w:sz w:val="24"/>
          <w:szCs w:val="24"/>
        </w:rPr>
        <w:t>,</w:t>
      </w:r>
      <w:r w:rsidR="00557CCF">
        <w:rPr>
          <w:rFonts w:ascii="Times New Roman" w:eastAsia="Times New Roman" w:hAnsi="Times New Roman" w:cs="Times New Roman"/>
          <w:sz w:val="24"/>
          <w:szCs w:val="24"/>
        </w:rPr>
        <w:t xml:space="preserve"> underscoring the importance of regular outpatient monitoring</w:t>
      </w:r>
      <w:r w:rsidR="0005269B">
        <w:rPr>
          <w:rFonts w:ascii="Times New Roman" w:eastAsia="Times New Roman" w:hAnsi="Times New Roman" w:cs="Times New Roman"/>
          <w:sz w:val="24"/>
          <w:szCs w:val="24"/>
        </w:rPr>
        <w:t xml:space="preserve"> </w:t>
      </w:r>
      <w:r w:rsidR="0005269B">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{"citationID":"guP8xzXi","properties":{"formattedCitation":"[26]","plainCitation":"[26]","noteIndex":0},"citationItems":[{"id":4121,"uris":["http://zotero.org/users/13316261/items/9A7WLNS4"],"itemData":{"id":4121,"type":"article-journal","container-title":"Advances in Hematology","DOI":"10.1155/2024/4753349","issue":"1","page":"1-7","title":"A Pharmacist-Managed Hydroxyurea Prescribing Protocol Improves Uptake and Optimization among Patients with Sickle Cell Disease","volume":"2024","author":[{"family":"Roessner","given":"Cameron"},{"family":"Sale","given":"Trudy"},{"family":"Uminski","given":"Kelsey"},{"family":"Goodyear","given":"Dawn"},{"family":"Rydz","given":"Natalia"}],"issued":{"date-parts":[["2024"]]}}}],"schema":"https://github.com/citation-style-language/schema/raw/master/csl-citation.json"} </w:instrText>
      </w:r>
      <w:r w:rsidR="0005269B">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[26]</w:t>
      </w:r>
      <w:r w:rsidR="0005269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173FAC">
        <w:rPr>
          <w:rFonts w:ascii="Times New Roman" w:eastAsia="Times New Roman" w:hAnsi="Times New Roman" w:cs="Times New Roman"/>
          <w:sz w:val="24"/>
          <w:szCs w:val="24"/>
        </w:rPr>
        <w:t xml:space="preserve"> </w:t>
      </w:r>
      <w:r w:rsidR="005002A5">
        <w:rPr>
          <w:rFonts w:ascii="Times New Roman" w:eastAsia="Times New Roman" w:hAnsi="Times New Roman" w:cs="Times New Roman"/>
          <w:sz w:val="24"/>
          <w:szCs w:val="24"/>
        </w:rPr>
        <w:t>Hydroxyurea</w:t>
      </w:r>
      <w:r w:rsidR="00173FAC">
        <w:rPr>
          <w:rFonts w:ascii="Times New Roman" w:eastAsia="Times New Roman" w:hAnsi="Times New Roman" w:cs="Times New Roman"/>
          <w:sz w:val="24"/>
          <w:szCs w:val="24"/>
        </w:rPr>
        <w:t xml:space="preserve"> therapy</w:t>
      </w:r>
      <w:r w:rsidR="005002A5">
        <w:rPr>
          <w:rFonts w:ascii="Times New Roman" w:eastAsia="Times New Roman" w:hAnsi="Times New Roman" w:cs="Times New Roman"/>
          <w:sz w:val="24"/>
          <w:szCs w:val="24"/>
        </w:rPr>
        <w:t xml:space="preserve"> </w:t>
      </w:r>
      <w:r w:rsidR="00173FAC">
        <w:rPr>
          <w:rFonts w:ascii="Times New Roman" w:eastAsia="Times New Roman" w:hAnsi="Times New Roman" w:cs="Times New Roman"/>
          <w:sz w:val="24"/>
          <w:szCs w:val="24"/>
        </w:rPr>
        <w:t>a</w:t>
      </w:r>
      <w:r w:rsidR="005002A5">
        <w:rPr>
          <w:rFonts w:ascii="Times New Roman" w:eastAsia="Times New Roman" w:hAnsi="Times New Roman" w:cs="Times New Roman"/>
          <w:sz w:val="24"/>
          <w:szCs w:val="24"/>
        </w:rPr>
        <w:t>nd a</w:t>
      </w:r>
      <w:r>
        <w:rPr>
          <w:rFonts w:ascii="Times New Roman" w:eastAsia="Times New Roman" w:hAnsi="Times New Roman" w:cs="Times New Roman"/>
          <w:sz w:val="24"/>
          <w:szCs w:val="24"/>
        </w:rPr>
        <w:t>ctive follow-up</w:t>
      </w:r>
      <w:r w:rsidR="005002A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5002A5">
        <w:rPr>
          <w:rFonts w:ascii="Times New Roman" w:eastAsia="Times New Roman" w:hAnsi="Times New Roman" w:cs="Times New Roman"/>
          <w:sz w:val="24"/>
          <w:szCs w:val="24"/>
        </w:rPr>
        <w:t xml:space="preserve">may </w:t>
      </w:r>
      <w:r>
        <w:rPr>
          <w:rFonts w:ascii="Times New Roman" w:eastAsia="Times New Roman" w:hAnsi="Times New Roman" w:cs="Times New Roman"/>
          <w:sz w:val="24"/>
          <w:szCs w:val="24"/>
        </w:rPr>
        <w:t xml:space="preserve">lead to higher fetal hemoglobin (HbF) levels, which </w:t>
      </w:r>
      <w:r w:rsidR="00E62D21">
        <w:rPr>
          <w:rFonts w:ascii="Times New Roman" w:eastAsia="Times New Roman" w:hAnsi="Times New Roman" w:cs="Times New Roman"/>
          <w:sz w:val="24"/>
          <w:szCs w:val="24"/>
        </w:rPr>
        <w:t>in turn</w:t>
      </w:r>
      <w:r>
        <w:rPr>
          <w:rFonts w:ascii="Times New Roman" w:eastAsia="Times New Roman" w:hAnsi="Times New Roman" w:cs="Times New Roman"/>
          <w:sz w:val="24"/>
          <w:szCs w:val="24"/>
        </w:rPr>
        <w:t xml:space="preserve"> re</w:t>
      </w:r>
      <w:r>
        <w:rPr>
          <w:rFonts w:ascii="Times New Roman" w:eastAsia="Times New Roman" w:hAnsi="Times New Roman" w:cs="Times New Roman"/>
          <w:sz w:val="24"/>
          <w:szCs w:val="24"/>
        </w:rPr>
        <w:t>duce the frequency of</w:t>
      </w:r>
      <w:r w:rsidR="005002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VOC and hospitalizations.</w:t>
      </w:r>
    </w:p>
    <w:p w14:paraId="10FB54E1" w14:textId="74CE5ED6" w:rsidR="00995447" w:rsidRDefault="00995447">
      <w:pPr>
        <w:spacing w:line="360" w:lineRule="auto"/>
        <w:ind w:left="0"/>
        <w:jc w:val="both"/>
        <w:rPr>
          <w:rFonts w:ascii="Times New Roman" w:eastAsia="Times New Roman" w:hAnsi="Times New Roman" w:cs="Times New Roman"/>
          <w:sz w:val="24"/>
          <w:szCs w:val="24"/>
        </w:rPr>
      </w:pPr>
    </w:p>
    <w:p w14:paraId="17745E01" w14:textId="2ABC012E" w:rsidR="00A93529" w:rsidRDefault="006F198B">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Medication</w:t>
      </w:r>
      <w:r w:rsidR="00730D76">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dherence and </w:t>
      </w:r>
      <w:r w:rsidR="00F059CA">
        <w:rPr>
          <w:rFonts w:ascii="Times New Roman" w:eastAsia="Times New Roman" w:hAnsi="Times New Roman" w:cs="Times New Roman"/>
          <w:sz w:val="24"/>
          <w:szCs w:val="24"/>
        </w:rPr>
        <w:t xml:space="preserve">follow-up </w:t>
      </w:r>
      <w:r>
        <w:rPr>
          <w:rFonts w:ascii="Times New Roman" w:eastAsia="Times New Roman" w:hAnsi="Times New Roman" w:cs="Times New Roman"/>
          <w:sz w:val="24"/>
          <w:szCs w:val="24"/>
        </w:rPr>
        <w:t>is a primary driver of cost savings in SCD management</w:t>
      </w:r>
      <w:r w:rsidR="006976B1">
        <w:rPr>
          <w:rFonts w:ascii="Times New Roman" w:eastAsia="Times New Roman" w:hAnsi="Times New Roman" w:cs="Times New Roman"/>
          <w:sz w:val="24"/>
          <w:szCs w:val="24"/>
        </w:rPr>
        <w:t>.</w:t>
      </w:r>
      <w:r w:rsidR="00C40795">
        <w:rPr>
          <w:rFonts w:ascii="Times New Roman" w:eastAsia="Times New Roman" w:hAnsi="Times New Roman" w:cs="Times New Roman"/>
          <w:sz w:val="24"/>
          <w:szCs w:val="24"/>
        </w:rPr>
        <w:t xml:space="preserve"> In the BABY HUG trial, h</w:t>
      </w:r>
      <w:r w:rsidR="006976B1">
        <w:rPr>
          <w:rFonts w:ascii="Times New Roman" w:eastAsia="Times New Roman" w:hAnsi="Times New Roman" w:cs="Times New Roman"/>
          <w:sz w:val="24"/>
          <w:szCs w:val="24"/>
        </w:rPr>
        <w:t>igh adherence to hydroxyurea</w:t>
      </w:r>
      <w:r w:rsidR="00C40795">
        <w:rPr>
          <w:rFonts w:ascii="Times New Roman" w:eastAsia="Times New Roman" w:hAnsi="Times New Roman" w:cs="Times New Roman"/>
          <w:sz w:val="24"/>
          <w:szCs w:val="24"/>
        </w:rPr>
        <w:t xml:space="preserve"> resulted to significant reduction in a</w:t>
      </w:r>
      <w:r w:rsidR="002D1EDE" w:rsidRPr="002D1EDE">
        <w:rPr>
          <w:rFonts w:ascii="Times New Roman" w:eastAsia="Times New Roman" w:hAnsi="Times New Roman" w:cs="Times New Roman"/>
          <w:sz w:val="24"/>
          <w:szCs w:val="24"/>
        </w:rPr>
        <w:t xml:space="preserve">cute </w:t>
      </w:r>
      <w:r w:rsidR="00C40795">
        <w:rPr>
          <w:rFonts w:ascii="Times New Roman" w:eastAsia="Times New Roman" w:hAnsi="Times New Roman" w:cs="Times New Roman"/>
          <w:sz w:val="24"/>
          <w:szCs w:val="24"/>
        </w:rPr>
        <w:t>c</w:t>
      </w:r>
      <w:r w:rsidR="002D1EDE" w:rsidRPr="002D1EDE">
        <w:rPr>
          <w:rFonts w:ascii="Times New Roman" w:eastAsia="Times New Roman" w:hAnsi="Times New Roman" w:cs="Times New Roman"/>
          <w:sz w:val="24"/>
          <w:szCs w:val="24"/>
        </w:rPr>
        <w:t>are</w:t>
      </w:r>
      <w:r w:rsidR="00C40795">
        <w:rPr>
          <w:rFonts w:ascii="Times New Roman" w:eastAsia="Times New Roman" w:hAnsi="Times New Roman" w:cs="Times New Roman"/>
          <w:sz w:val="24"/>
          <w:szCs w:val="24"/>
        </w:rPr>
        <w:t xml:space="preserve"> utilization and annual medical cost savings of approximately 21%</w:t>
      </w:r>
      <w:r w:rsidR="00A86EE6">
        <w:rPr>
          <w:rFonts w:ascii="Times New Roman" w:eastAsia="Times New Roman" w:hAnsi="Times New Roman" w:cs="Times New Roman"/>
          <w:sz w:val="24"/>
          <w:szCs w:val="24"/>
        </w:rPr>
        <w:t xml:space="preserve"> </w:t>
      </w:r>
      <w:r w:rsidR="00A86EE6">
        <w:rPr>
          <w:rFonts w:ascii="Times New Roman" w:eastAsia="Times New Roman" w:hAnsi="Times New Roman" w:cs="Times New Roman"/>
          <w:sz w:val="24"/>
          <w:szCs w:val="24"/>
        </w:rPr>
        <w:fldChar w:fldCharType="begin"/>
      </w:r>
      <w:r w:rsidR="008E7F75">
        <w:rPr>
          <w:rFonts w:ascii="Times New Roman" w:eastAsia="Times New Roman" w:hAnsi="Times New Roman" w:cs="Times New Roman"/>
          <w:sz w:val="24"/>
          <w:szCs w:val="24"/>
        </w:rPr>
        <w:instrText xml:space="preserve"> ADDIN ZOTERO_ITEM CSL_CITATION {"citationID":"1zxYD9p5","properties":{"formattedCitation":"[4]","plainCitation":"[4]","noteIndex":0},"citationItems":[{"id":4126,"uris":["http://zotero.org/users/13316261/items/KHMUYKPI"],"itemData":{"id":4126,"type":"article-journal","container-title":"Pediatrics","DOI":"10.1542/peds.2013-0333","issue":"4","page":"677-683","title":"HydroxyureaIsAssociatedWithLowerCostsofCareof Young Children With Sickle Cell Anemia","volume":"132","author":[{"family":"Wang","given":"Winfred C"},{"family":"Oyeku","given":"Suzette O"},{"family":"Luo","given":"Zhaoyu"},{"family":"Boulet","given":"Sheree L"},{"family":"Miller","given":"Scott T"},{"family":"Casella","given":"James F"},{"family":"Fish","given":"Billie"}],"issued":{"date-parts":[["2013"]]}}}],"schema":"https://github.com/citation-style-language/schema/raw/master/csl-citation.json"} </w:instrText>
      </w:r>
      <w:r w:rsidR="00A86EE6">
        <w:rPr>
          <w:rFonts w:ascii="Times New Roman" w:eastAsia="Times New Roman" w:hAnsi="Times New Roman" w:cs="Times New Roman"/>
          <w:sz w:val="24"/>
          <w:szCs w:val="24"/>
        </w:rPr>
        <w:fldChar w:fldCharType="separate"/>
      </w:r>
      <w:r w:rsidR="008E7F75" w:rsidRPr="008E7F75">
        <w:rPr>
          <w:rFonts w:ascii="Times New Roman" w:hAnsi="Times New Roman" w:cs="Times New Roman"/>
          <w:sz w:val="24"/>
        </w:rPr>
        <w:t>[4]</w:t>
      </w:r>
      <w:r w:rsidR="00A86EE6">
        <w:rPr>
          <w:rFonts w:ascii="Times New Roman" w:eastAsia="Times New Roman" w:hAnsi="Times New Roman" w:cs="Times New Roman"/>
          <w:sz w:val="24"/>
          <w:szCs w:val="24"/>
        </w:rPr>
        <w:fldChar w:fldCharType="end"/>
      </w:r>
      <w:r w:rsidR="00C40795">
        <w:rPr>
          <w:rFonts w:ascii="Times New Roman" w:eastAsia="Times New Roman" w:hAnsi="Times New Roman" w:cs="Times New Roman"/>
          <w:sz w:val="24"/>
          <w:szCs w:val="24"/>
        </w:rPr>
        <w:t xml:space="preserve">. These savings are largely attributed to </w:t>
      </w:r>
      <w:r w:rsidR="002D1EDE" w:rsidRPr="002D1EDE">
        <w:rPr>
          <w:rFonts w:ascii="Times New Roman" w:eastAsia="Times New Roman" w:hAnsi="Times New Roman" w:cs="Times New Roman"/>
          <w:sz w:val="24"/>
          <w:szCs w:val="24"/>
        </w:rPr>
        <w:t>offsetting expensive inpatient care with lower-cost outpatient monitoring</w:t>
      </w:r>
      <w:r>
        <w:rPr>
          <w:rFonts w:ascii="Times New Roman" w:eastAsia="Times New Roman" w:hAnsi="Times New Roman" w:cs="Times New Roman"/>
          <w:sz w:val="24"/>
          <w:szCs w:val="24"/>
        </w:rPr>
        <w:t>.</w:t>
      </w:r>
      <w:r w:rsidR="00A537C3">
        <w:rPr>
          <w:rFonts w:ascii="Times New Roman" w:eastAsia="Times New Roman" w:hAnsi="Times New Roman" w:cs="Times New Roman"/>
          <w:sz w:val="24"/>
          <w:szCs w:val="24"/>
        </w:rPr>
        <w:t xml:space="preserve"> Conversely, </w:t>
      </w:r>
      <w:r w:rsidR="00642D8E">
        <w:rPr>
          <w:rFonts w:ascii="Times New Roman" w:eastAsia="Times New Roman" w:hAnsi="Times New Roman" w:cs="Times New Roman"/>
          <w:sz w:val="24"/>
          <w:szCs w:val="24"/>
        </w:rPr>
        <w:t xml:space="preserve">patients with </w:t>
      </w:r>
      <w:r w:rsidR="00A537C3">
        <w:rPr>
          <w:rFonts w:ascii="Times New Roman" w:eastAsia="Times New Roman" w:hAnsi="Times New Roman" w:cs="Times New Roman"/>
          <w:sz w:val="24"/>
          <w:szCs w:val="24"/>
        </w:rPr>
        <w:t xml:space="preserve">poor </w:t>
      </w:r>
      <w:r>
        <w:rPr>
          <w:rFonts w:ascii="Times New Roman" w:eastAsia="Times New Roman" w:hAnsi="Times New Roman" w:cs="Times New Roman"/>
          <w:sz w:val="24"/>
          <w:szCs w:val="24"/>
        </w:rPr>
        <w:t>adherence (medication possession ratio &lt;50%)</w:t>
      </w:r>
      <w:r w:rsidR="00A537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often</w:t>
      </w:r>
      <w:r w:rsidR="00642D8E">
        <w:rPr>
          <w:rFonts w:ascii="Times New Roman" w:eastAsia="Times New Roman" w:hAnsi="Times New Roman" w:cs="Times New Roman"/>
          <w:sz w:val="24"/>
          <w:szCs w:val="24"/>
        </w:rPr>
        <w:t xml:space="preserve"> incur higher overall healthcare expenditure,</w:t>
      </w:r>
      <w:r>
        <w:rPr>
          <w:rFonts w:ascii="Times New Roman" w:eastAsia="Times New Roman" w:hAnsi="Times New Roman" w:cs="Times New Roman"/>
          <w:sz w:val="24"/>
          <w:szCs w:val="24"/>
        </w:rPr>
        <w:t xml:space="preserve"> due to frequent emergency</w:t>
      </w:r>
      <w:r w:rsidR="00642D8E">
        <w:rPr>
          <w:rFonts w:ascii="Times New Roman" w:eastAsia="Times New Roman" w:hAnsi="Times New Roman" w:cs="Times New Roman"/>
          <w:sz w:val="24"/>
          <w:szCs w:val="24"/>
        </w:rPr>
        <w:t xml:space="preserve"> v</w:t>
      </w:r>
      <w:r>
        <w:rPr>
          <w:rFonts w:ascii="Times New Roman" w:eastAsia="Times New Roman" w:hAnsi="Times New Roman" w:cs="Times New Roman"/>
          <w:sz w:val="24"/>
          <w:szCs w:val="24"/>
        </w:rPr>
        <w:t>isits and</w:t>
      </w:r>
      <w:r w:rsidR="00642D8E">
        <w:rPr>
          <w:rFonts w:ascii="Times New Roman" w:eastAsia="Times New Roman" w:hAnsi="Times New Roman" w:cs="Times New Roman"/>
          <w:sz w:val="24"/>
          <w:szCs w:val="24"/>
        </w:rPr>
        <w:t xml:space="preserve"> higher</w:t>
      </w:r>
      <w:r>
        <w:rPr>
          <w:rFonts w:ascii="Times New Roman" w:eastAsia="Times New Roman" w:hAnsi="Times New Roman" w:cs="Times New Roman"/>
          <w:sz w:val="24"/>
          <w:szCs w:val="24"/>
        </w:rPr>
        <w:t xml:space="preserve"> complication</w:t>
      </w:r>
      <w:r w:rsidR="00642D8E">
        <w:rPr>
          <w:rFonts w:ascii="Times New Roman" w:eastAsia="Times New Roman" w:hAnsi="Times New Roman" w:cs="Times New Roman"/>
          <w:sz w:val="24"/>
          <w:szCs w:val="24"/>
        </w:rPr>
        <w:t xml:space="preserve"> rates</w:t>
      </w:r>
      <w:r w:rsidR="00A86EE6">
        <w:rPr>
          <w:rFonts w:ascii="Times New Roman" w:eastAsia="Times New Roman" w:hAnsi="Times New Roman" w:cs="Times New Roman"/>
          <w:sz w:val="24"/>
          <w:szCs w:val="24"/>
        </w:rPr>
        <w:t xml:space="preserve"> </w:t>
      </w:r>
      <w:r w:rsidR="00A86EE6">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{"citationID":"tqU94kIJ","properties":{"formattedCitation":"[27]","plainCitation":"[27]","noteIndex":0},"citationItems":[{"id":4111,"uris":["http://zotero.org/users/13316261/items/VPXXVVXK"],"itemData":{"id":4111,"type":"article-journal","abstract":"Abstract\n            \n              Although new pharmaceutical therapy options have recently become available, hydroxyurea is still the most commonly used and affordable treatment option for sickle cell disease (SCD). This study aimed to update the evidence on hydroxyurea adherence and its association with clinical and economic outcomes among individuals with SCD. This retrospective study used Texas Medicaid claims data from 09/2011–08/2016. Individuals were included if they had ≥1 inpatient or ≥2 outpatient SCD diagnoses, had ≥1 hydroxyurea prescription, were 2–63 years of age, and were continuously enrolled in Texas Medicaid between 6 months before and 1 year after the first hydroxyurea prescription fill date (index date). Hydroxyurea adherence (Medication Possession Ratio; MPR), vaso‐occlusive crisis (VOC)‐related outcomes, healthcare utilization and expenditures (SCD‐related and all‐cause) during the 1 year following the index date were measured. Bivariate and multivariable analyses were used to address the study objectives. Among 1035 included individuals (age: 18.8 ± 12.5 years, female: 52.1%), 20.9% were adherent to hydroxyurea (defined as MPR≥0.8). After adjustment for demographic and clinical characteristics, compared to being non‐adherent, adhering to hydroxyurea was significantly associated with: a lower risk (Odds Ratio [OR] = 0.480,\n              p\n               = .0007) and hazard rate (Hazard Ratio [HR] = 0.748,\n              p\n               = .0005) of a VOC event, fewer VOC events (Incidence Rate Ratio [IRR] = 0.767,\n              p\n               = .0009), fewer VOC‐related hospital days (IRR = 0.593,\n              p\n               = .0003), fewer all‐cause and SCD‐related hospitalizations (IRR = 0.712,\n              p\n               = .0008; IRR = 0.707,\n              p\n               = .0008, respectively) and emergency department visits (IRR = 0.768,\n              p\n               = .0037; IRR = 0.746,\n              p\n               = .0041, respectively), and lower SCD‐related total healthcare expenditures (IRR = 0.796,\n              p\n               = .0266). Efforts to increase adherence to hydroxyurea could improve clinical and economic outcomes among individuals with SCD.","container-title":"American Journal of Hematology","DOI":"10.1002/ajh.26765","ISSN":"0361-8609, 1096-8652","issue":"1","journalAbbreviation":"American J Hematol","language":"en","page":"90-101","source":"DOI.org (Crossref)","title":"Impact of adherence to hydroxyurea on health outcomes among patients with sickle cell disease","volume":"98","author":[{"family":"Kang","given":"Hyeun Ah"},{"family":"Barner","given":"Jamie C."},{"family":"Lawson","given":"Kenneth A."},{"family":"Rascati","given":"Karen"},{"family":"Mignacca","given":"Robert C."}],"issued":{"date-parts":[["2023",1]]}}}],"schema":"https://github.com/citation-style-language/schema/raw/master/csl-citation.json"} </w:instrText>
      </w:r>
      <w:r w:rsidR="00A86EE6">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[27]</w:t>
      </w:r>
      <w:r w:rsidR="00A86EE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4960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high-resource settings, the costs of drug procurement</w:t>
      </w:r>
      <w:r w:rsidR="00642D8E">
        <w:rPr>
          <w:rFonts w:ascii="Times New Roman" w:eastAsia="Times New Roman" w:hAnsi="Times New Roman" w:cs="Times New Roman"/>
          <w:sz w:val="24"/>
          <w:szCs w:val="24"/>
        </w:rPr>
        <w:t xml:space="preserve"> and monitoring</w:t>
      </w:r>
      <w:r>
        <w:rPr>
          <w:rFonts w:ascii="Times New Roman" w:eastAsia="Times New Roman" w:hAnsi="Times New Roman" w:cs="Times New Roman"/>
          <w:sz w:val="24"/>
          <w:szCs w:val="24"/>
        </w:rPr>
        <w:t xml:space="preserve"> are typically </w:t>
      </w:r>
      <w:r w:rsidR="00D90DD3">
        <w:rPr>
          <w:rFonts w:ascii="Times New Roman" w:eastAsia="Times New Roman" w:hAnsi="Times New Roman" w:cs="Times New Roman"/>
          <w:sz w:val="24"/>
          <w:szCs w:val="24"/>
        </w:rPr>
        <w:t>outweighed</w:t>
      </w:r>
      <w:r>
        <w:rPr>
          <w:rFonts w:ascii="Times New Roman" w:eastAsia="Times New Roman" w:hAnsi="Times New Roman" w:cs="Times New Roman"/>
          <w:sz w:val="24"/>
          <w:szCs w:val="24"/>
        </w:rPr>
        <w:t xml:space="preserve"> by </w:t>
      </w:r>
      <w:r w:rsidR="00642D8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savings </w:t>
      </w:r>
      <w:r w:rsidR="00642D8E">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avoided hospital</w:t>
      </w:r>
      <w:r w:rsidR="00642D8E">
        <w:rPr>
          <w:rFonts w:ascii="Times New Roman" w:eastAsia="Times New Roman" w:hAnsi="Times New Roman" w:cs="Times New Roman"/>
          <w:sz w:val="24"/>
          <w:szCs w:val="24"/>
        </w:rPr>
        <w:t>izations</w:t>
      </w:r>
      <w:r>
        <w:rPr>
          <w:rFonts w:ascii="Times New Roman" w:eastAsia="Times New Roman" w:hAnsi="Times New Roman" w:cs="Times New Roman"/>
          <w:sz w:val="24"/>
          <w:szCs w:val="24"/>
        </w:rPr>
        <w:t>.</w:t>
      </w:r>
    </w:p>
    <w:p w14:paraId="4E86991F" w14:textId="77777777" w:rsidR="00A93529" w:rsidRDefault="00A93529">
      <w:pPr>
        <w:spacing w:line="360" w:lineRule="auto"/>
        <w:ind w:left="0"/>
        <w:jc w:val="both"/>
        <w:rPr>
          <w:rFonts w:ascii="Times New Roman" w:eastAsia="Times New Roman" w:hAnsi="Times New Roman" w:cs="Times New Roman"/>
          <w:sz w:val="24"/>
          <w:szCs w:val="24"/>
        </w:rPr>
      </w:pPr>
    </w:p>
    <w:p w14:paraId="1D17F849" w14:textId="73A27A95"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studies in both adults and children have demonstrated the clinical benefits of routine follow-ups, including improved adherence to treatment, reduced emergency visits</w:t>
      </w:r>
      <w:r w:rsidR="002E5782">
        <w:rPr>
          <w:rFonts w:ascii="Times New Roman" w:eastAsia="Times New Roman" w:hAnsi="Times New Roman" w:cs="Times New Roman"/>
          <w:sz w:val="24"/>
          <w:szCs w:val="24"/>
        </w:rPr>
        <w:t xml:space="preserve"> </w:t>
      </w:r>
      <w:r w:rsidR="002E5782">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{"citationID":"CRQ8ob6x","properties":{"formattedCitation":"[27,28]","plainCitation":"[27,28]","noteIndex":0},"citationItems":[{"id":4111,"uris":["http://zotero.org/users/13316261/items/VPXXVVXK"],"itemData":{"id":4111,"type":"article-journal","abstract":"Abstract\n            \n              Although new pharmaceutical therapy options have recently become available, hydroxyurea is still the most commonly used and affordable treatment option for sickle cell disease (SCD). This study aimed to update the evidence on hydroxyurea adherence and its association with clinical and economic outcomes among individuals with SCD. This retrospective study used Texas Medicaid claims data from 09/2011–08/2016. Individuals were included if they had ≥1 inpatient or ≥2 outpatient SCD diagnoses, had ≥1 hydroxyurea prescription, were 2–63 years of age, and were continuously enrolled in Texas Medicaid between 6 months before and 1 year after the first hydroxyurea prescription fill date (index date). Hydroxyurea adherence (Medication Possession Ratio; MPR), vaso‐occlusive crisis (VOC)‐related outcomes, healthcare utilization and expenditures (SCD‐related and all‐cause) during the 1 year following the index date were measured. Bivariate and multivariable analyses were used to address the study objectives. Among 1035 included individuals (age: 18.8 ± 12.5 years, female: 52.1%), 20.9% were adherent to hydroxyurea (defined as MPR≥0.8). After adjustment for demographic and clinical characteristics, compared to being non‐adherent, adhering to hydroxyurea was significantly associated with: a lower risk (Odds Ratio [OR] = 0.480,\n              p\n               = .0007) and hazard rate (Hazard Ratio [HR] = 0.748,\n              p\n               = .0005) of a VOC event, fewer VOC events (Incidence Rate Ratio [IRR] = 0.767,\n              p\n               = .0009), fewer VOC‐related hospital days (IRR = 0.593,\n              p\n               = .0003), fewer all‐cause and SCD‐related hospitalizations (IRR = 0.712,\n              p\n               = .0008; IRR = 0.707,\n              p\n               = .0008, respectively) and emergency department visits (IRR = 0.768,\n              p\n               = .0037; IRR = 0.746,\n              p\n               = .0041, respectively), and lower SCD‐related total healthcare expenditures (IRR = 0.796,\n              p\n               = .0266). Efforts to increase adherence to hydroxyurea could improve clinical and economic outcomes among individuals with SCD.","container-title":"American Journal of Hematology","DOI":"10.1002/ajh.26765","ISSN":"0361-8609, 1096-8652","issue":"1","journalAbbreviation":"American J Hematol","language":"en","page":"90-101","source":"DOI.org (Crossref)","title":"Impact of adherence to hydroxyurea on health outcomes among patients with sickle cell disease","volume":"98","author":[{"family":"Kang","given":"Hyeun Ah"},{"family":"Barner","given":"Jamie C."},{"family":"Lawson","given":"Kenneth A."},{"family":"Rascati","given":"Karen"},{"family":"Mignacca","given":"Robert C."}],"issued":{"date-parts":[["2023",1]]}}},{"id":3553,"uris":["http://zotero.org/users/13316261/items/E7DQZJR6"],"itemData":{"id":3553,"type":"article-journal","abstract":"Background: Complications of sickle cell disease (SCD), including vaso-occlusive crises (VOC), usually require emergency room visits or even hospitalization for management. Outpatient treatment programs have been developed for management of VOC, however the literature is limited as to the efficacy of these models. Previously, patients in Edmonton, Canada followed by the Hemoglobinopathy Clinic would have to present to the emergency department (ED) for assessment of and management of VOC. Since 2019, patients experiencing early VOC symptoms were able to present to the Medical Outpatient Unit (MOU), an infusion clinic shared with other benign and malignant hematology conditions, to be assessed and receive treatment. This study retrospectively evaluated the outcomes of this treatment strategy.\n            Hypothesis: Outpatient management of VOC is an effective way to assess patients and provide appropriate treatment, thereby reducing the frequency of ED presentations for SCD patients.\n            Methods: Patients were able to schedule their own appointments and were encouraged to present early before they developed severe symptoms. They would be assessed by a nurse, who could then release orders from their personalized pain plan, which is a standing set of orders from an SCD clinic physician. Examples of orders include intravenous fluids and pain medications. Based on the severity of symptoms, patients could also be referred to the ED or for assessment by a physician or nurse practitioner.\n            Chart review of patients aged 18 years or older with SCD followed by the Edmonton Hemoglobinopathy Clinic and who presented to MOU from November 2019 to December 2022 for management of VOC was completed. Information gathered included if the patient was on hydroxyurea at the time, investigations ordered, treatments administered, if NP or physician assessment was required, and disposition following the encounter. Encounters within 7 days were counted as one episode and assumed to be the same VOC event. Visits to ED for this cohort were counted and compared to the number of ED visits from 2016 to 2018.\n            Results: 26 SCD patients had at least one MOU encounter for VOC or prophylaxis resulting in a total of 136 encounters (median 2, maximum 25). These accounted for 96 separate episodes of VOC (median 2, maximum 19), with a median of 1 encounter to MOU per episode (maximum 5). Patient demographics had a mean age of 32 years as of the beginning of the study (maximum 65, minimum 16) with 14 males (54%) and 12 females (46%). Patient diagnoses included 10 with HbSS (38%), 12 with HbSC (46%), 3 with HbSD (12%), and 1 with HbSB° (4%). 21 of 26 patients (81%) were on hydroxyurea at some point during this time period. IV fluids were administered in 129 encounters (95%), and pain medications were given in 64 encounters (47%), with opioid medications being given in 24 encounters (18%). 109 encounters had assessment by a nurse only (80%), while 24 were also assessed by a nurse practitioner (18%) and only 3 required assessment by a physician (2%). Patients were discharged home in 134 of 136 encounters (99%), with only 2 encounters resulting in assessment in ED. 70 of 96 episodes of VOC treated in MOU did not have presentation to ED within 30 days (73%). Total ED visits for this cohort decreased from 59 in 2016-2018 to 38 during the time of this study.\n            Conclusion: Treatment of VOC in an outpatient setting was effective for assessment and treatment and decreased ED visits in our cohort. While retrospective, these results suggest outpatient treatment of VOC can be completed safely and efficiently in a shared infusion unit and may be generalized to other centres with outpatient IV infusion programs.","container-title":"Blood","DOI":"10.1182/blood-2023-181307","ISSN":"0006-4971, 1528-0020","issue":"Supplement 1","language":"en","page":"3672-3672","source":"DOI.org (Crossref)","title":"Outpatient Management of Sickle Cell Vaso-Occlusive Crisis As a Strategy of Decreasing Emergency Department Visits","volume":"142","author":[{"family":"Shyian","given":"Melissa"},{"family":"Bolster","given":"Lauren"}],"issued":{"date-parts":[["2023",11,2]]}}}],"schema":"https://github.com/citation-style-language/schema/raw/master/csl-citation.json"} </w:instrText>
      </w:r>
      <w:r w:rsidR="002E5782">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[27,28]</w:t>
      </w:r>
      <w:r w:rsidR="002E578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lower hospitalization rates, and early detection of organ damage through regular screening</w:t>
      </w:r>
      <w:r w:rsidR="002E5782">
        <w:rPr>
          <w:rFonts w:ascii="Times New Roman" w:eastAsia="Times New Roman" w:hAnsi="Times New Roman" w:cs="Times New Roman"/>
          <w:sz w:val="24"/>
          <w:szCs w:val="24"/>
        </w:rPr>
        <w:t xml:space="preserve"> </w:t>
      </w:r>
      <w:r w:rsidR="002E5782">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{"citationID":"nwnU82CW","properties":{"formattedCitation":"[12,29]","plainCitation":"[12,29]","noteIndex":0},"citationItems":[{"id":394,"uris":["http://zotero.org/users/13316261/items/Y2UM87CF"],"itemData":{"id":394,"type":"article-journal","abstract":"Background:\n              The management of acute and chronic pain for individuals living with sickle cell disease (SCD) is a clinical challenge. This reflects the paucity of clinical SCD pain research and limited understanding of the complex biological differences between acute and chronic pain. These issues collectively create barriers to effective, targeted interventions. Optimal pain management requires interdisciplinary care.\n            \n            \n              Objective:\n              These evidence-based guidelines developed by the American Society of Hematology (ASH) are intended to support patients, clinicians, and other health care professionals in pain management decisions for children and adults with SCD.\n            \n            \n              Methods:\n              ASH formed a multidisciplinary panel, including 2 patient representatives, that was thoroughly vetted to minimize bias from conflicts of interest. The Mayo Evidence-Based Practice Research Program supported the guideline development process, including updating or performing systematic reviews. Clinical questions and outcomes were prioritized according to importance for clinicians and patients. The Grading of Recommendations Assessment, Development and Evaluation (GRADE) approach was used, including GRADE evidence-to-decision frameworks, to assess evidence and make recommendations, which were subject to public comment.\n            \n            \n              Results:\n              The panel reached consensus on 18 recommendations specific to acute and chronic pain. The recommendations reflect a broad pain management approach, encompassing pharmacological and nonpharmacological interventions and analgesic delivery.\n            \n            \n              Conclusions:\n              Because of low-certainty evidence and closely balanced benefits and harms, most recommendations are conditional. Patient preferences should drive clinical decisions. Policymaking, including that by payers, will require substantial debate and input from stakeholders. Randomized controlled trials and comparative-effectiveness studies are needed for chronic opioid therapy, nonopioid therapies, and nonpharmacological interventions.","container-title":"Blood Advances","DOI":"10.1182/bloodadvances.2020001851","ISSN":"2473-9529, 2473-9537","issue":"12","language":"en","page":"2656-2701","source":"DOI.org (Crossref)","title":"American Society of Hematology 2020 guidelines for sickle cell disease: management of acute and chronic pain","title-short":"American Society of Hematology 2020 guidelines for sickle cell disease","volume":"4","author":[{"family":"Brandow","given":"Amanda M."},{"family":"Carroll","given":"C. Patrick"},{"family":"Creary","given":"Susan"},{"family":"Edwards-Elliott","given":"Ronisha"},{"family":"Glassberg","given":"Jeffrey"},{"family":"Hurley","given":"Robert W."},{"family":"Kutlar","given":"Abdullah"},{"family":"Seisa","given":"Mohamed"},{"family":"Stinson","given":"Jennifer"},{"family":"Strouse","given":"John J."},{"family":"Yusuf","given":"Fouza"},{"family":"Zempsky","given":"William"},{"family":"Lang","given":"Eddy"}],"issued":{"date-parts":[["2020",6,23]]}}},{"id":393,"uris":["http://zotero.org/users/13316261/items/88EWBZPK"],"itemData":{"id":393,"type":"article-journal","container-title":"JAMA","DOI":"10.1001/jama.2014.10517","ISSN":"0098-7484","issue":"10","journalAbbreviation":"JAMA","language":"en","page":"1033","source":"DOI.org (Crossref)","title":"Management of Sickle Cell Disease: Summary of the 2014 Evidence-Based Report by Expert Panel Members","title-short":"Management of Sickle Cell Disease","volume":"312","author":[{"family":"Yawn","given":"Barbara P."},{"family":"Buchanan","given":"George R."},{"family":"Afenyi-Annan","given":"Araba N."},{"family":"Ballas","given":"Samir K."},{"family":"Hassell","given":"Kathryn L."},{"family":"James","given":"Andra H."},{"family":"Jordan","given":"Lanetta"},{"family":"Lanzkron","given":"Sophie M."},{"family":"Lottenberg","given":"Richard"},{"family":"Savage","given":"William J."},{"family":"Tanabe","given":"Paula J."},{"family":"Ware","given":"Russell E."},{"family":"Murad","given":"M. Hassan"},{"family":"Goldsmith","given":"Jonathan C."},{"family":"Ortiz","given":"Eduardo"},{"family":"Fulwood","given":"Robinson"},{"family":"Horton","given":"Ann"},{"family":"John-Sowah","given":"Joylene"}],"issued":{"date-parts":[["2014",9,10]]}}}],"schema":"https://github.com/citation-style-language/schema/raw/master/csl-citation.json"} </w:instrText>
      </w:r>
      <w:r w:rsidR="002E5782">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[12,29]</w:t>
      </w:r>
      <w:r w:rsidR="002E578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While expert guidelines rec</w:t>
      </w:r>
      <w:r>
        <w:rPr>
          <w:rFonts w:ascii="Times New Roman" w:eastAsia="Times New Roman" w:hAnsi="Times New Roman" w:cs="Times New Roman"/>
          <w:sz w:val="24"/>
          <w:szCs w:val="24"/>
        </w:rPr>
        <w:t>ommend routine follow-ups as part of standard SCD management, few studies have examined their cost-effectiveness in primary care. A systematic review found that structured visits reduced costs compared with the cost of acute care during illness</w:t>
      </w:r>
      <w:r w:rsidR="00132032">
        <w:rPr>
          <w:rFonts w:ascii="Times New Roman" w:eastAsia="Times New Roman" w:hAnsi="Times New Roman" w:cs="Times New Roman"/>
          <w:sz w:val="24"/>
          <w:szCs w:val="24"/>
        </w:rPr>
        <w:t xml:space="preserve"> </w:t>
      </w:r>
      <w:r w:rsidR="00132032">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nXG1Zks4","properties":{"formattedCitation":"[30]","plainCitation":"[30]","noteIndex":0},"citationItems":[{"id":4119,"uris":["http://zotero.org/users/13316261/items/PEH5V2AA"],"itemData":{"id":4119,"type":"article-journal","container-title":"PharmacoEconomics","DOI":"10.1007/s40273-021-01072-z","page":"1225–1241","title":"The Use of Cost‑Effectiveness Analysis in Sickle Cell Disease: A Critical  Review of the Literature","volume":"39","author":[{"family":"Jiao","given":"Boshen"},{"family":"Basu","given":"Anirban"},{"family":"Roth","given":"Joshua"},{"family":"Bender","given":"M."},{"family":"Rovira","given":"Ilsa"},{"family":"Clemons","given":"Traci"},{"family":"Quach","given":"Scott Ramsey"},{"family":"Devine","given":"Beth"}],"issued":{"date-parts":[["2021"]]}}}],"schema":"https://github.com/citation-style-language/schema/raw/master/csl-citation.json"} </w:instrText>
      </w:r>
      <w:r w:rsidR="00132032">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[30]</w:t>
      </w:r>
      <w:r w:rsidR="0013203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In low-resource settings, where patients and families bear the burden of healthcare costs, policies promoting re</w:t>
      </w:r>
      <w:r>
        <w:rPr>
          <w:rFonts w:ascii="Times New Roman" w:eastAsia="Times New Roman" w:hAnsi="Times New Roman" w:cs="Times New Roman"/>
          <w:sz w:val="24"/>
          <w:szCs w:val="24"/>
        </w:rPr>
        <w:t>gular routine follow-ups such as copay packages and fully-funded consultation fees, could yield substantial benefits.</w:t>
      </w:r>
    </w:p>
    <w:p w14:paraId="3B9CB999" w14:textId="77777777" w:rsidR="00995447" w:rsidRDefault="00995447">
      <w:pPr>
        <w:spacing w:line="360" w:lineRule="auto"/>
        <w:ind w:left="0"/>
        <w:jc w:val="both"/>
        <w:rPr>
          <w:rFonts w:ascii="Times New Roman" w:eastAsia="Times New Roman" w:hAnsi="Times New Roman" w:cs="Times New Roman"/>
          <w:sz w:val="24"/>
          <w:szCs w:val="24"/>
        </w:rPr>
      </w:pPr>
    </w:p>
    <w:p w14:paraId="0688FB73" w14:textId="58EE46E6"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strength of this pilot study was the use of real-world clinical data of the population under study and the use of genetic matching </w:t>
      </w:r>
      <w:r>
        <w:rPr>
          <w:rFonts w:ascii="Times New Roman" w:eastAsia="Times New Roman" w:hAnsi="Times New Roman" w:cs="Times New Roman"/>
          <w:sz w:val="24"/>
          <w:szCs w:val="24"/>
        </w:rPr>
        <w:t>CBPS to account for selection bias and unobserved confounding</w:t>
      </w:r>
      <w:r w:rsidR="00D32480">
        <w:rPr>
          <w:rFonts w:ascii="Times New Roman" w:eastAsia="Times New Roman" w:hAnsi="Times New Roman" w:cs="Times New Roman"/>
          <w:sz w:val="24"/>
          <w:szCs w:val="24"/>
        </w:rPr>
        <w:t xml:space="preserve"> </w:t>
      </w:r>
      <w:r w:rsidR="00D32480">
        <w:rPr>
          <w:rFonts w:ascii="Times New Roman" w:eastAsia="Times New Roman" w:hAnsi="Times New Roman" w:cs="Times New Roman"/>
          <w:sz w:val="24"/>
          <w:szCs w:val="24"/>
        </w:rPr>
        <w:fldChar w:fldCharType="begin"/>
      </w:r>
      <w:r w:rsidR="00697B10">
        <w:rPr>
          <w:rFonts w:ascii="Times New Roman" w:eastAsia="Times New Roman" w:hAnsi="Times New Roman" w:cs="Times New Roman"/>
          <w:sz w:val="24"/>
          <w:szCs w:val="24"/>
        </w:rPr>
        <w:instrText xml:space="preserve"> ADDIN ZOTERO_ITEM CSL_CITATION {"citationID":"D6lI1nlX","properties":{"formattedCitation":"[19,20]","plainCitation":"[19,20]","noteIndex":0},"citationItems":[{"id":3929,"uris":["http://zotero.org/users/13316261/items/5C6C57I8"],"itemData":{"id":3929,"type":"article-journal","abstract":"SUMMARY\n            Many cost‐effectiveness analyses (CEAs) use data from observational studies. Statistical methods can only address selection bias if they make plausible assumptions. No quality assessment tool is available for appraising CEAs that use observational studies. We developed a new checklist to assess statistical methods for addressing selection bias in CEAs that use observational data.\n            The checklist criteria were informed by a conceptual review and applied in a systematic review of economic evaluations. Criteria included whether the study assessed the ‘no unobserved confounding’ assumption, overlap of baseline covariates between the treatment groups and the specification of the regression models. The checklist also considered structural uncertainty from the choice of statistical approach.\n            We found 81 studies that met the inclusion criteria: studies tended to use regression (51%), matching on individual covariates (25%) or matching on the propensity score (22%). Most studies (77%) did not assess the ‘no observed confounding’ assumption, and few studies (16%) fully considered structural uncertainty from the choice of statistical approach.\n            We conclude that published CEAs do not assess the main assumptions behind statistical methods for addressing selection bias. This checklist can raise awareness about the assumptions behind statistical methods for addressing selection bias and can complement existing method guidelines for CEAs. Copyright © 2012 John Wiley &amp; Sons, Ltd.","container-title":"Health Economics","DOI":"10.1002/hec.2806","ISSN":"1057-9230, 1099-1050","issue":"4","journalAbbreviation":"Health Economics","language":"en","license":"http://onlinelibrary.wiley.com/termsAndConditions#vor","page":"486-500","source":"DOI.org (Crossref)","title":"Statistical Methods for Cost Effectiveness Analyses That use Observational Data: A Critical Appraisal Tool and Review of Current Practice","title-short":"STATISTICAL METHODS FOR COST‐EFFECTIVENESS ANALYSES THAT USE OBSERVATIONAL DATA","volume":"22","author":[{"family":"Kreif","given":"Noémi"},{"family":"Grieve","given":"Richard"},{"family":"Sadique","given":"M. Zia"}],"issued":{"date-parts":[["2013",4]]}}},{"id":4089,"uris":["http://zotero.org/users/13316261/items/EYZS2B65"],"itemData":{"id":4089,"type":"article-journal","abstract":"Abstract\n            Propensity score methods are increasingly used as a tool to control for confounding bias in pharmacoepidemiologic studies. The propensity score is a dimension reducing balancing score, creating treatment, and reference groups that have comparable distributions of measured covariates. The purpose of this methods review is to provide an overview of the use of propensity score methods, including a summary of important data assumptions, various applications of the propensity score, and how to evaluate covariate balance. This article is intended for pharmacists and researchers who wish to receive an introduction to propensity score methods and be able to engage in high‐level discussions on application and reporting.","container-title":"JACCP:  JOURNAL OF THE AMERICAN COLLEGE OF CLINICAL PHARMACY","DOI":"10.1002/jac5.1591","ISSN":"2574-9870, 2574-9870","issue":"4","journalAbbreviation":"J Am Coll Clin Pharm","language":"en","page":"467-475","source":"DOI.org (Crossref)","title":"Research and scholarly methods: Propensity scores","title-short":"Research and scholarly methods","volume":"5","author":[{"family":"Medaglio","given":"Dominique"},{"family":"Stephens‐Shields","given":"Alisa J."},{"family":"Leonard","given":"Charles E."}],"issued":{"date-parts":[["2022",4]]}}}],"schema":"https://github.com/citation-style-language/schema/raw/master/csl-citation.json"} </w:instrText>
      </w:r>
      <w:r w:rsidR="00D32480">
        <w:rPr>
          <w:rFonts w:ascii="Times New Roman" w:eastAsia="Times New Roman" w:hAnsi="Times New Roman" w:cs="Times New Roman"/>
          <w:sz w:val="24"/>
          <w:szCs w:val="24"/>
        </w:rPr>
        <w:fldChar w:fldCharType="separate"/>
      </w:r>
      <w:r w:rsidR="00697B10" w:rsidRPr="00697B10">
        <w:rPr>
          <w:rFonts w:ascii="Times New Roman" w:hAnsi="Times New Roman" w:cs="Times New Roman"/>
          <w:sz w:val="24"/>
        </w:rPr>
        <w:t>[19,20]</w:t>
      </w:r>
      <w:r w:rsidR="00D3248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Confounding was further reduced through recruitment of patients not receiving disease-modifying treatments (hydroxyurea, regular antibiotics, or chronic transfusions).</w:t>
      </w:r>
    </w:p>
    <w:p w14:paraId="50232E96" w14:textId="77777777" w:rsidR="00995447" w:rsidRDefault="00995447">
      <w:pPr>
        <w:spacing w:line="360" w:lineRule="auto"/>
        <w:ind w:left="0"/>
        <w:jc w:val="both"/>
        <w:rPr>
          <w:rFonts w:ascii="Times New Roman" w:eastAsia="Times New Roman" w:hAnsi="Times New Roman" w:cs="Times New Roman"/>
          <w:sz w:val="24"/>
          <w:szCs w:val="24"/>
        </w:rPr>
      </w:pPr>
    </w:p>
    <w:p w14:paraId="70BF1917"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main limitations of this study include the short stud</w:t>
      </w:r>
      <w:r>
        <w:rPr>
          <w:rFonts w:ascii="Times New Roman" w:eastAsia="Times New Roman" w:hAnsi="Times New Roman" w:cs="Times New Roman"/>
          <w:sz w:val="24"/>
          <w:szCs w:val="24"/>
        </w:rPr>
        <w:t>y period, small sample size, inclusion of only adult patients, and challenges in verifying completeness of paper-based patient records. Despite these limitations, the evidence supports policies encouraging ≥3 routine follow-ups per year to monitor SCA comp</w:t>
      </w:r>
      <w:r>
        <w:rPr>
          <w:rFonts w:ascii="Times New Roman" w:eastAsia="Times New Roman" w:hAnsi="Times New Roman" w:cs="Times New Roman"/>
          <w:sz w:val="24"/>
          <w:szCs w:val="24"/>
        </w:rPr>
        <w:t>lications. Larger studies could provide stronger evidence and inform subsidized or free follow-up programs for SCD patients in Cameroon.</w:t>
      </w:r>
    </w:p>
    <w:p w14:paraId="6E327712" w14:textId="77777777" w:rsidR="00995447" w:rsidRDefault="000E4D7A">
      <w:pPr>
        <w:pStyle w:val="Heading1"/>
        <w:ind w:left="0"/>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Conclusion</w:t>
      </w:r>
    </w:p>
    <w:p w14:paraId="210EE726" w14:textId="77777777" w:rsidR="00995447" w:rsidRDefault="000E4D7A">
      <w:pPr>
        <w:spacing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pilot study suggests that routine outpatient follow-ups (≥3 per year, ≤4 months apart) are both </w:t>
      </w:r>
      <w:r>
        <w:rPr>
          <w:rFonts w:ascii="Times New Roman" w:eastAsia="Times New Roman" w:hAnsi="Times New Roman" w:cs="Times New Roman"/>
          <w:sz w:val="24"/>
          <w:szCs w:val="24"/>
        </w:rPr>
        <w:t>clinically beneficial and cost-effective for adults with SCA in Cameroon. Although larger observational studies involving all age groups across Cameroon’s healthcare referral system are needed to draw tangible conclusions, the findings from this pilot stud</w:t>
      </w:r>
      <w:r>
        <w:rPr>
          <w:rFonts w:ascii="Times New Roman" w:eastAsia="Times New Roman" w:hAnsi="Times New Roman" w:cs="Times New Roman"/>
          <w:sz w:val="24"/>
          <w:szCs w:val="24"/>
        </w:rPr>
        <w:t>y provides enough plausible evidence to support policies that institutionalize regular follow-up care withing primary healthcare settings. Such policies could ease the clinical, financial, and psychological burden of SCA on patients, families, and the nati</w:t>
      </w:r>
      <w:r>
        <w:rPr>
          <w:rFonts w:ascii="Times New Roman" w:eastAsia="Times New Roman" w:hAnsi="Times New Roman" w:cs="Times New Roman"/>
          <w:sz w:val="24"/>
          <w:szCs w:val="24"/>
        </w:rPr>
        <w:t>onal healthcare system.</w:t>
      </w:r>
    </w:p>
    <w:p w14:paraId="04584C0B" w14:textId="77777777" w:rsidR="00630ABB" w:rsidRDefault="00630ABB">
      <w:pPr>
        <w:spacing w:line="360" w:lineRule="auto"/>
        <w:ind w:left="0"/>
        <w:jc w:val="both"/>
        <w:rPr>
          <w:rFonts w:ascii="Times New Roman" w:eastAsia="Times New Roman" w:hAnsi="Times New Roman" w:cs="Times New Roman"/>
          <w:sz w:val="24"/>
          <w:szCs w:val="24"/>
        </w:rPr>
      </w:pPr>
      <w:bookmarkStart w:id="12" w:name="_GoBack"/>
      <w:bookmarkEnd w:id="12"/>
    </w:p>
    <w:p w14:paraId="10701952" w14:textId="77777777" w:rsidR="00995447" w:rsidRDefault="000E4D7A">
      <w:pPr>
        <w:pStyle w:val="Heading1"/>
        <w:ind w:left="0"/>
        <w:jc w:val="lef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References</w:t>
      </w:r>
    </w:p>
    <w:p w14:paraId="7A1C4A5D" w14:textId="77777777" w:rsidR="00AC64C2" w:rsidRPr="001D0B15" w:rsidRDefault="00AC64C2" w:rsidP="00AC64C2">
      <w:pPr>
        <w:pStyle w:val="Bibliography"/>
        <w:jc w:val="both"/>
        <w:rPr>
          <w:rFonts w:ascii="Times New Roman" w:hAnsi="Times New Roman" w:cs="Times New Roman"/>
        </w:rPr>
      </w:pPr>
      <w:r w:rsidRPr="001D0B15">
        <w:rPr>
          <w:rFonts w:ascii="Times New Roman" w:eastAsia="Times New Roman" w:hAnsi="Times New Roman" w:cs="Times New Roman"/>
          <w:color w:val="000000"/>
        </w:rPr>
        <w:fldChar w:fldCharType="begin"/>
      </w:r>
      <w:r w:rsidRPr="001D0B15">
        <w:rPr>
          <w:rFonts w:ascii="Times New Roman" w:eastAsia="Times New Roman" w:hAnsi="Times New Roman" w:cs="Times New Roman"/>
          <w:color w:val="000000"/>
        </w:rPr>
        <w:instrText xml:space="preserve"> ADDIN ZOTERO_BIBL {"uncited":[],"omitted":[],"custom":[]} CSL_BIBLIOGRAPHY </w:instrText>
      </w:r>
      <w:r w:rsidRPr="001D0B15">
        <w:rPr>
          <w:rFonts w:ascii="Times New Roman" w:eastAsia="Times New Roman" w:hAnsi="Times New Roman" w:cs="Times New Roman"/>
          <w:color w:val="000000"/>
        </w:rPr>
        <w:fldChar w:fldCharType="separate"/>
      </w:r>
      <w:r w:rsidRPr="001D0B15">
        <w:rPr>
          <w:rFonts w:ascii="Times New Roman" w:hAnsi="Times New Roman" w:cs="Times New Roman"/>
        </w:rPr>
        <w:t xml:space="preserve">1. </w:t>
      </w:r>
      <w:r w:rsidRPr="001D0B15">
        <w:rPr>
          <w:rFonts w:ascii="Times New Roman" w:hAnsi="Times New Roman" w:cs="Times New Roman"/>
        </w:rPr>
        <w:tab/>
        <w:t xml:space="preserve">Tebbi CK. Sickle Cell Disease, a Review. Hemato. 2022 May 30;3(2):341–66. </w:t>
      </w:r>
    </w:p>
    <w:p w14:paraId="65551747" w14:textId="77777777" w:rsidR="00AC64C2" w:rsidRPr="001D0B15" w:rsidRDefault="00AC64C2" w:rsidP="00AC64C2">
      <w:pPr>
        <w:rPr>
          <w:rFonts w:ascii="Times New Roman" w:hAnsi="Times New Roman" w:cs="Times New Roman"/>
        </w:rPr>
      </w:pPr>
    </w:p>
    <w:p w14:paraId="2A5DDBBB" w14:textId="77777777"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2. </w:t>
      </w:r>
      <w:r w:rsidRPr="001D0B15">
        <w:rPr>
          <w:rFonts w:ascii="Times New Roman" w:hAnsi="Times New Roman" w:cs="Times New Roman"/>
        </w:rPr>
        <w:tab/>
        <w:t xml:space="preserve">Nader E, Romana M, Connes P. The Red Blood Cell—Inflammation Vicious Circle in Sickle Cell Disease. Front Immunol. 2020 Mar 13;11:454. </w:t>
      </w:r>
    </w:p>
    <w:p w14:paraId="7E413FC4" w14:textId="77777777" w:rsidR="00AC64C2" w:rsidRPr="001D0B15" w:rsidRDefault="00AC64C2" w:rsidP="00AC64C2">
      <w:pPr>
        <w:rPr>
          <w:rFonts w:ascii="Times New Roman" w:hAnsi="Times New Roman" w:cs="Times New Roman"/>
        </w:rPr>
      </w:pPr>
    </w:p>
    <w:p w14:paraId="6DC357D8" w14:textId="28382EDA"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3. </w:t>
      </w:r>
      <w:r w:rsidRPr="001D0B15">
        <w:rPr>
          <w:rFonts w:ascii="Times New Roman" w:hAnsi="Times New Roman" w:cs="Times New Roman"/>
        </w:rPr>
        <w:tab/>
        <w:t>Thomson AM, McHugh TA, Oron AP, Teply C, Lonberg N, Vilchis Tella V, et al. Global, regional, and national prevalence and mortality burden of sickle cell disease, 2000–2021: a systematic analysis from the Global Burden of Disease Study 2021. The Lancet Haematology. 2023 Aug;10(8):e585–99.</w:t>
      </w:r>
    </w:p>
    <w:p w14:paraId="18DB42D0" w14:textId="77777777" w:rsidR="00AC64C2" w:rsidRPr="001D0B15" w:rsidRDefault="00AC64C2" w:rsidP="00AC64C2">
      <w:pPr>
        <w:rPr>
          <w:rFonts w:ascii="Times New Roman" w:hAnsi="Times New Roman" w:cs="Times New Roman"/>
        </w:rPr>
      </w:pPr>
    </w:p>
    <w:p w14:paraId="7A0DDB2C" w14:textId="4A7CE1DE"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4. </w:t>
      </w:r>
      <w:r w:rsidRPr="001D0B15">
        <w:rPr>
          <w:rFonts w:ascii="Times New Roman" w:hAnsi="Times New Roman" w:cs="Times New Roman"/>
        </w:rPr>
        <w:tab/>
        <w:t>Wang WC, Oyeku SO, Luo Z, Boulet SL, Miller ST, Casella JF, et al. Hydroxyurea</w:t>
      </w:r>
      <w:r w:rsidR="00F24E39" w:rsidRPr="001D0B15">
        <w:rPr>
          <w:rFonts w:ascii="Times New Roman" w:hAnsi="Times New Roman" w:cs="Times New Roman"/>
        </w:rPr>
        <w:t xml:space="preserve"> i</w:t>
      </w:r>
      <w:r w:rsidRPr="001D0B15">
        <w:rPr>
          <w:rFonts w:ascii="Times New Roman" w:hAnsi="Times New Roman" w:cs="Times New Roman"/>
        </w:rPr>
        <w:t>s</w:t>
      </w:r>
      <w:r w:rsidR="00F24E39" w:rsidRPr="001D0B15">
        <w:rPr>
          <w:rFonts w:ascii="Times New Roman" w:hAnsi="Times New Roman" w:cs="Times New Roman"/>
        </w:rPr>
        <w:t xml:space="preserve"> </w:t>
      </w:r>
      <w:r w:rsidRPr="001D0B15">
        <w:rPr>
          <w:rFonts w:ascii="Times New Roman" w:hAnsi="Times New Roman" w:cs="Times New Roman"/>
        </w:rPr>
        <w:t>Associated</w:t>
      </w:r>
      <w:r w:rsidR="00F24E39" w:rsidRPr="001D0B15">
        <w:rPr>
          <w:rFonts w:ascii="Times New Roman" w:hAnsi="Times New Roman" w:cs="Times New Roman"/>
        </w:rPr>
        <w:t xml:space="preserve"> w</w:t>
      </w:r>
      <w:r w:rsidRPr="001D0B15">
        <w:rPr>
          <w:rFonts w:ascii="Times New Roman" w:hAnsi="Times New Roman" w:cs="Times New Roman"/>
        </w:rPr>
        <w:t>ith</w:t>
      </w:r>
      <w:r w:rsidR="00F24E39" w:rsidRPr="001D0B15">
        <w:rPr>
          <w:rFonts w:ascii="Times New Roman" w:hAnsi="Times New Roman" w:cs="Times New Roman"/>
        </w:rPr>
        <w:t xml:space="preserve"> </w:t>
      </w:r>
      <w:r w:rsidRPr="001D0B15">
        <w:rPr>
          <w:rFonts w:ascii="Times New Roman" w:hAnsi="Times New Roman" w:cs="Times New Roman"/>
        </w:rPr>
        <w:t>Lower</w:t>
      </w:r>
      <w:r w:rsidR="00F24E39" w:rsidRPr="001D0B15">
        <w:rPr>
          <w:rFonts w:ascii="Times New Roman" w:hAnsi="Times New Roman" w:cs="Times New Roman"/>
        </w:rPr>
        <w:t xml:space="preserve"> </w:t>
      </w:r>
      <w:r w:rsidRPr="001D0B15">
        <w:rPr>
          <w:rFonts w:ascii="Times New Roman" w:hAnsi="Times New Roman" w:cs="Times New Roman"/>
        </w:rPr>
        <w:t>Costs</w:t>
      </w:r>
      <w:r w:rsidR="00F24E39" w:rsidRPr="001D0B15">
        <w:rPr>
          <w:rFonts w:ascii="Times New Roman" w:hAnsi="Times New Roman" w:cs="Times New Roman"/>
        </w:rPr>
        <w:t xml:space="preserve"> </w:t>
      </w:r>
      <w:r w:rsidRPr="001D0B15">
        <w:rPr>
          <w:rFonts w:ascii="Times New Roman" w:hAnsi="Times New Roman" w:cs="Times New Roman"/>
        </w:rPr>
        <w:t>of</w:t>
      </w:r>
      <w:r w:rsidR="00F24E39" w:rsidRPr="001D0B15">
        <w:rPr>
          <w:rFonts w:ascii="Times New Roman" w:hAnsi="Times New Roman" w:cs="Times New Roman"/>
        </w:rPr>
        <w:t xml:space="preserve"> </w:t>
      </w:r>
      <w:r w:rsidRPr="001D0B15">
        <w:rPr>
          <w:rFonts w:ascii="Times New Roman" w:hAnsi="Times New Roman" w:cs="Times New Roman"/>
        </w:rPr>
        <w:t>Care</w:t>
      </w:r>
      <w:r w:rsidR="00F24E39" w:rsidRPr="001D0B15">
        <w:rPr>
          <w:rFonts w:ascii="Times New Roman" w:hAnsi="Times New Roman" w:cs="Times New Roman"/>
        </w:rPr>
        <w:t xml:space="preserve"> </w:t>
      </w:r>
      <w:r w:rsidRPr="001D0B15">
        <w:rPr>
          <w:rFonts w:ascii="Times New Roman" w:hAnsi="Times New Roman" w:cs="Times New Roman"/>
        </w:rPr>
        <w:t xml:space="preserve">of Young Children With Sickle Cell Anemia. Pediatrics. 2013;132(4):677–83. </w:t>
      </w:r>
    </w:p>
    <w:p w14:paraId="5BBDA7E3" w14:textId="77777777" w:rsidR="00002E28"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5. </w:t>
      </w:r>
      <w:r w:rsidRPr="001D0B15">
        <w:rPr>
          <w:rFonts w:ascii="Times New Roman" w:hAnsi="Times New Roman" w:cs="Times New Roman"/>
        </w:rPr>
        <w:tab/>
        <w:t>Teigen D, Opoka RO, Kasirye P, Nabaggala C, Hume HA, Blomberg B, et al. Cost-Effectiveness of Hydroxyurea for Sickle Cell Anemia in a Low-Income African Setting: A Model-Based Evaluation of Two Dosing Regimens. PharmacoEconomics. 2023 Dec;41(12):1603–15.</w:t>
      </w:r>
    </w:p>
    <w:p w14:paraId="009E21CC" w14:textId="614CD614"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 </w:t>
      </w:r>
    </w:p>
    <w:p w14:paraId="4D83377F" w14:textId="15DE9B84"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6. </w:t>
      </w:r>
      <w:r w:rsidRPr="001D0B15">
        <w:rPr>
          <w:rFonts w:ascii="Times New Roman" w:hAnsi="Times New Roman" w:cs="Times New Roman"/>
        </w:rPr>
        <w:tab/>
        <w:t>Nosrati M, Izadidehkordi S, Nikfar S, Heydari F. Cost-Effectiveness Analysis of Crizanlizumab in Sickle Cell Disease in Iran. Iran J Med Sci. 2025;50(8):548–55.</w:t>
      </w:r>
    </w:p>
    <w:p w14:paraId="70F5748B" w14:textId="77777777" w:rsidR="00002E28" w:rsidRPr="001D0B15" w:rsidRDefault="00002E28" w:rsidP="00002E28">
      <w:pPr>
        <w:rPr>
          <w:rFonts w:ascii="Times New Roman" w:hAnsi="Times New Roman" w:cs="Times New Roman"/>
        </w:rPr>
      </w:pPr>
    </w:p>
    <w:p w14:paraId="3DF4D94E" w14:textId="52A9B875"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7. </w:t>
      </w:r>
      <w:r w:rsidRPr="001D0B15">
        <w:rPr>
          <w:rFonts w:ascii="Times New Roman" w:hAnsi="Times New Roman" w:cs="Times New Roman"/>
        </w:rPr>
        <w:tab/>
        <w:t>Kutlar A, Kanter J, Liles DK, Alvarez OA, Cançado RD, Friedrisch JR, et al. Effect of crizanlizumab on pain crises in subgroups of patients with sickle cell disease: A SUSTAIN study analysis. American J Hematol. 2019 Jan;94(1):55–61.</w:t>
      </w:r>
    </w:p>
    <w:p w14:paraId="6FAD381E" w14:textId="77777777" w:rsidR="00002E28" w:rsidRPr="001D0B15" w:rsidRDefault="00002E28" w:rsidP="00002E28">
      <w:pPr>
        <w:rPr>
          <w:rFonts w:ascii="Times New Roman" w:hAnsi="Times New Roman" w:cs="Times New Roman"/>
        </w:rPr>
      </w:pPr>
    </w:p>
    <w:p w14:paraId="7541664A" w14:textId="17A29137"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8. </w:t>
      </w:r>
      <w:r w:rsidRPr="001D0B15">
        <w:rPr>
          <w:rFonts w:ascii="Times New Roman" w:hAnsi="Times New Roman" w:cs="Times New Roman"/>
        </w:rPr>
        <w:tab/>
        <w:t>Salcedo J, Bulovic J, Young CM. Cost-effectiveness of a hypothetical cell or gene therapy cure for sickle cell disease. Sci Rep. 2021 May 25;11(1):10838.</w:t>
      </w:r>
    </w:p>
    <w:p w14:paraId="5E9CA06F" w14:textId="77777777" w:rsidR="00002E28" w:rsidRPr="001D0B15" w:rsidRDefault="00002E28" w:rsidP="00002E28">
      <w:pPr>
        <w:rPr>
          <w:rFonts w:ascii="Times New Roman" w:hAnsi="Times New Roman" w:cs="Times New Roman"/>
        </w:rPr>
      </w:pPr>
    </w:p>
    <w:p w14:paraId="68FE26BB" w14:textId="39C3B710"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lastRenderedPageBreak/>
        <w:t xml:space="preserve">9. </w:t>
      </w:r>
      <w:r w:rsidRPr="001D0B15">
        <w:rPr>
          <w:rFonts w:ascii="Times New Roman" w:hAnsi="Times New Roman" w:cs="Times New Roman"/>
        </w:rPr>
        <w:tab/>
        <w:t>Morgan G, Back E, Besser M, Hallet TB, Guzauskas GF. The Value-based Price of Transformative Gene Therapy for Sickle Cell Disease: A Modeling Analysis. Sci Rep. 2024;1:2714–39.</w:t>
      </w:r>
    </w:p>
    <w:p w14:paraId="14C9AA9A" w14:textId="77777777" w:rsidR="00002E28" w:rsidRPr="001D0B15" w:rsidRDefault="00002E28" w:rsidP="00002E28">
      <w:pPr>
        <w:rPr>
          <w:rFonts w:ascii="Times New Roman" w:hAnsi="Times New Roman" w:cs="Times New Roman"/>
        </w:rPr>
      </w:pPr>
    </w:p>
    <w:p w14:paraId="7920CBE4" w14:textId="5416334C"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10. </w:t>
      </w:r>
      <w:r w:rsidRPr="001D0B15">
        <w:rPr>
          <w:rFonts w:ascii="Times New Roman" w:hAnsi="Times New Roman" w:cs="Times New Roman"/>
        </w:rPr>
        <w:tab/>
        <w:t>World Health Organization. Public Spending on Health: A Closer Look at Global Trends. Geneva: World Health Organization; 2018 Dec. Report No.: 9789240040335.</w:t>
      </w:r>
    </w:p>
    <w:p w14:paraId="06287240" w14:textId="77777777" w:rsidR="00002E28" w:rsidRPr="001D0B15" w:rsidRDefault="00002E28" w:rsidP="00002E28">
      <w:pPr>
        <w:rPr>
          <w:rFonts w:ascii="Times New Roman" w:hAnsi="Times New Roman" w:cs="Times New Roman"/>
        </w:rPr>
      </w:pPr>
    </w:p>
    <w:p w14:paraId="7A3AE29C" w14:textId="58B3AC55"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11. </w:t>
      </w:r>
      <w:r w:rsidRPr="001D0B15">
        <w:rPr>
          <w:rFonts w:ascii="Times New Roman" w:hAnsi="Times New Roman" w:cs="Times New Roman"/>
        </w:rPr>
        <w:tab/>
        <w:t>Standards for the clinical care of adults with sickle cell disease in the UK. 2nd edition, 2018. London: Sickle Cell Society; 2018.</w:t>
      </w:r>
    </w:p>
    <w:p w14:paraId="61527128" w14:textId="77777777" w:rsidR="00002E28" w:rsidRPr="001D0B15" w:rsidRDefault="00002E28" w:rsidP="00002E28">
      <w:pPr>
        <w:rPr>
          <w:rFonts w:ascii="Times New Roman" w:hAnsi="Times New Roman" w:cs="Times New Roman"/>
        </w:rPr>
      </w:pPr>
    </w:p>
    <w:p w14:paraId="40147362" w14:textId="32CBFC99"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12. </w:t>
      </w:r>
      <w:r w:rsidRPr="001D0B15">
        <w:rPr>
          <w:rFonts w:ascii="Times New Roman" w:hAnsi="Times New Roman" w:cs="Times New Roman"/>
        </w:rPr>
        <w:tab/>
        <w:t>Brandow AM, Carroll CP, Creary S, Edwards-Elliott R, Glassberg J, Hurley RW, et al. American Society of Hematology 2020 guidelines for sickle cell disease: management of acute and chronic pain. Blood Advances. 2020 June 23;4(12):2656–701.</w:t>
      </w:r>
    </w:p>
    <w:p w14:paraId="46680192" w14:textId="77777777" w:rsidR="00002E28" w:rsidRPr="001D0B15" w:rsidRDefault="00002E28" w:rsidP="00002E28">
      <w:pPr>
        <w:rPr>
          <w:rFonts w:ascii="Times New Roman" w:hAnsi="Times New Roman" w:cs="Times New Roman"/>
        </w:rPr>
      </w:pPr>
    </w:p>
    <w:p w14:paraId="6B9B420D" w14:textId="3BEDB55D"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13. </w:t>
      </w:r>
      <w:r w:rsidRPr="001D0B15">
        <w:rPr>
          <w:rFonts w:ascii="Times New Roman" w:hAnsi="Times New Roman" w:cs="Times New Roman"/>
        </w:rPr>
        <w:tab/>
        <w:t>Paintsil V, Ally M, Isa H, Anie KA, Mgaya J, Nkanyemka M, et al. Development of multi-level standards of care recommendations for sickle cell disease: Experience from Sickle</w:t>
      </w:r>
      <w:r w:rsidR="00002E28" w:rsidRPr="001D0B15">
        <w:rPr>
          <w:rFonts w:ascii="Times New Roman" w:hAnsi="Times New Roman" w:cs="Times New Roman"/>
        </w:rPr>
        <w:t xml:space="preserve"> i</w:t>
      </w:r>
      <w:r w:rsidRPr="001D0B15">
        <w:rPr>
          <w:rFonts w:ascii="Times New Roman" w:hAnsi="Times New Roman" w:cs="Times New Roman"/>
        </w:rPr>
        <w:t>n</w:t>
      </w:r>
      <w:r w:rsidR="00002E28" w:rsidRPr="001D0B15">
        <w:rPr>
          <w:rFonts w:ascii="Times New Roman" w:hAnsi="Times New Roman" w:cs="Times New Roman"/>
        </w:rPr>
        <w:t xml:space="preserve"> </w:t>
      </w:r>
      <w:r w:rsidRPr="001D0B15">
        <w:rPr>
          <w:rFonts w:ascii="Times New Roman" w:hAnsi="Times New Roman" w:cs="Times New Roman"/>
        </w:rPr>
        <w:t>Africa. Front Genet. 2023 Jan 12;13:1052179.</w:t>
      </w:r>
    </w:p>
    <w:p w14:paraId="015C5772" w14:textId="77777777" w:rsidR="00002E28" w:rsidRPr="001D0B15" w:rsidRDefault="00002E28" w:rsidP="00002E28">
      <w:pPr>
        <w:rPr>
          <w:rFonts w:ascii="Times New Roman" w:hAnsi="Times New Roman" w:cs="Times New Roman"/>
        </w:rPr>
      </w:pPr>
    </w:p>
    <w:p w14:paraId="3E41E98E" w14:textId="4E9353B4"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14. </w:t>
      </w:r>
      <w:r w:rsidRPr="001D0B15">
        <w:rPr>
          <w:rFonts w:ascii="Times New Roman" w:hAnsi="Times New Roman" w:cs="Times New Roman"/>
        </w:rPr>
        <w:tab/>
        <w:t>Saidu Y, Masong MC, Francoise N, Ngenge BM, Ndansi E, Foma MK. Sickle cell disease in Cameroon: Taking out the “neglect” and highlighting key opportunities for sustainable control. Krishnasastry S, editor. PLOS Glob Public Health. 2024 Oct 24;4(10):e0003668.</w:t>
      </w:r>
    </w:p>
    <w:p w14:paraId="480001F8" w14:textId="77777777" w:rsidR="00002E28" w:rsidRPr="001D0B15" w:rsidRDefault="00002E28" w:rsidP="00002E28">
      <w:pPr>
        <w:rPr>
          <w:rFonts w:ascii="Times New Roman" w:hAnsi="Times New Roman" w:cs="Times New Roman"/>
        </w:rPr>
      </w:pPr>
    </w:p>
    <w:p w14:paraId="01A9B7BE" w14:textId="43586F78"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15. </w:t>
      </w:r>
      <w:r w:rsidRPr="001D0B15">
        <w:rPr>
          <w:rFonts w:ascii="Times New Roman" w:hAnsi="Times New Roman" w:cs="Times New Roman"/>
        </w:rPr>
        <w:tab/>
        <w:t>Bakia NS, Epoh MH, Bissohong G, Hott PG, Berinyuy EB, Chenmagni CB, et al. Clinical Clusters of Sickle Cell Anemia: Exploring the Impact of Lifestyle, Environmental, and Socioeconomic Influences in Cameroon. J Adv Med Pharm Sci. 2025 Aug 4;27(7):137–63.</w:t>
      </w:r>
    </w:p>
    <w:p w14:paraId="04765A52" w14:textId="77777777" w:rsidR="00002E28" w:rsidRPr="001D0B15" w:rsidRDefault="00002E28" w:rsidP="00002E28">
      <w:pPr>
        <w:rPr>
          <w:rFonts w:ascii="Times New Roman" w:hAnsi="Times New Roman" w:cs="Times New Roman"/>
        </w:rPr>
      </w:pPr>
    </w:p>
    <w:p w14:paraId="66FAAE9E" w14:textId="4B739F9B"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16. </w:t>
      </w:r>
      <w:r w:rsidRPr="001D0B15">
        <w:rPr>
          <w:rFonts w:ascii="Times New Roman" w:hAnsi="Times New Roman" w:cs="Times New Roman"/>
        </w:rPr>
        <w:tab/>
        <w:t>Auriemma CL, Taylor SP, Harhay MO, Courtright KR, Halpern SD. Hospital-Free Days: A Pragmatic and Patient-centered Outcome for Trials among Critically and Seriously Ill Patients. Am J Respir Crit Care Med. 2021 Oct 15;204(8):902–9.</w:t>
      </w:r>
    </w:p>
    <w:p w14:paraId="0C4DEA1F" w14:textId="77777777" w:rsidR="00002E28" w:rsidRPr="001D0B15" w:rsidRDefault="00002E28" w:rsidP="00002E28">
      <w:pPr>
        <w:rPr>
          <w:rFonts w:ascii="Times New Roman" w:hAnsi="Times New Roman" w:cs="Times New Roman"/>
        </w:rPr>
      </w:pPr>
    </w:p>
    <w:p w14:paraId="3A09BEE3" w14:textId="241B4D8D"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17. </w:t>
      </w:r>
      <w:r w:rsidRPr="001D0B15">
        <w:rPr>
          <w:rFonts w:ascii="Times New Roman" w:hAnsi="Times New Roman" w:cs="Times New Roman"/>
        </w:rPr>
        <w:tab/>
        <w:t>Sittimart M, Rattanavipapong W, Mirelman AJ, Hung TM, Dabak S, Downey LE, et al. An overview of the perspectives used in health economic evaluations. Cost Eff Resour Alloc. 2024 May 14;22(1):41.</w:t>
      </w:r>
    </w:p>
    <w:p w14:paraId="74E68782" w14:textId="77777777" w:rsidR="00002E28" w:rsidRPr="001D0B15" w:rsidRDefault="00002E28" w:rsidP="00002E28">
      <w:pPr>
        <w:rPr>
          <w:rFonts w:ascii="Times New Roman" w:hAnsi="Times New Roman" w:cs="Times New Roman"/>
        </w:rPr>
      </w:pPr>
    </w:p>
    <w:p w14:paraId="22ECE774" w14:textId="77777777"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18. </w:t>
      </w:r>
      <w:r w:rsidRPr="001D0B15">
        <w:rPr>
          <w:rFonts w:ascii="Times New Roman" w:hAnsi="Times New Roman" w:cs="Times New Roman"/>
        </w:rPr>
        <w:tab/>
        <w:t>World Bank Group. Official exchange rate (LCU per US$, period dollar). International Monetary Fund, International Financial Statistics. [Internet]. 2025 [cited 2025 May 9]. Available from: https://data.worldbank.org/indicator/PA.NUS.FCRF</w:t>
      </w:r>
    </w:p>
    <w:p w14:paraId="7BB75D0D" w14:textId="77777777" w:rsidR="00002E28" w:rsidRPr="001D0B15" w:rsidRDefault="00002E28" w:rsidP="00002E28">
      <w:pPr>
        <w:rPr>
          <w:rFonts w:ascii="Times New Roman" w:hAnsi="Times New Roman" w:cs="Times New Roman"/>
        </w:rPr>
      </w:pPr>
    </w:p>
    <w:p w14:paraId="75781093" w14:textId="4479C272"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19. </w:t>
      </w:r>
      <w:r w:rsidRPr="001D0B15">
        <w:rPr>
          <w:rFonts w:ascii="Times New Roman" w:hAnsi="Times New Roman" w:cs="Times New Roman"/>
        </w:rPr>
        <w:tab/>
        <w:t>Kreif N, Grieve R, Sadique MZ. Statistical Methods for Cost Effectiveness Analyses That use Observational Data: A Critical Appraisal Tool and Review of Current Practice. Health Economics. 2013 Apr;22(4):486–500.</w:t>
      </w:r>
    </w:p>
    <w:p w14:paraId="49EDCF2F" w14:textId="77777777" w:rsidR="00002E28" w:rsidRPr="001D0B15" w:rsidRDefault="00002E28" w:rsidP="00002E28">
      <w:pPr>
        <w:rPr>
          <w:rFonts w:ascii="Times New Roman" w:hAnsi="Times New Roman" w:cs="Times New Roman"/>
        </w:rPr>
      </w:pPr>
    </w:p>
    <w:p w14:paraId="1A20C387" w14:textId="433224A7"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20. </w:t>
      </w:r>
      <w:r w:rsidRPr="001D0B15">
        <w:rPr>
          <w:rFonts w:ascii="Times New Roman" w:hAnsi="Times New Roman" w:cs="Times New Roman"/>
        </w:rPr>
        <w:tab/>
        <w:t>Medaglio D, Stephens‐Shields AJ, Leonard CE. Research and scholarly methods: Propensity scores. J Am Coll Clin Pharm. 2022 Apr;5(4):467–75.</w:t>
      </w:r>
    </w:p>
    <w:p w14:paraId="38296704" w14:textId="77777777" w:rsidR="00002E28" w:rsidRPr="001D0B15" w:rsidRDefault="00002E28" w:rsidP="00002E28">
      <w:pPr>
        <w:rPr>
          <w:rFonts w:ascii="Times New Roman" w:hAnsi="Times New Roman" w:cs="Times New Roman"/>
        </w:rPr>
      </w:pPr>
    </w:p>
    <w:p w14:paraId="75F9C9B6" w14:textId="2761C5B8"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21. </w:t>
      </w:r>
      <w:r w:rsidRPr="001D0B15">
        <w:rPr>
          <w:rFonts w:ascii="Times New Roman" w:hAnsi="Times New Roman" w:cs="Times New Roman"/>
        </w:rPr>
        <w:tab/>
        <w:t>Smithson M, Verkuilen J. A better lemon squeezer? Maximum-likelihood regression with beta-distributed dependent variables. Psychol Methods. 2006;11(1):54–71.</w:t>
      </w:r>
    </w:p>
    <w:p w14:paraId="0986C8A0" w14:textId="77777777" w:rsidR="00002E28" w:rsidRPr="001D0B15" w:rsidRDefault="00002E28" w:rsidP="00002E28">
      <w:pPr>
        <w:rPr>
          <w:rFonts w:ascii="Times New Roman" w:hAnsi="Times New Roman" w:cs="Times New Roman"/>
        </w:rPr>
      </w:pPr>
    </w:p>
    <w:p w14:paraId="0ABC49C0" w14:textId="77777777"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22. </w:t>
      </w:r>
      <w:r w:rsidRPr="001D0B15">
        <w:rPr>
          <w:rFonts w:ascii="Times New Roman" w:hAnsi="Times New Roman" w:cs="Times New Roman"/>
        </w:rPr>
        <w:tab/>
        <w:t>R Core Team. R: A Language and Environment for Statistical Computing. [Internet]. Vienna, Austria: R Foundation for Statistical Computing; 2023. Available from: https://www.R-project.org</w:t>
      </w:r>
    </w:p>
    <w:p w14:paraId="2079E5C5" w14:textId="77777777" w:rsidR="00002E28" w:rsidRPr="001D0B15" w:rsidRDefault="00002E28" w:rsidP="00002E28">
      <w:pPr>
        <w:rPr>
          <w:rFonts w:ascii="Times New Roman" w:hAnsi="Times New Roman" w:cs="Times New Roman"/>
        </w:rPr>
      </w:pPr>
    </w:p>
    <w:p w14:paraId="7465FD53" w14:textId="7F708503"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23. </w:t>
      </w:r>
      <w:r w:rsidRPr="001D0B15">
        <w:rPr>
          <w:rFonts w:ascii="Times New Roman" w:hAnsi="Times New Roman" w:cs="Times New Roman"/>
        </w:rPr>
        <w:tab/>
        <w:t>Asahngwa CT, Dongho GBD, Ngwa W, Sinsai R, Dabou S, Kepgang E, et al. A qualitative study of community perceptions and practices relating to blood donation in Cameroon. BMJ Glob Health. 2025 Feb;10(2):e017825.</w:t>
      </w:r>
    </w:p>
    <w:p w14:paraId="4B9BD74C" w14:textId="77777777" w:rsidR="00002E28" w:rsidRPr="001D0B15" w:rsidRDefault="00002E28" w:rsidP="00002E28">
      <w:pPr>
        <w:rPr>
          <w:rFonts w:ascii="Times New Roman" w:hAnsi="Times New Roman" w:cs="Times New Roman"/>
        </w:rPr>
      </w:pPr>
    </w:p>
    <w:p w14:paraId="07B44A4C" w14:textId="349F6E8E"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lastRenderedPageBreak/>
        <w:t xml:space="preserve">24. </w:t>
      </w:r>
      <w:r w:rsidRPr="001D0B15">
        <w:rPr>
          <w:rFonts w:ascii="Times New Roman" w:hAnsi="Times New Roman" w:cs="Times New Roman"/>
        </w:rPr>
        <w:tab/>
        <w:t>Edejer TTT, World Health Organization, editors. Making choices in health: WHO guide to cost-effectiveness analysis. Geneva: World Health Organization; 2003. 312 p.</w:t>
      </w:r>
    </w:p>
    <w:p w14:paraId="1B2EEBEA" w14:textId="77777777" w:rsidR="00002E28" w:rsidRPr="001D0B15" w:rsidRDefault="00002E28" w:rsidP="00002E28">
      <w:pPr>
        <w:rPr>
          <w:rFonts w:ascii="Times New Roman" w:hAnsi="Times New Roman" w:cs="Times New Roman"/>
        </w:rPr>
      </w:pPr>
    </w:p>
    <w:p w14:paraId="2A9303E0" w14:textId="77777777"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25. </w:t>
      </w:r>
      <w:r w:rsidRPr="001D0B15">
        <w:rPr>
          <w:rFonts w:ascii="Times New Roman" w:hAnsi="Times New Roman" w:cs="Times New Roman"/>
        </w:rPr>
        <w:tab/>
        <w:t>National Institute of Statistics. Fifth Cameroon household (ECAM5). Situation of household living conditions in 2021-2022 policy guidance note. [Internet]. Yaounde: National Institute of Statistics; 2024 Jan [cited 2025 Mar 20]. Report No.: 5. Available from: https://ins-cameroun.cm/stattistique/english-fifth-cameroon-household-survey-ecam5situation-of-household-living.conditions-in-2021-2022polycyguidance-noterue/</w:t>
      </w:r>
    </w:p>
    <w:p w14:paraId="6639F770" w14:textId="77777777" w:rsidR="00002E28" w:rsidRPr="001D0B15" w:rsidRDefault="00002E28" w:rsidP="00002E28">
      <w:pPr>
        <w:rPr>
          <w:rFonts w:ascii="Times New Roman" w:hAnsi="Times New Roman" w:cs="Times New Roman"/>
        </w:rPr>
      </w:pPr>
    </w:p>
    <w:p w14:paraId="6508800A" w14:textId="58D66505"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26. </w:t>
      </w:r>
      <w:r w:rsidRPr="001D0B15">
        <w:rPr>
          <w:rFonts w:ascii="Times New Roman" w:hAnsi="Times New Roman" w:cs="Times New Roman"/>
        </w:rPr>
        <w:tab/>
        <w:t>Roessner C, Sale T, Uminski K, Goodyear D, Rydz N. A Pharmacist-Managed Hydroxyurea Prescribing Protocol Improves Uptake and Optimization among Patients with Sickle Cell Disease. Advances in Hematology. 2024;2024(1):1–7.</w:t>
      </w:r>
    </w:p>
    <w:p w14:paraId="576B03EF" w14:textId="77777777" w:rsidR="00002E28" w:rsidRPr="001D0B15" w:rsidRDefault="00002E28" w:rsidP="00002E28">
      <w:pPr>
        <w:rPr>
          <w:rFonts w:ascii="Times New Roman" w:hAnsi="Times New Roman" w:cs="Times New Roman"/>
        </w:rPr>
      </w:pPr>
    </w:p>
    <w:p w14:paraId="1224ED68" w14:textId="3F82DB84"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27. </w:t>
      </w:r>
      <w:r w:rsidRPr="001D0B15">
        <w:rPr>
          <w:rFonts w:ascii="Times New Roman" w:hAnsi="Times New Roman" w:cs="Times New Roman"/>
        </w:rPr>
        <w:tab/>
        <w:t>Kang HA, Barner JC, Lawson KA, Rascati K, Mignacca RC. Impact of adherence to hydroxyurea on health outcomes among patients with sickle cell disease. American J Hematol. 2023 Jan;98(1):90–101.</w:t>
      </w:r>
    </w:p>
    <w:p w14:paraId="2933D1A2" w14:textId="77777777" w:rsidR="00002E28" w:rsidRPr="001D0B15" w:rsidRDefault="00002E28" w:rsidP="00002E28">
      <w:pPr>
        <w:rPr>
          <w:rFonts w:ascii="Times New Roman" w:hAnsi="Times New Roman" w:cs="Times New Roman"/>
        </w:rPr>
      </w:pPr>
    </w:p>
    <w:p w14:paraId="2DB4663B" w14:textId="43FDE9E0"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28. </w:t>
      </w:r>
      <w:r w:rsidRPr="001D0B15">
        <w:rPr>
          <w:rFonts w:ascii="Times New Roman" w:hAnsi="Times New Roman" w:cs="Times New Roman"/>
        </w:rPr>
        <w:tab/>
        <w:t>Shyian M, Bolster L. Outpatient Management of Sickle Cell Vaso-Occlusive Crisis As a Strategy of Decreasing Emergency Department Visits. Blood. 2023 Nov 2;142(Supplement 1):3672–3672.</w:t>
      </w:r>
    </w:p>
    <w:p w14:paraId="0CFE421D" w14:textId="77777777" w:rsidR="00002E28" w:rsidRPr="001D0B15" w:rsidRDefault="00002E28" w:rsidP="00002E28">
      <w:pPr>
        <w:rPr>
          <w:rFonts w:ascii="Times New Roman" w:hAnsi="Times New Roman" w:cs="Times New Roman"/>
        </w:rPr>
      </w:pPr>
    </w:p>
    <w:p w14:paraId="7CC2A8CA" w14:textId="113B0737"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29. </w:t>
      </w:r>
      <w:r w:rsidRPr="001D0B15">
        <w:rPr>
          <w:rFonts w:ascii="Times New Roman" w:hAnsi="Times New Roman" w:cs="Times New Roman"/>
        </w:rPr>
        <w:tab/>
        <w:t>Yawn BP, Buchanan GR, Afenyi-Annan AN, Ballas SK, Hassell KL, James AH, et al. Management of Sickle Cell Disease: Summary of the 2014 Evidence-Based Report by Expert Panel Members. JAMA. 2014 Sept 10;312(10):1033.</w:t>
      </w:r>
    </w:p>
    <w:p w14:paraId="60401A7A" w14:textId="77777777" w:rsidR="00002E28" w:rsidRPr="001D0B15" w:rsidRDefault="00002E28" w:rsidP="00002E28">
      <w:pPr>
        <w:rPr>
          <w:rFonts w:ascii="Times New Roman" w:hAnsi="Times New Roman" w:cs="Times New Roman"/>
        </w:rPr>
      </w:pPr>
    </w:p>
    <w:p w14:paraId="52D258E6" w14:textId="1644B4E8" w:rsidR="00AC64C2" w:rsidRPr="001D0B15" w:rsidRDefault="00AC64C2" w:rsidP="00AC64C2">
      <w:pPr>
        <w:pStyle w:val="Bibliography"/>
        <w:jc w:val="both"/>
        <w:rPr>
          <w:rFonts w:ascii="Times New Roman" w:hAnsi="Times New Roman" w:cs="Times New Roman"/>
        </w:rPr>
      </w:pPr>
      <w:r w:rsidRPr="001D0B15">
        <w:rPr>
          <w:rFonts w:ascii="Times New Roman" w:hAnsi="Times New Roman" w:cs="Times New Roman"/>
        </w:rPr>
        <w:t xml:space="preserve">30. </w:t>
      </w:r>
      <w:r w:rsidRPr="001D0B15">
        <w:rPr>
          <w:rFonts w:ascii="Times New Roman" w:hAnsi="Times New Roman" w:cs="Times New Roman"/>
        </w:rPr>
        <w:tab/>
        <w:t>Jiao B, Basu A, Roth J, Bender M, Rovira I, Clemons T, et al. The Use of Cost‑Effectiveness Analysis in Sickle Cell Disease: A Critical  Review of the Literature. PharmacoEconomics. 2021;39:1225–41.</w:t>
      </w:r>
    </w:p>
    <w:p w14:paraId="07EABBFA" w14:textId="5874A95B" w:rsidR="00995447" w:rsidRPr="00AC64C2" w:rsidRDefault="00AC64C2" w:rsidP="00AC64C2">
      <w:pPr>
        <w:pBdr>
          <w:top w:val="nil"/>
          <w:left w:val="nil"/>
          <w:bottom w:val="nil"/>
          <w:right w:val="nil"/>
          <w:between w:val="nil"/>
        </w:pBdr>
        <w:tabs>
          <w:tab w:val="left" w:pos="504"/>
        </w:tabs>
        <w:spacing w:after="240"/>
        <w:ind w:left="504" w:hanging="504"/>
        <w:jc w:val="both"/>
        <w:rPr>
          <w:rFonts w:ascii="Times New Roman" w:eastAsia="Times New Roman" w:hAnsi="Times New Roman" w:cs="Times New Roman"/>
          <w:color w:val="000000"/>
        </w:rPr>
      </w:pPr>
      <w:r w:rsidRPr="001D0B15">
        <w:rPr>
          <w:rFonts w:ascii="Times New Roman" w:eastAsia="Times New Roman" w:hAnsi="Times New Roman" w:cs="Times New Roman"/>
          <w:color w:val="000000"/>
        </w:rPr>
        <w:fldChar w:fldCharType="end"/>
      </w:r>
    </w:p>
    <w:p w14:paraId="533A12B4" w14:textId="77777777" w:rsidR="00995447" w:rsidRPr="00AC64C2" w:rsidRDefault="00995447" w:rsidP="00AC64C2">
      <w:pPr>
        <w:ind w:left="0"/>
        <w:jc w:val="both"/>
        <w:rPr>
          <w:rFonts w:ascii="Times New Roman" w:eastAsia="Times New Roman" w:hAnsi="Times New Roman" w:cs="Times New Roman"/>
          <w:sz w:val="24"/>
          <w:szCs w:val="24"/>
        </w:rPr>
      </w:pPr>
    </w:p>
    <w:sectPr w:rsidR="00995447" w:rsidRPr="00AC64C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3964C" w14:textId="77777777" w:rsidR="000E4D7A" w:rsidRDefault="000E4D7A" w:rsidP="00DD392F">
      <w:r>
        <w:separator/>
      </w:r>
    </w:p>
  </w:endnote>
  <w:endnote w:type="continuationSeparator" w:id="0">
    <w:p w14:paraId="5F63471C" w14:textId="77777777" w:rsidR="000E4D7A" w:rsidRDefault="000E4D7A" w:rsidP="00DD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charset w:val="00"/>
    <w:family w:val="swiss"/>
    <w:pitch w:val="variable"/>
    <w:sig w:usb0="20000287" w:usb1="00000003" w:usb2="00000000" w:usb3="00000000" w:csb0="0000019F" w:csb1="00000000"/>
    <w:embedRegular r:id="rId1" w:fontKey="{AA2A8416-44CD-4C51-8352-4323B2DBEDDD}"/>
    <w:embedItalic r:id="rId2" w:fontKey="{28E1DD03-D83C-470D-B722-F3C8135273DB}"/>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F9B94EF-79E9-4AF9-A79D-7524A810339D}"/>
  </w:font>
  <w:font w:name="Cambria">
    <w:panose1 w:val="02040503050406030204"/>
    <w:charset w:val="00"/>
    <w:family w:val="roman"/>
    <w:pitch w:val="variable"/>
    <w:sig w:usb0="E00006FF" w:usb1="420024FF" w:usb2="02000000" w:usb3="00000000" w:csb0="0000019F" w:csb1="00000000"/>
    <w:embedRegular r:id="rId4" w:fontKey="{8DC4265A-8C78-44DA-AB1E-09C8BF0866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A8E60" w14:textId="77777777" w:rsidR="00DD392F" w:rsidRDefault="00DD39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7874E" w14:textId="77777777" w:rsidR="00DD392F" w:rsidRDefault="00DD39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B76D4" w14:textId="77777777" w:rsidR="00DD392F" w:rsidRDefault="00DD3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4E49B" w14:textId="77777777" w:rsidR="000E4D7A" w:rsidRDefault="000E4D7A" w:rsidP="00DD392F">
      <w:r>
        <w:separator/>
      </w:r>
    </w:p>
  </w:footnote>
  <w:footnote w:type="continuationSeparator" w:id="0">
    <w:p w14:paraId="01F1330E" w14:textId="77777777" w:rsidR="000E4D7A" w:rsidRDefault="000E4D7A" w:rsidP="00DD3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3C5A2" w14:textId="10A851BB" w:rsidR="00DD392F" w:rsidRDefault="00DD392F">
    <w:pPr>
      <w:pStyle w:val="Header"/>
    </w:pPr>
    <w:r>
      <w:rPr>
        <w:noProof/>
      </w:rPr>
      <w:pict w14:anchorId="50ACCF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455422"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6C1F1" w14:textId="12EE0890" w:rsidR="00DD392F" w:rsidRDefault="00DD392F">
    <w:pPr>
      <w:pStyle w:val="Header"/>
    </w:pPr>
    <w:r>
      <w:rPr>
        <w:noProof/>
      </w:rPr>
      <w:pict w14:anchorId="1AB7A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455423"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500DA" w14:textId="4C6675BE" w:rsidR="00DD392F" w:rsidRDefault="00DD392F">
    <w:pPr>
      <w:pStyle w:val="Header"/>
    </w:pPr>
    <w:r>
      <w:rPr>
        <w:noProof/>
      </w:rPr>
      <w:pict w14:anchorId="0F79B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455421"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447"/>
    <w:rsid w:val="00002E28"/>
    <w:rsid w:val="0005269B"/>
    <w:rsid w:val="000C62BA"/>
    <w:rsid w:val="000E4D7A"/>
    <w:rsid w:val="000F5574"/>
    <w:rsid w:val="00115AAC"/>
    <w:rsid w:val="00132032"/>
    <w:rsid w:val="0015661C"/>
    <w:rsid w:val="00173FAC"/>
    <w:rsid w:val="00184B8C"/>
    <w:rsid w:val="00195FBF"/>
    <w:rsid w:val="001A7EF5"/>
    <w:rsid w:val="001C01DA"/>
    <w:rsid w:val="001D0B15"/>
    <w:rsid w:val="001D5354"/>
    <w:rsid w:val="00235B53"/>
    <w:rsid w:val="00245BF2"/>
    <w:rsid w:val="00245D3B"/>
    <w:rsid w:val="00271428"/>
    <w:rsid w:val="00291967"/>
    <w:rsid w:val="002D1EDE"/>
    <w:rsid w:val="002E5782"/>
    <w:rsid w:val="002F526D"/>
    <w:rsid w:val="003103A1"/>
    <w:rsid w:val="00311DEF"/>
    <w:rsid w:val="00365FF6"/>
    <w:rsid w:val="003F6781"/>
    <w:rsid w:val="00442127"/>
    <w:rsid w:val="00470F3B"/>
    <w:rsid w:val="00496024"/>
    <w:rsid w:val="004B5003"/>
    <w:rsid w:val="004B72D7"/>
    <w:rsid w:val="004C7023"/>
    <w:rsid w:val="005002A5"/>
    <w:rsid w:val="005002D2"/>
    <w:rsid w:val="00532774"/>
    <w:rsid w:val="00557CCF"/>
    <w:rsid w:val="00595398"/>
    <w:rsid w:val="005A4367"/>
    <w:rsid w:val="005B41B6"/>
    <w:rsid w:val="005B78CA"/>
    <w:rsid w:val="005F7595"/>
    <w:rsid w:val="00605382"/>
    <w:rsid w:val="00615318"/>
    <w:rsid w:val="00630ABB"/>
    <w:rsid w:val="00642D8E"/>
    <w:rsid w:val="006976B1"/>
    <w:rsid w:val="00697B10"/>
    <w:rsid w:val="006B619A"/>
    <w:rsid w:val="006F198B"/>
    <w:rsid w:val="00730D76"/>
    <w:rsid w:val="00760F51"/>
    <w:rsid w:val="00784AEF"/>
    <w:rsid w:val="008078D1"/>
    <w:rsid w:val="00815A89"/>
    <w:rsid w:val="008406CF"/>
    <w:rsid w:val="0084337A"/>
    <w:rsid w:val="00851FB3"/>
    <w:rsid w:val="0086189A"/>
    <w:rsid w:val="00880BD0"/>
    <w:rsid w:val="008A2746"/>
    <w:rsid w:val="008E7F75"/>
    <w:rsid w:val="00985F33"/>
    <w:rsid w:val="00995447"/>
    <w:rsid w:val="009A5754"/>
    <w:rsid w:val="009B62B4"/>
    <w:rsid w:val="009C3FAA"/>
    <w:rsid w:val="009C4278"/>
    <w:rsid w:val="009F09AA"/>
    <w:rsid w:val="00A537C3"/>
    <w:rsid w:val="00A81216"/>
    <w:rsid w:val="00A86EE6"/>
    <w:rsid w:val="00A93529"/>
    <w:rsid w:val="00A95AE6"/>
    <w:rsid w:val="00AC64C2"/>
    <w:rsid w:val="00B10A39"/>
    <w:rsid w:val="00B479BD"/>
    <w:rsid w:val="00B600F7"/>
    <w:rsid w:val="00B656FE"/>
    <w:rsid w:val="00B71C9F"/>
    <w:rsid w:val="00BC45F3"/>
    <w:rsid w:val="00BC70ED"/>
    <w:rsid w:val="00BD0648"/>
    <w:rsid w:val="00BF3C04"/>
    <w:rsid w:val="00C13F38"/>
    <w:rsid w:val="00C40795"/>
    <w:rsid w:val="00CD3752"/>
    <w:rsid w:val="00CD78C7"/>
    <w:rsid w:val="00D22BA5"/>
    <w:rsid w:val="00D32480"/>
    <w:rsid w:val="00D37C21"/>
    <w:rsid w:val="00D40D4B"/>
    <w:rsid w:val="00D821E7"/>
    <w:rsid w:val="00D90DD3"/>
    <w:rsid w:val="00DC07C0"/>
    <w:rsid w:val="00DC13C0"/>
    <w:rsid w:val="00DD392F"/>
    <w:rsid w:val="00E45858"/>
    <w:rsid w:val="00E543C5"/>
    <w:rsid w:val="00E576B3"/>
    <w:rsid w:val="00E62D21"/>
    <w:rsid w:val="00EA0E02"/>
    <w:rsid w:val="00EA35AE"/>
    <w:rsid w:val="00EA6B9E"/>
    <w:rsid w:val="00EC4CF1"/>
    <w:rsid w:val="00EE4864"/>
    <w:rsid w:val="00F059CA"/>
    <w:rsid w:val="00F24E39"/>
    <w:rsid w:val="00F45C91"/>
    <w:rsid w:val="00F65260"/>
    <w:rsid w:val="00F95FB2"/>
    <w:rsid w:val="00FD10A1"/>
    <w:rsid w:val="00FD3817"/>
    <w:rsid w:val="00FD4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809A7E"/>
  <w15:docId w15:val="{76664BDF-BD12-4C67-882C-8BCF0AE7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 w:eastAsia="en-GB" w:bidi="ar-SA"/>
      </w:rPr>
    </w:rPrDefault>
    <w:pPrDefault>
      <w:pPr>
        <w:ind w:left="284"/>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paragraph" w:styleId="Caption">
    <w:name w:val="caption"/>
    <w:basedOn w:val="Normal"/>
    <w:next w:val="Normal"/>
    <w:uiPriority w:val="35"/>
    <w:unhideWhenUsed/>
    <w:qFormat/>
    <w:rsid w:val="00815A89"/>
    <w:pPr>
      <w:spacing w:after="200"/>
    </w:pPr>
    <w:rPr>
      <w:i/>
      <w:iCs/>
      <w:color w:val="1F497D" w:themeColor="text2"/>
      <w:sz w:val="18"/>
      <w:szCs w:val="18"/>
    </w:rPr>
  </w:style>
  <w:style w:type="paragraph" w:styleId="Bibliography">
    <w:name w:val="Bibliography"/>
    <w:basedOn w:val="Normal"/>
    <w:next w:val="Normal"/>
    <w:uiPriority w:val="37"/>
    <w:unhideWhenUsed/>
    <w:rsid w:val="00AC64C2"/>
  </w:style>
  <w:style w:type="character" w:styleId="Hyperlink">
    <w:name w:val="Hyperlink"/>
    <w:basedOn w:val="DefaultParagraphFont"/>
    <w:uiPriority w:val="99"/>
    <w:unhideWhenUsed/>
    <w:rsid w:val="000C62BA"/>
    <w:rPr>
      <w:color w:val="0000FF" w:themeColor="hyperlink"/>
      <w:u w:val="single"/>
    </w:rPr>
  </w:style>
  <w:style w:type="character" w:styleId="UnresolvedMention">
    <w:name w:val="Unresolved Mention"/>
    <w:basedOn w:val="DefaultParagraphFont"/>
    <w:uiPriority w:val="99"/>
    <w:semiHidden/>
    <w:unhideWhenUsed/>
    <w:rsid w:val="000C62BA"/>
    <w:rPr>
      <w:color w:val="605E5C"/>
      <w:shd w:val="clear" w:color="auto" w:fill="E1DFDD"/>
    </w:rPr>
  </w:style>
  <w:style w:type="paragraph" w:styleId="Header">
    <w:name w:val="header"/>
    <w:basedOn w:val="Normal"/>
    <w:link w:val="HeaderChar"/>
    <w:uiPriority w:val="99"/>
    <w:unhideWhenUsed/>
    <w:rsid w:val="00DD392F"/>
    <w:pPr>
      <w:tabs>
        <w:tab w:val="center" w:pos="4680"/>
        <w:tab w:val="right" w:pos="9360"/>
      </w:tabs>
    </w:pPr>
  </w:style>
  <w:style w:type="character" w:customStyle="1" w:styleId="HeaderChar">
    <w:name w:val="Header Char"/>
    <w:basedOn w:val="DefaultParagraphFont"/>
    <w:link w:val="Header"/>
    <w:uiPriority w:val="99"/>
    <w:rsid w:val="00DD392F"/>
  </w:style>
  <w:style w:type="paragraph" w:styleId="Footer">
    <w:name w:val="footer"/>
    <w:basedOn w:val="Normal"/>
    <w:link w:val="FooterChar"/>
    <w:uiPriority w:val="99"/>
    <w:unhideWhenUsed/>
    <w:rsid w:val="00DD392F"/>
    <w:pPr>
      <w:tabs>
        <w:tab w:val="center" w:pos="4680"/>
        <w:tab w:val="right" w:pos="9360"/>
      </w:tabs>
    </w:pPr>
  </w:style>
  <w:style w:type="character" w:customStyle="1" w:styleId="FooterChar">
    <w:name w:val="Footer Char"/>
    <w:basedOn w:val="DefaultParagraphFont"/>
    <w:link w:val="Footer"/>
    <w:uiPriority w:val="99"/>
    <w:rsid w:val="00DD3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35529-1FAE-4C33-ADD1-877A20A68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19389</Words>
  <Characters>110518</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BaxDotNet</dc:creator>
  <cp:lastModifiedBy>SDI PC 1170</cp:lastModifiedBy>
  <cp:revision>20</cp:revision>
  <dcterms:created xsi:type="dcterms:W3CDTF">2026-03-05T20:45:00Z</dcterms:created>
  <dcterms:modified xsi:type="dcterms:W3CDTF">2026-03-06T11:14:00Z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id="aA5Ikbho"/&gt;&lt;style id="http://www.zotero.org/styles/vancouver-brackets" locale="en-GB" hasBibliography="1" bibliographyStyleHasBeenSet="1"/&gt;&lt;prefs&gt;&lt;pref name="fieldType" value="Field"/&gt;&lt;/prefs&gt;&lt;/d</vt:lpwstr>
  </property>
  <property fmtid="{D5CDD505-2E9C-101B-9397-08002B2CF9AE}" pid="3" name="ZOTERO_PREF_2">
    <vt:lpwstr>ata&gt;</vt:lpwstr>
  </property>
</Properties>
</file>