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F4260" w14:textId="3E62B9C6" w:rsidR="00CF20E3" w:rsidRPr="00CF20E3" w:rsidRDefault="00CF20E3" w:rsidP="00CF20E3">
      <w:pPr>
        <w:bidi w:val="0"/>
        <w:spacing w:line="240" w:lineRule="auto"/>
        <w:rPr>
          <w:rFonts w:asciiTheme="minorBidi" w:hAnsiTheme="minorBidi"/>
          <w:b/>
          <w:bCs/>
          <w:sz w:val="28"/>
          <w:szCs w:val="28"/>
          <w:u w:val="single"/>
        </w:rPr>
      </w:pPr>
      <w:r w:rsidRPr="00CF20E3">
        <w:rPr>
          <w:rFonts w:asciiTheme="minorBidi" w:hAnsiTheme="minorBidi"/>
          <w:b/>
          <w:bCs/>
          <w:sz w:val="28"/>
          <w:szCs w:val="28"/>
          <w:u w:val="single"/>
        </w:rPr>
        <w:t>Original Research Article</w:t>
      </w:r>
    </w:p>
    <w:p w14:paraId="30F528DD" w14:textId="1D4A5E45" w:rsidR="008972A3" w:rsidRPr="00D72BE6" w:rsidRDefault="0070693D" w:rsidP="00CF20E3">
      <w:pPr>
        <w:bidi w:val="0"/>
        <w:spacing w:line="240" w:lineRule="auto"/>
        <w:rPr>
          <w:rFonts w:asciiTheme="minorBidi" w:hAnsiTheme="minorBidi"/>
          <w:b/>
          <w:bCs/>
          <w:sz w:val="36"/>
          <w:szCs w:val="36"/>
        </w:rPr>
      </w:pPr>
      <w:r w:rsidRPr="00D72BE6">
        <w:rPr>
          <w:rFonts w:asciiTheme="minorBidi" w:hAnsiTheme="minorBidi"/>
          <w:b/>
          <w:bCs/>
          <w:sz w:val="36"/>
          <w:szCs w:val="36"/>
        </w:rPr>
        <w:t>KNOWLEDGE, ATTITUDES, AND PERCEPTIONS OF PHARMACY STUDENTS ON PROGRAMS AT THE FACULTY OF PHARMACY, ASSALAM INTERNATIONAL UNIVERSITY</w:t>
      </w:r>
      <w:r w:rsidR="00EC0C14" w:rsidRPr="00D72BE6">
        <w:rPr>
          <w:rFonts w:asciiTheme="minorBidi" w:hAnsiTheme="minorBidi"/>
          <w:b/>
          <w:bCs/>
          <w:sz w:val="36"/>
          <w:szCs w:val="36"/>
        </w:rPr>
        <w:t>, BENGHAZI, LIBYA</w:t>
      </w:r>
    </w:p>
    <w:p w14:paraId="2B339423" w14:textId="77777777" w:rsidR="00FC147C" w:rsidRDefault="00FC147C" w:rsidP="00F73606">
      <w:pPr>
        <w:bidi w:val="0"/>
        <w:spacing w:line="276" w:lineRule="auto"/>
        <w:jc w:val="both"/>
        <w:rPr>
          <w:rFonts w:asciiTheme="minorBidi" w:hAnsiTheme="minorBidi"/>
          <w:b/>
          <w:bCs/>
        </w:rPr>
      </w:pPr>
    </w:p>
    <w:p w14:paraId="482D8585" w14:textId="17F19D7D" w:rsidR="008972A3" w:rsidRPr="00D72BE6" w:rsidRDefault="0062239F" w:rsidP="00FC147C">
      <w:pPr>
        <w:bidi w:val="0"/>
        <w:spacing w:line="276" w:lineRule="auto"/>
        <w:jc w:val="both"/>
        <w:rPr>
          <w:rFonts w:asciiTheme="minorBidi" w:hAnsiTheme="minorBidi"/>
          <w:b/>
          <w:bCs/>
        </w:rPr>
      </w:pPr>
      <w:r w:rsidRPr="00D72BE6">
        <w:rPr>
          <w:rFonts w:asciiTheme="minorBidi" w:hAnsiTheme="minorBidi"/>
          <w:b/>
          <w:bCs/>
        </w:rPr>
        <w:t>ABSTRACT</w:t>
      </w:r>
    </w:p>
    <w:p w14:paraId="7FEAE9C1" w14:textId="28F8484F" w:rsidR="00D72BE6" w:rsidRPr="00861FCC" w:rsidRDefault="00D72BE6" w:rsidP="00B84932">
      <w:pPr>
        <w:bidi w:val="0"/>
        <w:spacing w:after="210" w:line="276" w:lineRule="auto"/>
        <w:jc w:val="both"/>
        <w:rPr>
          <w:rFonts w:asciiTheme="minorBidi" w:eastAsia="inter" w:hAnsiTheme="minorBidi"/>
          <w:color w:val="000000"/>
          <w:sz w:val="20"/>
          <w:szCs w:val="20"/>
        </w:rPr>
      </w:pPr>
      <w:r w:rsidRPr="00861FCC">
        <w:rPr>
          <w:rFonts w:asciiTheme="minorBidi" w:eastAsia="inter" w:hAnsiTheme="minorBidi"/>
          <w:b/>
          <w:bCs/>
          <w:color w:val="000000"/>
          <w:sz w:val="20"/>
          <w:szCs w:val="20"/>
        </w:rPr>
        <w:t>Aims</w:t>
      </w:r>
      <w:r w:rsidR="00815200" w:rsidRPr="00861FCC">
        <w:rPr>
          <w:rFonts w:asciiTheme="minorBidi" w:eastAsia="inter" w:hAnsiTheme="minorBidi"/>
          <w:color w:val="000000"/>
          <w:sz w:val="20"/>
          <w:szCs w:val="20"/>
        </w:rPr>
        <w:t>: In Libya, pharmacy education has traditionally followed a product-focused model, emphasizing pharmaceutical sciences and dispensing, with limited changes over the past decades despite evolving healthcare needs. The global shift towards patient-centered pharmacy practice has led to adoption of clinically oriented Doctor of Pharmacy (PharmD) programs in many countries, including recent curricular reforms in Libya.</w:t>
      </w:r>
      <w:r w:rsidR="00B84932" w:rsidRPr="00861FCC">
        <w:rPr>
          <w:rFonts w:asciiTheme="minorBidi" w:eastAsia="inter" w:hAnsiTheme="minorBidi"/>
          <w:color w:val="000000"/>
          <w:sz w:val="20"/>
          <w:szCs w:val="20"/>
        </w:rPr>
        <w:t xml:space="preserve"> </w:t>
      </w:r>
      <w:r w:rsidR="00815200" w:rsidRPr="00861FCC">
        <w:rPr>
          <w:rFonts w:asciiTheme="minorBidi" w:eastAsia="inter" w:hAnsiTheme="minorBidi"/>
          <w:color w:val="000000"/>
          <w:sz w:val="20"/>
          <w:szCs w:val="20"/>
        </w:rPr>
        <w:t xml:space="preserve">This study explores pharmacy students' knowledge, attitudes, and perceptions of Bachelor of Pharmacy (BPharm) and PharmD programs at </w:t>
      </w:r>
      <w:proofErr w:type="spellStart"/>
      <w:r w:rsidR="00815200" w:rsidRPr="00861FCC">
        <w:rPr>
          <w:rFonts w:asciiTheme="minorBidi" w:eastAsia="inter" w:hAnsiTheme="minorBidi"/>
          <w:color w:val="000000"/>
          <w:sz w:val="20"/>
          <w:szCs w:val="20"/>
        </w:rPr>
        <w:t>Assalam</w:t>
      </w:r>
      <w:proofErr w:type="spellEnd"/>
      <w:r w:rsidR="00815200" w:rsidRPr="00861FCC">
        <w:rPr>
          <w:rFonts w:asciiTheme="minorBidi" w:eastAsia="inter" w:hAnsiTheme="minorBidi"/>
          <w:color w:val="000000"/>
          <w:sz w:val="20"/>
          <w:szCs w:val="20"/>
        </w:rPr>
        <w:t xml:space="preserve"> International University (AIU) to inform ongoing educational development responsive to regional demands. </w:t>
      </w:r>
    </w:p>
    <w:p w14:paraId="12FD8D0A" w14:textId="77777777" w:rsidR="00B84932" w:rsidRPr="00861FCC" w:rsidRDefault="00B84932" w:rsidP="00D72BE6">
      <w:pPr>
        <w:bidi w:val="0"/>
        <w:spacing w:after="210" w:line="276" w:lineRule="auto"/>
        <w:jc w:val="both"/>
        <w:rPr>
          <w:rFonts w:asciiTheme="minorBidi" w:eastAsia="inter" w:hAnsiTheme="minorBidi"/>
          <w:color w:val="000000"/>
          <w:sz w:val="20"/>
          <w:szCs w:val="20"/>
        </w:rPr>
      </w:pPr>
      <w:r w:rsidRPr="00861FCC">
        <w:rPr>
          <w:rFonts w:asciiTheme="minorBidi" w:eastAsia="inter" w:hAnsiTheme="minorBidi"/>
          <w:b/>
          <w:bCs/>
          <w:color w:val="000000"/>
          <w:sz w:val="20"/>
          <w:szCs w:val="20"/>
        </w:rPr>
        <w:t>Study design</w:t>
      </w:r>
      <w:r w:rsidR="00815200" w:rsidRPr="00861FCC">
        <w:rPr>
          <w:rFonts w:asciiTheme="minorBidi" w:eastAsia="inter" w:hAnsiTheme="minorBidi"/>
          <w:color w:val="000000"/>
          <w:sz w:val="20"/>
          <w:szCs w:val="20"/>
        </w:rPr>
        <w:t>: the study is a cross-sectional survey involved 60 pharmacy students</w:t>
      </w:r>
      <w:r w:rsidRPr="00861FCC">
        <w:rPr>
          <w:rFonts w:asciiTheme="minorBidi" w:eastAsia="inter" w:hAnsiTheme="minorBidi"/>
          <w:color w:val="000000"/>
          <w:sz w:val="20"/>
          <w:szCs w:val="20"/>
        </w:rPr>
        <w:t>.</w:t>
      </w:r>
    </w:p>
    <w:p w14:paraId="01A9393D" w14:textId="77777777" w:rsidR="00B84932" w:rsidRPr="00861FCC" w:rsidRDefault="00B84932" w:rsidP="00B84932">
      <w:pPr>
        <w:bidi w:val="0"/>
        <w:spacing w:after="210" w:line="276" w:lineRule="auto"/>
        <w:jc w:val="both"/>
        <w:rPr>
          <w:rFonts w:asciiTheme="minorBidi" w:eastAsia="inter" w:hAnsiTheme="minorBidi"/>
          <w:color w:val="000000"/>
          <w:sz w:val="20"/>
          <w:szCs w:val="20"/>
        </w:rPr>
      </w:pPr>
      <w:r w:rsidRPr="00861FCC">
        <w:rPr>
          <w:rFonts w:asciiTheme="minorBidi" w:eastAsia="inter" w:hAnsiTheme="minorBidi"/>
          <w:b/>
          <w:color w:val="000000"/>
          <w:sz w:val="20"/>
          <w:szCs w:val="20"/>
        </w:rPr>
        <w:t>Place and Duration of Study:</w:t>
      </w:r>
      <w:r w:rsidR="00815200" w:rsidRPr="00861FCC">
        <w:rPr>
          <w:rFonts w:asciiTheme="minorBidi" w:eastAsia="inter" w:hAnsiTheme="minorBidi"/>
          <w:color w:val="000000"/>
          <w:sz w:val="20"/>
          <w:szCs w:val="20"/>
        </w:rPr>
        <w:t xml:space="preserve"> from the 2nd to 8th semesters at AIU during the 2024-2025 academic year. </w:t>
      </w:r>
    </w:p>
    <w:p w14:paraId="63F4A313" w14:textId="71211DFC" w:rsidR="00D72BE6" w:rsidRPr="00861FCC" w:rsidRDefault="00B84932" w:rsidP="00B84932">
      <w:pPr>
        <w:bidi w:val="0"/>
        <w:spacing w:after="210" w:line="276" w:lineRule="auto"/>
        <w:jc w:val="both"/>
        <w:rPr>
          <w:rFonts w:asciiTheme="minorBidi" w:eastAsia="inter" w:hAnsiTheme="minorBidi"/>
          <w:color w:val="000000"/>
          <w:sz w:val="20"/>
          <w:szCs w:val="20"/>
        </w:rPr>
      </w:pPr>
      <w:r w:rsidRPr="00861FCC">
        <w:rPr>
          <w:rFonts w:asciiTheme="minorBidi" w:eastAsia="inter" w:hAnsiTheme="minorBidi"/>
          <w:b/>
          <w:bCs/>
          <w:color w:val="000000"/>
          <w:sz w:val="20"/>
          <w:szCs w:val="20"/>
        </w:rPr>
        <w:t xml:space="preserve">Methodology: </w:t>
      </w:r>
      <w:r w:rsidR="00815200" w:rsidRPr="00861FCC">
        <w:rPr>
          <w:rFonts w:asciiTheme="minorBidi" w:eastAsia="inter" w:hAnsiTheme="minorBidi"/>
          <w:color w:val="000000"/>
          <w:sz w:val="20"/>
          <w:szCs w:val="20"/>
        </w:rPr>
        <w:t xml:space="preserve">Using a validated self-administered questionnaire, the study assessed students' understanding of program curricula, professional outlook, and future career ambitions. Descriptive statistics summarized students’ responses. </w:t>
      </w:r>
    </w:p>
    <w:p w14:paraId="7AE75658" w14:textId="77777777" w:rsidR="00D72BE6" w:rsidRPr="00861FCC" w:rsidRDefault="00815200" w:rsidP="00D72BE6">
      <w:pPr>
        <w:bidi w:val="0"/>
        <w:spacing w:after="210" w:line="276" w:lineRule="auto"/>
        <w:jc w:val="both"/>
        <w:rPr>
          <w:rFonts w:asciiTheme="minorBidi" w:eastAsia="inter" w:hAnsiTheme="minorBidi"/>
          <w:color w:val="000000"/>
          <w:sz w:val="20"/>
          <w:szCs w:val="20"/>
        </w:rPr>
      </w:pPr>
      <w:r w:rsidRPr="00861FCC">
        <w:rPr>
          <w:rFonts w:asciiTheme="minorBidi" w:eastAsia="inter" w:hAnsiTheme="minorBidi"/>
          <w:b/>
          <w:bCs/>
          <w:color w:val="000000"/>
          <w:sz w:val="20"/>
          <w:szCs w:val="20"/>
        </w:rPr>
        <w:t>Results</w:t>
      </w:r>
      <w:r w:rsidRPr="00861FCC">
        <w:rPr>
          <w:rFonts w:asciiTheme="minorBidi" w:eastAsia="inter" w:hAnsiTheme="minorBidi"/>
          <w:color w:val="000000"/>
          <w:sz w:val="20"/>
          <w:szCs w:val="20"/>
        </w:rPr>
        <w:t>: the students were generally aware of both BPharm and PharmD programs, showing strong preference for the patient-centered PharmD model aligned with modern healthcare roles. While confidence in clinical skills gained through the BPharm was moderate, students recognized the PharmD program as better suited for emerging pharmacy practice demands. Interest was high in postgraduate clinical pharmacy training.</w:t>
      </w:r>
    </w:p>
    <w:p w14:paraId="1185E947" w14:textId="17E86BA0" w:rsidR="00815200" w:rsidRPr="00861FCC" w:rsidRDefault="00815200" w:rsidP="00D72BE6">
      <w:pPr>
        <w:bidi w:val="0"/>
        <w:spacing w:after="210" w:line="276" w:lineRule="auto"/>
        <w:jc w:val="both"/>
        <w:rPr>
          <w:rFonts w:asciiTheme="minorBidi" w:hAnsiTheme="minorBidi"/>
          <w:sz w:val="20"/>
          <w:szCs w:val="20"/>
        </w:rPr>
      </w:pPr>
      <w:r w:rsidRPr="00861FCC">
        <w:rPr>
          <w:rFonts w:asciiTheme="minorBidi" w:eastAsia="inter" w:hAnsiTheme="minorBidi"/>
          <w:color w:val="000000"/>
          <w:sz w:val="20"/>
          <w:szCs w:val="20"/>
        </w:rPr>
        <w:t xml:space="preserve"> </w:t>
      </w:r>
      <w:r w:rsidRPr="00861FCC">
        <w:rPr>
          <w:rFonts w:asciiTheme="minorBidi" w:eastAsia="inter" w:hAnsiTheme="minorBidi"/>
          <w:b/>
          <w:bCs/>
          <w:color w:val="000000"/>
          <w:sz w:val="20"/>
          <w:szCs w:val="20"/>
        </w:rPr>
        <w:t>Conclusion</w:t>
      </w:r>
      <w:r w:rsidRPr="00861FCC">
        <w:rPr>
          <w:rFonts w:asciiTheme="minorBidi" w:eastAsia="inter" w:hAnsiTheme="minorBidi"/>
          <w:color w:val="000000"/>
          <w:sz w:val="20"/>
          <w:szCs w:val="20"/>
        </w:rPr>
        <w:t>: The study concludes that pharmacy education at AIU is progressing towards a patient-centered, clinically focused PharmD framework, reflecting global trends. To bridge gaps in practical competence and enhance education quality, recommendations include increased experiential learning, national accreditation enforcement, faculty development, and expansion of postgraduate training pathways. These reforms aim to elevate pharmacy education and practice standards in Libya, ultimately benefiting healthcare delivery and patient outcomes.</w:t>
      </w:r>
    </w:p>
    <w:p w14:paraId="53004AD3" w14:textId="74C6C061" w:rsidR="008972A3" w:rsidRDefault="008972A3" w:rsidP="00861FCC">
      <w:pPr>
        <w:bidi w:val="0"/>
        <w:spacing w:line="360" w:lineRule="auto"/>
        <w:jc w:val="both"/>
        <w:rPr>
          <w:rFonts w:asciiTheme="minorBidi" w:hAnsiTheme="minorBidi"/>
          <w:sz w:val="20"/>
          <w:szCs w:val="20"/>
        </w:rPr>
      </w:pPr>
      <w:r w:rsidRPr="00861FCC">
        <w:rPr>
          <w:rFonts w:asciiTheme="minorBidi" w:hAnsiTheme="minorBidi"/>
          <w:b/>
          <w:bCs/>
          <w:sz w:val="20"/>
          <w:szCs w:val="20"/>
        </w:rPr>
        <w:t>Keywords</w:t>
      </w:r>
      <w:r w:rsidR="00861FCC">
        <w:rPr>
          <w:rFonts w:asciiTheme="minorBidi" w:hAnsiTheme="minorBidi"/>
          <w:b/>
          <w:bCs/>
          <w:sz w:val="20"/>
          <w:szCs w:val="20"/>
        </w:rPr>
        <w:t xml:space="preserve">: </w:t>
      </w:r>
      <w:r w:rsidRPr="00861FCC">
        <w:rPr>
          <w:rFonts w:asciiTheme="minorBidi" w:hAnsiTheme="minorBidi"/>
          <w:sz w:val="20"/>
          <w:szCs w:val="20"/>
        </w:rPr>
        <w:t xml:space="preserve">Pharmacy Education, BPharm, PharmD, Pharmacy Students, Curriculum, </w:t>
      </w:r>
      <w:r w:rsidR="007535C2" w:rsidRPr="00861FCC">
        <w:rPr>
          <w:rFonts w:asciiTheme="minorBidi" w:hAnsiTheme="minorBidi"/>
          <w:sz w:val="20"/>
          <w:szCs w:val="20"/>
        </w:rPr>
        <w:t xml:space="preserve">AIU, </w:t>
      </w:r>
      <w:r w:rsidRPr="00861FCC">
        <w:rPr>
          <w:rFonts w:asciiTheme="minorBidi" w:hAnsiTheme="minorBidi"/>
          <w:sz w:val="20"/>
          <w:szCs w:val="20"/>
        </w:rPr>
        <w:t>Libya</w:t>
      </w:r>
    </w:p>
    <w:p w14:paraId="07CF35E3" w14:textId="335307A1" w:rsidR="00FC147C" w:rsidRDefault="00FC147C" w:rsidP="00FC147C">
      <w:pPr>
        <w:bidi w:val="0"/>
        <w:spacing w:line="360" w:lineRule="auto"/>
        <w:jc w:val="both"/>
        <w:rPr>
          <w:rFonts w:asciiTheme="minorBidi" w:hAnsiTheme="minorBidi"/>
          <w:sz w:val="20"/>
          <w:szCs w:val="20"/>
        </w:rPr>
      </w:pPr>
    </w:p>
    <w:p w14:paraId="13586DE1" w14:textId="77777777" w:rsidR="00FC147C" w:rsidRPr="00861FCC" w:rsidRDefault="00FC147C" w:rsidP="00FC147C">
      <w:pPr>
        <w:bidi w:val="0"/>
        <w:spacing w:line="360" w:lineRule="auto"/>
        <w:jc w:val="both"/>
        <w:rPr>
          <w:rFonts w:asciiTheme="minorBidi" w:hAnsiTheme="minorBidi"/>
          <w:sz w:val="20"/>
          <w:szCs w:val="20"/>
        </w:rPr>
      </w:pPr>
    </w:p>
    <w:p w14:paraId="2C15E3E5" w14:textId="0472A927" w:rsidR="008972A3" w:rsidRPr="00861FCC" w:rsidRDefault="00861FCC" w:rsidP="008972A3">
      <w:pPr>
        <w:bidi w:val="0"/>
        <w:spacing w:line="360" w:lineRule="auto"/>
        <w:jc w:val="both"/>
        <w:rPr>
          <w:rFonts w:asciiTheme="minorBidi" w:hAnsiTheme="minorBidi"/>
          <w:b/>
          <w:bCs/>
        </w:rPr>
      </w:pPr>
      <w:r>
        <w:rPr>
          <w:rFonts w:asciiTheme="minorBidi" w:hAnsiTheme="minorBidi"/>
          <w:b/>
          <w:bCs/>
        </w:rPr>
        <w:lastRenderedPageBreak/>
        <w:t xml:space="preserve">1. </w:t>
      </w:r>
      <w:r w:rsidR="007535C2" w:rsidRPr="00861FCC">
        <w:rPr>
          <w:rFonts w:asciiTheme="minorBidi" w:hAnsiTheme="minorBidi"/>
          <w:b/>
          <w:bCs/>
        </w:rPr>
        <w:t>INTRODUCTION</w:t>
      </w:r>
    </w:p>
    <w:p w14:paraId="7305BA4E" w14:textId="7FE258D9" w:rsidR="00D71929" w:rsidRPr="00861FCC" w:rsidRDefault="008972A3" w:rsidP="00652800">
      <w:pPr>
        <w:bidi w:val="0"/>
        <w:spacing w:line="360" w:lineRule="auto"/>
        <w:jc w:val="both"/>
        <w:rPr>
          <w:rFonts w:asciiTheme="minorBidi" w:hAnsiTheme="minorBidi"/>
          <w:color w:val="222222"/>
          <w:sz w:val="16"/>
          <w:szCs w:val="16"/>
          <w:shd w:val="clear" w:color="auto" w:fill="FFFFFF"/>
        </w:rPr>
      </w:pPr>
      <w:r w:rsidRPr="00861FCC">
        <w:rPr>
          <w:rFonts w:asciiTheme="minorBidi" w:hAnsiTheme="minorBidi"/>
          <w:sz w:val="20"/>
          <w:szCs w:val="20"/>
        </w:rPr>
        <w:t xml:space="preserve">Pharmacy education is critical in preparing competent professionals who are essential to optimizing medication use and improving public health outcomes worldwide. Traditionally, pharmacy curricula emphasized drug-centered knowledge and pharmaceutical sciences, focusing on the development, manufacturing, and dispensing of </w:t>
      </w:r>
      <w:proofErr w:type="gramStart"/>
      <w:r w:rsidRPr="00861FCC">
        <w:rPr>
          <w:rFonts w:asciiTheme="minorBidi" w:hAnsiTheme="minorBidi"/>
          <w:sz w:val="20"/>
          <w:szCs w:val="20"/>
        </w:rPr>
        <w:t>medications</w:t>
      </w:r>
      <w:r w:rsidR="004C6B2A" w:rsidRPr="00861FCC">
        <w:rPr>
          <w:rFonts w:asciiTheme="minorBidi" w:hAnsiTheme="minorBidi"/>
          <w:sz w:val="20"/>
          <w:szCs w:val="20"/>
        </w:rPr>
        <w:t>[</w:t>
      </w:r>
      <w:proofErr w:type="gramEnd"/>
      <w:r w:rsidR="004C6B2A" w:rsidRPr="00861FCC">
        <w:rPr>
          <w:rFonts w:asciiTheme="minorBidi" w:hAnsiTheme="minorBidi"/>
          <w:sz w:val="20"/>
          <w:szCs w:val="20"/>
        </w:rPr>
        <w:t>1]</w:t>
      </w:r>
      <w:r w:rsidRPr="00861FCC">
        <w:rPr>
          <w:rFonts w:asciiTheme="minorBidi" w:hAnsiTheme="minorBidi"/>
          <w:sz w:val="20"/>
          <w:szCs w:val="20"/>
        </w:rPr>
        <w:t xml:space="preserve">. However, the role of pharmacists has evolved significantly in recent decades to encompass broader responsibilities such as direct patient care, medication therapy management, and participation in multidisciplinary healthcare </w:t>
      </w:r>
      <w:proofErr w:type="gramStart"/>
      <w:r w:rsidRPr="00861FCC">
        <w:rPr>
          <w:rFonts w:asciiTheme="minorBidi" w:hAnsiTheme="minorBidi"/>
          <w:sz w:val="20"/>
          <w:szCs w:val="20"/>
        </w:rPr>
        <w:t>teams</w:t>
      </w:r>
      <w:r w:rsidR="004C6B2A" w:rsidRPr="00861FCC">
        <w:rPr>
          <w:rFonts w:asciiTheme="minorBidi" w:hAnsiTheme="minorBidi"/>
          <w:sz w:val="20"/>
          <w:szCs w:val="20"/>
        </w:rPr>
        <w:t>[</w:t>
      </w:r>
      <w:proofErr w:type="gramEnd"/>
      <w:r w:rsidR="004C6B2A" w:rsidRPr="00861FCC">
        <w:rPr>
          <w:rFonts w:asciiTheme="minorBidi" w:hAnsiTheme="minorBidi"/>
          <w:sz w:val="20"/>
          <w:szCs w:val="20"/>
        </w:rPr>
        <w:t>2</w:t>
      </w:r>
      <w:r w:rsidR="00D71929" w:rsidRPr="00861FCC">
        <w:rPr>
          <w:rFonts w:asciiTheme="minorBidi" w:hAnsiTheme="minorBidi"/>
          <w:sz w:val="20"/>
          <w:szCs w:val="20"/>
        </w:rPr>
        <w:t>,</w:t>
      </w:r>
      <w:r w:rsidR="00DF5263" w:rsidRPr="00861FCC">
        <w:rPr>
          <w:rFonts w:asciiTheme="minorBidi" w:hAnsiTheme="minorBidi"/>
          <w:sz w:val="20"/>
          <w:szCs w:val="20"/>
        </w:rPr>
        <w:t>3</w:t>
      </w:r>
      <w:r w:rsidR="004C6B2A" w:rsidRPr="00861FCC">
        <w:rPr>
          <w:rFonts w:asciiTheme="minorBidi" w:hAnsiTheme="minorBidi"/>
          <w:sz w:val="20"/>
          <w:szCs w:val="20"/>
        </w:rPr>
        <w:t>]</w:t>
      </w:r>
      <w:r w:rsidR="00CE0F66" w:rsidRPr="00861FCC">
        <w:rPr>
          <w:rFonts w:asciiTheme="minorBidi" w:hAnsiTheme="minorBidi"/>
          <w:sz w:val="20"/>
          <w:szCs w:val="20"/>
        </w:rPr>
        <w:t xml:space="preserve"> to resolving drug-related problems (DRPs)</w:t>
      </w:r>
      <w:r w:rsidR="00DF5263" w:rsidRPr="00861FCC">
        <w:rPr>
          <w:rFonts w:asciiTheme="minorBidi" w:hAnsiTheme="minorBidi"/>
          <w:sz w:val="20"/>
          <w:szCs w:val="20"/>
        </w:rPr>
        <w:t xml:space="preserve"> and enhancing patients' medication therapy [4].</w:t>
      </w:r>
      <w:r w:rsidR="00CE0F66" w:rsidRPr="00861FCC">
        <w:rPr>
          <w:rFonts w:asciiTheme="minorBidi" w:hAnsiTheme="minorBidi"/>
          <w:color w:val="222222"/>
          <w:sz w:val="16"/>
          <w:szCs w:val="16"/>
          <w:shd w:val="clear" w:color="auto" w:fill="FFFFFF"/>
        </w:rPr>
        <w:t xml:space="preserve"> </w:t>
      </w:r>
      <w:r w:rsidR="001B343F" w:rsidRPr="00861FCC">
        <w:rPr>
          <w:rFonts w:asciiTheme="minorBidi" w:hAnsiTheme="minorBidi"/>
          <w:sz w:val="20"/>
          <w:szCs w:val="20"/>
        </w:rPr>
        <w:t>Furthermore,</w:t>
      </w:r>
      <w:r w:rsidR="001B343F" w:rsidRPr="00861FCC">
        <w:rPr>
          <w:rFonts w:asciiTheme="minorBidi" w:hAnsiTheme="minorBidi"/>
          <w:color w:val="222222"/>
          <w:sz w:val="16"/>
          <w:szCs w:val="16"/>
          <w:shd w:val="clear" w:color="auto" w:fill="FFFFFF"/>
        </w:rPr>
        <w:t xml:space="preserve"> </w:t>
      </w:r>
      <w:r w:rsidR="001B343F" w:rsidRPr="00861FCC">
        <w:rPr>
          <w:rFonts w:asciiTheme="minorBidi" w:hAnsiTheme="minorBidi"/>
          <w:color w:val="222222"/>
          <w:sz w:val="20"/>
          <w:szCs w:val="20"/>
          <w:shd w:val="clear" w:color="auto" w:fill="FFFFFF"/>
        </w:rPr>
        <w:t xml:space="preserve">providing the </w:t>
      </w:r>
      <w:proofErr w:type="gramStart"/>
      <w:r w:rsidR="001B343F" w:rsidRPr="00861FCC">
        <w:rPr>
          <w:rFonts w:asciiTheme="minorBidi" w:hAnsiTheme="minorBidi"/>
          <w:color w:val="222222"/>
          <w:sz w:val="20"/>
          <w:szCs w:val="20"/>
          <w:shd w:val="clear" w:color="auto" w:fill="FFFFFF"/>
        </w:rPr>
        <w:t xml:space="preserve">patients  </w:t>
      </w:r>
      <w:r w:rsidR="003756DF" w:rsidRPr="00861FCC">
        <w:rPr>
          <w:rFonts w:asciiTheme="minorBidi" w:hAnsiTheme="minorBidi"/>
          <w:color w:val="222222"/>
          <w:sz w:val="20"/>
          <w:szCs w:val="20"/>
          <w:shd w:val="clear" w:color="auto" w:fill="FFFFFF"/>
        </w:rPr>
        <w:t>with</w:t>
      </w:r>
      <w:proofErr w:type="gramEnd"/>
      <w:r w:rsidR="003756DF" w:rsidRPr="00861FCC">
        <w:rPr>
          <w:rFonts w:asciiTheme="minorBidi" w:hAnsiTheme="minorBidi"/>
          <w:color w:val="222222"/>
          <w:sz w:val="20"/>
          <w:szCs w:val="20"/>
          <w:shd w:val="clear" w:color="auto" w:fill="FFFFFF"/>
        </w:rPr>
        <w:t xml:space="preserve"> essential</w:t>
      </w:r>
      <w:r w:rsidR="001B343F" w:rsidRPr="00861FCC">
        <w:rPr>
          <w:rFonts w:asciiTheme="minorBidi" w:hAnsiTheme="minorBidi"/>
          <w:color w:val="222222"/>
          <w:sz w:val="20"/>
          <w:szCs w:val="20"/>
          <w:shd w:val="clear" w:color="auto" w:fill="FFFFFF"/>
        </w:rPr>
        <w:t xml:space="preserve"> information and advices about their diseases, and educating</w:t>
      </w:r>
      <w:r w:rsidR="003756DF" w:rsidRPr="00861FCC">
        <w:rPr>
          <w:rFonts w:asciiTheme="minorBidi" w:hAnsiTheme="minorBidi"/>
          <w:color w:val="222222"/>
          <w:sz w:val="20"/>
          <w:szCs w:val="20"/>
          <w:shd w:val="clear" w:color="auto" w:fill="FFFFFF"/>
        </w:rPr>
        <w:t xml:space="preserve"> on the</w:t>
      </w:r>
      <w:r w:rsidR="001B343F" w:rsidRPr="00861FCC">
        <w:rPr>
          <w:rFonts w:asciiTheme="minorBidi" w:hAnsiTheme="minorBidi"/>
          <w:color w:val="222222"/>
          <w:sz w:val="20"/>
          <w:szCs w:val="20"/>
          <w:shd w:val="clear" w:color="auto" w:fill="FFFFFF"/>
        </w:rPr>
        <w:t xml:space="preserve"> use of medication</w:t>
      </w:r>
      <w:r w:rsidR="003756DF" w:rsidRPr="00861FCC">
        <w:rPr>
          <w:rFonts w:asciiTheme="minorBidi" w:hAnsiTheme="minorBidi"/>
          <w:color w:val="222222"/>
          <w:sz w:val="20"/>
          <w:szCs w:val="20"/>
          <w:shd w:val="clear" w:color="auto" w:fill="FFFFFF"/>
        </w:rPr>
        <w:t xml:space="preserve"> appropriately</w:t>
      </w:r>
      <w:r w:rsidR="001B343F" w:rsidRPr="00861FCC">
        <w:rPr>
          <w:rFonts w:asciiTheme="minorBidi" w:hAnsiTheme="minorBidi"/>
          <w:color w:val="222222"/>
          <w:sz w:val="20"/>
          <w:szCs w:val="20"/>
          <w:shd w:val="clear" w:color="auto" w:fill="FFFFFF"/>
        </w:rPr>
        <w:t xml:space="preserve"> and</w:t>
      </w:r>
      <w:r w:rsidR="003756DF" w:rsidRPr="00861FCC">
        <w:rPr>
          <w:rFonts w:asciiTheme="minorBidi" w:hAnsiTheme="minorBidi"/>
          <w:color w:val="222222"/>
          <w:sz w:val="20"/>
          <w:szCs w:val="20"/>
          <w:shd w:val="clear" w:color="auto" w:fill="FFFFFF"/>
        </w:rPr>
        <w:t xml:space="preserve"> their</w:t>
      </w:r>
      <w:r w:rsidR="001B343F" w:rsidRPr="00861FCC">
        <w:rPr>
          <w:rFonts w:asciiTheme="minorBidi" w:hAnsiTheme="minorBidi"/>
          <w:color w:val="222222"/>
          <w:sz w:val="20"/>
          <w:szCs w:val="20"/>
          <w:shd w:val="clear" w:color="auto" w:fill="FFFFFF"/>
        </w:rPr>
        <w:t xml:space="preserve"> potential</w:t>
      </w:r>
      <w:r w:rsidR="003756DF" w:rsidRPr="00861FCC">
        <w:rPr>
          <w:rFonts w:asciiTheme="minorBidi" w:hAnsiTheme="minorBidi"/>
          <w:color w:val="222222"/>
          <w:sz w:val="20"/>
          <w:szCs w:val="20"/>
          <w:shd w:val="clear" w:color="auto" w:fill="FFFFFF"/>
        </w:rPr>
        <w:t xml:space="preserve"> </w:t>
      </w:r>
      <w:r w:rsidR="001B343F" w:rsidRPr="00861FCC">
        <w:rPr>
          <w:rFonts w:asciiTheme="minorBidi" w:hAnsiTheme="minorBidi"/>
          <w:color w:val="222222"/>
          <w:sz w:val="20"/>
          <w:szCs w:val="20"/>
          <w:shd w:val="clear" w:color="auto" w:fill="FFFFFF"/>
        </w:rPr>
        <w:t xml:space="preserve"> side effects, encourag</w:t>
      </w:r>
      <w:r w:rsidR="00652800" w:rsidRPr="00861FCC">
        <w:rPr>
          <w:rFonts w:asciiTheme="minorBidi" w:hAnsiTheme="minorBidi"/>
          <w:color w:val="222222"/>
          <w:sz w:val="20"/>
          <w:szCs w:val="20"/>
          <w:shd w:val="clear" w:color="auto" w:fill="FFFFFF"/>
        </w:rPr>
        <w:t>ing medication</w:t>
      </w:r>
      <w:r w:rsidR="001B343F" w:rsidRPr="00861FCC">
        <w:rPr>
          <w:rFonts w:asciiTheme="minorBidi" w:hAnsiTheme="minorBidi"/>
          <w:color w:val="222222"/>
          <w:sz w:val="20"/>
          <w:szCs w:val="20"/>
          <w:shd w:val="clear" w:color="auto" w:fill="FFFFFF"/>
        </w:rPr>
        <w:t xml:space="preserve"> adherence, and identify</w:t>
      </w:r>
      <w:r w:rsidR="00652800" w:rsidRPr="00861FCC">
        <w:rPr>
          <w:rFonts w:asciiTheme="minorBidi" w:hAnsiTheme="minorBidi"/>
          <w:color w:val="222222"/>
          <w:sz w:val="20"/>
          <w:szCs w:val="20"/>
          <w:shd w:val="clear" w:color="auto" w:fill="FFFFFF"/>
        </w:rPr>
        <w:t>ing</w:t>
      </w:r>
      <w:r w:rsidR="001B343F" w:rsidRPr="00861FCC">
        <w:rPr>
          <w:rFonts w:asciiTheme="minorBidi" w:hAnsiTheme="minorBidi"/>
          <w:color w:val="222222"/>
          <w:sz w:val="20"/>
          <w:szCs w:val="20"/>
          <w:shd w:val="clear" w:color="auto" w:fill="FFFFFF"/>
        </w:rPr>
        <w:t>, and prevent</w:t>
      </w:r>
      <w:r w:rsidR="00652800" w:rsidRPr="00861FCC">
        <w:rPr>
          <w:rFonts w:asciiTheme="minorBidi" w:hAnsiTheme="minorBidi"/>
          <w:color w:val="222222"/>
          <w:sz w:val="20"/>
          <w:szCs w:val="20"/>
          <w:shd w:val="clear" w:color="auto" w:fill="FFFFFF"/>
        </w:rPr>
        <w:t>ing</w:t>
      </w:r>
      <w:r w:rsidR="001B343F" w:rsidRPr="00861FCC">
        <w:rPr>
          <w:rFonts w:asciiTheme="minorBidi" w:hAnsiTheme="minorBidi"/>
          <w:color w:val="222222"/>
          <w:sz w:val="20"/>
          <w:szCs w:val="20"/>
          <w:shd w:val="clear" w:color="auto" w:fill="FFFFFF"/>
        </w:rPr>
        <w:t xml:space="preserve"> drug therapy</w:t>
      </w:r>
      <w:r w:rsidR="003756DF" w:rsidRPr="00861FCC">
        <w:rPr>
          <w:rFonts w:asciiTheme="minorBidi" w:hAnsiTheme="minorBidi"/>
          <w:color w:val="222222"/>
          <w:sz w:val="20"/>
          <w:szCs w:val="20"/>
          <w:shd w:val="clear" w:color="auto" w:fill="FFFFFF"/>
        </w:rPr>
        <w:t xml:space="preserve"> related</w:t>
      </w:r>
      <w:r w:rsidR="001B343F" w:rsidRPr="00861FCC">
        <w:rPr>
          <w:rFonts w:asciiTheme="minorBidi" w:hAnsiTheme="minorBidi"/>
          <w:color w:val="222222"/>
          <w:sz w:val="20"/>
          <w:szCs w:val="20"/>
          <w:shd w:val="clear" w:color="auto" w:fill="FFFFFF"/>
        </w:rPr>
        <w:t xml:space="preserve"> problems in </w:t>
      </w:r>
      <w:r w:rsidR="00652800" w:rsidRPr="00861FCC">
        <w:rPr>
          <w:rFonts w:asciiTheme="minorBidi" w:hAnsiTheme="minorBidi"/>
          <w:color w:val="222222"/>
          <w:sz w:val="20"/>
          <w:szCs w:val="20"/>
          <w:shd w:val="clear" w:color="auto" w:fill="FFFFFF"/>
        </w:rPr>
        <w:t>collaboration</w:t>
      </w:r>
      <w:r w:rsidR="001B343F" w:rsidRPr="00861FCC">
        <w:rPr>
          <w:rFonts w:asciiTheme="minorBidi" w:hAnsiTheme="minorBidi"/>
          <w:color w:val="222222"/>
          <w:sz w:val="20"/>
          <w:szCs w:val="20"/>
          <w:shd w:val="clear" w:color="auto" w:fill="FFFFFF"/>
        </w:rPr>
        <w:t xml:space="preserve"> with other health care </w:t>
      </w:r>
      <w:r w:rsidR="003756DF" w:rsidRPr="00861FCC">
        <w:rPr>
          <w:rFonts w:asciiTheme="minorBidi" w:hAnsiTheme="minorBidi"/>
          <w:color w:val="222222"/>
          <w:sz w:val="20"/>
          <w:szCs w:val="20"/>
          <w:shd w:val="clear" w:color="auto" w:fill="FFFFFF"/>
        </w:rPr>
        <w:t>members</w:t>
      </w:r>
      <w:r w:rsidR="00652800" w:rsidRPr="00861FCC">
        <w:rPr>
          <w:rFonts w:asciiTheme="minorBidi" w:hAnsiTheme="minorBidi"/>
          <w:color w:val="222222"/>
          <w:sz w:val="20"/>
          <w:szCs w:val="20"/>
          <w:shd w:val="clear" w:color="auto" w:fill="FFFFFF"/>
        </w:rPr>
        <w:t xml:space="preserve"> [5-8].</w:t>
      </w:r>
    </w:p>
    <w:p w14:paraId="742FD98A" w14:textId="2E95B2B4" w:rsidR="00FD02BC" w:rsidRPr="00861FCC" w:rsidRDefault="00FD02BC" w:rsidP="00652800">
      <w:pPr>
        <w:bidi w:val="0"/>
        <w:spacing w:line="360" w:lineRule="auto"/>
        <w:jc w:val="both"/>
        <w:rPr>
          <w:rFonts w:asciiTheme="minorBidi" w:hAnsiTheme="minorBidi"/>
          <w:sz w:val="20"/>
          <w:szCs w:val="20"/>
        </w:rPr>
      </w:pPr>
      <w:r w:rsidRPr="00861FCC">
        <w:rPr>
          <w:rFonts w:asciiTheme="minorBidi" w:hAnsiTheme="minorBidi"/>
          <w:sz w:val="20"/>
          <w:szCs w:val="20"/>
        </w:rPr>
        <w:t xml:space="preserve">In addition to the health governance frameworks, the education structures within the countries should be aligned with the health care requirements and the competencies of the health care professionals. These necessities are particularly critical in the Arab world, countries that share the same language and </w:t>
      </w:r>
      <w:proofErr w:type="gramStart"/>
      <w:r w:rsidRPr="00861FCC">
        <w:rPr>
          <w:rFonts w:asciiTheme="minorBidi" w:hAnsiTheme="minorBidi"/>
          <w:sz w:val="20"/>
          <w:szCs w:val="20"/>
        </w:rPr>
        <w:t>culture[</w:t>
      </w:r>
      <w:proofErr w:type="gramEnd"/>
      <w:r w:rsidR="00652800" w:rsidRPr="00861FCC">
        <w:rPr>
          <w:rFonts w:asciiTheme="minorBidi" w:hAnsiTheme="minorBidi"/>
          <w:sz w:val="20"/>
          <w:szCs w:val="20"/>
        </w:rPr>
        <w:t>9</w:t>
      </w:r>
      <w:r w:rsidRPr="00861FCC">
        <w:rPr>
          <w:rFonts w:asciiTheme="minorBidi" w:hAnsiTheme="minorBidi"/>
          <w:sz w:val="20"/>
          <w:szCs w:val="20"/>
        </w:rPr>
        <w:t xml:space="preserve">]. This region that comprises 22 countries across Asia and Africa is </w:t>
      </w:r>
      <w:proofErr w:type="gramStart"/>
      <w:r w:rsidRPr="00861FCC">
        <w:rPr>
          <w:rFonts w:asciiTheme="minorBidi" w:hAnsiTheme="minorBidi"/>
          <w:sz w:val="20"/>
          <w:szCs w:val="20"/>
        </w:rPr>
        <w:t>experiencing  increasing</w:t>
      </w:r>
      <w:proofErr w:type="gramEnd"/>
      <w:r w:rsidRPr="00861FCC">
        <w:rPr>
          <w:rFonts w:asciiTheme="minorBidi" w:hAnsiTheme="minorBidi"/>
          <w:sz w:val="20"/>
          <w:szCs w:val="20"/>
        </w:rPr>
        <w:t xml:space="preserve"> challenges of chronic diseases such as cardiovascular disease, diabetes, and obesity as well as the poverty arising from population growth and expanded refugees [</w:t>
      </w:r>
      <w:r w:rsidR="00652800" w:rsidRPr="00861FCC">
        <w:rPr>
          <w:rFonts w:asciiTheme="minorBidi" w:hAnsiTheme="minorBidi"/>
          <w:sz w:val="20"/>
          <w:szCs w:val="20"/>
        </w:rPr>
        <w:t>10</w:t>
      </w:r>
      <w:r w:rsidRPr="00861FCC">
        <w:rPr>
          <w:rFonts w:asciiTheme="minorBidi" w:hAnsiTheme="minorBidi"/>
          <w:sz w:val="20"/>
          <w:szCs w:val="20"/>
        </w:rPr>
        <w:t>].</w:t>
      </w:r>
    </w:p>
    <w:p w14:paraId="0E2F37D6" w14:textId="4DBA5A66" w:rsidR="00960ED8" w:rsidRPr="00861FCC" w:rsidRDefault="00FD02BC" w:rsidP="00FD02BC">
      <w:pPr>
        <w:bidi w:val="0"/>
        <w:spacing w:line="360" w:lineRule="auto"/>
        <w:jc w:val="both"/>
        <w:rPr>
          <w:rFonts w:asciiTheme="minorBidi" w:hAnsiTheme="minorBidi"/>
          <w:sz w:val="20"/>
          <w:szCs w:val="20"/>
        </w:rPr>
      </w:pPr>
      <w:r w:rsidRPr="00861FCC">
        <w:rPr>
          <w:rFonts w:asciiTheme="minorBidi" w:hAnsiTheme="minorBidi"/>
          <w:sz w:val="20"/>
          <w:szCs w:val="20"/>
        </w:rPr>
        <w:t xml:space="preserve">These emergent health challenges have significantly expanded the space of pharmacy practice. </w:t>
      </w:r>
      <w:r w:rsidR="008972A3" w:rsidRPr="00861FCC">
        <w:rPr>
          <w:rFonts w:asciiTheme="minorBidi" w:hAnsiTheme="minorBidi"/>
          <w:sz w:val="20"/>
          <w:szCs w:val="20"/>
        </w:rPr>
        <w:t xml:space="preserve">This shift in pharmacy practice paradigms necessitates transformation in educational models to produce practitioners with </w:t>
      </w:r>
      <w:r w:rsidR="00DF5263" w:rsidRPr="00861FCC">
        <w:rPr>
          <w:rFonts w:asciiTheme="minorBidi" w:hAnsiTheme="minorBidi"/>
          <w:sz w:val="20"/>
          <w:szCs w:val="20"/>
        </w:rPr>
        <w:t>improved</w:t>
      </w:r>
      <w:r w:rsidR="008972A3" w:rsidRPr="00861FCC">
        <w:rPr>
          <w:rFonts w:asciiTheme="minorBidi" w:hAnsiTheme="minorBidi"/>
          <w:sz w:val="20"/>
          <w:szCs w:val="20"/>
        </w:rPr>
        <w:t xml:space="preserve"> clinical competencies and patient-centered skills.</w:t>
      </w:r>
    </w:p>
    <w:p w14:paraId="2335F5B5" w14:textId="6A79FC04" w:rsidR="000E3159" w:rsidRPr="00861FCC" w:rsidRDefault="00E36FC6" w:rsidP="00652800">
      <w:pPr>
        <w:bidi w:val="0"/>
        <w:spacing w:line="360" w:lineRule="auto"/>
        <w:jc w:val="both"/>
        <w:rPr>
          <w:rFonts w:asciiTheme="minorBidi" w:hAnsiTheme="minorBidi"/>
          <w:sz w:val="20"/>
          <w:szCs w:val="20"/>
        </w:rPr>
      </w:pPr>
      <w:r w:rsidRPr="00861FCC">
        <w:rPr>
          <w:rFonts w:asciiTheme="minorBidi" w:hAnsiTheme="minorBidi"/>
          <w:sz w:val="20"/>
          <w:szCs w:val="20"/>
        </w:rPr>
        <w:t>Overall</w:t>
      </w:r>
      <w:r w:rsidR="000E3159" w:rsidRPr="00861FCC">
        <w:rPr>
          <w:rFonts w:asciiTheme="minorBidi" w:hAnsiTheme="minorBidi"/>
          <w:sz w:val="20"/>
          <w:szCs w:val="20"/>
        </w:rPr>
        <w:t xml:space="preserve">, the Arab </w:t>
      </w:r>
      <w:r w:rsidR="00DD39D7" w:rsidRPr="00861FCC">
        <w:rPr>
          <w:rFonts w:asciiTheme="minorBidi" w:hAnsiTheme="minorBidi"/>
          <w:sz w:val="20"/>
          <w:szCs w:val="20"/>
        </w:rPr>
        <w:t>world region</w:t>
      </w:r>
      <w:r w:rsidR="000E3159" w:rsidRPr="00861FCC">
        <w:rPr>
          <w:rFonts w:asciiTheme="minorBidi" w:hAnsiTheme="minorBidi"/>
          <w:sz w:val="20"/>
          <w:szCs w:val="20"/>
        </w:rPr>
        <w:t xml:space="preserve"> </w:t>
      </w:r>
      <w:r w:rsidRPr="00861FCC">
        <w:rPr>
          <w:rFonts w:asciiTheme="minorBidi" w:hAnsiTheme="minorBidi"/>
          <w:sz w:val="20"/>
          <w:szCs w:val="20"/>
        </w:rPr>
        <w:t>is</w:t>
      </w:r>
      <w:r w:rsidR="00DD39D7" w:rsidRPr="00861FCC">
        <w:rPr>
          <w:rFonts w:asciiTheme="minorBidi" w:hAnsiTheme="minorBidi"/>
          <w:sz w:val="20"/>
          <w:szCs w:val="20"/>
        </w:rPr>
        <w:t xml:space="preserve"> facing a</w:t>
      </w:r>
      <w:r w:rsidR="000E3159" w:rsidRPr="00861FCC">
        <w:rPr>
          <w:rFonts w:asciiTheme="minorBidi" w:hAnsiTheme="minorBidi"/>
          <w:sz w:val="20"/>
          <w:szCs w:val="20"/>
        </w:rPr>
        <w:t xml:space="preserve"> slower </w:t>
      </w:r>
      <w:r w:rsidR="00DD39D7" w:rsidRPr="00861FCC">
        <w:rPr>
          <w:rFonts w:asciiTheme="minorBidi" w:hAnsiTheme="minorBidi"/>
          <w:sz w:val="20"/>
          <w:szCs w:val="20"/>
        </w:rPr>
        <w:t>development steps in pharmacy practice compar</w:t>
      </w:r>
      <w:r w:rsidRPr="00861FCC">
        <w:rPr>
          <w:rFonts w:asciiTheme="minorBidi" w:hAnsiTheme="minorBidi"/>
          <w:sz w:val="20"/>
          <w:szCs w:val="20"/>
        </w:rPr>
        <w:t>ed</w:t>
      </w:r>
      <w:r w:rsidR="000E3159" w:rsidRPr="00861FCC">
        <w:rPr>
          <w:rFonts w:asciiTheme="minorBidi" w:hAnsiTheme="minorBidi"/>
          <w:sz w:val="20"/>
          <w:szCs w:val="20"/>
        </w:rPr>
        <w:t xml:space="preserve"> with other places</w:t>
      </w:r>
      <w:r w:rsidR="00DD39D7" w:rsidRPr="00861FCC">
        <w:rPr>
          <w:rFonts w:asciiTheme="minorBidi" w:hAnsiTheme="minorBidi"/>
          <w:sz w:val="20"/>
          <w:szCs w:val="20"/>
        </w:rPr>
        <w:t xml:space="preserve"> in the world</w:t>
      </w:r>
      <w:r w:rsidRPr="00861FCC">
        <w:rPr>
          <w:rFonts w:asciiTheme="minorBidi" w:hAnsiTheme="minorBidi"/>
          <w:sz w:val="20"/>
          <w:szCs w:val="20"/>
        </w:rPr>
        <w:t xml:space="preserve">, </w:t>
      </w:r>
      <w:r w:rsidR="0064618B" w:rsidRPr="00861FCC">
        <w:rPr>
          <w:rFonts w:asciiTheme="minorBidi" w:hAnsiTheme="minorBidi"/>
          <w:sz w:val="20"/>
          <w:szCs w:val="20"/>
        </w:rPr>
        <w:t>largely</w:t>
      </w:r>
      <w:r w:rsidRPr="00861FCC">
        <w:rPr>
          <w:rFonts w:asciiTheme="minorBidi" w:hAnsiTheme="minorBidi"/>
          <w:sz w:val="20"/>
          <w:szCs w:val="20"/>
        </w:rPr>
        <w:t xml:space="preserve"> because the</w:t>
      </w:r>
      <w:r w:rsidR="000E3159" w:rsidRPr="00861FCC">
        <w:rPr>
          <w:rFonts w:asciiTheme="minorBidi" w:hAnsiTheme="minorBidi"/>
          <w:sz w:val="20"/>
          <w:szCs w:val="20"/>
        </w:rPr>
        <w:t xml:space="preserve"> </w:t>
      </w:r>
      <w:r w:rsidRPr="00861FCC">
        <w:rPr>
          <w:rFonts w:asciiTheme="minorBidi" w:hAnsiTheme="minorBidi"/>
          <w:sz w:val="20"/>
          <w:szCs w:val="20"/>
        </w:rPr>
        <w:t>m</w:t>
      </w:r>
      <w:r w:rsidR="000E3159" w:rsidRPr="00861FCC">
        <w:rPr>
          <w:rFonts w:asciiTheme="minorBidi" w:hAnsiTheme="minorBidi"/>
          <w:sz w:val="20"/>
          <w:szCs w:val="20"/>
        </w:rPr>
        <w:t xml:space="preserve">ost pharmacists </w:t>
      </w:r>
      <w:r w:rsidR="0064618B" w:rsidRPr="00861FCC">
        <w:rPr>
          <w:rFonts w:asciiTheme="minorBidi" w:hAnsiTheme="minorBidi"/>
          <w:sz w:val="20"/>
          <w:szCs w:val="20"/>
        </w:rPr>
        <w:t xml:space="preserve">are </w:t>
      </w:r>
      <w:r w:rsidR="000E3159" w:rsidRPr="00861FCC">
        <w:rPr>
          <w:rFonts w:asciiTheme="minorBidi" w:hAnsiTheme="minorBidi"/>
          <w:sz w:val="20"/>
          <w:szCs w:val="20"/>
        </w:rPr>
        <w:t>work</w:t>
      </w:r>
      <w:r w:rsidR="0064618B" w:rsidRPr="00861FCC">
        <w:rPr>
          <w:rFonts w:asciiTheme="minorBidi" w:hAnsiTheme="minorBidi"/>
          <w:sz w:val="20"/>
          <w:szCs w:val="20"/>
        </w:rPr>
        <w:t>ing</w:t>
      </w:r>
      <w:r w:rsidR="000E3159" w:rsidRPr="00861FCC">
        <w:rPr>
          <w:rFonts w:asciiTheme="minorBidi" w:hAnsiTheme="minorBidi"/>
          <w:sz w:val="20"/>
          <w:szCs w:val="20"/>
        </w:rPr>
        <w:t xml:space="preserve"> in the community pharmacies</w:t>
      </w:r>
      <w:r w:rsidR="00225119" w:rsidRPr="00861FCC">
        <w:rPr>
          <w:rFonts w:asciiTheme="minorBidi" w:hAnsiTheme="minorBidi"/>
          <w:sz w:val="20"/>
          <w:szCs w:val="20"/>
        </w:rPr>
        <w:t xml:space="preserve"> [</w:t>
      </w:r>
      <w:r w:rsidR="00652800" w:rsidRPr="00861FCC">
        <w:rPr>
          <w:rFonts w:asciiTheme="minorBidi" w:hAnsiTheme="minorBidi"/>
          <w:sz w:val="20"/>
          <w:szCs w:val="20"/>
        </w:rPr>
        <w:t>11</w:t>
      </w:r>
      <w:r w:rsidR="00225119" w:rsidRPr="00861FCC">
        <w:rPr>
          <w:rFonts w:asciiTheme="minorBidi" w:hAnsiTheme="minorBidi"/>
          <w:sz w:val="20"/>
          <w:szCs w:val="20"/>
        </w:rPr>
        <w:t>]</w:t>
      </w:r>
      <w:r w:rsidR="000E3159" w:rsidRPr="00861FCC">
        <w:rPr>
          <w:rFonts w:asciiTheme="minorBidi" w:hAnsiTheme="minorBidi"/>
          <w:sz w:val="20"/>
          <w:szCs w:val="20"/>
        </w:rPr>
        <w:t xml:space="preserve">. </w:t>
      </w:r>
      <w:r w:rsidR="0064618B" w:rsidRPr="00861FCC">
        <w:rPr>
          <w:rFonts w:asciiTheme="minorBidi" w:hAnsiTheme="minorBidi"/>
          <w:sz w:val="20"/>
          <w:szCs w:val="20"/>
          <w:lang w:bidi="ar-LY"/>
        </w:rPr>
        <w:t xml:space="preserve">As is well known, the pharmacists </w:t>
      </w:r>
      <w:r w:rsidR="00225119" w:rsidRPr="00861FCC">
        <w:rPr>
          <w:rFonts w:asciiTheme="minorBidi" w:hAnsiTheme="minorBidi"/>
          <w:sz w:val="20"/>
          <w:szCs w:val="20"/>
          <w:lang w:bidi="ar-LY"/>
        </w:rPr>
        <w:t>working</w:t>
      </w:r>
      <w:r w:rsidR="0064618B" w:rsidRPr="00861FCC">
        <w:rPr>
          <w:rFonts w:asciiTheme="minorBidi" w:hAnsiTheme="minorBidi"/>
          <w:sz w:val="20"/>
          <w:szCs w:val="20"/>
          <w:lang w:bidi="ar-LY"/>
        </w:rPr>
        <w:t xml:space="preserve"> in the h</w:t>
      </w:r>
      <w:r w:rsidR="000E3159" w:rsidRPr="00861FCC">
        <w:rPr>
          <w:rFonts w:asciiTheme="minorBidi" w:hAnsiTheme="minorBidi"/>
          <w:sz w:val="20"/>
          <w:szCs w:val="20"/>
        </w:rPr>
        <w:t xml:space="preserve">ospital </w:t>
      </w:r>
      <w:proofErr w:type="gramStart"/>
      <w:r w:rsidR="000E3159" w:rsidRPr="00861FCC">
        <w:rPr>
          <w:rFonts w:asciiTheme="minorBidi" w:hAnsiTheme="minorBidi"/>
          <w:sz w:val="20"/>
          <w:szCs w:val="20"/>
        </w:rPr>
        <w:t xml:space="preserve">pharmacy </w:t>
      </w:r>
      <w:r w:rsidR="0064618B" w:rsidRPr="00861FCC">
        <w:rPr>
          <w:rFonts w:asciiTheme="minorBidi" w:hAnsiTheme="minorBidi"/>
          <w:sz w:val="20"/>
          <w:szCs w:val="20"/>
        </w:rPr>
        <w:t xml:space="preserve"> are</w:t>
      </w:r>
      <w:proofErr w:type="gramEnd"/>
      <w:r w:rsidR="0064618B" w:rsidRPr="00861FCC">
        <w:rPr>
          <w:rFonts w:asciiTheme="minorBidi" w:hAnsiTheme="minorBidi"/>
          <w:sz w:val="20"/>
          <w:szCs w:val="20"/>
        </w:rPr>
        <w:t xml:space="preserve"> more likely to hold the advanced degree or residency</w:t>
      </w:r>
      <w:r w:rsidR="00225119" w:rsidRPr="00861FCC">
        <w:rPr>
          <w:rFonts w:asciiTheme="minorBidi" w:hAnsiTheme="minorBidi"/>
          <w:sz w:val="20"/>
          <w:szCs w:val="20"/>
        </w:rPr>
        <w:t xml:space="preserve">  and  specialized training in</w:t>
      </w:r>
      <w:r w:rsidR="0064618B" w:rsidRPr="00861FCC">
        <w:rPr>
          <w:rFonts w:asciiTheme="minorBidi" w:hAnsiTheme="minorBidi"/>
          <w:sz w:val="20"/>
          <w:szCs w:val="20"/>
        </w:rPr>
        <w:t xml:space="preserve"> </w:t>
      </w:r>
      <w:r w:rsidR="00225119" w:rsidRPr="00861FCC">
        <w:rPr>
          <w:rFonts w:asciiTheme="minorBidi" w:hAnsiTheme="minorBidi"/>
          <w:sz w:val="20"/>
          <w:szCs w:val="20"/>
        </w:rPr>
        <w:t xml:space="preserve">the </w:t>
      </w:r>
      <w:r w:rsidR="0064618B" w:rsidRPr="00861FCC">
        <w:rPr>
          <w:rFonts w:asciiTheme="minorBidi" w:hAnsiTheme="minorBidi"/>
          <w:sz w:val="20"/>
          <w:szCs w:val="20"/>
        </w:rPr>
        <w:t xml:space="preserve">pharmacy </w:t>
      </w:r>
      <w:r w:rsidR="000E3159" w:rsidRPr="00861FCC">
        <w:rPr>
          <w:rFonts w:asciiTheme="minorBidi" w:hAnsiTheme="minorBidi"/>
          <w:sz w:val="20"/>
          <w:szCs w:val="20"/>
        </w:rPr>
        <w:t xml:space="preserve">practice </w:t>
      </w:r>
      <w:r w:rsidR="00225119" w:rsidRPr="00861FCC">
        <w:rPr>
          <w:rFonts w:asciiTheme="minorBidi" w:hAnsiTheme="minorBidi"/>
          <w:sz w:val="20"/>
          <w:szCs w:val="20"/>
        </w:rPr>
        <w:t>compared with</w:t>
      </w:r>
      <w:r w:rsidR="000E3159" w:rsidRPr="00861FCC">
        <w:rPr>
          <w:rFonts w:asciiTheme="minorBidi" w:hAnsiTheme="minorBidi"/>
          <w:sz w:val="20"/>
          <w:szCs w:val="20"/>
        </w:rPr>
        <w:t xml:space="preserve"> community </w:t>
      </w:r>
      <w:r w:rsidR="00225119" w:rsidRPr="00861FCC">
        <w:rPr>
          <w:rFonts w:asciiTheme="minorBidi" w:hAnsiTheme="minorBidi"/>
          <w:sz w:val="20"/>
          <w:szCs w:val="20"/>
        </w:rPr>
        <w:t>pharmacists [</w:t>
      </w:r>
      <w:r w:rsidR="00652800" w:rsidRPr="00861FCC">
        <w:rPr>
          <w:rFonts w:asciiTheme="minorBidi" w:hAnsiTheme="minorBidi"/>
          <w:sz w:val="20"/>
          <w:szCs w:val="20"/>
        </w:rPr>
        <w:t>12</w:t>
      </w:r>
      <w:r w:rsidR="00225119" w:rsidRPr="00861FCC">
        <w:rPr>
          <w:rFonts w:asciiTheme="minorBidi" w:hAnsiTheme="minorBidi"/>
          <w:sz w:val="20"/>
          <w:szCs w:val="20"/>
        </w:rPr>
        <w:t>,</w:t>
      </w:r>
      <w:r w:rsidR="00652800" w:rsidRPr="00861FCC">
        <w:rPr>
          <w:rFonts w:asciiTheme="minorBidi" w:hAnsiTheme="minorBidi"/>
          <w:sz w:val="20"/>
          <w:szCs w:val="20"/>
        </w:rPr>
        <w:t>13</w:t>
      </w:r>
      <w:r w:rsidR="00225119" w:rsidRPr="00861FCC">
        <w:rPr>
          <w:rFonts w:asciiTheme="minorBidi" w:hAnsiTheme="minorBidi"/>
          <w:sz w:val="20"/>
          <w:szCs w:val="20"/>
        </w:rPr>
        <w:t>].</w:t>
      </w:r>
    </w:p>
    <w:p w14:paraId="2218EC45" w14:textId="1CA8BD5C" w:rsidR="000E3159" w:rsidRPr="00861FCC" w:rsidRDefault="00225119" w:rsidP="00652800">
      <w:pPr>
        <w:bidi w:val="0"/>
        <w:spacing w:line="360" w:lineRule="auto"/>
        <w:jc w:val="both"/>
        <w:rPr>
          <w:rFonts w:asciiTheme="minorBidi" w:hAnsiTheme="minorBidi"/>
          <w:sz w:val="20"/>
          <w:szCs w:val="20"/>
        </w:rPr>
      </w:pPr>
      <w:proofErr w:type="gramStart"/>
      <w:r w:rsidRPr="00861FCC">
        <w:rPr>
          <w:rFonts w:asciiTheme="minorBidi" w:hAnsiTheme="minorBidi"/>
          <w:sz w:val="20"/>
          <w:szCs w:val="20"/>
        </w:rPr>
        <w:t xml:space="preserve">The </w:t>
      </w:r>
      <w:r w:rsidR="000E3159" w:rsidRPr="00861FCC">
        <w:rPr>
          <w:rFonts w:asciiTheme="minorBidi" w:hAnsiTheme="minorBidi"/>
          <w:sz w:val="20"/>
          <w:szCs w:val="20"/>
        </w:rPr>
        <w:t xml:space="preserve"> pharmac</w:t>
      </w:r>
      <w:r w:rsidR="00257DAF" w:rsidRPr="00861FCC">
        <w:rPr>
          <w:rFonts w:asciiTheme="minorBidi" w:hAnsiTheme="minorBidi"/>
          <w:sz w:val="20"/>
          <w:szCs w:val="20"/>
        </w:rPr>
        <w:t>ists</w:t>
      </w:r>
      <w:proofErr w:type="gramEnd"/>
      <w:r w:rsidR="00257DAF" w:rsidRPr="00861FCC">
        <w:rPr>
          <w:rFonts w:asciiTheme="minorBidi" w:hAnsiTheme="minorBidi"/>
          <w:sz w:val="20"/>
          <w:szCs w:val="20"/>
        </w:rPr>
        <w:t xml:space="preserve"> with strong</w:t>
      </w:r>
      <w:r w:rsidR="000E3159" w:rsidRPr="00861FCC">
        <w:rPr>
          <w:rFonts w:asciiTheme="minorBidi" w:hAnsiTheme="minorBidi"/>
          <w:sz w:val="20"/>
          <w:szCs w:val="20"/>
        </w:rPr>
        <w:t xml:space="preserve"> </w:t>
      </w:r>
      <w:r w:rsidR="00257DAF" w:rsidRPr="00861FCC">
        <w:rPr>
          <w:rFonts w:asciiTheme="minorBidi" w:hAnsiTheme="minorBidi"/>
          <w:sz w:val="20"/>
          <w:szCs w:val="20"/>
        </w:rPr>
        <w:t>patient centered</w:t>
      </w:r>
      <w:r w:rsidR="000E3159" w:rsidRPr="00861FCC">
        <w:rPr>
          <w:rFonts w:asciiTheme="minorBidi" w:hAnsiTheme="minorBidi"/>
          <w:sz w:val="20"/>
          <w:szCs w:val="20"/>
        </w:rPr>
        <w:t xml:space="preserve"> </w:t>
      </w:r>
      <w:r w:rsidR="00D94A6A" w:rsidRPr="00861FCC">
        <w:rPr>
          <w:rFonts w:asciiTheme="minorBidi" w:hAnsiTheme="minorBidi"/>
          <w:sz w:val="20"/>
          <w:szCs w:val="20"/>
        </w:rPr>
        <w:t>competencies</w:t>
      </w:r>
      <w:r w:rsidR="000E3159" w:rsidRPr="00861FCC">
        <w:rPr>
          <w:rFonts w:asciiTheme="minorBidi" w:hAnsiTheme="minorBidi"/>
          <w:sz w:val="20"/>
          <w:szCs w:val="20"/>
        </w:rPr>
        <w:t xml:space="preserve">, </w:t>
      </w:r>
      <w:r w:rsidR="00257DAF" w:rsidRPr="00861FCC">
        <w:rPr>
          <w:rFonts w:asciiTheme="minorBidi" w:hAnsiTheme="minorBidi"/>
          <w:sz w:val="20"/>
          <w:szCs w:val="20"/>
        </w:rPr>
        <w:t xml:space="preserve"> need to study a </w:t>
      </w:r>
      <w:r w:rsidRPr="00861FCC">
        <w:rPr>
          <w:rFonts w:asciiTheme="minorBidi" w:hAnsiTheme="minorBidi"/>
          <w:sz w:val="20"/>
          <w:szCs w:val="20"/>
        </w:rPr>
        <w:t>modern</w:t>
      </w:r>
      <w:r w:rsidR="000E3159" w:rsidRPr="00861FCC">
        <w:rPr>
          <w:rFonts w:asciiTheme="minorBidi" w:hAnsiTheme="minorBidi"/>
          <w:sz w:val="20"/>
          <w:szCs w:val="20"/>
        </w:rPr>
        <w:t xml:space="preserve"> pharmacy curricula </w:t>
      </w:r>
      <w:r w:rsidR="00257DAF" w:rsidRPr="00861FCC">
        <w:rPr>
          <w:rFonts w:asciiTheme="minorBidi" w:hAnsiTheme="minorBidi"/>
          <w:sz w:val="20"/>
          <w:szCs w:val="20"/>
        </w:rPr>
        <w:t xml:space="preserve">that  </w:t>
      </w:r>
      <w:r w:rsidR="003C466A" w:rsidRPr="00861FCC">
        <w:rPr>
          <w:rFonts w:asciiTheme="minorBidi" w:hAnsiTheme="minorBidi"/>
          <w:sz w:val="20"/>
          <w:szCs w:val="20"/>
        </w:rPr>
        <w:t>integrate</w:t>
      </w:r>
      <w:r w:rsidR="000E3159" w:rsidRPr="00861FCC">
        <w:rPr>
          <w:rFonts w:asciiTheme="minorBidi" w:hAnsiTheme="minorBidi"/>
          <w:sz w:val="20"/>
          <w:szCs w:val="20"/>
        </w:rPr>
        <w:t xml:space="preserve"> active learning strategies such as team-based learning (</w:t>
      </w:r>
      <w:smartTag w:uri="urn:schemas-microsoft-com:office:smarttags" w:element="stockticker">
        <w:r w:rsidR="000E3159" w:rsidRPr="00861FCC">
          <w:rPr>
            <w:rFonts w:asciiTheme="minorBidi" w:hAnsiTheme="minorBidi"/>
            <w:sz w:val="20"/>
            <w:szCs w:val="20"/>
          </w:rPr>
          <w:t>TBL</w:t>
        </w:r>
      </w:smartTag>
      <w:r w:rsidR="000E3159" w:rsidRPr="00861FCC">
        <w:rPr>
          <w:rFonts w:asciiTheme="minorBidi" w:hAnsiTheme="minorBidi"/>
          <w:sz w:val="20"/>
          <w:szCs w:val="20"/>
        </w:rPr>
        <w:t>)</w:t>
      </w:r>
      <w:r w:rsidR="00257DAF" w:rsidRPr="00861FCC">
        <w:rPr>
          <w:rFonts w:asciiTheme="minorBidi" w:hAnsiTheme="minorBidi"/>
          <w:sz w:val="20"/>
          <w:szCs w:val="20"/>
        </w:rPr>
        <w:t>, flipped lectures, assignments, and problem-based learning (PBL)</w:t>
      </w:r>
      <w:r w:rsidR="003C466A" w:rsidRPr="00861FCC">
        <w:rPr>
          <w:rFonts w:asciiTheme="minorBidi" w:hAnsiTheme="minorBidi"/>
          <w:sz w:val="20"/>
          <w:szCs w:val="20"/>
        </w:rPr>
        <w:t>.</w:t>
      </w:r>
      <w:r w:rsidR="00257DAF" w:rsidRPr="00861FCC">
        <w:rPr>
          <w:rFonts w:asciiTheme="minorBidi" w:hAnsiTheme="minorBidi"/>
          <w:sz w:val="20"/>
          <w:szCs w:val="20"/>
        </w:rPr>
        <w:t xml:space="preserve"> </w:t>
      </w:r>
      <w:r w:rsidR="003C466A" w:rsidRPr="00861FCC">
        <w:rPr>
          <w:rFonts w:asciiTheme="minorBidi" w:hAnsiTheme="minorBidi"/>
          <w:sz w:val="20"/>
          <w:szCs w:val="20"/>
        </w:rPr>
        <w:t xml:space="preserve">These strategies </w:t>
      </w:r>
      <w:r w:rsidR="00257DAF" w:rsidRPr="00861FCC">
        <w:rPr>
          <w:rFonts w:asciiTheme="minorBidi" w:hAnsiTheme="minorBidi"/>
          <w:sz w:val="20"/>
          <w:szCs w:val="20"/>
        </w:rPr>
        <w:t>improve</w:t>
      </w:r>
      <w:r w:rsidR="000E3159" w:rsidRPr="00861FCC">
        <w:rPr>
          <w:rFonts w:asciiTheme="minorBidi" w:hAnsiTheme="minorBidi"/>
          <w:sz w:val="20"/>
          <w:szCs w:val="20"/>
        </w:rPr>
        <w:t xml:space="preserve"> </w:t>
      </w:r>
      <w:r w:rsidR="00257DAF" w:rsidRPr="00861FCC">
        <w:rPr>
          <w:rFonts w:asciiTheme="minorBidi" w:hAnsiTheme="minorBidi"/>
          <w:sz w:val="20"/>
          <w:szCs w:val="20"/>
        </w:rPr>
        <w:t>the crucial practice</w:t>
      </w:r>
      <w:r w:rsidR="000E3159" w:rsidRPr="00861FCC">
        <w:rPr>
          <w:rFonts w:asciiTheme="minorBidi" w:hAnsiTheme="minorBidi"/>
          <w:sz w:val="20"/>
          <w:szCs w:val="20"/>
        </w:rPr>
        <w:t xml:space="preserve"> skills</w:t>
      </w:r>
      <w:r w:rsidR="003C466A" w:rsidRPr="00861FCC">
        <w:rPr>
          <w:rFonts w:asciiTheme="minorBidi" w:hAnsiTheme="minorBidi"/>
          <w:sz w:val="20"/>
          <w:szCs w:val="20"/>
        </w:rPr>
        <w:t xml:space="preserve"> including critical thinking skills, enhance</w:t>
      </w:r>
      <w:r w:rsidR="000E3159" w:rsidRPr="00861FCC">
        <w:rPr>
          <w:rFonts w:asciiTheme="minorBidi" w:hAnsiTheme="minorBidi"/>
          <w:sz w:val="20"/>
          <w:szCs w:val="20"/>
        </w:rPr>
        <w:t xml:space="preserve"> communication</w:t>
      </w:r>
      <w:r w:rsidR="003C466A" w:rsidRPr="00861FCC">
        <w:rPr>
          <w:rFonts w:asciiTheme="minorBidi" w:hAnsiTheme="minorBidi"/>
          <w:sz w:val="20"/>
          <w:szCs w:val="20"/>
        </w:rPr>
        <w:t xml:space="preserve"> with patients and </w:t>
      </w:r>
      <w:proofErr w:type="gramStart"/>
      <w:r w:rsidR="003C466A" w:rsidRPr="00861FCC">
        <w:rPr>
          <w:rFonts w:asciiTheme="minorBidi" w:hAnsiTheme="minorBidi"/>
          <w:sz w:val="20"/>
          <w:szCs w:val="20"/>
        </w:rPr>
        <w:t>Colleagues</w:t>
      </w:r>
      <w:r w:rsidR="000E3159" w:rsidRPr="00861FCC">
        <w:rPr>
          <w:rFonts w:asciiTheme="minorBidi" w:hAnsiTheme="minorBidi"/>
          <w:sz w:val="20"/>
          <w:szCs w:val="20"/>
        </w:rPr>
        <w:t xml:space="preserve">, </w:t>
      </w:r>
      <w:r w:rsidR="003C466A" w:rsidRPr="00861FCC">
        <w:rPr>
          <w:rFonts w:asciiTheme="minorBidi" w:hAnsiTheme="minorBidi"/>
          <w:sz w:val="20"/>
          <w:szCs w:val="20"/>
        </w:rPr>
        <w:t xml:space="preserve"> and</w:t>
      </w:r>
      <w:proofErr w:type="gramEnd"/>
      <w:r w:rsidR="003C466A" w:rsidRPr="00861FCC">
        <w:rPr>
          <w:rFonts w:asciiTheme="minorBidi" w:hAnsiTheme="minorBidi"/>
          <w:sz w:val="20"/>
          <w:szCs w:val="20"/>
        </w:rPr>
        <w:t xml:space="preserve"> </w:t>
      </w:r>
      <w:r w:rsidR="000E3159" w:rsidRPr="00861FCC">
        <w:rPr>
          <w:rFonts w:asciiTheme="minorBidi" w:hAnsiTheme="minorBidi"/>
          <w:sz w:val="20"/>
          <w:szCs w:val="20"/>
        </w:rPr>
        <w:t>teamwork</w:t>
      </w:r>
      <w:r w:rsidR="003C466A" w:rsidRPr="00861FCC">
        <w:rPr>
          <w:rFonts w:asciiTheme="minorBidi" w:hAnsiTheme="minorBidi"/>
          <w:sz w:val="20"/>
          <w:szCs w:val="20"/>
        </w:rPr>
        <w:t xml:space="preserve"> profession</w:t>
      </w:r>
      <w:r w:rsidR="000E3159" w:rsidRPr="00861FCC">
        <w:rPr>
          <w:rFonts w:asciiTheme="minorBidi" w:hAnsiTheme="minorBidi"/>
          <w:sz w:val="20"/>
          <w:szCs w:val="20"/>
        </w:rPr>
        <w:t xml:space="preserve"> </w:t>
      </w:r>
      <w:r w:rsidR="00257DAF" w:rsidRPr="00861FCC">
        <w:rPr>
          <w:rFonts w:asciiTheme="minorBidi" w:hAnsiTheme="minorBidi"/>
          <w:sz w:val="20"/>
          <w:szCs w:val="20"/>
        </w:rPr>
        <w:t>of the pharmacy students</w:t>
      </w:r>
      <w:r w:rsidR="003C466A" w:rsidRPr="00861FCC">
        <w:rPr>
          <w:rFonts w:asciiTheme="minorBidi" w:hAnsiTheme="minorBidi"/>
          <w:sz w:val="20"/>
          <w:szCs w:val="20"/>
        </w:rPr>
        <w:t xml:space="preserve"> [1</w:t>
      </w:r>
      <w:r w:rsidR="00652800" w:rsidRPr="00861FCC">
        <w:rPr>
          <w:rFonts w:asciiTheme="minorBidi" w:hAnsiTheme="minorBidi"/>
          <w:sz w:val="20"/>
          <w:szCs w:val="20"/>
        </w:rPr>
        <w:t>4</w:t>
      </w:r>
      <w:r w:rsidR="003C466A" w:rsidRPr="00861FCC">
        <w:rPr>
          <w:rFonts w:asciiTheme="minorBidi" w:hAnsiTheme="minorBidi"/>
          <w:sz w:val="20"/>
          <w:szCs w:val="20"/>
        </w:rPr>
        <w:t>]</w:t>
      </w:r>
      <w:r w:rsidR="000E3159" w:rsidRPr="00861FCC">
        <w:rPr>
          <w:rFonts w:asciiTheme="minorBidi" w:hAnsiTheme="minorBidi"/>
          <w:sz w:val="20"/>
          <w:szCs w:val="20"/>
        </w:rPr>
        <w:t>.</w:t>
      </w:r>
    </w:p>
    <w:p w14:paraId="1C9E327F" w14:textId="7F32AA54" w:rsidR="008972A3" w:rsidRPr="00861FCC" w:rsidRDefault="008972A3" w:rsidP="00652800">
      <w:pPr>
        <w:bidi w:val="0"/>
        <w:spacing w:line="360" w:lineRule="auto"/>
        <w:jc w:val="both"/>
        <w:rPr>
          <w:rFonts w:asciiTheme="minorBidi" w:hAnsiTheme="minorBidi"/>
          <w:sz w:val="20"/>
          <w:szCs w:val="20"/>
        </w:rPr>
      </w:pPr>
      <w:r w:rsidRPr="00861FCC">
        <w:rPr>
          <w:rFonts w:asciiTheme="minorBidi" w:hAnsiTheme="minorBidi"/>
          <w:sz w:val="20"/>
          <w:szCs w:val="20"/>
        </w:rPr>
        <w:t xml:space="preserve"> The Doctor of Pharmacy (PharmD) degree has emerged globally as the standard for professional pharmacy education, emphasizing experiential learning, clinical training, and evidence-based care </w:t>
      </w:r>
      <w:r w:rsidR="004C6B2A" w:rsidRPr="00861FCC">
        <w:rPr>
          <w:rFonts w:asciiTheme="minorBidi" w:hAnsiTheme="minorBidi"/>
          <w:sz w:val="20"/>
          <w:szCs w:val="20"/>
        </w:rPr>
        <w:t>[</w:t>
      </w:r>
      <w:r w:rsidR="00652800" w:rsidRPr="00861FCC">
        <w:rPr>
          <w:rFonts w:asciiTheme="minorBidi" w:hAnsiTheme="minorBidi"/>
          <w:sz w:val="20"/>
          <w:szCs w:val="20"/>
        </w:rPr>
        <w:t>15</w:t>
      </w:r>
      <w:r w:rsidR="004C6B2A" w:rsidRPr="00861FCC">
        <w:rPr>
          <w:rFonts w:asciiTheme="minorBidi" w:hAnsiTheme="minorBidi"/>
          <w:sz w:val="20"/>
          <w:szCs w:val="20"/>
        </w:rPr>
        <w:t>]</w:t>
      </w:r>
      <w:r w:rsidRPr="00861FCC">
        <w:rPr>
          <w:rFonts w:asciiTheme="minorBidi" w:hAnsiTheme="minorBidi"/>
          <w:sz w:val="20"/>
          <w:szCs w:val="20"/>
        </w:rPr>
        <w:t xml:space="preserve">. Many countries, including developed and developing regions, are </w:t>
      </w:r>
      <w:r w:rsidRPr="00861FCC">
        <w:rPr>
          <w:rFonts w:asciiTheme="minorBidi" w:hAnsiTheme="minorBidi"/>
          <w:sz w:val="20"/>
          <w:szCs w:val="20"/>
        </w:rPr>
        <w:lastRenderedPageBreak/>
        <w:t xml:space="preserve">adopting or transitioning towards PharmD programs to align education with current healthcare needs and international standards </w:t>
      </w:r>
      <w:r w:rsidR="004C6B2A" w:rsidRPr="00861FCC">
        <w:rPr>
          <w:rFonts w:asciiTheme="minorBidi" w:hAnsiTheme="minorBidi"/>
          <w:sz w:val="20"/>
          <w:szCs w:val="20"/>
        </w:rPr>
        <w:t>[</w:t>
      </w:r>
      <w:r w:rsidR="00652800" w:rsidRPr="00861FCC">
        <w:rPr>
          <w:rFonts w:asciiTheme="minorBidi" w:hAnsiTheme="minorBidi"/>
          <w:sz w:val="20"/>
          <w:szCs w:val="20"/>
        </w:rPr>
        <w:t>16</w:t>
      </w:r>
      <w:r w:rsidR="004C6B2A" w:rsidRPr="00861FCC">
        <w:rPr>
          <w:rFonts w:asciiTheme="minorBidi" w:hAnsiTheme="minorBidi"/>
          <w:sz w:val="20"/>
          <w:szCs w:val="20"/>
        </w:rPr>
        <w:t>]</w:t>
      </w:r>
      <w:r w:rsidRPr="00861FCC">
        <w:rPr>
          <w:rFonts w:asciiTheme="minorBidi" w:hAnsiTheme="minorBidi"/>
          <w:sz w:val="20"/>
          <w:szCs w:val="20"/>
        </w:rPr>
        <w:t>.</w:t>
      </w:r>
    </w:p>
    <w:p w14:paraId="1903BB82" w14:textId="3B84CDAB" w:rsidR="008E785A" w:rsidRPr="00861FCC" w:rsidRDefault="008972A3" w:rsidP="00471DCC">
      <w:pPr>
        <w:bidi w:val="0"/>
        <w:spacing w:line="360" w:lineRule="auto"/>
        <w:jc w:val="both"/>
        <w:rPr>
          <w:rFonts w:asciiTheme="minorBidi" w:hAnsiTheme="minorBidi"/>
          <w:sz w:val="18"/>
          <w:szCs w:val="18"/>
        </w:rPr>
      </w:pPr>
      <w:r w:rsidRPr="00861FCC">
        <w:rPr>
          <w:rFonts w:asciiTheme="minorBidi" w:hAnsiTheme="minorBidi"/>
          <w:sz w:val="20"/>
          <w:szCs w:val="20"/>
        </w:rPr>
        <w:t>In Libya, pharmacy education has historically followed traditional Bachelor of Pharmacy (BPharm) programs</w:t>
      </w:r>
      <w:r w:rsidR="00F719BB" w:rsidRPr="00861FCC">
        <w:rPr>
          <w:rFonts w:asciiTheme="minorBidi" w:hAnsiTheme="minorBidi"/>
          <w:sz w:val="20"/>
          <w:szCs w:val="20"/>
        </w:rPr>
        <w:t>, which primarily</w:t>
      </w:r>
      <w:r w:rsidRPr="00861FCC">
        <w:rPr>
          <w:rFonts w:asciiTheme="minorBidi" w:hAnsiTheme="minorBidi"/>
          <w:sz w:val="20"/>
          <w:szCs w:val="20"/>
        </w:rPr>
        <w:t xml:space="preserve"> focused on pharmaceutical products and theoretical knowledge</w:t>
      </w:r>
      <w:r w:rsidR="00F719BB" w:rsidRPr="00861FCC">
        <w:rPr>
          <w:rFonts w:asciiTheme="minorBidi" w:hAnsiTheme="minorBidi"/>
          <w:sz w:val="20"/>
          <w:szCs w:val="20"/>
        </w:rPr>
        <w:t>.  This education manner remains significantly unchanged for more than four decades, since the first University Pharmacy program established in mid-1970s in Tripoli. This bachelor program based on five academic years schedule of teaching (1</w:t>
      </w:r>
      <w:r w:rsidR="00F719BB" w:rsidRPr="00861FCC">
        <w:rPr>
          <w:rFonts w:asciiTheme="minorBidi" w:hAnsiTheme="minorBidi"/>
          <w:sz w:val="18"/>
          <w:szCs w:val="18"/>
        </w:rPr>
        <w:t xml:space="preserve"> </w:t>
      </w:r>
      <w:r w:rsidR="00F719BB" w:rsidRPr="00861FCC">
        <w:rPr>
          <w:rFonts w:asciiTheme="minorBidi" w:hAnsiTheme="minorBidi"/>
          <w:sz w:val="20"/>
          <w:szCs w:val="20"/>
        </w:rPr>
        <w:t>preparatory year + 4</w:t>
      </w:r>
      <w:r w:rsidR="00F719BB" w:rsidRPr="00861FCC">
        <w:rPr>
          <w:rFonts w:asciiTheme="minorBidi" w:hAnsiTheme="minorBidi"/>
          <w:sz w:val="18"/>
          <w:szCs w:val="18"/>
        </w:rPr>
        <w:t xml:space="preserve"> </w:t>
      </w:r>
      <w:r w:rsidR="00F719BB" w:rsidRPr="00861FCC">
        <w:rPr>
          <w:rFonts w:asciiTheme="minorBidi" w:hAnsiTheme="minorBidi"/>
          <w:sz w:val="20"/>
          <w:szCs w:val="20"/>
        </w:rPr>
        <w:t xml:space="preserve">professional pharmacy education </w:t>
      </w:r>
      <w:proofErr w:type="gramStart"/>
      <w:r w:rsidR="00F719BB" w:rsidRPr="00861FCC">
        <w:rPr>
          <w:rFonts w:asciiTheme="minorBidi" w:hAnsiTheme="minorBidi"/>
          <w:sz w:val="20"/>
          <w:szCs w:val="20"/>
        </w:rPr>
        <w:t>years)[</w:t>
      </w:r>
      <w:proofErr w:type="gramEnd"/>
      <w:r w:rsidR="00F719BB" w:rsidRPr="00861FCC">
        <w:rPr>
          <w:rFonts w:asciiTheme="minorBidi" w:hAnsiTheme="minorBidi"/>
          <w:sz w:val="20"/>
          <w:szCs w:val="20"/>
        </w:rPr>
        <w:t>1</w:t>
      </w:r>
      <w:r w:rsidR="00471DCC" w:rsidRPr="00861FCC">
        <w:rPr>
          <w:rFonts w:asciiTheme="minorBidi" w:hAnsiTheme="minorBidi"/>
          <w:sz w:val="20"/>
          <w:szCs w:val="20"/>
        </w:rPr>
        <w:t>6</w:t>
      </w:r>
      <w:r w:rsidR="00F719BB" w:rsidRPr="00861FCC">
        <w:rPr>
          <w:rFonts w:asciiTheme="minorBidi" w:hAnsiTheme="minorBidi"/>
          <w:sz w:val="20"/>
          <w:szCs w:val="20"/>
        </w:rPr>
        <w:t>]</w:t>
      </w:r>
      <w:r w:rsidRPr="00861FCC">
        <w:rPr>
          <w:rFonts w:asciiTheme="minorBidi" w:hAnsiTheme="minorBidi"/>
          <w:sz w:val="20"/>
          <w:szCs w:val="20"/>
        </w:rPr>
        <w:t>.</w:t>
      </w:r>
      <w:r w:rsidR="008E785A" w:rsidRPr="00861FCC">
        <w:rPr>
          <w:rFonts w:asciiTheme="minorBidi" w:hAnsiTheme="minorBidi"/>
          <w:sz w:val="18"/>
          <w:szCs w:val="18"/>
        </w:rPr>
        <w:t xml:space="preserve"> </w:t>
      </w:r>
    </w:p>
    <w:p w14:paraId="59CF2587" w14:textId="6483BE48" w:rsidR="002A14F3" w:rsidRPr="00861FCC" w:rsidRDefault="008972A3" w:rsidP="00471DCC">
      <w:pPr>
        <w:bidi w:val="0"/>
        <w:spacing w:line="360" w:lineRule="auto"/>
        <w:jc w:val="both"/>
        <w:rPr>
          <w:rFonts w:asciiTheme="minorBidi" w:hAnsiTheme="minorBidi"/>
          <w:b/>
          <w:bCs/>
          <w:sz w:val="20"/>
          <w:szCs w:val="20"/>
        </w:rPr>
      </w:pPr>
      <w:r w:rsidRPr="00861FCC">
        <w:rPr>
          <w:rFonts w:asciiTheme="minorBidi" w:hAnsiTheme="minorBidi"/>
          <w:sz w:val="20"/>
          <w:szCs w:val="20"/>
        </w:rPr>
        <w:t>Recently, there have been efforts to introduce PharmD curricula to better equip graduates for expanding clinical roles</w:t>
      </w:r>
      <w:r w:rsidR="00D6231F" w:rsidRPr="00861FCC">
        <w:rPr>
          <w:rFonts w:asciiTheme="minorBidi" w:hAnsiTheme="minorBidi"/>
          <w:sz w:val="20"/>
          <w:szCs w:val="20"/>
        </w:rPr>
        <w:t>. For the first time</w:t>
      </w:r>
      <w:r w:rsidR="00EF5837" w:rsidRPr="00861FCC">
        <w:rPr>
          <w:rFonts w:asciiTheme="minorBidi" w:hAnsiTheme="minorBidi"/>
          <w:sz w:val="20"/>
          <w:szCs w:val="20"/>
        </w:rPr>
        <w:t xml:space="preserve"> in </w:t>
      </w:r>
      <w:proofErr w:type="gramStart"/>
      <w:r w:rsidR="00EF5837" w:rsidRPr="00861FCC">
        <w:rPr>
          <w:rFonts w:asciiTheme="minorBidi" w:hAnsiTheme="minorBidi"/>
          <w:sz w:val="20"/>
          <w:szCs w:val="20"/>
        </w:rPr>
        <w:t>Libya</w:t>
      </w:r>
      <w:r w:rsidR="00D6231F" w:rsidRPr="00861FCC">
        <w:rPr>
          <w:rFonts w:asciiTheme="minorBidi" w:hAnsiTheme="minorBidi"/>
          <w:sz w:val="20"/>
          <w:szCs w:val="20"/>
        </w:rPr>
        <w:t>,  LIMU</w:t>
      </w:r>
      <w:proofErr w:type="gramEnd"/>
      <w:r w:rsidR="00D6231F" w:rsidRPr="00861FCC">
        <w:rPr>
          <w:rFonts w:asciiTheme="minorBidi" w:hAnsiTheme="minorBidi"/>
          <w:sz w:val="20"/>
          <w:szCs w:val="20"/>
        </w:rPr>
        <w:t xml:space="preserve"> implemented the PharmD Program as one of its undergraduate educational programs.</w:t>
      </w:r>
      <w:r w:rsidR="00EC0C14" w:rsidRPr="00861FCC">
        <w:rPr>
          <w:rFonts w:asciiTheme="minorBidi" w:hAnsiTheme="minorBidi"/>
          <w:sz w:val="20"/>
          <w:szCs w:val="20"/>
        </w:rPr>
        <w:t xml:space="preserve"> </w:t>
      </w:r>
      <w:r w:rsidR="004C6B2A" w:rsidRPr="00861FCC">
        <w:rPr>
          <w:rFonts w:asciiTheme="minorBidi" w:hAnsiTheme="minorBidi"/>
          <w:sz w:val="20"/>
          <w:szCs w:val="20"/>
        </w:rPr>
        <w:t>[</w:t>
      </w:r>
      <w:r w:rsidR="00652800" w:rsidRPr="00861FCC">
        <w:rPr>
          <w:rFonts w:asciiTheme="minorBidi" w:hAnsiTheme="minorBidi"/>
          <w:sz w:val="20"/>
          <w:szCs w:val="20"/>
        </w:rPr>
        <w:t>1</w:t>
      </w:r>
      <w:r w:rsidR="00471DCC" w:rsidRPr="00861FCC">
        <w:rPr>
          <w:rFonts w:asciiTheme="minorBidi" w:hAnsiTheme="minorBidi"/>
          <w:sz w:val="20"/>
          <w:szCs w:val="20"/>
        </w:rPr>
        <w:t>7</w:t>
      </w:r>
      <w:r w:rsidR="004C6B2A" w:rsidRPr="00861FCC">
        <w:rPr>
          <w:rFonts w:asciiTheme="minorBidi" w:hAnsiTheme="minorBidi"/>
          <w:sz w:val="20"/>
          <w:szCs w:val="20"/>
        </w:rPr>
        <w:t>]</w:t>
      </w:r>
      <w:r w:rsidR="00EC0C14" w:rsidRPr="00861FCC">
        <w:rPr>
          <w:rFonts w:asciiTheme="minorBidi" w:hAnsiTheme="minorBidi"/>
          <w:sz w:val="20"/>
          <w:szCs w:val="20"/>
        </w:rPr>
        <w:t>.</w:t>
      </w:r>
      <w:r w:rsidRPr="00861FCC">
        <w:rPr>
          <w:rFonts w:asciiTheme="minorBidi" w:hAnsiTheme="minorBidi"/>
          <w:sz w:val="20"/>
          <w:szCs w:val="20"/>
        </w:rPr>
        <w:t xml:space="preserve"> </w:t>
      </w:r>
      <w:r w:rsidR="00EF5837" w:rsidRPr="00861FCC">
        <w:rPr>
          <w:rFonts w:asciiTheme="minorBidi" w:hAnsiTheme="minorBidi"/>
          <w:sz w:val="20"/>
          <w:szCs w:val="20"/>
        </w:rPr>
        <w:t xml:space="preserve">Similarly, </w:t>
      </w:r>
      <w:proofErr w:type="spellStart"/>
      <w:r w:rsidRPr="00861FCC">
        <w:rPr>
          <w:rFonts w:asciiTheme="minorBidi" w:hAnsiTheme="minorBidi"/>
          <w:sz w:val="20"/>
          <w:szCs w:val="20"/>
        </w:rPr>
        <w:t>Assalam</w:t>
      </w:r>
      <w:proofErr w:type="spellEnd"/>
      <w:r w:rsidRPr="00861FCC">
        <w:rPr>
          <w:rFonts w:asciiTheme="minorBidi" w:hAnsiTheme="minorBidi"/>
          <w:sz w:val="20"/>
          <w:szCs w:val="20"/>
        </w:rPr>
        <w:t xml:space="preserve"> International University (AIU) </w:t>
      </w:r>
      <w:r w:rsidR="00EF5837" w:rsidRPr="00861FCC">
        <w:rPr>
          <w:rFonts w:asciiTheme="minorBidi" w:hAnsiTheme="minorBidi"/>
          <w:sz w:val="20"/>
          <w:szCs w:val="20"/>
        </w:rPr>
        <w:t>established</w:t>
      </w:r>
      <w:r w:rsidRPr="00861FCC">
        <w:rPr>
          <w:rFonts w:asciiTheme="minorBidi" w:hAnsiTheme="minorBidi"/>
          <w:sz w:val="20"/>
          <w:szCs w:val="20"/>
        </w:rPr>
        <w:t xml:space="preserve"> a BPharm program in 2018 and has moved</w:t>
      </w:r>
      <w:r w:rsidR="00EF5837" w:rsidRPr="00861FCC">
        <w:rPr>
          <w:rFonts w:asciiTheme="minorBidi" w:hAnsiTheme="minorBidi"/>
          <w:sz w:val="20"/>
          <w:szCs w:val="20"/>
        </w:rPr>
        <w:t xml:space="preserve"> gradually</w:t>
      </w:r>
      <w:r w:rsidRPr="00861FCC">
        <w:rPr>
          <w:rFonts w:asciiTheme="minorBidi" w:hAnsiTheme="minorBidi"/>
          <w:sz w:val="20"/>
          <w:szCs w:val="20"/>
        </w:rPr>
        <w:t xml:space="preserve"> towards </w:t>
      </w:r>
      <w:r w:rsidR="00EF5837" w:rsidRPr="00861FCC">
        <w:rPr>
          <w:rFonts w:asciiTheme="minorBidi" w:hAnsiTheme="minorBidi"/>
          <w:sz w:val="20"/>
          <w:szCs w:val="20"/>
        </w:rPr>
        <w:t>initiation</w:t>
      </w:r>
      <w:r w:rsidRPr="00861FCC">
        <w:rPr>
          <w:rFonts w:asciiTheme="minorBidi" w:hAnsiTheme="minorBidi"/>
          <w:sz w:val="20"/>
          <w:szCs w:val="20"/>
        </w:rPr>
        <w:t xml:space="preserve"> a patient-centered PharmD program, accredited nationally in 2025. </w:t>
      </w:r>
    </w:p>
    <w:p w14:paraId="7C03F9FD" w14:textId="050988BB" w:rsidR="008972A3" w:rsidRPr="00861FCC" w:rsidRDefault="00EC0C14" w:rsidP="002A14F3">
      <w:pPr>
        <w:bidi w:val="0"/>
        <w:spacing w:line="360" w:lineRule="auto"/>
        <w:jc w:val="both"/>
        <w:rPr>
          <w:rFonts w:asciiTheme="minorBidi" w:hAnsiTheme="minorBidi"/>
          <w:sz w:val="20"/>
          <w:szCs w:val="20"/>
        </w:rPr>
      </w:pPr>
      <w:r w:rsidRPr="00861FCC">
        <w:rPr>
          <w:rFonts w:asciiTheme="minorBidi" w:hAnsiTheme="minorBidi"/>
          <w:b/>
          <w:bCs/>
          <w:sz w:val="20"/>
          <w:szCs w:val="20"/>
        </w:rPr>
        <w:t>Aim of study:</w:t>
      </w:r>
      <w:r w:rsidRPr="00861FCC">
        <w:rPr>
          <w:rFonts w:asciiTheme="minorBidi" w:hAnsiTheme="minorBidi"/>
          <w:sz w:val="20"/>
          <w:szCs w:val="20"/>
        </w:rPr>
        <w:t xml:space="preserve"> </w:t>
      </w:r>
      <w:r w:rsidR="008972A3" w:rsidRPr="00861FCC">
        <w:rPr>
          <w:rFonts w:asciiTheme="minorBidi" w:hAnsiTheme="minorBidi"/>
          <w:sz w:val="20"/>
          <w:szCs w:val="20"/>
        </w:rPr>
        <w:t>This study aims to explore pharmacy students’ knowledge, attitudes, and perceptions regarding these educational programs to inform ongoing curricular development and help address challenges facing the pharmacy profession within the region.</w:t>
      </w:r>
    </w:p>
    <w:p w14:paraId="215C408E" w14:textId="474DFA36" w:rsidR="008972A3" w:rsidRPr="00F441B9" w:rsidRDefault="00F441B9" w:rsidP="008972A3">
      <w:pPr>
        <w:bidi w:val="0"/>
        <w:spacing w:line="360" w:lineRule="auto"/>
        <w:jc w:val="both"/>
        <w:rPr>
          <w:rFonts w:asciiTheme="minorBidi" w:hAnsiTheme="minorBidi"/>
          <w:b/>
          <w:bCs/>
        </w:rPr>
      </w:pPr>
      <w:r>
        <w:rPr>
          <w:rFonts w:asciiTheme="minorBidi" w:hAnsiTheme="minorBidi"/>
          <w:b/>
          <w:bCs/>
        </w:rPr>
        <w:t xml:space="preserve">2. </w:t>
      </w:r>
      <w:r w:rsidR="007535C2" w:rsidRPr="00F441B9">
        <w:rPr>
          <w:rFonts w:asciiTheme="minorBidi" w:hAnsiTheme="minorBidi"/>
          <w:b/>
          <w:bCs/>
        </w:rPr>
        <w:t>METHODS</w:t>
      </w:r>
    </w:p>
    <w:p w14:paraId="6B25568F" w14:textId="7263DBB9" w:rsidR="008972A3" w:rsidRPr="00F441B9" w:rsidRDefault="00F441B9" w:rsidP="008972A3">
      <w:pPr>
        <w:bidi w:val="0"/>
        <w:spacing w:line="360" w:lineRule="auto"/>
        <w:jc w:val="both"/>
        <w:rPr>
          <w:rFonts w:asciiTheme="minorBidi" w:hAnsiTheme="minorBidi"/>
          <w:b/>
          <w:bCs/>
        </w:rPr>
      </w:pPr>
      <w:r>
        <w:rPr>
          <w:rFonts w:asciiTheme="minorBidi" w:hAnsiTheme="minorBidi"/>
          <w:b/>
          <w:bCs/>
        </w:rPr>
        <w:t xml:space="preserve">2.1 </w:t>
      </w:r>
      <w:r w:rsidR="008972A3" w:rsidRPr="00F441B9">
        <w:rPr>
          <w:rFonts w:asciiTheme="minorBidi" w:hAnsiTheme="minorBidi"/>
          <w:b/>
          <w:bCs/>
        </w:rPr>
        <w:t>Study Design and Participants</w:t>
      </w:r>
    </w:p>
    <w:p w14:paraId="12769706" w14:textId="053EB357" w:rsidR="008972A3" w:rsidRPr="00F441B9" w:rsidRDefault="008972A3" w:rsidP="00AE23AB">
      <w:pPr>
        <w:bidi w:val="0"/>
        <w:spacing w:line="360" w:lineRule="auto"/>
        <w:jc w:val="both"/>
        <w:rPr>
          <w:rFonts w:asciiTheme="minorBidi" w:hAnsiTheme="minorBidi"/>
          <w:sz w:val="20"/>
          <w:szCs w:val="20"/>
        </w:rPr>
      </w:pPr>
      <w:r w:rsidRPr="00F441B9">
        <w:rPr>
          <w:rFonts w:asciiTheme="minorBidi" w:hAnsiTheme="minorBidi"/>
          <w:sz w:val="20"/>
          <w:szCs w:val="20"/>
        </w:rPr>
        <w:t>A cross-sectional descriptive survey was conducted at the Faculty of Pharmacy</w:t>
      </w:r>
      <w:r w:rsidR="00AE23AB" w:rsidRPr="00F441B9">
        <w:rPr>
          <w:rFonts w:asciiTheme="minorBidi" w:hAnsiTheme="minorBidi"/>
          <w:sz w:val="20"/>
          <w:szCs w:val="20"/>
        </w:rPr>
        <w:t xml:space="preserve"> AIU, Benghazi, during the 2024-2025 academic year and according to (</w:t>
      </w:r>
      <w:proofErr w:type="spellStart"/>
      <w:r w:rsidR="00AE23AB" w:rsidRPr="00F441B9">
        <w:rPr>
          <w:rFonts w:asciiTheme="minorBidi" w:hAnsiTheme="minorBidi"/>
          <w:sz w:val="20"/>
          <w:szCs w:val="20"/>
        </w:rPr>
        <w:t>Artino</w:t>
      </w:r>
      <w:proofErr w:type="spellEnd"/>
      <w:r w:rsidR="00AE23AB" w:rsidRPr="00F441B9">
        <w:rPr>
          <w:rFonts w:asciiTheme="minorBidi" w:hAnsiTheme="minorBidi"/>
          <w:sz w:val="20"/>
          <w:szCs w:val="20"/>
        </w:rPr>
        <w:t xml:space="preserve"> </w:t>
      </w:r>
      <w:proofErr w:type="spellStart"/>
      <w:r w:rsidR="00AE23AB" w:rsidRPr="00F441B9">
        <w:rPr>
          <w:rFonts w:asciiTheme="minorBidi" w:hAnsiTheme="minorBidi"/>
          <w:sz w:val="20"/>
          <w:szCs w:val="20"/>
        </w:rPr>
        <w:t>etal</w:t>
      </w:r>
      <w:proofErr w:type="spellEnd"/>
      <w:r w:rsidR="00AE23AB" w:rsidRPr="00F441B9">
        <w:rPr>
          <w:rFonts w:asciiTheme="minorBidi" w:hAnsiTheme="minorBidi"/>
          <w:sz w:val="20"/>
          <w:szCs w:val="20"/>
        </w:rPr>
        <w:t xml:space="preserve"> 2014)</w:t>
      </w:r>
      <w:r w:rsidRPr="00F441B9">
        <w:rPr>
          <w:rFonts w:asciiTheme="minorBidi" w:hAnsiTheme="minorBidi"/>
          <w:sz w:val="20"/>
          <w:szCs w:val="20"/>
        </w:rPr>
        <w:t>. Sixty pharmacy students from the 2nd to 8th semesters, representing cohorts with substantial exposure to program curricula, participated voluntarily</w:t>
      </w:r>
      <w:r w:rsidR="00AE23AB" w:rsidRPr="00F441B9">
        <w:rPr>
          <w:rFonts w:asciiTheme="minorBidi" w:hAnsiTheme="minorBidi"/>
          <w:sz w:val="20"/>
          <w:szCs w:val="20"/>
        </w:rPr>
        <w:t xml:space="preserve"> [18]</w:t>
      </w:r>
      <w:r w:rsidRPr="00F441B9">
        <w:rPr>
          <w:rFonts w:asciiTheme="minorBidi" w:hAnsiTheme="minorBidi"/>
          <w:sz w:val="20"/>
          <w:szCs w:val="20"/>
        </w:rPr>
        <w:t xml:space="preserve">. </w:t>
      </w:r>
    </w:p>
    <w:p w14:paraId="2CA5BD33" w14:textId="77777777" w:rsidR="008972A3" w:rsidRPr="00F441B9" w:rsidRDefault="008972A3" w:rsidP="008972A3">
      <w:pPr>
        <w:bidi w:val="0"/>
        <w:spacing w:line="360" w:lineRule="auto"/>
        <w:jc w:val="both"/>
        <w:rPr>
          <w:rFonts w:asciiTheme="minorBidi" w:hAnsiTheme="minorBidi"/>
          <w:sz w:val="20"/>
          <w:szCs w:val="20"/>
        </w:rPr>
      </w:pPr>
      <w:r w:rsidRPr="00F441B9">
        <w:rPr>
          <w:rFonts w:asciiTheme="minorBidi" w:hAnsiTheme="minorBidi"/>
          <w:sz w:val="20"/>
          <w:szCs w:val="20"/>
        </w:rPr>
        <w:t>A validated self-administered questionnaire covering demographics, knowledge of pharmacy programs, understanding of the BPharm curriculum, attitudes towards pharmacy practice, future ambitions, and qualitative feedback was distributed electronically. Question formats included closed-ended, Likert scale, and open-ended items to capture comprehensive perspectives.</w:t>
      </w:r>
    </w:p>
    <w:p w14:paraId="2305D124" w14:textId="0252B588" w:rsidR="000B41F2" w:rsidRDefault="000B41F2" w:rsidP="002A14F3">
      <w:pPr>
        <w:bidi w:val="0"/>
        <w:spacing w:line="360" w:lineRule="auto"/>
        <w:ind w:right="509"/>
        <w:jc w:val="both"/>
        <w:rPr>
          <w:rFonts w:asciiTheme="minorBidi" w:hAnsiTheme="minorBidi"/>
          <w:sz w:val="20"/>
          <w:szCs w:val="20"/>
        </w:rPr>
      </w:pPr>
      <w:r w:rsidRPr="00F441B9">
        <w:rPr>
          <w:rFonts w:asciiTheme="minorBidi" w:hAnsiTheme="minorBidi"/>
          <w:sz w:val="20"/>
          <w:szCs w:val="20"/>
        </w:rPr>
        <w:t xml:space="preserve">The questionnaire consists of 6 sections as below: </w:t>
      </w:r>
      <w:r w:rsidRPr="00F441B9">
        <w:rPr>
          <w:rFonts w:asciiTheme="minorBidi" w:hAnsiTheme="minorBidi"/>
          <w:b/>
          <w:sz w:val="20"/>
          <w:szCs w:val="20"/>
        </w:rPr>
        <w:t>section 1:</w:t>
      </w:r>
      <w:r w:rsidRPr="00F441B9">
        <w:rPr>
          <w:rFonts w:asciiTheme="minorBidi" w:hAnsiTheme="minorBidi"/>
          <w:sz w:val="20"/>
          <w:szCs w:val="20"/>
        </w:rPr>
        <w:t xml:space="preserve"> five questions about their demographic information: age, gender-level of study-previous degree-nationality.</w:t>
      </w:r>
      <w:r w:rsidRPr="00F441B9">
        <w:rPr>
          <w:rFonts w:asciiTheme="minorBidi" w:hAnsiTheme="minorBidi"/>
          <w:b/>
          <w:sz w:val="20"/>
          <w:szCs w:val="20"/>
        </w:rPr>
        <w:t xml:space="preserve"> section 2:</w:t>
      </w:r>
      <w:r w:rsidRPr="00F441B9">
        <w:rPr>
          <w:rFonts w:asciiTheme="minorBidi" w:hAnsiTheme="minorBidi"/>
          <w:sz w:val="20"/>
          <w:szCs w:val="20"/>
        </w:rPr>
        <w:t xml:space="preserve"> six questions about their knowledge about pharmacy programs</w:t>
      </w:r>
      <w:r w:rsidRPr="00F441B9">
        <w:rPr>
          <w:rFonts w:asciiTheme="minorBidi" w:hAnsiTheme="minorBidi"/>
          <w:b/>
          <w:sz w:val="20"/>
          <w:szCs w:val="20"/>
        </w:rPr>
        <w:t>. section 3:</w:t>
      </w:r>
      <w:r w:rsidRPr="00F441B9">
        <w:rPr>
          <w:rFonts w:asciiTheme="minorBidi" w:hAnsiTheme="minorBidi"/>
          <w:sz w:val="20"/>
          <w:szCs w:val="20"/>
        </w:rPr>
        <w:t xml:space="preserve"> seven questions about students understanding &amp; knowledge of current b. pharm program</w:t>
      </w:r>
      <w:r w:rsidRPr="00F441B9">
        <w:rPr>
          <w:rFonts w:asciiTheme="minorBidi" w:hAnsiTheme="minorBidi"/>
          <w:b/>
          <w:sz w:val="20"/>
          <w:szCs w:val="20"/>
        </w:rPr>
        <w:t>. section 4:</w:t>
      </w:r>
      <w:r w:rsidRPr="00F441B9">
        <w:rPr>
          <w:rFonts w:asciiTheme="minorBidi" w:hAnsiTheme="minorBidi"/>
          <w:sz w:val="20"/>
          <w:szCs w:val="20"/>
        </w:rPr>
        <w:t xml:space="preserve"> 12 questions about </w:t>
      </w:r>
      <w:proofErr w:type="gramStart"/>
      <w:r w:rsidRPr="00F441B9">
        <w:rPr>
          <w:rFonts w:asciiTheme="minorBidi" w:hAnsiTheme="minorBidi"/>
          <w:sz w:val="20"/>
          <w:szCs w:val="20"/>
        </w:rPr>
        <w:t>students</w:t>
      </w:r>
      <w:proofErr w:type="gramEnd"/>
      <w:r w:rsidRPr="00F441B9">
        <w:rPr>
          <w:rFonts w:asciiTheme="minorBidi" w:hAnsiTheme="minorBidi"/>
          <w:sz w:val="20"/>
          <w:szCs w:val="20"/>
        </w:rPr>
        <w:t xml:space="preserve"> attitudes and perceptions towards the pharmacy profession</w:t>
      </w:r>
      <w:r w:rsidRPr="00F441B9">
        <w:rPr>
          <w:rFonts w:asciiTheme="minorBidi" w:hAnsiTheme="minorBidi"/>
          <w:b/>
          <w:sz w:val="20"/>
          <w:szCs w:val="20"/>
        </w:rPr>
        <w:t>. section 5:</w:t>
      </w:r>
      <w:r w:rsidRPr="00F441B9">
        <w:rPr>
          <w:rFonts w:asciiTheme="minorBidi" w:hAnsiTheme="minorBidi"/>
          <w:sz w:val="20"/>
          <w:szCs w:val="20"/>
        </w:rPr>
        <w:t xml:space="preserve"> five questions about future professional aspirations of students</w:t>
      </w:r>
      <w:r w:rsidRPr="00F441B9">
        <w:rPr>
          <w:rFonts w:asciiTheme="minorBidi" w:hAnsiTheme="minorBidi"/>
          <w:b/>
          <w:sz w:val="20"/>
          <w:szCs w:val="20"/>
        </w:rPr>
        <w:t>. section 6:</w:t>
      </w:r>
      <w:r w:rsidRPr="00F441B9">
        <w:rPr>
          <w:rFonts w:asciiTheme="minorBidi" w:hAnsiTheme="minorBidi"/>
          <w:sz w:val="20"/>
          <w:szCs w:val="20"/>
        </w:rPr>
        <w:t xml:space="preserve"> 3 open-ended questions</w:t>
      </w:r>
      <w:r w:rsidR="00AE23AB" w:rsidRPr="00F441B9">
        <w:rPr>
          <w:rFonts w:asciiTheme="minorBidi" w:hAnsiTheme="minorBidi"/>
          <w:sz w:val="20"/>
          <w:szCs w:val="20"/>
        </w:rPr>
        <w:t xml:space="preserve"> [19].</w:t>
      </w:r>
      <w:r w:rsidRPr="00F441B9">
        <w:rPr>
          <w:rFonts w:asciiTheme="minorBidi" w:hAnsiTheme="minorBidi"/>
          <w:sz w:val="20"/>
          <w:szCs w:val="20"/>
        </w:rPr>
        <w:t xml:space="preserve"> </w:t>
      </w:r>
    </w:p>
    <w:p w14:paraId="2AA07F91" w14:textId="77777777" w:rsidR="000C15D8" w:rsidRPr="00F441B9" w:rsidRDefault="000C15D8" w:rsidP="000C15D8">
      <w:pPr>
        <w:bidi w:val="0"/>
        <w:spacing w:line="360" w:lineRule="auto"/>
        <w:ind w:right="509"/>
        <w:jc w:val="both"/>
        <w:rPr>
          <w:rFonts w:asciiTheme="minorBidi" w:hAnsiTheme="minorBidi"/>
          <w:sz w:val="20"/>
          <w:szCs w:val="20"/>
        </w:rPr>
      </w:pPr>
    </w:p>
    <w:p w14:paraId="6D582112" w14:textId="79CCCBA6" w:rsidR="008972A3" w:rsidRPr="00F441B9" w:rsidRDefault="00F441B9" w:rsidP="008972A3">
      <w:pPr>
        <w:bidi w:val="0"/>
        <w:spacing w:line="360" w:lineRule="auto"/>
        <w:jc w:val="both"/>
        <w:rPr>
          <w:rFonts w:asciiTheme="minorBidi" w:hAnsiTheme="minorBidi"/>
          <w:b/>
          <w:bCs/>
        </w:rPr>
      </w:pPr>
      <w:r>
        <w:rPr>
          <w:rFonts w:asciiTheme="minorBidi" w:hAnsiTheme="minorBidi"/>
          <w:b/>
          <w:bCs/>
        </w:rPr>
        <w:lastRenderedPageBreak/>
        <w:t xml:space="preserve">2.2 </w:t>
      </w:r>
      <w:r w:rsidR="008972A3" w:rsidRPr="00F441B9">
        <w:rPr>
          <w:rFonts w:asciiTheme="minorBidi" w:hAnsiTheme="minorBidi"/>
          <w:b/>
          <w:bCs/>
        </w:rPr>
        <w:t xml:space="preserve">Data Collection and </w:t>
      </w:r>
      <w:r w:rsidR="002A14F3" w:rsidRPr="00F441B9">
        <w:rPr>
          <w:rFonts w:asciiTheme="minorBidi" w:hAnsiTheme="minorBidi"/>
          <w:b/>
          <w:bCs/>
        </w:rPr>
        <w:t xml:space="preserve">Statistical </w:t>
      </w:r>
      <w:r w:rsidR="008972A3" w:rsidRPr="00F441B9">
        <w:rPr>
          <w:rFonts w:asciiTheme="minorBidi" w:hAnsiTheme="minorBidi"/>
          <w:b/>
          <w:bCs/>
        </w:rPr>
        <w:t>Analysis</w:t>
      </w:r>
    </w:p>
    <w:p w14:paraId="68F99DAE" w14:textId="77777777" w:rsidR="008972A3" w:rsidRPr="00F441B9" w:rsidRDefault="008972A3" w:rsidP="008972A3">
      <w:pPr>
        <w:bidi w:val="0"/>
        <w:spacing w:line="360" w:lineRule="auto"/>
        <w:jc w:val="both"/>
        <w:rPr>
          <w:rFonts w:asciiTheme="minorBidi" w:hAnsiTheme="minorBidi"/>
          <w:sz w:val="20"/>
          <w:szCs w:val="20"/>
        </w:rPr>
      </w:pPr>
      <w:r w:rsidRPr="00F441B9">
        <w:rPr>
          <w:rFonts w:asciiTheme="minorBidi" w:hAnsiTheme="minorBidi"/>
          <w:sz w:val="20"/>
          <w:szCs w:val="20"/>
        </w:rPr>
        <w:t>The anonymous survey was administered under supervision from June to August 2025. Data were analyzed using SPSS version 26 to compute descriptive statistics, including frequencies and percentages, summarizing students’ responses by thematic categories.</w:t>
      </w:r>
    </w:p>
    <w:p w14:paraId="06EB0CB3" w14:textId="77777777" w:rsidR="00F441B9" w:rsidRPr="00D72BE6" w:rsidRDefault="00F441B9" w:rsidP="00F441B9">
      <w:pPr>
        <w:bidi w:val="0"/>
        <w:spacing w:line="360" w:lineRule="auto"/>
        <w:jc w:val="both"/>
        <w:rPr>
          <w:rFonts w:asciiTheme="minorBidi" w:hAnsiTheme="minorBidi"/>
          <w:b/>
          <w:bCs/>
          <w:sz w:val="24"/>
          <w:szCs w:val="24"/>
        </w:rPr>
      </w:pPr>
      <w:r w:rsidRPr="00F441B9">
        <w:rPr>
          <w:rFonts w:asciiTheme="minorBidi" w:hAnsiTheme="minorBidi"/>
          <w:b/>
          <w:bCs/>
        </w:rPr>
        <w:t xml:space="preserve">3. </w:t>
      </w:r>
      <w:r w:rsidR="007535C2" w:rsidRPr="00F441B9">
        <w:rPr>
          <w:rFonts w:asciiTheme="minorBidi" w:hAnsiTheme="minorBidi"/>
          <w:b/>
          <w:bCs/>
        </w:rPr>
        <w:t>RESULTS</w:t>
      </w:r>
      <w:r>
        <w:rPr>
          <w:rFonts w:asciiTheme="minorBidi" w:hAnsiTheme="minorBidi"/>
          <w:b/>
          <w:bCs/>
        </w:rPr>
        <w:t xml:space="preserve"> AND </w:t>
      </w:r>
      <w:r w:rsidRPr="00D72BE6">
        <w:rPr>
          <w:rFonts w:asciiTheme="minorBidi" w:hAnsiTheme="minorBidi"/>
          <w:b/>
          <w:bCs/>
          <w:sz w:val="24"/>
          <w:szCs w:val="24"/>
        </w:rPr>
        <w:t>DISCUSSION</w:t>
      </w:r>
    </w:p>
    <w:p w14:paraId="77A96D39" w14:textId="09F1FFCE" w:rsidR="008972A3" w:rsidRPr="00F441B9" w:rsidRDefault="00F441B9" w:rsidP="008972A3">
      <w:pPr>
        <w:bidi w:val="0"/>
        <w:spacing w:line="360" w:lineRule="auto"/>
        <w:jc w:val="both"/>
        <w:rPr>
          <w:rFonts w:asciiTheme="minorBidi" w:hAnsiTheme="minorBidi"/>
          <w:b/>
          <w:bCs/>
        </w:rPr>
      </w:pPr>
      <w:r>
        <w:rPr>
          <w:rFonts w:asciiTheme="minorBidi" w:hAnsiTheme="minorBidi"/>
          <w:b/>
          <w:bCs/>
        </w:rPr>
        <w:t xml:space="preserve">3.1 </w:t>
      </w:r>
      <w:r w:rsidR="008972A3" w:rsidRPr="00F441B9">
        <w:rPr>
          <w:rFonts w:asciiTheme="minorBidi" w:hAnsiTheme="minorBidi"/>
          <w:b/>
          <w:bCs/>
        </w:rPr>
        <w:t>Demographics</w:t>
      </w:r>
    </w:p>
    <w:p w14:paraId="39D01B4B" w14:textId="77777777" w:rsidR="008972A3" w:rsidRPr="00F441B9" w:rsidRDefault="008972A3" w:rsidP="008972A3">
      <w:pPr>
        <w:bidi w:val="0"/>
        <w:spacing w:line="360" w:lineRule="auto"/>
        <w:jc w:val="both"/>
        <w:rPr>
          <w:rFonts w:asciiTheme="minorBidi" w:hAnsiTheme="minorBidi"/>
          <w:sz w:val="20"/>
          <w:szCs w:val="20"/>
        </w:rPr>
      </w:pPr>
      <w:r w:rsidRPr="00F441B9">
        <w:rPr>
          <w:rFonts w:asciiTheme="minorBidi" w:hAnsiTheme="minorBidi"/>
          <w:sz w:val="20"/>
          <w:szCs w:val="20"/>
        </w:rPr>
        <w:t>Most participants were aged 21-23 (44%), with 66% female representation. Nearly 72% held high school diplomas, and 88% were Libyan nationals.</w:t>
      </w:r>
    </w:p>
    <w:p w14:paraId="7FB3E22F" w14:textId="2975CE50" w:rsidR="008972A3" w:rsidRPr="00F441B9" w:rsidRDefault="00F441B9" w:rsidP="008972A3">
      <w:pPr>
        <w:bidi w:val="0"/>
        <w:spacing w:line="360" w:lineRule="auto"/>
        <w:jc w:val="both"/>
        <w:rPr>
          <w:rFonts w:asciiTheme="minorBidi" w:hAnsiTheme="minorBidi"/>
          <w:b/>
          <w:bCs/>
        </w:rPr>
      </w:pPr>
      <w:r>
        <w:rPr>
          <w:rFonts w:asciiTheme="minorBidi" w:hAnsiTheme="minorBidi"/>
          <w:b/>
          <w:bCs/>
        </w:rPr>
        <w:t xml:space="preserve">3.2 </w:t>
      </w:r>
      <w:r w:rsidR="008972A3" w:rsidRPr="00F441B9">
        <w:rPr>
          <w:rFonts w:asciiTheme="minorBidi" w:hAnsiTheme="minorBidi"/>
          <w:b/>
          <w:bCs/>
        </w:rPr>
        <w:t>Knowledge and Understanding of Pharmacy Programs</w:t>
      </w:r>
    </w:p>
    <w:p w14:paraId="32F93264" w14:textId="1BC3B9FC" w:rsidR="008972A3" w:rsidRPr="00F441B9" w:rsidRDefault="008972A3" w:rsidP="008972A3">
      <w:pPr>
        <w:bidi w:val="0"/>
        <w:spacing w:line="360" w:lineRule="auto"/>
        <w:jc w:val="both"/>
        <w:rPr>
          <w:rFonts w:asciiTheme="minorBidi" w:hAnsiTheme="minorBidi"/>
          <w:sz w:val="20"/>
          <w:szCs w:val="20"/>
        </w:rPr>
      </w:pPr>
      <w:r w:rsidRPr="00F441B9">
        <w:rPr>
          <w:rFonts w:asciiTheme="minorBidi" w:hAnsiTheme="minorBidi"/>
          <w:sz w:val="20"/>
          <w:szCs w:val="20"/>
        </w:rPr>
        <w:t xml:space="preserve">Almost all respondents were familiar with the PharmD program, with many recognizing it as a professional </w:t>
      </w:r>
      <w:r w:rsidR="000B41F2" w:rsidRPr="00F441B9">
        <w:rPr>
          <w:rFonts w:asciiTheme="minorBidi" w:hAnsiTheme="minorBidi"/>
          <w:sz w:val="20"/>
          <w:szCs w:val="20"/>
        </w:rPr>
        <w:t>study</w:t>
      </w:r>
      <w:r w:rsidRPr="00F441B9">
        <w:rPr>
          <w:rFonts w:asciiTheme="minorBidi" w:hAnsiTheme="minorBidi"/>
          <w:sz w:val="20"/>
          <w:szCs w:val="20"/>
        </w:rPr>
        <w:t xml:space="preserve"> focused on clinical practice and patient care</w:t>
      </w:r>
      <w:r w:rsidR="000B41F2" w:rsidRPr="00F441B9">
        <w:rPr>
          <w:rFonts w:asciiTheme="minorBidi" w:hAnsiTheme="minorBidi"/>
          <w:sz w:val="20"/>
          <w:szCs w:val="20"/>
        </w:rPr>
        <w:t xml:space="preserve"> </w:t>
      </w:r>
      <w:r w:rsidR="000B41F2" w:rsidRPr="00F441B9">
        <w:rPr>
          <w:rFonts w:asciiTheme="minorBidi" w:hAnsiTheme="minorBidi"/>
          <w:b/>
          <w:bCs/>
          <w:sz w:val="20"/>
          <w:szCs w:val="20"/>
        </w:rPr>
        <w:t>table</w:t>
      </w:r>
      <w:r w:rsidR="000B41F2" w:rsidRPr="00F441B9">
        <w:rPr>
          <w:rFonts w:asciiTheme="minorBidi" w:hAnsiTheme="minorBidi"/>
          <w:sz w:val="20"/>
          <w:szCs w:val="20"/>
        </w:rPr>
        <w:t xml:space="preserve"> (1)</w:t>
      </w:r>
      <w:r w:rsidRPr="00F441B9">
        <w:rPr>
          <w:rFonts w:asciiTheme="minorBidi" w:hAnsiTheme="minorBidi"/>
          <w:sz w:val="20"/>
          <w:szCs w:val="20"/>
        </w:rPr>
        <w:t>. Meanwhile, the BPharm program was perceived as a broad-based education encompassing clinical, hospital, and pharmaceutical sectors</w:t>
      </w:r>
      <w:r w:rsidR="00E0166B" w:rsidRPr="00F441B9">
        <w:rPr>
          <w:rFonts w:asciiTheme="minorBidi" w:hAnsiTheme="minorBidi"/>
          <w:sz w:val="20"/>
          <w:szCs w:val="20"/>
        </w:rPr>
        <w:t xml:space="preserve"> </w:t>
      </w:r>
      <w:r w:rsidR="00E0166B" w:rsidRPr="00F441B9">
        <w:rPr>
          <w:rFonts w:asciiTheme="minorBidi" w:hAnsiTheme="minorBidi"/>
          <w:b/>
          <w:bCs/>
          <w:sz w:val="20"/>
          <w:szCs w:val="20"/>
        </w:rPr>
        <w:t>table</w:t>
      </w:r>
      <w:r w:rsidR="00E0166B" w:rsidRPr="00F441B9">
        <w:rPr>
          <w:rFonts w:asciiTheme="minorBidi" w:hAnsiTheme="minorBidi"/>
          <w:sz w:val="20"/>
          <w:szCs w:val="20"/>
        </w:rPr>
        <w:t xml:space="preserve"> </w:t>
      </w:r>
      <w:r w:rsidR="004C6B2A" w:rsidRPr="00F441B9">
        <w:rPr>
          <w:rFonts w:asciiTheme="minorBidi" w:hAnsiTheme="minorBidi"/>
          <w:sz w:val="20"/>
          <w:szCs w:val="20"/>
        </w:rPr>
        <w:t>(</w:t>
      </w:r>
      <w:r w:rsidR="00E0166B" w:rsidRPr="00F441B9">
        <w:rPr>
          <w:rFonts w:asciiTheme="minorBidi" w:hAnsiTheme="minorBidi"/>
          <w:sz w:val="20"/>
          <w:szCs w:val="20"/>
        </w:rPr>
        <w:t>2)</w:t>
      </w:r>
      <w:r w:rsidRPr="00F441B9">
        <w:rPr>
          <w:rFonts w:asciiTheme="minorBidi" w:hAnsiTheme="minorBidi"/>
          <w:sz w:val="20"/>
          <w:szCs w:val="20"/>
        </w:rPr>
        <w:t>.</w:t>
      </w:r>
    </w:p>
    <w:tbl>
      <w:tblPr>
        <w:tblStyle w:val="TableGrid"/>
        <w:tblW w:w="0" w:type="auto"/>
        <w:jc w:val="center"/>
        <w:tblLook w:val="04A0" w:firstRow="1" w:lastRow="0" w:firstColumn="1" w:lastColumn="0" w:noHBand="0" w:noVBand="1"/>
      </w:tblPr>
      <w:tblGrid>
        <w:gridCol w:w="5488"/>
        <w:gridCol w:w="1384"/>
        <w:gridCol w:w="1434"/>
      </w:tblGrid>
      <w:tr w:rsidR="000B41F2" w:rsidRPr="00F441B9" w14:paraId="4C08FB1F" w14:textId="77777777" w:rsidTr="00F441B9">
        <w:trPr>
          <w:trHeight w:val="602"/>
          <w:jc w:val="center"/>
        </w:trPr>
        <w:tc>
          <w:tcPr>
            <w:tcW w:w="8306" w:type="dxa"/>
            <w:gridSpan w:val="3"/>
            <w:tcBorders>
              <w:top w:val="nil"/>
              <w:left w:val="nil"/>
              <w:bottom w:val="single" w:sz="4" w:space="0" w:color="auto"/>
              <w:right w:val="nil"/>
            </w:tcBorders>
          </w:tcPr>
          <w:p w14:paraId="4578F2D7" w14:textId="2B4CE96B" w:rsidR="000B41F2" w:rsidRPr="00F441B9" w:rsidRDefault="007535C2" w:rsidP="00E44F76">
            <w:pPr>
              <w:pStyle w:val="BodyText"/>
              <w:tabs>
                <w:tab w:val="right" w:pos="341"/>
                <w:tab w:val="right" w:pos="780"/>
              </w:tabs>
              <w:spacing w:before="174"/>
              <w:ind w:left="360" w:hanging="360"/>
              <w:jc w:val="center"/>
              <w:rPr>
                <w:rFonts w:asciiTheme="minorBidi" w:hAnsiTheme="minorBidi" w:cstheme="minorBidi"/>
                <w:b/>
                <w:bCs/>
                <w:sz w:val="22"/>
                <w:szCs w:val="22"/>
              </w:rPr>
            </w:pPr>
            <w:bookmarkStart w:id="0" w:name="_Hlk206527473"/>
            <w:r w:rsidRPr="00F441B9">
              <w:rPr>
                <w:rFonts w:asciiTheme="minorBidi" w:eastAsia="inter" w:hAnsiTheme="minorBidi" w:cstheme="minorBidi"/>
                <w:b/>
                <w:bCs/>
                <w:color w:val="000000"/>
                <w:sz w:val="22"/>
                <w:szCs w:val="22"/>
              </w:rPr>
              <w:t>TABLE 1: QUESTION: THE PHARMD PROGRAM IS A</w:t>
            </w:r>
            <w:bookmarkEnd w:id="0"/>
          </w:p>
        </w:tc>
      </w:tr>
      <w:tr w:rsidR="00E0166B" w:rsidRPr="00F441B9" w14:paraId="4A3CC461" w14:textId="77777777" w:rsidTr="00F441B9">
        <w:trPr>
          <w:jc w:val="center"/>
        </w:trPr>
        <w:tc>
          <w:tcPr>
            <w:tcW w:w="8306" w:type="dxa"/>
            <w:gridSpan w:val="3"/>
            <w:tcBorders>
              <w:top w:val="single" w:sz="4" w:space="0" w:color="auto"/>
              <w:left w:val="nil"/>
              <w:bottom w:val="nil"/>
              <w:right w:val="nil"/>
            </w:tcBorders>
          </w:tcPr>
          <w:p w14:paraId="09101D32" w14:textId="65069B5A" w:rsidR="00E0166B" w:rsidRPr="00F441B9" w:rsidRDefault="00E0166B" w:rsidP="00051988">
            <w:pPr>
              <w:ind w:left="360" w:hanging="90"/>
              <w:rPr>
                <w:rFonts w:asciiTheme="minorBidi" w:eastAsia="inter" w:hAnsiTheme="minorBidi"/>
                <w:b/>
                <w:color w:val="000000"/>
                <w:sz w:val="20"/>
                <w:szCs w:val="20"/>
              </w:rPr>
            </w:pPr>
            <w:r w:rsidRPr="00F441B9">
              <w:rPr>
                <w:rFonts w:asciiTheme="minorBidi" w:eastAsia="inter" w:hAnsiTheme="minorBidi"/>
                <w:b/>
                <w:color w:val="000000"/>
                <w:sz w:val="20"/>
                <w:szCs w:val="20"/>
              </w:rPr>
              <w:t>Answer</w:t>
            </w:r>
          </w:p>
        </w:tc>
      </w:tr>
      <w:tr w:rsidR="000B41F2" w:rsidRPr="00F441B9" w14:paraId="2F5F1C36" w14:textId="77777777" w:rsidTr="00F441B9">
        <w:trPr>
          <w:jc w:val="center"/>
        </w:trPr>
        <w:tc>
          <w:tcPr>
            <w:tcW w:w="5488" w:type="dxa"/>
            <w:tcBorders>
              <w:top w:val="single" w:sz="4" w:space="0" w:color="auto"/>
              <w:left w:val="nil"/>
              <w:bottom w:val="nil"/>
              <w:right w:val="nil"/>
            </w:tcBorders>
          </w:tcPr>
          <w:p w14:paraId="0F96A603" w14:textId="6D19BB29" w:rsidR="000B41F2" w:rsidRPr="00F441B9" w:rsidRDefault="000B41F2" w:rsidP="00E44F76">
            <w:pPr>
              <w:tabs>
                <w:tab w:val="right" w:pos="341"/>
              </w:tabs>
              <w:ind w:left="360" w:hanging="90"/>
              <w:rPr>
                <w:rFonts w:asciiTheme="minorBidi" w:eastAsia="inter" w:hAnsiTheme="minorBidi"/>
                <w:b/>
                <w:color w:val="000000"/>
                <w:sz w:val="20"/>
                <w:szCs w:val="20"/>
              </w:rPr>
            </w:pPr>
          </w:p>
        </w:tc>
        <w:tc>
          <w:tcPr>
            <w:tcW w:w="1384" w:type="dxa"/>
            <w:tcBorders>
              <w:top w:val="single" w:sz="4" w:space="0" w:color="auto"/>
              <w:left w:val="nil"/>
              <w:bottom w:val="nil"/>
              <w:right w:val="nil"/>
            </w:tcBorders>
          </w:tcPr>
          <w:p w14:paraId="216B7B16" w14:textId="77777777" w:rsidR="000B41F2" w:rsidRPr="00F441B9" w:rsidRDefault="000B41F2" w:rsidP="00E44F76">
            <w:pPr>
              <w:ind w:left="360" w:hanging="90"/>
              <w:rPr>
                <w:rFonts w:asciiTheme="minorBidi" w:eastAsia="inter" w:hAnsiTheme="minorBidi"/>
                <w:b/>
                <w:color w:val="000000"/>
                <w:sz w:val="20"/>
                <w:szCs w:val="20"/>
              </w:rPr>
            </w:pPr>
            <w:r w:rsidRPr="00F441B9">
              <w:rPr>
                <w:rFonts w:asciiTheme="minorBidi" w:eastAsia="inter" w:hAnsiTheme="minorBidi"/>
                <w:b/>
                <w:color w:val="000000"/>
                <w:sz w:val="20"/>
                <w:szCs w:val="20"/>
              </w:rPr>
              <w:t>No</w:t>
            </w:r>
          </w:p>
        </w:tc>
        <w:tc>
          <w:tcPr>
            <w:tcW w:w="1434" w:type="dxa"/>
            <w:tcBorders>
              <w:top w:val="single" w:sz="4" w:space="0" w:color="auto"/>
              <w:left w:val="nil"/>
              <w:bottom w:val="nil"/>
              <w:right w:val="nil"/>
            </w:tcBorders>
          </w:tcPr>
          <w:p w14:paraId="335DC519" w14:textId="77777777" w:rsidR="000B41F2" w:rsidRPr="00F441B9" w:rsidRDefault="000B41F2" w:rsidP="00E44F76">
            <w:pPr>
              <w:ind w:left="360" w:hanging="90"/>
              <w:rPr>
                <w:rFonts w:asciiTheme="minorBidi" w:eastAsia="inter" w:hAnsiTheme="minorBidi"/>
                <w:b/>
                <w:color w:val="000000"/>
                <w:sz w:val="20"/>
                <w:szCs w:val="20"/>
              </w:rPr>
            </w:pPr>
            <w:r w:rsidRPr="00F441B9">
              <w:rPr>
                <w:rFonts w:asciiTheme="minorBidi" w:eastAsia="inter" w:hAnsiTheme="minorBidi"/>
                <w:b/>
                <w:color w:val="000000"/>
                <w:sz w:val="20"/>
                <w:szCs w:val="20"/>
              </w:rPr>
              <w:t>%</w:t>
            </w:r>
          </w:p>
        </w:tc>
      </w:tr>
      <w:tr w:rsidR="000B41F2" w:rsidRPr="00F441B9" w14:paraId="2D6F4796" w14:textId="77777777" w:rsidTr="00F441B9">
        <w:trPr>
          <w:jc w:val="center"/>
        </w:trPr>
        <w:tc>
          <w:tcPr>
            <w:tcW w:w="5488" w:type="dxa"/>
            <w:tcBorders>
              <w:top w:val="nil"/>
              <w:left w:val="nil"/>
              <w:bottom w:val="nil"/>
              <w:right w:val="nil"/>
            </w:tcBorders>
          </w:tcPr>
          <w:p w14:paraId="6ECA0C12" w14:textId="290E8309" w:rsidR="000B41F2" w:rsidRPr="00F441B9" w:rsidRDefault="000B41F2" w:rsidP="00E44F76">
            <w:pPr>
              <w:tabs>
                <w:tab w:val="right" w:pos="341"/>
              </w:tabs>
              <w:ind w:left="360" w:hanging="90"/>
              <w:rPr>
                <w:rFonts w:asciiTheme="minorBidi" w:eastAsia="inter" w:hAnsiTheme="minorBidi"/>
                <w:color w:val="000000"/>
                <w:sz w:val="20"/>
                <w:szCs w:val="20"/>
              </w:rPr>
            </w:pPr>
            <w:r w:rsidRPr="00F441B9">
              <w:rPr>
                <w:rFonts w:asciiTheme="minorBidi" w:hAnsiTheme="minorBidi"/>
                <w:color w:val="212121"/>
                <w:w w:val="96"/>
                <w:sz w:val="20"/>
                <w:szCs w:val="20"/>
              </w:rPr>
              <w:t>Bachelor degree</w:t>
            </w:r>
            <w:r w:rsidRPr="00F441B9">
              <w:rPr>
                <w:rFonts w:asciiTheme="minorBidi" w:eastAsia="inter" w:hAnsiTheme="minorBidi"/>
                <w:color w:val="000000"/>
                <w:sz w:val="20"/>
                <w:szCs w:val="20"/>
              </w:rPr>
              <w:t xml:space="preserve"> </w:t>
            </w:r>
          </w:p>
        </w:tc>
        <w:tc>
          <w:tcPr>
            <w:tcW w:w="1384" w:type="dxa"/>
            <w:tcBorders>
              <w:top w:val="nil"/>
              <w:left w:val="nil"/>
              <w:bottom w:val="nil"/>
              <w:right w:val="nil"/>
            </w:tcBorders>
          </w:tcPr>
          <w:p w14:paraId="583E012E" w14:textId="77777777" w:rsidR="000B41F2" w:rsidRPr="00F441B9" w:rsidRDefault="000B41F2" w:rsidP="00E44F76">
            <w:pPr>
              <w:ind w:left="360" w:hanging="90"/>
              <w:rPr>
                <w:rFonts w:asciiTheme="minorBidi" w:eastAsia="inter" w:hAnsiTheme="minorBidi"/>
                <w:b/>
                <w:color w:val="000000"/>
                <w:sz w:val="20"/>
                <w:szCs w:val="20"/>
              </w:rPr>
            </w:pPr>
            <w:r w:rsidRPr="00F441B9">
              <w:rPr>
                <w:rFonts w:asciiTheme="minorBidi" w:eastAsia="inter" w:hAnsiTheme="minorBidi"/>
                <w:b/>
                <w:color w:val="000000"/>
                <w:sz w:val="20"/>
                <w:szCs w:val="20"/>
              </w:rPr>
              <w:t>20</w:t>
            </w:r>
          </w:p>
        </w:tc>
        <w:tc>
          <w:tcPr>
            <w:tcW w:w="1434" w:type="dxa"/>
            <w:tcBorders>
              <w:top w:val="nil"/>
              <w:left w:val="nil"/>
              <w:bottom w:val="nil"/>
              <w:right w:val="nil"/>
            </w:tcBorders>
          </w:tcPr>
          <w:p w14:paraId="5DC01840" w14:textId="77777777" w:rsidR="000B41F2" w:rsidRPr="00F441B9" w:rsidRDefault="000B41F2" w:rsidP="00E44F76">
            <w:pPr>
              <w:ind w:left="360" w:hanging="90"/>
              <w:rPr>
                <w:rFonts w:asciiTheme="minorBidi" w:eastAsia="inter" w:hAnsiTheme="minorBidi"/>
                <w:b/>
                <w:color w:val="000000"/>
                <w:sz w:val="20"/>
                <w:szCs w:val="20"/>
              </w:rPr>
            </w:pPr>
            <w:r w:rsidRPr="00F441B9">
              <w:rPr>
                <w:rFonts w:asciiTheme="minorBidi" w:eastAsia="inter" w:hAnsiTheme="minorBidi"/>
                <w:b/>
                <w:color w:val="000000"/>
                <w:sz w:val="20"/>
                <w:szCs w:val="20"/>
              </w:rPr>
              <w:t>33.3%</w:t>
            </w:r>
          </w:p>
        </w:tc>
      </w:tr>
      <w:tr w:rsidR="000B41F2" w:rsidRPr="00F441B9" w14:paraId="51B382A8" w14:textId="77777777" w:rsidTr="00F441B9">
        <w:trPr>
          <w:jc w:val="center"/>
        </w:trPr>
        <w:tc>
          <w:tcPr>
            <w:tcW w:w="5488" w:type="dxa"/>
            <w:tcBorders>
              <w:top w:val="nil"/>
              <w:left w:val="nil"/>
              <w:bottom w:val="nil"/>
              <w:right w:val="nil"/>
            </w:tcBorders>
          </w:tcPr>
          <w:p w14:paraId="211A1465" w14:textId="0E790491" w:rsidR="000B41F2" w:rsidRPr="00F441B9" w:rsidRDefault="000B41F2" w:rsidP="00E44F76">
            <w:pPr>
              <w:pStyle w:val="BodyText"/>
              <w:tabs>
                <w:tab w:val="right" w:pos="341"/>
              </w:tabs>
              <w:spacing w:before="44" w:line="336" w:lineRule="auto"/>
              <w:ind w:left="360" w:right="523" w:hanging="90"/>
              <w:rPr>
                <w:rFonts w:asciiTheme="minorBidi" w:hAnsiTheme="minorBidi" w:cstheme="minorBidi"/>
                <w:color w:val="212121"/>
                <w:w w:val="94"/>
                <w:sz w:val="20"/>
                <w:szCs w:val="20"/>
              </w:rPr>
            </w:pPr>
            <w:r w:rsidRPr="00F441B9">
              <w:rPr>
                <w:rFonts w:asciiTheme="minorBidi" w:hAnsiTheme="minorBidi" w:cstheme="minorBidi"/>
                <w:color w:val="212121"/>
                <w:w w:val="94"/>
                <w:sz w:val="20"/>
                <w:szCs w:val="20"/>
              </w:rPr>
              <w:t>Postgraduate degree</w:t>
            </w:r>
          </w:p>
        </w:tc>
        <w:tc>
          <w:tcPr>
            <w:tcW w:w="1384" w:type="dxa"/>
            <w:tcBorders>
              <w:top w:val="nil"/>
              <w:left w:val="nil"/>
              <w:bottom w:val="nil"/>
              <w:right w:val="nil"/>
            </w:tcBorders>
          </w:tcPr>
          <w:p w14:paraId="008D2470" w14:textId="77777777" w:rsidR="000B41F2" w:rsidRPr="00F441B9" w:rsidRDefault="000B41F2" w:rsidP="00E44F76">
            <w:pPr>
              <w:ind w:left="360" w:hanging="90"/>
              <w:rPr>
                <w:rFonts w:asciiTheme="minorBidi" w:eastAsia="inter" w:hAnsiTheme="minorBidi"/>
                <w:b/>
                <w:color w:val="000000"/>
                <w:sz w:val="20"/>
                <w:szCs w:val="20"/>
              </w:rPr>
            </w:pPr>
            <w:r w:rsidRPr="00F441B9">
              <w:rPr>
                <w:rFonts w:asciiTheme="minorBidi" w:eastAsia="inter" w:hAnsiTheme="minorBidi"/>
                <w:b/>
                <w:color w:val="000000"/>
                <w:sz w:val="20"/>
                <w:szCs w:val="20"/>
              </w:rPr>
              <w:t>11</w:t>
            </w:r>
          </w:p>
        </w:tc>
        <w:tc>
          <w:tcPr>
            <w:tcW w:w="1434" w:type="dxa"/>
            <w:tcBorders>
              <w:top w:val="nil"/>
              <w:left w:val="nil"/>
              <w:bottom w:val="nil"/>
              <w:right w:val="nil"/>
            </w:tcBorders>
          </w:tcPr>
          <w:p w14:paraId="41BB8393" w14:textId="77777777" w:rsidR="000B41F2" w:rsidRPr="00F441B9" w:rsidRDefault="000B41F2" w:rsidP="00E44F76">
            <w:pPr>
              <w:ind w:left="360" w:hanging="90"/>
              <w:rPr>
                <w:rFonts w:asciiTheme="minorBidi" w:eastAsia="inter" w:hAnsiTheme="minorBidi"/>
                <w:b/>
                <w:color w:val="000000"/>
                <w:sz w:val="20"/>
                <w:szCs w:val="20"/>
              </w:rPr>
            </w:pPr>
            <w:r w:rsidRPr="00F441B9">
              <w:rPr>
                <w:rFonts w:asciiTheme="minorBidi" w:eastAsia="inter" w:hAnsiTheme="minorBidi"/>
                <w:b/>
                <w:color w:val="000000"/>
                <w:sz w:val="20"/>
                <w:szCs w:val="20"/>
              </w:rPr>
              <w:t>18.3%</w:t>
            </w:r>
          </w:p>
        </w:tc>
      </w:tr>
      <w:tr w:rsidR="000B41F2" w:rsidRPr="00F441B9" w14:paraId="11EE2A81" w14:textId="77777777" w:rsidTr="00F441B9">
        <w:trPr>
          <w:jc w:val="center"/>
        </w:trPr>
        <w:tc>
          <w:tcPr>
            <w:tcW w:w="5488" w:type="dxa"/>
            <w:tcBorders>
              <w:top w:val="nil"/>
              <w:left w:val="nil"/>
              <w:bottom w:val="single" w:sz="4" w:space="0" w:color="auto"/>
              <w:right w:val="nil"/>
            </w:tcBorders>
          </w:tcPr>
          <w:p w14:paraId="6EA84DAE" w14:textId="54F7052D" w:rsidR="000B41F2" w:rsidRPr="00F441B9" w:rsidRDefault="000B41F2" w:rsidP="00E44F76">
            <w:pPr>
              <w:pStyle w:val="BodyText"/>
              <w:tabs>
                <w:tab w:val="right" w:pos="341"/>
              </w:tabs>
              <w:spacing w:line="203" w:lineRule="exact"/>
              <w:ind w:left="360" w:hanging="90"/>
              <w:rPr>
                <w:rFonts w:asciiTheme="minorBidi" w:hAnsiTheme="minorBidi" w:cstheme="minorBidi"/>
                <w:sz w:val="20"/>
                <w:szCs w:val="20"/>
              </w:rPr>
            </w:pPr>
            <w:r w:rsidRPr="00F441B9">
              <w:rPr>
                <w:rFonts w:asciiTheme="minorBidi" w:hAnsiTheme="minorBidi" w:cstheme="minorBidi"/>
                <w:color w:val="212121"/>
                <w:w w:val="95"/>
                <w:sz w:val="20"/>
                <w:szCs w:val="20"/>
              </w:rPr>
              <w:t>Professional study</w:t>
            </w:r>
          </w:p>
        </w:tc>
        <w:tc>
          <w:tcPr>
            <w:tcW w:w="1384" w:type="dxa"/>
            <w:tcBorders>
              <w:top w:val="nil"/>
              <w:left w:val="nil"/>
              <w:bottom w:val="single" w:sz="4" w:space="0" w:color="auto"/>
              <w:right w:val="nil"/>
            </w:tcBorders>
          </w:tcPr>
          <w:p w14:paraId="49B90692" w14:textId="77777777" w:rsidR="000B41F2" w:rsidRPr="00F441B9" w:rsidRDefault="000B41F2" w:rsidP="00E44F76">
            <w:pPr>
              <w:ind w:left="360" w:hanging="90"/>
              <w:rPr>
                <w:rFonts w:asciiTheme="minorBidi" w:eastAsia="inter" w:hAnsiTheme="minorBidi"/>
                <w:b/>
                <w:color w:val="000000"/>
                <w:sz w:val="20"/>
                <w:szCs w:val="20"/>
              </w:rPr>
            </w:pPr>
            <w:r w:rsidRPr="00F441B9">
              <w:rPr>
                <w:rFonts w:asciiTheme="minorBidi" w:eastAsia="inter" w:hAnsiTheme="minorBidi"/>
                <w:b/>
                <w:color w:val="000000"/>
                <w:sz w:val="20"/>
                <w:szCs w:val="20"/>
              </w:rPr>
              <w:t>29</w:t>
            </w:r>
          </w:p>
        </w:tc>
        <w:tc>
          <w:tcPr>
            <w:tcW w:w="1434" w:type="dxa"/>
            <w:tcBorders>
              <w:top w:val="nil"/>
              <w:left w:val="nil"/>
              <w:bottom w:val="single" w:sz="4" w:space="0" w:color="auto"/>
              <w:right w:val="nil"/>
            </w:tcBorders>
          </w:tcPr>
          <w:p w14:paraId="5A3DDA57" w14:textId="77777777" w:rsidR="000B41F2" w:rsidRPr="00F441B9" w:rsidRDefault="000B41F2" w:rsidP="00E44F76">
            <w:pPr>
              <w:ind w:left="360" w:hanging="90"/>
              <w:rPr>
                <w:rFonts w:asciiTheme="minorBidi" w:eastAsia="inter" w:hAnsiTheme="minorBidi"/>
                <w:b/>
                <w:color w:val="000000"/>
                <w:sz w:val="20"/>
                <w:szCs w:val="20"/>
              </w:rPr>
            </w:pPr>
            <w:r w:rsidRPr="00F441B9">
              <w:rPr>
                <w:rFonts w:asciiTheme="minorBidi" w:eastAsia="inter" w:hAnsiTheme="minorBidi"/>
                <w:b/>
                <w:color w:val="000000"/>
                <w:sz w:val="20"/>
                <w:szCs w:val="20"/>
              </w:rPr>
              <w:t>48.3%</w:t>
            </w:r>
          </w:p>
        </w:tc>
      </w:tr>
    </w:tbl>
    <w:p w14:paraId="3C73C643" w14:textId="77777777" w:rsidR="003C466A" w:rsidRPr="00D72BE6" w:rsidRDefault="003C466A" w:rsidP="003C466A">
      <w:pPr>
        <w:bidi w:val="0"/>
        <w:spacing w:line="360" w:lineRule="auto"/>
        <w:jc w:val="both"/>
        <w:rPr>
          <w:rFonts w:asciiTheme="minorBidi" w:hAnsiTheme="minorBid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990"/>
        <w:gridCol w:w="1170"/>
      </w:tblGrid>
      <w:tr w:rsidR="00E0166B" w:rsidRPr="00D72BE6" w14:paraId="4B076B6E" w14:textId="77777777" w:rsidTr="00F441B9">
        <w:tc>
          <w:tcPr>
            <w:tcW w:w="8298" w:type="dxa"/>
            <w:gridSpan w:val="3"/>
            <w:tcBorders>
              <w:bottom w:val="single" w:sz="4" w:space="0" w:color="auto"/>
            </w:tcBorders>
          </w:tcPr>
          <w:p w14:paraId="6BB6487A" w14:textId="578B5BAB" w:rsidR="00E0166B" w:rsidRPr="00F441B9" w:rsidRDefault="007535C2" w:rsidP="00E44F76">
            <w:pPr>
              <w:jc w:val="center"/>
              <w:rPr>
                <w:rFonts w:asciiTheme="minorBidi" w:eastAsia="inter" w:hAnsiTheme="minorBidi"/>
                <w:b/>
                <w:bCs/>
                <w:color w:val="000000"/>
              </w:rPr>
            </w:pPr>
            <w:r w:rsidRPr="00F441B9">
              <w:rPr>
                <w:rFonts w:asciiTheme="minorBidi" w:eastAsia="inter" w:hAnsiTheme="minorBidi"/>
                <w:b/>
                <w:bCs/>
                <w:color w:val="000000"/>
              </w:rPr>
              <w:t>TABLE: 2: WHICH OF THE FOLLOWING BEST DESCRIBES THE MAIN FOCUS OF THE BACHELOR OF PHARMACY PROGRAM</w:t>
            </w:r>
          </w:p>
        </w:tc>
      </w:tr>
      <w:tr w:rsidR="00E0166B" w:rsidRPr="00D72BE6" w14:paraId="75380F40" w14:textId="77777777" w:rsidTr="00F441B9">
        <w:trPr>
          <w:trHeight w:val="170"/>
        </w:trPr>
        <w:tc>
          <w:tcPr>
            <w:tcW w:w="6138" w:type="dxa"/>
            <w:tcBorders>
              <w:bottom w:val="single" w:sz="4" w:space="0" w:color="auto"/>
            </w:tcBorders>
          </w:tcPr>
          <w:p w14:paraId="76B13625"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Answer</w:t>
            </w:r>
          </w:p>
        </w:tc>
        <w:tc>
          <w:tcPr>
            <w:tcW w:w="990" w:type="dxa"/>
            <w:tcBorders>
              <w:top w:val="single" w:sz="4" w:space="0" w:color="auto"/>
              <w:bottom w:val="single" w:sz="4" w:space="0" w:color="auto"/>
            </w:tcBorders>
          </w:tcPr>
          <w:p w14:paraId="07772BD2"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No</w:t>
            </w:r>
          </w:p>
        </w:tc>
        <w:tc>
          <w:tcPr>
            <w:tcW w:w="1170" w:type="dxa"/>
            <w:tcBorders>
              <w:top w:val="single" w:sz="4" w:space="0" w:color="auto"/>
              <w:bottom w:val="single" w:sz="4" w:space="0" w:color="auto"/>
            </w:tcBorders>
          </w:tcPr>
          <w:p w14:paraId="01D8CCDE"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w:t>
            </w:r>
          </w:p>
        </w:tc>
      </w:tr>
      <w:tr w:rsidR="00F441B9" w:rsidRPr="00D72BE6" w14:paraId="7C20DCD7" w14:textId="77777777" w:rsidTr="00F441B9">
        <w:trPr>
          <w:trHeight w:val="60"/>
        </w:trPr>
        <w:tc>
          <w:tcPr>
            <w:tcW w:w="6138" w:type="dxa"/>
            <w:tcBorders>
              <w:top w:val="single" w:sz="4" w:space="0" w:color="auto"/>
            </w:tcBorders>
          </w:tcPr>
          <w:p w14:paraId="7BFFCBF9" w14:textId="77777777" w:rsidR="00F441B9" w:rsidRPr="00F441B9" w:rsidRDefault="00F441B9" w:rsidP="00E44F76">
            <w:pPr>
              <w:rPr>
                <w:rFonts w:asciiTheme="minorBidi" w:eastAsia="inter" w:hAnsiTheme="minorBidi"/>
                <w:b/>
                <w:color w:val="000000"/>
                <w:sz w:val="20"/>
                <w:szCs w:val="20"/>
              </w:rPr>
            </w:pPr>
          </w:p>
        </w:tc>
        <w:tc>
          <w:tcPr>
            <w:tcW w:w="990" w:type="dxa"/>
            <w:tcBorders>
              <w:top w:val="single" w:sz="4" w:space="0" w:color="auto"/>
            </w:tcBorders>
          </w:tcPr>
          <w:p w14:paraId="1F4112CF" w14:textId="77777777" w:rsidR="00F441B9" w:rsidRPr="00F441B9" w:rsidRDefault="00F441B9" w:rsidP="00E44F76">
            <w:pPr>
              <w:rPr>
                <w:rFonts w:asciiTheme="minorBidi" w:eastAsia="inter" w:hAnsiTheme="minorBidi"/>
                <w:b/>
                <w:color w:val="000000"/>
                <w:sz w:val="20"/>
                <w:szCs w:val="20"/>
              </w:rPr>
            </w:pPr>
          </w:p>
        </w:tc>
        <w:tc>
          <w:tcPr>
            <w:tcW w:w="1170" w:type="dxa"/>
            <w:tcBorders>
              <w:top w:val="single" w:sz="4" w:space="0" w:color="auto"/>
            </w:tcBorders>
          </w:tcPr>
          <w:p w14:paraId="1E7B52B6" w14:textId="77777777" w:rsidR="00F441B9" w:rsidRPr="00F441B9" w:rsidRDefault="00F441B9" w:rsidP="00E44F76">
            <w:pPr>
              <w:rPr>
                <w:rFonts w:asciiTheme="minorBidi" w:eastAsia="inter" w:hAnsiTheme="minorBidi"/>
                <w:b/>
                <w:color w:val="000000"/>
                <w:sz w:val="20"/>
                <w:szCs w:val="20"/>
              </w:rPr>
            </w:pPr>
          </w:p>
        </w:tc>
      </w:tr>
      <w:tr w:rsidR="00E0166B" w:rsidRPr="00D72BE6" w14:paraId="06D00147" w14:textId="77777777" w:rsidTr="00F441B9">
        <w:tc>
          <w:tcPr>
            <w:tcW w:w="6138" w:type="dxa"/>
          </w:tcPr>
          <w:p w14:paraId="02AE09B6" w14:textId="77777777" w:rsidR="00E0166B" w:rsidRPr="00F441B9" w:rsidRDefault="00E0166B" w:rsidP="00E44F76">
            <w:pPr>
              <w:rPr>
                <w:rFonts w:asciiTheme="minorBidi" w:eastAsia="inter" w:hAnsiTheme="minorBidi"/>
                <w:sz w:val="20"/>
                <w:szCs w:val="20"/>
              </w:rPr>
            </w:pPr>
            <w:r w:rsidRPr="00F441B9">
              <w:rPr>
                <w:rFonts w:asciiTheme="minorBidi" w:hAnsiTheme="minorBidi"/>
                <w:w w:val="94"/>
                <w:sz w:val="20"/>
                <w:szCs w:val="20"/>
              </w:rPr>
              <w:t>Clinical and direct patient care</w:t>
            </w:r>
          </w:p>
        </w:tc>
        <w:tc>
          <w:tcPr>
            <w:tcW w:w="990" w:type="dxa"/>
          </w:tcPr>
          <w:p w14:paraId="69B72E1B"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12</w:t>
            </w:r>
          </w:p>
        </w:tc>
        <w:tc>
          <w:tcPr>
            <w:tcW w:w="1170" w:type="dxa"/>
          </w:tcPr>
          <w:p w14:paraId="3370BB59"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20.3%</w:t>
            </w:r>
          </w:p>
        </w:tc>
      </w:tr>
      <w:tr w:rsidR="00E0166B" w:rsidRPr="00D72BE6" w14:paraId="339E8922" w14:textId="77777777" w:rsidTr="00F441B9">
        <w:tc>
          <w:tcPr>
            <w:tcW w:w="6138" w:type="dxa"/>
          </w:tcPr>
          <w:p w14:paraId="74CDC041" w14:textId="77777777" w:rsidR="00E0166B" w:rsidRPr="00F441B9" w:rsidRDefault="00E0166B" w:rsidP="00E44F76">
            <w:pPr>
              <w:pStyle w:val="BodyText"/>
              <w:spacing w:before="44" w:line="336" w:lineRule="auto"/>
              <w:ind w:right="523"/>
              <w:rPr>
                <w:rFonts w:asciiTheme="minorBidi" w:hAnsiTheme="minorBidi" w:cstheme="minorBidi"/>
                <w:w w:val="94"/>
                <w:sz w:val="20"/>
                <w:szCs w:val="20"/>
              </w:rPr>
            </w:pPr>
            <w:r w:rsidRPr="00F441B9">
              <w:rPr>
                <w:rFonts w:asciiTheme="minorBidi" w:hAnsiTheme="minorBidi" w:cstheme="minorBidi"/>
                <w:w w:val="95"/>
                <w:sz w:val="20"/>
                <w:szCs w:val="20"/>
              </w:rPr>
              <w:t xml:space="preserve">Pharmacy practice and pharmaceutical </w:t>
            </w:r>
          </w:p>
        </w:tc>
        <w:tc>
          <w:tcPr>
            <w:tcW w:w="990" w:type="dxa"/>
          </w:tcPr>
          <w:p w14:paraId="1455780D"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20</w:t>
            </w:r>
          </w:p>
        </w:tc>
        <w:tc>
          <w:tcPr>
            <w:tcW w:w="1170" w:type="dxa"/>
          </w:tcPr>
          <w:p w14:paraId="2DEB36B5"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33.9%</w:t>
            </w:r>
          </w:p>
        </w:tc>
      </w:tr>
      <w:tr w:rsidR="00E0166B" w:rsidRPr="00D72BE6" w14:paraId="1389DB94" w14:textId="77777777" w:rsidTr="00F441B9">
        <w:tc>
          <w:tcPr>
            <w:tcW w:w="6138" w:type="dxa"/>
          </w:tcPr>
          <w:p w14:paraId="63FFACD9" w14:textId="77777777" w:rsidR="00E0166B" w:rsidRPr="00F441B9" w:rsidRDefault="00E0166B" w:rsidP="00E44F76">
            <w:pPr>
              <w:pStyle w:val="BodyText"/>
              <w:spacing w:before="44" w:line="336" w:lineRule="auto"/>
              <w:ind w:right="1153"/>
              <w:rPr>
                <w:rFonts w:asciiTheme="minorBidi" w:hAnsiTheme="minorBidi" w:cstheme="minorBidi"/>
                <w:w w:val="94"/>
                <w:sz w:val="20"/>
                <w:szCs w:val="20"/>
              </w:rPr>
            </w:pPr>
            <w:r w:rsidRPr="00F441B9">
              <w:rPr>
                <w:rFonts w:asciiTheme="minorBidi" w:hAnsiTheme="minorBidi" w:cstheme="minorBidi"/>
                <w:w w:val="94"/>
                <w:sz w:val="20"/>
                <w:szCs w:val="20"/>
              </w:rPr>
              <w:t>Drug Marketing only</w:t>
            </w:r>
          </w:p>
        </w:tc>
        <w:tc>
          <w:tcPr>
            <w:tcW w:w="990" w:type="dxa"/>
          </w:tcPr>
          <w:p w14:paraId="6296F651"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0</w:t>
            </w:r>
          </w:p>
        </w:tc>
        <w:tc>
          <w:tcPr>
            <w:tcW w:w="1170" w:type="dxa"/>
          </w:tcPr>
          <w:p w14:paraId="54747A6F"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0</w:t>
            </w:r>
          </w:p>
        </w:tc>
      </w:tr>
      <w:tr w:rsidR="00E0166B" w:rsidRPr="00D72BE6" w14:paraId="727F1C09" w14:textId="77777777" w:rsidTr="00F441B9">
        <w:tc>
          <w:tcPr>
            <w:tcW w:w="6138" w:type="dxa"/>
          </w:tcPr>
          <w:p w14:paraId="2AB97BC8" w14:textId="77777777" w:rsidR="00E0166B" w:rsidRPr="00F441B9" w:rsidRDefault="00E0166B" w:rsidP="00E44F76">
            <w:pPr>
              <w:pStyle w:val="BodyText"/>
              <w:spacing w:before="44" w:line="336" w:lineRule="auto"/>
              <w:ind w:right="1153"/>
              <w:rPr>
                <w:rFonts w:asciiTheme="minorBidi" w:hAnsiTheme="minorBidi" w:cstheme="minorBidi"/>
                <w:w w:val="95"/>
                <w:sz w:val="20"/>
                <w:szCs w:val="20"/>
              </w:rPr>
            </w:pPr>
            <w:r w:rsidRPr="00F441B9">
              <w:rPr>
                <w:rFonts w:asciiTheme="minorBidi" w:hAnsiTheme="minorBidi" w:cstheme="minorBidi"/>
                <w:w w:val="94"/>
                <w:sz w:val="20"/>
                <w:szCs w:val="20"/>
              </w:rPr>
              <w:t>Hospital Pharmacy only</w:t>
            </w:r>
          </w:p>
        </w:tc>
        <w:tc>
          <w:tcPr>
            <w:tcW w:w="990" w:type="dxa"/>
          </w:tcPr>
          <w:p w14:paraId="28CE7848"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2</w:t>
            </w:r>
          </w:p>
        </w:tc>
        <w:tc>
          <w:tcPr>
            <w:tcW w:w="1170" w:type="dxa"/>
          </w:tcPr>
          <w:p w14:paraId="13E926B8"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3.4%</w:t>
            </w:r>
          </w:p>
        </w:tc>
      </w:tr>
      <w:tr w:rsidR="00E0166B" w:rsidRPr="00D72BE6" w14:paraId="377DF48B" w14:textId="77777777" w:rsidTr="00F441B9">
        <w:tc>
          <w:tcPr>
            <w:tcW w:w="6138" w:type="dxa"/>
          </w:tcPr>
          <w:p w14:paraId="11637225" w14:textId="77777777" w:rsidR="00E0166B" w:rsidRPr="00F441B9" w:rsidRDefault="00E0166B" w:rsidP="00E44F76">
            <w:pPr>
              <w:pStyle w:val="BodyText"/>
              <w:spacing w:before="44" w:line="336" w:lineRule="auto"/>
              <w:ind w:right="1153"/>
              <w:rPr>
                <w:rFonts w:asciiTheme="minorBidi" w:hAnsiTheme="minorBidi" w:cstheme="minorBidi"/>
                <w:sz w:val="20"/>
                <w:szCs w:val="20"/>
              </w:rPr>
            </w:pPr>
            <w:r w:rsidRPr="00F441B9">
              <w:rPr>
                <w:rFonts w:asciiTheme="minorBidi" w:hAnsiTheme="minorBidi" w:cstheme="minorBidi"/>
                <w:w w:val="95"/>
                <w:sz w:val="20"/>
                <w:szCs w:val="20"/>
              </w:rPr>
              <w:t xml:space="preserve">Industrial only </w:t>
            </w:r>
          </w:p>
        </w:tc>
        <w:tc>
          <w:tcPr>
            <w:tcW w:w="990" w:type="dxa"/>
          </w:tcPr>
          <w:p w14:paraId="2F1EA612"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0</w:t>
            </w:r>
          </w:p>
        </w:tc>
        <w:tc>
          <w:tcPr>
            <w:tcW w:w="1170" w:type="dxa"/>
          </w:tcPr>
          <w:p w14:paraId="45D5D5F5"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0</w:t>
            </w:r>
          </w:p>
        </w:tc>
      </w:tr>
      <w:tr w:rsidR="00E0166B" w:rsidRPr="00D72BE6" w14:paraId="7015D132" w14:textId="77777777" w:rsidTr="00F441B9">
        <w:tc>
          <w:tcPr>
            <w:tcW w:w="6138" w:type="dxa"/>
            <w:tcBorders>
              <w:bottom w:val="single" w:sz="4" w:space="0" w:color="auto"/>
            </w:tcBorders>
          </w:tcPr>
          <w:p w14:paraId="761B387B" w14:textId="77777777" w:rsidR="00E0166B" w:rsidRPr="00F441B9" w:rsidRDefault="00E0166B" w:rsidP="00E44F76">
            <w:pPr>
              <w:pStyle w:val="BodyText"/>
              <w:spacing w:line="203" w:lineRule="exact"/>
              <w:ind w:right="1153"/>
              <w:rPr>
                <w:rFonts w:asciiTheme="minorBidi" w:hAnsiTheme="minorBidi" w:cstheme="minorBidi"/>
                <w:sz w:val="20"/>
                <w:szCs w:val="20"/>
              </w:rPr>
            </w:pPr>
            <w:r w:rsidRPr="00F441B9">
              <w:rPr>
                <w:rFonts w:asciiTheme="minorBidi" w:hAnsiTheme="minorBidi" w:cstheme="minorBidi"/>
                <w:w w:val="93"/>
                <w:sz w:val="20"/>
                <w:szCs w:val="20"/>
              </w:rPr>
              <w:t>All of the above</w:t>
            </w:r>
          </w:p>
        </w:tc>
        <w:tc>
          <w:tcPr>
            <w:tcW w:w="990" w:type="dxa"/>
            <w:tcBorders>
              <w:bottom w:val="single" w:sz="4" w:space="0" w:color="auto"/>
            </w:tcBorders>
          </w:tcPr>
          <w:p w14:paraId="0D52CB89"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25</w:t>
            </w:r>
          </w:p>
        </w:tc>
        <w:tc>
          <w:tcPr>
            <w:tcW w:w="1170" w:type="dxa"/>
            <w:tcBorders>
              <w:bottom w:val="single" w:sz="4" w:space="0" w:color="auto"/>
            </w:tcBorders>
          </w:tcPr>
          <w:p w14:paraId="3C56FC32" w14:textId="77777777" w:rsidR="00E0166B" w:rsidRPr="00F441B9" w:rsidRDefault="00E0166B" w:rsidP="00E44F76">
            <w:pPr>
              <w:rPr>
                <w:rFonts w:asciiTheme="minorBidi" w:eastAsia="inter" w:hAnsiTheme="minorBidi"/>
                <w:b/>
                <w:color w:val="000000"/>
                <w:sz w:val="20"/>
                <w:szCs w:val="20"/>
              </w:rPr>
            </w:pPr>
            <w:r w:rsidRPr="00F441B9">
              <w:rPr>
                <w:rFonts w:asciiTheme="minorBidi" w:eastAsia="inter" w:hAnsiTheme="minorBidi"/>
                <w:b/>
                <w:color w:val="000000"/>
                <w:sz w:val="20"/>
                <w:szCs w:val="20"/>
              </w:rPr>
              <w:t>42.4%</w:t>
            </w:r>
          </w:p>
        </w:tc>
      </w:tr>
    </w:tbl>
    <w:p w14:paraId="02860D3B" w14:textId="77777777" w:rsidR="00E0166B" w:rsidRPr="00F441B9" w:rsidRDefault="00E0166B" w:rsidP="00E0166B">
      <w:pPr>
        <w:bidi w:val="0"/>
        <w:spacing w:line="360" w:lineRule="auto"/>
        <w:jc w:val="both"/>
        <w:rPr>
          <w:rFonts w:asciiTheme="minorBidi" w:hAnsiTheme="minorBidi"/>
          <w:b/>
          <w:bCs/>
          <w:sz w:val="4"/>
          <w:szCs w:val="4"/>
        </w:rPr>
      </w:pPr>
    </w:p>
    <w:p w14:paraId="1D0EEFFC" w14:textId="3F0BEEA3" w:rsidR="008972A3" w:rsidRPr="00F441B9" w:rsidRDefault="00F441B9" w:rsidP="000B41F2">
      <w:pPr>
        <w:bidi w:val="0"/>
        <w:spacing w:line="360" w:lineRule="auto"/>
        <w:jc w:val="both"/>
        <w:rPr>
          <w:rFonts w:asciiTheme="minorBidi" w:hAnsiTheme="minorBidi"/>
          <w:b/>
          <w:bCs/>
        </w:rPr>
      </w:pPr>
      <w:r>
        <w:rPr>
          <w:rFonts w:asciiTheme="minorBidi" w:hAnsiTheme="minorBidi"/>
          <w:b/>
          <w:bCs/>
        </w:rPr>
        <w:t xml:space="preserve">3.3 </w:t>
      </w:r>
      <w:r w:rsidR="008972A3" w:rsidRPr="00F441B9">
        <w:rPr>
          <w:rFonts w:asciiTheme="minorBidi" w:hAnsiTheme="minorBidi"/>
          <w:b/>
          <w:bCs/>
        </w:rPr>
        <w:t>Perceptions and Attitudes</w:t>
      </w:r>
    </w:p>
    <w:p w14:paraId="61195F3A" w14:textId="4C2CCDBC" w:rsidR="008972A3" w:rsidRPr="00F441B9" w:rsidRDefault="008972A3" w:rsidP="001359B5">
      <w:pPr>
        <w:bidi w:val="0"/>
        <w:spacing w:line="360" w:lineRule="auto"/>
        <w:jc w:val="both"/>
        <w:rPr>
          <w:rFonts w:asciiTheme="minorBidi" w:hAnsiTheme="minorBidi"/>
          <w:sz w:val="20"/>
          <w:szCs w:val="20"/>
        </w:rPr>
      </w:pPr>
      <w:r w:rsidRPr="00F441B9">
        <w:rPr>
          <w:rFonts w:asciiTheme="minorBidi" w:hAnsiTheme="minorBidi"/>
          <w:sz w:val="20"/>
          <w:szCs w:val="20"/>
        </w:rPr>
        <w:t>Over half the students favored the PharmD program for their future careers and agreed it would enhance pharmacy practice in Libya</w:t>
      </w:r>
      <w:r w:rsidR="00922D92" w:rsidRPr="00F441B9">
        <w:rPr>
          <w:rFonts w:asciiTheme="minorBidi" w:hAnsiTheme="minorBidi"/>
          <w:sz w:val="20"/>
          <w:szCs w:val="20"/>
        </w:rPr>
        <w:t xml:space="preserve"> </w:t>
      </w:r>
      <w:r w:rsidR="00E0166B" w:rsidRPr="00F441B9">
        <w:rPr>
          <w:rFonts w:asciiTheme="minorBidi" w:hAnsiTheme="minorBidi"/>
          <w:sz w:val="20"/>
          <w:szCs w:val="20"/>
        </w:rPr>
        <w:t>(</w:t>
      </w:r>
      <w:r w:rsidR="00E0166B" w:rsidRPr="00F441B9">
        <w:rPr>
          <w:rFonts w:asciiTheme="minorBidi" w:hAnsiTheme="minorBidi"/>
          <w:b/>
          <w:bCs/>
          <w:sz w:val="20"/>
          <w:szCs w:val="20"/>
        </w:rPr>
        <w:t>Fig. 1</w:t>
      </w:r>
      <w:proofErr w:type="gramStart"/>
      <w:r w:rsidR="00E0166B" w:rsidRPr="00F441B9">
        <w:rPr>
          <w:rFonts w:asciiTheme="minorBidi" w:hAnsiTheme="minorBidi"/>
          <w:sz w:val="20"/>
          <w:szCs w:val="20"/>
        </w:rPr>
        <w:t xml:space="preserve">) </w:t>
      </w:r>
      <w:r w:rsidRPr="00F441B9">
        <w:rPr>
          <w:rFonts w:asciiTheme="minorBidi" w:hAnsiTheme="minorBidi"/>
          <w:sz w:val="20"/>
          <w:szCs w:val="20"/>
        </w:rPr>
        <w:t>.</w:t>
      </w:r>
      <w:proofErr w:type="gramEnd"/>
      <w:r w:rsidRPr="00F441B9">
        <w:rPr>
          <w:rFonts w:asciiTheme="minorBidi" w:hAnsiTheme="minorBidi"/>
          <w:sz w:val="20"/>
          <w:szCs w:val="20"/>
        </w:rPr>
        <w:t xml:space="preserve"> Interest in clinical pharmacy careers was high. Confidence in clinical and patient care skills from the BPharm was moderate, emphasizing a need for more practical training</w:t>
      </w:r>
      <w:r w:rsidR="002E5AD9" w:rsidRPr="00F441B9">
        <w:rPr>
          <w:rFonts w:asciiTheme="minorBidi" w:hAnsiTheme="minorBidi"/>
          <w:sz w:val="20"/>
          <w:szCs w:val="20"/>
        </w:rPr>
        <w:t xml:space="preserve"> (</w:t>
      </w:r>
      <w:r w:rsidR="002E5AD9" w:rsidRPr="00F441B9">
        <w:rPr>
          <w:rFonts w:asciiTheme="minorBidi" w:hAnsiTheme="minorBidi"/>
          <w:b/>
          <w:bCs/>
          <w:sz w:val="20"/>
          <w:szCs w:val="20"/>
        </w:rPr>
        <w:t>Fig. 2</w:t>
      </w:r>
      <w:r w:rsidR="002E5AD9" w:rsidRPr="00F441B9">
        <w:rPr>
          <w:rFonts w:asciiTheme="minorBidi" w:hAnsiTheme="minorBidi"/>
          <w:sz w:val="20"/>
          <w:szCs w:val="20"/>
        </w:rPr>
        <w:t>)</w:t>
      </w:r>
    </w:p>
    <w:p w14:paraId="34821E6A" w14:textId="059CE012" w:rsidR="00A22FDD" w:rsidRPr="00D72BE6" w:rsidRDefault="00A22FDD" w:rsidP="00A22FDD">
      <w:pPr>
        <w:bidi w:val="0"/>
        <w:spacing w:line="360" w:lineRule="auto"/>
        <w:jc w:val="both"/>
        <w:rPr>
          <w:rFonts w:asciiTheme="minorBidi" w:hAnsiTheme="minorBidi"/>
          <w:b/>
          <w:bCs/>
          <w:sz w:val="24"/>
          <w:szCs w:val="24"/>
        </w:rPr>
      </w:pPr>
      <w:r w:rsidRPr="00D72BE6">
        <w:rPr>
          <w:rFonts w:asciiTheme="minorBidi" w:hAnsiTheme="minorBidi"/>
          <w:noProof/>
        </w:rPr>
        <w:lastRenderedPageBreak/>
        <w:drawing>
          <wp:inline distT="0" distB="0" distL="0" distR="0" wp14:anchorId="6E4CC989" wp14:editId="722C6F17">
            <wp:extent cx="5274310" cy="2593340"/>
            <wp:effectExtent l="0" t="0" r="2540" b="16510"/>
            <wp:docPr id="1537808982" name="مخطط 1">
              <a:extLst xmlns:a="http://schemas.openxmlformats.org/drawingml/2006/main">
                <a:ext uri="{FF2B5EF4-FFF2-40B4-BE49-F238E27FC236}">
                  <a16:creationId xmlns:a16="http://schemas.microsoft.com/office/drawing/2014/main" id="{28E10478-EC1B-9C4A-3C35-374E47A252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4C7A13" w14:textId="5967B5FE" w:rsidR="00E0166B" w:rsidRPr="000C15D8" w:rsidRDefault="007535C2" w:rsidP="000C15D8">
      <w:pPr>
        <w:tabs>
          <w:tab w:val="right" w:pos="180"/>
          <w:tab w:val="right" w:pos="270"/>
          <w:tab w:val="right" w:pos="900"/>
        </w:tabs>
        <w:spacing w:after="210" w:line="360" w:lineRule="auto"/>
        <w:jc w:val="center"/>
        <w:rPr>
          <w:rFonts w:asciiTheme="minorBidi" w:eastAsia="inter" w:hAnsiTheme="minorBidi"/>
          <w:b/>
          <w:bCs/>
          <w:color w:val="000000"/>
          <w:sz w:val="20"/>
          <w:szCs w:val="20"/>
        </w:rPr>
      </w:pPr>
      <w:r w:rsidRPr="000C15D8">
        <w:rPr>
          <w:rFonts w:asciiTheme="minorBidi" w:hAnsiTheme="minorBidi"/>
          <w:b/>
          <w:bCs/>
          <w:color w:val="202024"/>
          <w:w w:val="98"/>
          <w:sz w:val="20"/>
          <w:szCs w:val="20"/>
        </w:rPr>
        <w:t>FIG. 1:</w:t>
      </w:r>
      <w:r w:rsidRPr="000C15D8">
        <w:rPr>
          <w:rFonts w:asciiTheme="minorBidi" w:eastAsia="inter" w:hAnsiTheme="minorBidi"/>
          <w:b/>
          <w:bCs/>
          <w:color w:val="000000"/>
          <w:sz w:val="20"/>
          <w:szCs w:val="20"/>
        </w:rPr>
        <w:t xml:space="preserve"> WHAT ARE THE MAIN CAREER OPPORTUNITIES AVAILABLE PHARMD GRADUATE</w:t>
      </w:r>
      <w:r w:rsidR="000C15D8">
        <w:rPr>
          <w:rFonts w:asciiTheme="minorBidi" w:eastAsia="inter" w:hAnsiTheme="minorBidi"/>
          <w:b/>
          <w:bCs/>
          <w:color w:val="000000"/>
          <w:sz w:val="20"/>
          <w:szCs w:val="20"/>
        </w:rPr>
        <w:t>S</w:t>
      </w:r>
    </w:p>
    <w:p w14:paraId="115A5134" w14:textId="595D7CCD" w:rsidR="002E5AD9" w:rsidRPr="00D72BE6" w:rsidRDefault="00C958DD" w:rsidP="002E5AD9">
      <w:pPr>
        <w:bidi w:val="0"/>
        <w:spacing w:line="360" w:lineRule="auto"/>
        <w:jc w:val="both"/>
        <w:rPr>
          <w:rFonts w:asciiTheme="minorBidi" w:hAnsiTheme="minorBidi"/>
          <w:b/>
          <w:bCs/>
          <w:sz w:val="24"/>
          <w:szCs w:val="24"/>
        </w:rPr>
      </w:pPr>
      <w:r w:rsidRPr="00D72BE6">
        <w:rPr>
          <w:rFonts w:asciiTheme="minorBidi" w:hAnsiTheme="minorBidi"/>
          <w:noProof/>
        </w:rPr>
        <w:drawing>
          <wp:inline distT="0" distB="0" distL="0" distR="0" wp14:anchorId="7289AE6B" wp14:editId="03C96C9C">
            <wp:extent cx="5274310" cy="2402840"/>
            <wp:effectExtent l="0" t="0" r="2540" b="16510"/>
            <wp:docPr id="442857417" name="مخطط 1">
              <a:extLst xmlns:a="http://schemas.openxmlformats.org/drawingml/2006/main">
                <a:ext uri="{FF2B5EF4-FFF2-40B4-BE49-F238E27FC236}">
                  <a16:creationId xmlns:a16="http://schemas.microsoft.com/office/drawing/2014/main" id="{82E41C88-F002-4467-842B-165EE01E79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A022FC" w14:textId="38C30EF9" w:rsidR="002E5AD9" w:rsidRPr="000C15D8" w:rsidRDefault="007535C2" w:rsidP="002E5AD9">
      <w:pPr>
        <w:spacing w:line="283" w:lineRule="exact"/>
        <w:ind w:left="18"/>
        <w:jc w:val="center"/>
        <w:rPr>
          <w:rFonts w:asciiTheme="minorBidi" w:hAnsiTheme="minorBidi"/>
          <w:b/>
          <w:bCs/>
          <w:sz w:val="20"/>
          <w:szCs w:val="20"/>
          <w:rtl/>
        </w:rPr>
      </w:pPr>
      <w:r w:rsidRPr="000C15D8">
        <w:rPr>
          <w:rFonts w:asciiTheme="minorBidi" w:hAnsiTheme="minorBidi"/>
          <w:b/>
          <w:bCs/>
          <w:color w:val="202024"/>
          <w:w w:val="98"/>
          <w:sz w:val="20"/>
          <w:szCs w:val="20"/>
        </w:rPr>
        <w:t>FIG. 2:</w:t>
      </w:r>
      <w:r w:rsidRPr="000C15D8">
        <w:rPr>
          <w:rFonts w:asciiTheme="minorBidi" w:hAnsiTheme="minorBidi"/>
          <w:b/>
          <w:bCs/>
          <w:color w:val="202024"/>
          <w:w w:val="95"/>
          <w:sz w:val="20"/>
          <w:szCs w:val="20"/>
          <w:lang w:val="en"/>
        </w:rPr>
        <w:t xml:space="preserve"> MY PROGRAM PROVIDES ADEQUATE TRAINING IN PHARMACY PRACTICE</w:t>
      </w:r>
    </w:p>
    <w:p w14:paraId="25671541" w14:textId="5ECC6FD3" w:rsidR="008972A3" w:rsidRPr="00F441B9" w:rsidRDefault="00F441B9" w:rsidP="003C466A">
      <w:pPr>
        <w:bidi w:val="0"/>
        <w:spacing w:line="360" w:lineRule="auto"/>
        <w:jc w:val="both"/>
        <w:rPr>
          <w:rFonts w:asciiTheme="minorBidi" w:hAnsiTheme="minorBidi"/>
          <w:b/>
          <w:bCs/>
        </w:rPr>
      </w:pPr>
      <w:r w:rsidRPr="00F441B9">
        <w:rPr>
          <w:rFonts w:asciiTheme="minorBidi" w:hAnsiTheme="minorBidi"/>
          <w:b/>
          <w:bCs/>
        </w:rPr>
        <w:t xml:space="preserve">3.4 </w:t>
      </w:r>
      <w:r w:rsidR="008972A3" w:rsidRPr="00F441B9">
        <w:rPr>
          <w:rFonts w:asciiTheme="minorBidi" w:hAnsiTheme="minorBidi"/>
          <w:b/>
          <w:bCs/>
        </w:rPr>
        <w:t>Future Aspirations</w:t>
      </w:r>
    </w:p>
    <w:p w14:paraId="7EA728A4" w14:textId="79EFF870" w:rsidR="008972A3" w:rsidRPr="00F441B9" w:rsidRDefault="008972A3" w:rsidP="008972A3">
      <w:pPr>
        <w:bidi w:val="0"/>
        <w:spacing w:line="360" w:lineRule="auto"/>
        <w:jc w:val="both"/>
        <w:rPr>
          <w:rFonts w:asciiTheme="minorBidi" w:hAnsiTheme="minorBidi"/>
          <w:sz w:val="20"/>
          <w:szCs w:val="20"/>
        </w:rPr>
      </w:pPr>
      <w:r w:rsidRPr="00F441B9">
        <w:rPr>
          <w:rFonts w:asciiTheme="minorBidi" w:hAnsiTheme="minorBidi"/>
          <w:sz w:val="20"/>
          <w:szCs w:val="20"/>
        </w:rPr>
        <w:t>Students showed interest in postgraduate clinical pharmacy studies. They valued qualified faculty and practical program components as strengths.</w:t>
      </w:r>
    </w:p>
    <w:p w14:paraId="08059426" w14:textId="77777777" w:rsidR="00C958DD" w:rsidRPr="00D72BE6" w:rsidRDefault="00C958DD" w:rsidP="002E5AD9">
      <w:pPr>
        <w:spacing w:line="283" w:lineRule="exact"/>
        <w:ind w:left="18"/>
        <w:jc w:val="center"/>
        <w:rPr>
          <w:rFonts w:asciiTheme="minorBidi" w:hAnsiTheme="minorBidi"/>
          <w:b/>
          <w:bCs/>
          <w:color w:val="202024"/>
          <w:w w:val="98"/>
          <w:sz w:val="24"/>
          <w:szCs w:val="24"/>
          <w:rtl/>
        </w:rPr>
      </w:pPr>
    </w:p>
    <w:p w14:paraId="2874FF0B" w14:textId="77777777" w:rsidR="005C517F" w:rsidRPr="00D72BE6" w:rsidRDefault="005C517F" w:rsidP="00922D92">
      <w:pPr>
        <w:bidi w:val="0"/>
        <w:spacing w:line="360" w:lineRule="auto"/>
        <w:jc w:val="both"/>
        <w:rPr>
          <w:rFonts w:asciiTheme="minorBidi" w:eastAsia="Times New Roman" w:hAnsiTheme="minorBidi"/>
          <w:w w:val="99"/>
          <w:sz w:val="28"/>
          <w:szCs w:val="28"/>
        </w:rPr>
      </w:pPr>
      <w:r w:rsidRPr="00D72BE6">
        <w:rPr>
          <w:rFonts w:asciiTheme="minorBidi" w:hAnsiTheme="minorBidi"/>
          <w:noProof/>
        </w:rPr>
        <w:lastRenderedPageBreak/>
        <w:drawing>
          <wp:inline distT="0" distB="0" distL="0" distR="0" wp14:anchorId="1AFB0BCE" wp14:editId="5A424D77">
            <wp:extent cx="5274310" cy="2998470"/>
            <wp:effectExtent l="0" t="0" r="2540" b="11430"/>
            <wp:docPr id="1454531681" name="مخطط 1">
              <a:extLst xmlns:a="http://schemas.openxmlformats.org/drawingml/2006/main">
                <a:ext uri="{FF2B5EF4-FFF2-40B4-BE49-F238E27FC236}">
                  <a16:creationId xmlns:a16="http://schemas.microsoft.com/office/drawing/2014/main" id="{EB215F9C-3162-C30D-8883-AABDB7906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56B0466" w14:textId="77777777" w:rsidR="005C517F" w:rsidRPr="000C15D8" w:rsidRDefault="005C517F" w:rsidP="005C517F">
      <w:pPr>
        <w:spacing w:line="283" w:lineRule="exact"/>
        <w:ind w:left="18"/>
        <w:jc w:val="center"/>
        <w:rPr>
          <w:rFonts w:asciiTheme="minorBidi" w:hAnsiTheme="minorBidi"/>
          <w:b/>
          <w:bCs/>
          <w:color w:val="202024"/>
          <w:w w:val="95"/>
          <w:sz w:val="20"/>
          <w:szCs w:val="20"/>
          <w:lang w:val="en"/>
        </w:rPr>
      </w:pPr>
      <w:r w:rsidRPr="000C15D8">
        <w:rPr>
          <w:rFonts w:asciiTheme="minorBidi" w:hAnsiTheme="minorBidi"/>
          <w:b/>
          <w:bCs/>
          <w:color w:val="202024"/>
          <w:w w:val="98"/>
          <w:sz w:val="20"/>
          <w:szCs w:val="20"/>
        </w:rPr>
        <w:t>FIG. 3:</w:t>
      </w:r>
      <w:r w:rsidRPr="000C15D8">
        <w:rPr>
          <w:rFonts w:asciiTheme="minorBidi" w:hAnsiTheme="minorBidi"/>
          <w:b/>
          <w:bCs/>
          <w:noProof/>
          <w:sz w:val="20"/>
          <w:szCs w:val="20"/>
          <w:lang w:val="en"/>
        </w:rPr>
        <w:t xml:space="preserve"> </w:t>
      </w:r>
      <w:r w:rsidRPr="000C15D8">
        <w:rPr>
          <w:rFonts w:asciiTheme="minorBidi" w:hAnsiTheme="minorBidi"/>
          <w:b/>
          <w:bCs/>
          <w:color w:val="202024"/>
          <w:w w:val="95"/>
          <w:sz w:val="20"/>
          <w:szCs w:val="20"/>
          <w:lang w:val="en"/>
        </w:rPr>
        <w:t>AFTER GRADUATION, I PLAN TO COMPLETE MY POSTGRADUATE STUDIES IN CLINICAL PHARMACY</w:t>
      </w:r>
    </w:p>
    <w:p w14:paraId="2D05F779" w14:textId="2B690923" w:rsidR="008972A3" w:rsidRPr="00F441B9" w:rsidRDefault="00E603D5" w:rsidP="005C517F">
      <w:pPr>
        <w:bidi w:val="0"/>
        <w:spacing w:line="360" w:lineRule="auto"/>
        <w:jc w:val="both"/>
        <w:rPr>
          <w:rFonts w:asciiTheme="minorBidi" w:hAnsiTheme="minorBidi"/>
          <w:sz w:val="20"/>
          <w:szCs w:val="20"/>
        </w:rPr>
      </w:pPr>
      <w:r w:rsidRPr="00F441B9">
        <w:rPr>
          <w:rFonts w:asciiTheme="minorBidi" w:eastAsia="Times New Roman" w:hAnsiTheme="minorBidi"/>
          <w:w w:val="99"/>
          <w:sz w:val="20"/>
          <w:szCs w:val="20"/>
        </w:rPr>
        <w:t>Most students feel their program has prepared them for future practice, with a combined 84.2</w:t>
      </w:r>
      <w:r w:rsidR="007535C2" w:rsidRPr="00F441B9">
        <w:rPr>
          <w:rFonts w:asciiTheme="minorBidi" w:eastAsia="Times New Roman" w:hAnsiTheme="minorBidi"/>
          <w:w w:val="99"/>
          <w:sz w:val="20"/>
          <w:szCs w:val="20"/>
        </w:rPr>
        <w:t>0</w:t>
      </w:r>
      <w:r w:rsidRPr="00F441B9">
        <w:rPr>
          <w:rFonts w:asciiTheme="minorBidi" w:eastAsia="Times New Roman" w:hAnsiTheme="minorBidi"/>
          <w:w w:val="99"/>
          <w:sz w:val="20"/>
          <w:szCs w:val="20"/>
        </w:rPr>
        <w:t>% agreeing or strongly agreeing. Regarding intended workplaces, hospital pharmacy is the most popular choice (31.6</w:t>
      </w:r>
      <w:r w:rsidR="007535C2" w:rsidRPr="00F441B9">
        <w:rPr>
          <w:rFonts w:asciiTheme="minorBidi" w:eastAsia="Times New Roman" w:hAnsiTheme="minorBidi"/>
          <w:w w:val="99"/>
          <w:sz w:val="20"/>
          <w:szCs w:val="20"/>
        </w:rPr>
        <w:t>0</w:t>
      </w:r>
      <w:r w:rsidRPr="00F441B9">
        <w:rPr>
          <w:rFonts w:asciiTheme="minorBidi" w:eastAsia="Times New Roman" w:hAnsiTheme="minorBidi"/>
          <w:w w:val="99"/>
          <w:sz w:val="20"/>
          <w:szCs w:val="20"/>
        </w:rPr>
        <w:t>%), followed by industrial and community pharmacy</w:t>
      </w:r>
    </w:p>
    <w:p w14:paraId="3344BB07" w14:textId="1831BCB3" w:rsidR="008972A3" w:rsidRPr="00F441B9" w:rsidRDefault="008972A3" w:rsidP="00796E27">
      <w:pPr>
        <w:bidi w:val="0"/>
        <w:spacing w:line="360" w:lineRule="auto"/>
        <w:jc w:val="both"/>
        <w:rPr>
          <w:rFonts w:asciiTheme="minorBidi" w:hAnsiTheme="minorBidi"/>
          <w:sz w:val="20"/>
          <w:szCs w:val="20"/>
        </w:rPr>
      </w:pPr>
      <w:r w:rsidRPr="00F441B9">
        <w:rPr>
          <w:rFonts w:asciiTheme="minorBidi" w:hAnsiTheme="minorBidi"/>
          <w:sz w:val="20"/>
          <w:szCs w:val="20"/>
        </w:rPr>
        <w:t xml:space="preserve">The findings </w:t>
      </w:r>
      <w:r w:rsidR="005461EB" w:rsidRPr="00F441B9">
        <w:rPr>
          <w:rFonts w:asciiTheme="minorBidi" w:hAnsiTheme="minorBidi"/>
          <w:sz w:val="20"/>
          <w:szCs w:val="20"/>
        </w:rPr>
        <w:t>of the present</w:t>
      </w:r>
      <w:r w:rsidRPr="00F441B9">
        <w:rPr>
          <w:rFonts w:asciiTheme="minorBidi" w:hAnsiTheme="minorBidi"/>
          <w:sz w:val="20"/>
          <w:szCs w:val="20"/>
        </w:rPr>
        <w:t xml:space="preserve"> study align with global trends emphasizing transformation of pharmacy education towards patient-centered clinical practice models. Students at AIU</w:t>
      </w:r>
      <w:r w:rsidR="005461EB" w:rsidRPr="00F441B9">
        <w:rPr>
          <w:rFonts w:asciiTheme="minorBidi" w:hAnsiTheme="minorBidi"/>
          <w:sz w:val="20"/>
          <w:szCs w:val="20"/>
        </w:rPr>
        <w:t>, demonstrated a clear understanding of this transition and</w:t>
      </w:r>
      <w:r w:rsidRPr="00F441B9">
        <w:rPr>
          <w:rFonts w:asciiTheme="minorBidi" w:hAnsiTheme="minorBidi"/>
          <w:sz w:val="20"/>
          <w:szCs w:val="20"/>
        </w:rPr>
        <w:t xml:space="preserve"> </w:t>
      </w:r>
      <w:r w:rsidR="005461EB" w:rsidRPr="00F441B9">
        <w:rPr>
          <w:rFonts w:asciiTheme="minorBidi" w:hAnsiTheme="minorBidi"/>
          <w:sz w:val="20"/>
          <w:szCs w:val="20"/>
        </w:rPr>
        <w:t>obviously</w:t>
      </w:r>
      <w:r w:rsidRPr="00F441B9">
        <w:rPr>
          <w:rFonts w:asciiTheme="minorBidi" w:hAnsiTheme="minorBidi"/>
          <w:sz w:val="20"/>
          <w:szCs w:val="20"/>
        </w:rPr>
        <w:t xml:space="preserve"> perceive the value of the PharmD program in </w:t>
      </w:r>
      <w:r w:rsidR="00AE23AB" w:rsidRPr="00F441B9">
        <w:rPr>
          <w:rFonts w:asciiTheme="minorBidi" w:hAnsiTheme="minorBidi"/>
          <w:sz w:val="20"/>
          <w:szCs w:val="20"/>
        </w:rPr>
        <w:t>preparing</w:t>
      </w:r>
      <w:r w:rsidRPr="00F441B9">
        <w:rPr>
          <w:rFonts w:asciiTheme="minorBidi" w:hAnsiTheme="minorBidi"/>
          <w:sz w:val="20"/>
          <w:szCs w:val="20"/>
        </w:rPr>
        <w:t xml:space="preserve"> graduates with comprehensive clinical </w:t>
      </w:r>
      <w:r w:rsidR="00AE23AB" w:rsidRPr="00F441B9">
        <w:rPr>
          <w:rFonts w:asciiTheme="minorBidi" w:hAnsiTheme="minorBidi"/>
          <w:sz w:val="20"/>
          <w:szCs w:val="20"/>
        </w:rPr>
        <w:t>skills</w:t>
      </w:r>
      <w:r w:rsidRPr="00F441B9">
        <w:rPr>
          <w:rFonts w:asciiTheme="minorBidi" w:hAnsiTheme="minorBidi"/>
          <w:sz w:val="20"/>
          <w:szCs w:val="20"/>
        </w:rPr>
        <w:t xml:space="preserve"> necessary for contemporary healthcare </w:t>
      </w:r>
      <w:proofErr w:type="gramStart"/>
      <w:r w:rsidRPr="00F441B9">
        <w:rPr>
          <w:rFonts w:asciiTheme="minorBidi" w:hAnsiTheme="minorBidi"/>
          <w:sz w:val="20"/>
          <w:szCs w:val="20"/>
        </w:rPr>
        <w:t>delivery</w:t>
      </w:r>
      <w:r w:rsidR="004C6B2A" w:rsidRPr="00F441B9">
        <w:rPr>
          <w:rFonts w:asciiTheme="minorBidi" w:hAnsiTheme="minorBidi"/>
          <w:sz w:val="20"/>
          <w:szCs w:val="20"/>
        </w:rPr>
        <w:t>[</w:t>
      </w:r>
      <w:proofErr w:type="gramEnd"/>
      <w:r w:rsidR="005461EB" w:rsidRPr="00F441B9">
        <w:rPr>
          <w:rFonts w:asciiTheme="minorBidi" w:hAnsiTheme="minorBidi"/>
          <w:sz w:val="20"/>
          <w:szCs w:val="20"/>
        </w:rPr>
        <w:t>20</w:t>
      </w:r>
      <w:r w:rsidR="00796E27" w:rsidRPr="00F441B9">
        <w:rPr>
          <w:rFonts w:asciiTheme="minorBidi" w:hAnsiTheme="minorBidi"/>
          <w:sz w:val="20"/>
          <w:szCs w:val="20"/>
        </w:rPr>
        <w:t>,</w:t>
      </w:r>
      <w:r w:rsidR="005461EB" w:rsidRPr="00F441B9">
        <w:rPr>
          <w:rFonts w:asciiTheme="minorBidi" w:hAnsiTheme="minorBidi"/>
          <w:sz w:val="20"/>
          <w:szCs w:val="20"/>
        </w:rPr>
        <w:t>21</w:t>
      </w:r>
      <w:r w:rsidR="004C6B2A" w:rsidRPr="00F441B9">
        <w:rPr>
          <w:rFonts w:asciiTheme="minorBidi" w:hAnsiTheme="minorBidi"/>
          <w:sz w:val="20"/>
          <w:szCs w:val="20"/>
        </w:rPr>
        <w:t>]</w:t>
      </w:r>
      <w:r w:rsidRPr="00F441B9">
        <w:rPr>
          <w:rFonts w:asciiTheme="minorBidi" w:hAnsiTheme="minorBidi"/>
          <w:sz w:val="20"/>
          <w:szCs w:val="20"/>
        </w:rPr>
        <w:t>. This reflects broader shifts seen internationally where pharmacy curricula have transitioned from product-focused models to practice-oriented degrees to fulfill increasingly complex patient care roles.</w:t>
      </w:r>
    </w:p>
    <w:p w14:paraId="6EC7D84D" w14:textId="4BF720FF" w:rsidR="008972A3" w:rsidRPr="00F441B9" w:rsidRDefault="008972A3" w:rsidP="008972A3">
      <w:pPr>
        <w:bidi w:val="0"/>
        <w:spacing w:line="360" w:lineRule="auto"/>
        <w:jc w:val="both"/>
        <w:rPr>
          <w:rFonts w:asciiTheme="minorBidi" w:hAnsiTheme="minorBidi"/>
          <w:sz w:val="20"/>
          <w:szCs w:val="20"/>
        </w:rPr>
      </w:pPr>
      <w:r w:rsidRPr="00F441B9">
        <w:rPr>
          <w:rFonts w:asciiTheme="minorBidi" w:hAnsiTheme="minorBidi"/>
          <w:sz w:val="20"/>
          <w:szCs w:val="20"/>
        </w:rPr>
        <w:t xml:space="preserve">Despite this favorable outlook towards the PharmD, students’ moderate confidence in clinical skills under their current BPharm training indicates an ongoing gap between theoretical knowledge and real-world application. This gap supports calls for enhanced experiential learning, including clinical rotations, patient counselling practice, and interprofessional collaboration experiences within </w:t>
      </w:r>
      <w:proofErr w:type="gramStart"/>
      <w:r w:rsidRPr="00F441B9">
        <w:rPr>
          <w:rFonts w:asciiTheme="minorBidi" w:hAnsiTheme="minorBidi"/>
          <w:sz w:val="20"/>
          <w:szCs w:val="20"/>
        </w:rPr>
        <w:t>curricula</w:t>
      </w:r>
      <w:r w:rsidR="004C6B2A" w:rsidRPr="00F441B9">
        <w:rPr>
          <w:rFonts w:asciiTheme="minorBidi" w:hAnsiTheme="minorBidi"/>
          <w:sz w:val="20"/>
          <w:szCs w:val="20"/>
        </w:rPr>
        <w:t>[</w:t>
      </w:r>
      <w:proofErr w:type="gramEnd"/>
      <w:r w:rsidR="004C6B2A" w:rsidRPr="00F441B9">
        <w:rPr>
          <w:rFonts w:asciiTheme="minorBidi" w:hAnsiTheme="minorBidi"/>
          <w:sz w:val="20"/>
          <w:szCs w:val="20"/>
        </w:rPr>
        <w:t>1]</w:t>
      </w:r>
      <w:r w:rsidRPr="00F441B9">
        <w:rPr>
          <w:rFonts w:asciiTheme="minorBidi" w:hAnsiTheme="minorBidi"/>
          <w:sz w:val="20"/>
          <w:szCs w:val="20"/>
        </w:rPr>
        <w:t>. Providing ample practical exposure prepares students for the challenges of medication management and patient safety effectively.</w:t>
      </w:r>
    </w:p>
    <w:p w14:paraId="03C1FD3C" w14:textId="7C91B4A0" w:rsidR="008972A3" w:rsidRPr="00F441B9" w:rsidRDefault="00BA6BCD" w:rsidP="009454FB">
      <w:pPr>
        <w:bidi w:val="0"/>
        <w:spacing w:line="360" w:lineRule="auto"/>
        <w:jc w:val="both"/>
        <w:rPr>
          <w:rFonts w:asciiTheme="minorBidi" w:hAnsiTheme="minorBidi"/>
          <w:sz w:val="20"/>
          <w:szCs w:val="20"/>
        </w:rPr>
      </w:pPr>
      <w:r w:rsidRPr="00F441B9">
        <w:rPr>
          <w:rFonts w:asciiTheme="minorBidi" w:hAnsiTheme="minorBidi"/>
          <w:sz w:val="20"/>
          <w:szCs w:val="20"/>
        </w:rPr>
        <w:t>Furthermore, t</w:t>
      </w:r>
      <w:r w:rsidR="008972A3" w:rsidRPr="00F441B9">
        <w:rPr>
          <w:rFonts w:asciiTheme="minorBidi" w:hAnsiTheme="minorBidi"/>
          <w:sz w:val="20"/>
          <w:szCs w:val="20"/>
        </w:rPr>
        <w:t xml:space="preserve">he study also reveals strong student support for curricular </w:t>
      </w:r>
      <w:r w:rsidRPr="00F441B9">
        <w:rPr>
          <w:rFonts w:asciiTheme="minorBidi" w:hAnsiTheme="minorBidi"/>
          <w:sz w:val="20"/>
          <w:szCs w:val="20"/>
        </w:rPr>
        <w:t>transformations</w:t>
      </w:r>
      <w:r w:rsidR="008972A3" w:rsidRPr="00F441B9">
        <w:rPr>
          <w:rFonts w:asciiTheme="minorBidi" w:hAnsiTheme="minorBidi"/>
          <w:sz w:val="20"/>
          <w:szCs w:val="20"/>
        </w:rPr>
        <w:t xml:space="preserve"> and recognition of the importance of national accreditation standards to ensure education quality and </w:t>
      </w:r>
      <w:r w:rsidRPr="00F441B9">
        <w:rPr>
          <w:rFonts w:asciiTheme="minorBidi" w:hAnsiTheme="minorBidi"/>
          <w:sz w:val="20"/>
          <w:szCs w:val="20"/>
        </w:rPr>
        <w:t xml:space="preserve">promoting </w:t>
      </w:r>
      <w:r w:rsidR="008972A3" w:rsidRPr="00F441B9">
        <w:rPr>
          <w:rFonts w:asciiTheme="minorBidi" w:hAnsiTheme="minorBidi"/>
          <w:sz w:val="20"/>
          <w:szCs w:val="20"/>
        </w:rPr>
        <w:t xml:space="preserve">consistency across </w:t>
      </w:r>
      <w:r w:rsidRPr="00F441B9">
        <w:rPr>
          <w:rFonts w:asciiTheme="minorBidi" w:hAnsiTheme="minorBidi"/>
          <w:sz w:val="20"/>
          <w:szCs w:val="20"/>
        </w:rPr>
        <w:t xml:space="preserve">academic </w:t>
      </w:r>
      <w:proofErr w:type="gramStart"/>
      <w:r w:rsidR="008972A3" w:rsidRPr="00F441B9">
        <w:rPr>
          <w:rFonts w:asciiTheme="minorBidi" w:hAnsiTheme="minorBidi"/>
          <w:sz w:val="20"/>
          <w:szCs w:val="20"/>
        </w:rPr>
        <w:t>institutions</w:t>
      </w:r>
      <w:r w:rsidR="004C6B2A" w:rsidRPr="00F441B9">
        <w:rPr>
          <w:rFonts w:asciiTheme="minorBidi" w:hAnsiTheme="minorBidi"/>
          <w:sz w:val="20"/>
          <w:szCs w:val="20"/>
        </w:rPr>
        <w:t>[</w:t>
      </w:r>
      <w:proofErr w:type="gramEnd"/>
      <w:r w:rsidR="00EB0F62" w:rsidRPr="00F441B9">
        <w:rPr>
          <w:rFonts w:asciiTheme="minorBidi" w:hAnsiTheme="minorBidi"/>
          <w:sz w:val="20"/>
          <w:szCs w:val="20"/>
        </w:rPr>
        <w:t>2</w:t>
      </w:r>
      <w:r w:rsidR="009454FB" w:rsidRPr="00F441B9">
        <w:rPr>
          <w:rFonts w:asciiTheme="minorBidi" w:hAnsiTheme="minorBidi"/>
          <w:sz w:val="20"/>
          <w:szCs w:val="20"/>
        </w:rPr>
        <w:t>2</w:t>
      </w:r>
      <w:r w:rsidR="004C6B2A" w:rsidRPr="00F441B9">
        <w:rPr>
          <w:rFonts w:asciiTheme="minorBidi" w:hAnsiTheme="minorBidi"/>
          <w:sz w:val="20"/>
          <w:szCs w:val="20"/>
        </w:rPr>
        <w:t>]</w:t>
      </w:r>
      <w:r w:rsidR="008972A3" w:rsidRPr="00F441B9">
        <w:rPr>
          <w:rFonts w:asciiTheme="minorBidi" w:hAnsiTheme="minorBidi"/>
          <w:sz w:val="20"/>
          <w:szCs w:val="20"/>
        </w:rPr>
        <w:t>. Adoption of accreditation frameworks tailored to regional needs will facilitate benchmarking pharmacy education against international best practices, improve faculty qualifications, and enhance infrastructure.</w:t>
      </w:r>
    </w:p>
    <w:p w14:paraId="441C92A1" w14:textId="65BC074D" w:rsidR="008972A3" w:rsidRPr="00F441B9" w:rsidRDefault="008972A3" w:rsidP="0077167E">
      <w:pPr>
        <w:bidi w:val="0"/>
        <w:spacing w:line="360" w:lineRule="auto"/>
        <w:jc w:val="both"/>
        <w:rPr>
          <w:rFonts w:asciiTheme="minorBidi" w:hAnsiTheme="minorBidi"/>
          <w:sz w:val="20"/>
          <w:szCs w:val="20"/>
          <w:rtl/>
        </w:rPr>
      </w:pPr>
      <w:r w:rsidRPr="00F441B9">
        <w:rPr>
          <w:rFonts w:asciiTheme="minorBidi" w:hAnsiTheme="minorBidi"/>
          <w:sz w:val="20"/>
          <w:szCs w:val="20"/>
        </w:rPr>
        <w:lastRenderedPageBreak/>
        <w:t>Moreover, respondents expressed interest in postgraduate training and residencies, underscoring the importance of establishing structured career pathways post-graduation. These postgraduate programs are essential to bridge competence gaps and foster lifelong learning and specialization in clinical pharmacy domains</w:t>
      </w:r>
      <w:r w:rsidR="0077167E" w:rsidRPr="00F441B9">
        <w:rPr>
          <w:rFonts w:asciiTheme="minorBidi" w:hAnsiTheme="minorBidi"/>
          <w:sz w:val="20"/>
          <w:szCs w:val="20"/>
        </w:rPr>
        <w:t xml:space="preserve">. According </w:t>
      </w:r>
      <w:proofErr w:type="gramStart"/>
      <w:r w:rsidR="0077167E" w:rsidRPr="00F441B9">
        <w:rPr>
          <w:rFonts w:asciiTheme="minorBidi" w:hAnsiTheme="minorBidi"/>
          <w:sz w:val="20"/>
          <w:szCs w:val="20"/>
        </w:rPr>
        <w:t>to</w:t>
      </w:r>
      <w:r w:rsidR="0077167E" w:rsidRPr="00F441B9">
        <w:rPr>
          <w:rFonts w:asciiTheme="minorBidi" w:hAnsiTheme="minorBidi"/>
          <w:color w:val="1F1F1F"/>
          <w:sz w:val="20"/>
          <w:szCs w:val="20"/>
        </w:rPr>
        <w:t xml:space="preserve">  the</w:t>
      </w:r>
      <w:proofErr w:type="gramEnd"/>
      <w:r w:rsidR="0077167E" w:rsidRPr="00F441B9">
        <w:rPr>
          <w:rFonts w:asciiTheme="minorBidi" w:hAnsiTheme="minorBidi"/>
          <w:color w:val="1F1F1F"/>
          <w:sz w:val="20"/>
          <w:szCs w:val="20"/>
        </w:rPr>
        <w:t xml:space="preserve"> International Pharmaceutical Federation (FIP), three keys are crucial for strength lifelong learning and prepare the pharmacists for professional practice: </w:t>
      </w:r>
      <w:r w:rsidR="0077167E" w:rsidRPr="00F441B9">
        <w:rPr>
          <w:rFonts w:asciiTheme="minorBidi" w:hAnsiTheme="minorBidi"/>
          <w:sz w:val="20"/>
          <w:szCs w:val="20"/>
        </w:rPr>
        <w:t xml:space="preserve">self-directed learning, reflective practice and continuous professional development. </w:t>
      </w:r>
      <w:r w:rsidR="004C6B2A" w:rsidRPr="00F441B9">
        <w:rPr>
          <w:rFonts w:asciiTheme="minorBidi" w:hAnsiTheme="minorBidi"/>
          <w:sz w:val="20"/>
          <w:szCs w:val="20"/>
        </w:rPr>
        <w:t>[</w:t>
      </w:r>
      <w:r w:rsidR="00796E27" w:rsidRPr="00F441B9">
        <w:rPr>
          <w:rFonts w:asciiTheme="minorBidi" w:hAnsiTheme="minorBidi"/>
          <w:sz w:val="20"/>
          <w:szCs w:val="20"/>
        </w:rPr>
        <w:t>23,24</w:t>
      </w:r>
      <w:r w:rsidR="004C6B2A" w:rsidRPr="00F441B9">
        <w:rPr>
          <w:rFonts w:asciiTheme="minorBidi" w:hAnsiTheme="minorBidi"/>
          <w:sz w:val="20"/>
          <w:szCs w:val="20"/>
        </w:rPr>
        <w:t>]</w:t>
      </w:r>
      <w:r w:rsidRPr="00F441B9">
        <w:rPr>
          <w:rFonts w:asciiTheme="minorBidi" w:hAnsiTheme="minorBidi"/>
          <w:sz w:val="20"/>
          <w:szCs w:val="20"/>
        </w:rPr>
        <w:t>.</w:t>
      </w:r>
    </w:p>
    <w:p w14:paraId="298A0B6A" w14:textId="355708C1" w:rsidR="00BE5214" w:rsidRPr="00F441B9" w:rsidRDefault="00BE5214" w:rsidP="00624D0A">
      <w:pPr>
        <w:pStyle w:val="NormalWeb"/>
        <w:spacing w:before="0" w:beforeAutospacing="0" w:after="0" w:afterAutospacing="0" w:line="360" w:lineRule="auto"/>
        <w:rPr>
          <w:rFonts w:asciiTheme="minorBidi" w:hAnsiTheme="minorBidi" w:cstheme="minorBidi"/>
          <w:sz w:val="20"/>
          <w:szCs w:val="20"/>
        </w:rPr>
      </w:pPr>
      <w:r w:rsidRPr="00F441B9">
        <w:rPr>
          <w:rFonts w:asciiTheme="minorBidi" w:hAnsiTheme="minorBidi" w:cstheme="minorBidi"/>
          <w:sz w:val="20"/>
          <w:szCs w:val="20"/>
        </w:rPr>
        <w:t xml:space="preserve">Additionally, self-assessment and ongoing evaluation of the learning </w:t>
      </w:r>
      <w:proofErr w:type="gramStart"/>
      <w:r w:rsidRPr="00F441B9">
        <w:rPr>
          <w:rFonts w:asciiTheme="minorBidi" w:hAnsiTheme="minorBidi" w:cstheme="minorBidi"/>
          <w:sz w:val="20"/>
          <w:szCs w:val="20"/>
        </w:rPr>
        <w:t>needs  are</w:t>
      </w:r>
      <w:proofErr w:type="gramEnd"/>
      <w:r w:rsidRPr="00F441B9">
        <w:rPr>
          <w:rFonts w:asciiTheme="minorBidi" w:hAnsiTheme="minorBidi" w:cstheme="minorBidi"/>
          <w:sz w:val="20"/>
          <w:szCs w:val="20"/>
        </w:rPr>
        <w:t xml:space="preserve"> </w:t>
      </w:r>
      <w:r w:rsidR="00624D0A" w:rsidRPr="00F441B9">
        <w:rPr>
          <w:rFonts w:asciiTheme="minorBidi" w:hAnsiTheme="minorBidi" w:cstheme="minorBidi"/>
          <w:sz w:val="20"/>
          <w:szCs w:val="20"/>
        </w:rPr>
        <w:t>key components</w:t>
      </w:r>
      <w:r w:rsidRPr="00F441B9">
        <w:rPr>
          <w:rFonts w:asciiTheme="minorBidi" w:hAnsiTheme="minorBidi" w:cstheme="minorBidi"/>
          <w:sz w:val="20"/>
          <w:szCs w:val="20"/>
        </w:rPr>
        <w:t xml:space="preserve"> to enhance lifelong learning behavior  in pharmacy education</w:t>
      </w:r>
      <w:r w:rsidR="00624D0A" w:rsidRPr="00F441B9">
        <w:rPr>
          <w:rFonts w:asciiTheme="minorBidi" w:hAnsiTheme="minorBidi" w:cstheme="minorBidi"/>
          <w:sz w:val="20"/>
          <w:szCs w:val="20"/>
        </w:rPr>
        <w:t>[25].</w:t>
      </w:r>
      <w:r w:rsidRPr="00F441B9">
        <w:rPr>
          <w:rFonts w:asciiTheme="minorBidi" w:hAnsiTheme="minorBidi" w:cstheme="minorBidi"/>
          <w:sz w:val="20"/>
          <w:szCs w:val="20"/>
        </w:rPr>
        <w:t xml:space="preserve"> </w:t>
      </w:r>
    </w:p>
    <w:p w14:paraId="0B57AF64" w14:textId="77777777" w:rsidR="00F441B9" w:rsidRPr="00F441B9" w:rsidRDefault="00F441B9" w:rsidP="003C466A">
      <w:pPr>
        <w:bidi w:val="0"/>
        <w:spacing w:line="360" w:lineRule="auto"/>
        <w:jc w:val="both"/>
        <w:rPr>
          <w:rFonts w:asciiTheme="minorBidi" w:hAnsiTheme="minorBidi"/>
          <w:b/>
          <w:bCs/>
          <w:sz w:val="2"/>
          <w:szCs w:val="2"/>
        </w:rPr>
      </w:pPr>
    </w:p>
    <w:p w14:paraId="6BEF64F3" w14:textId="5F4F3F03" w:rsidR="008972A3" w:rsidRPr="00C20E27" w:rsidRDefault="00C20E27" w:rsidP="008972A3">
      <w:pPr>
        <w:bidi w:val="0"/>
        <w:spacing w:line="360" w:lineRule="auto"/>
        <w:jc w:val="both"/>
        <w:rPr>
          <w:rFonts w:asciiTheme="minorBidi" w:hAnsiTheme="minorBidi"/>
          <w:b/>
          <w:bCs/>
        </w:rPr>
      </w:pPr>
      <w:r w:rsidRPr="00C20E27">
        <w:rPr>
          <w:rFonts w:asciiTheme="minorBidi" w:hAnsiTheme="minorBidi"/>
          <w:b/>
          <w:bCs/>
        </w:rPr>
        <w:t xml:space="preserve">4. </w:t>
      </w:r>
      <w:r w:rsidR="007535C2" w:rsidRPr="00C20E27">
        <w:rPr>
          <w:rFonts w:asciiTheme="minorBidi" w:hAnsiTheme="minorBidi"/>
          <w:b/>
          <w:bCs/>
        </w:rPr>
        <w:t>CONCLUSION</w:t>
      </w:r>
    </w:p>
    <w:p w14:paraId="5A00BA48" w14:textId="77777777" w:rsidR="008972A3" w:rsidRDefault="008972A3" w:rsidP="008972A3">
      <w:pPr>
        <w:bidi w:val="0"/>
        <w:spacing w:line="360" w:lineRule="auto"/>
        <w:jc w:val="both"/>
        <w:rPr>
          <w:rFonts w:asciiTheme="minorBidi" w:hAnsiTheme="minorBidi"/>
          <w:sz w:val="20"/>
          <w:szCs w:val="20"/>
        </w:rPr>
      </w:pPr>
      <w:r w:rsidRPr="00C20E27">
        <w:rPr>
          <w:rFonts w:asciiTheme="minorBidi" w:hAnsiTheme="minorBidi"/>
          <w:sz w:val="20"/>
          <w:szCs w:val="20"/>
        </w:rPr>
        <w:t>Pharmacy education at AIU is progressing towards a patient-centered PharmD model that aligns with global educational paradigms and healthcare demands. While students appreciate the PharmD’s advantages, their moderate confidence in current clinical skills highlights needs for practical curriculum improvements and systemic accreditation. Implementing targeted reforms will enhance the quality and relevance of pharmacy education in Libya, ultimately improving pharmacy practice and patient outcomes.</w:t>
      </w:r>
    </w:p>
    <w:p w14:paraId="69ADFF5E" w14:textId="77777777" w:rsidR="00755693" w:rsidRPr="00F441B9" w:rsidRDefault="00755693" w:rsidP="00755693">
      <w:pPr>
        <w:bidi w:val="0"/>
        <w:spacing w:line="360" w:lineRule="auto"/>
        <w:jc w:val="both"/>
        <w:rPr>
          <w:rFonts w:asciiTheme="minorBidi" w:hAnsiTheme="minorBidi"/>
          <w:b/>
          <w:bCs/>
        </w:rPr>
      </w:pPr>
      <w:r>
        <w:rPr>
          <w:rFonts w:asciiTheme="minorBidi" w:hAnsiTheme="minorBidi"/>
          <w:b/>
          <w:bCs/>
        </w:rPr>
        <w:t xml:space="preserve">3.5 </w:t>
      </w:r>
      <w:r w:rsidRPr="00F441B9">
        <w:rPr>
          <w:rFonts w:asciiTheme="minorBidi" w:hAnsiTheme="minorBidi"/>
          <w:b/>
          <w:bCs/>
        </w:rPr>
        <w:t>LIMITATIONS</w:t>
      </w:r>
    </w:p>
    <w:p w14:paraId="532AB06F" w14:textId="77777777" w:rsidR="00755693" w:rsidRPr="00F441B9" w:rsidRDefault="00755693" w:rsidP="00755693">
      <w:pPr>
        <w:bidi w:val="0"/>
        <w:spacing w:line="360" w:lineRule="auto"/>
        <w:jc w:val="both"/>
        <w:rPr>
          <w:rFonts w:asciiTheme="minorBidi" w:hAnsiTheme="minorBidi"/>
          <w:sz w:val="20"/>
          <w:szCs w:val="20"/>
        </w:rPr>
      </w:pPr>
      <w:r w:rsidRPr="00F441B9">
        <w:rPr>
          <w:rFonts w:asciiTheme="minorBidi" w:hAnsiTheme="minorBidi"/>
          <w:sz w:val="20"/>
          <w:szCs w:val="20"/>
        </w:rPr>
        <w:t>This study’s findings should be interpreted with some limitations. The sample size was relatively small (n=60) and drawn from a single institution, potentially limiting generalizability to all pharmacy students across Libya or other regions. Self-reported data may introduce bias regarding attitudes and perceptions. Additionally, the cross-sectional design captures opinions at a single time point; longitudinal studies would better assess evolving perspectives as programs mature and reforms take place.</w:t>
      </w:r>
    </w:p>
    <w:p w14:paraId="27BF72C2" w14:textId="77777777" w:rsidR="00755693" w:rsidRPr="00C20E27" w:rsidRDefault="00755693" w:rsidP="00755693">
      <w:pPr>
        <w:bidi w:val="0"/>
        <w:spacing w:line="360" w:lineRule="auto"/>
        <w:jc w:val="both"/>
        <w:rPr>
          <w:rFonts w:asciiTheme="minorBidi" w:hAnsiTheme="minorBidi"/>
          <w:b/>
          <w:bCs/>
        </w:rPr>
      </w:pPr>
      <w:r w:rsidRPr="00C20E27">
        <w:rPr>
          <w:rFonts w:asciiTheme="minorBidi" w:hAnsiTheme="minorBidi"/>
          <w:b/>
          <w:bCs/>
        </w:rPr>
        <w:t>3.6 RECOMMENDATIONS</w:t>
      </w:r>
    </w:p>
    <w:p w14:paraId="76A24D8C" w14:textId="77777777" w:rsidR="00755693" w:rsidRPr="00C20E27" w:rsidRDefault="00755693" w:rsidP="00755693">
      <w:pPr>
        <w:bidi w:val="0"/>
        <w:spacing w:line="360" w:lineRule="auto"/>
        <w:jc w:val="both"/>
        <w:rPr>
          <w:rFonts w:asciiTheme="minorBidi" w:hAnsiTheme="minorBidi"/>
          <w:sz w:val="20"/>
          <w:szCs w:val="20"/>
        </w:rPr>
      </w:pPr>
      <w:r w:rsidRPr="00C20E27">
        <w:rPr>
          <w:rFonts w:asciiTheme="minorBidi" w:hAnsiTheme="minorBidi"/>
          <w:sz w:val="20"/>
          <w:szCs w:val="20"/>
        </w:rPr>
        <w:t xml:space="preserve">To address these findings, the following recommendations are proposed: 1) </w:t>
      </w:r>
      <w:r w:rsidRPr="00C20E27">
        <w:rPr>
          <w:rFonts w:asciiTheme="minorBidi" w:hAnsiTheme="minorBidi"/>
          <w:b/>
          <w:bCs/>
          <w:sz w:val="20"/>
          <w:szCs w:val="20"/>
        </w:rPr>
        <w:t>Curriculum Enhancement:</w:t>
      </w:r>
      <w:r w:rsidRPr="00C20E27">
        <w:rPr>
          <w:rFonts w:asciiTheme="minorBidi" w:hAnsiTheme="minorBidi"/>
          <w:sz w:val="20"/>
          <w:szCs w:val="20"/>
        </w:rPr>
        <w:t xml:space="preserve"> Integrate more experiential learning opportunities across pharmacy programs, emphasizing clinical skills, patient interaction, and interprofessional education, </w:t>
      </w:r>
      <w:r w:rsidRPr="00C20E27">
        <w:rPr>
          <w:rFonts w:asciiTheme="minorBidi" w:hAnsiTheme="minorBidi"/>
          <w:b/>
          <w:bCs/>
          <w:sz w:val="20"/>
          <w:szCs w:val="20"/>
        </w:rPr>
        <w:t>2) National Accreditation:</w:t>
      </w:r>
      <w:r w:rsidRPr="00C20E27">
        <w:rPr>
          <w:rFonts w:asciiTheme="minorBidi" w:hAnsiTheme="minorBidi"/>
          <w:sz w:val="20"/>
          <w:szCs w:val="20"/>
        </w:rPr>
        <w:t xml:space="preserve"> Establish a National Pharmacy Education Accreditation body focused on competency-based education standards reflecting healthcare system needs,</w:t>
      </w:r>
      <w:r w:rsidRPr="00C20E27">
        <w:rPr>
          <w:rFonts w:asciiTheme="minorBidi" w:hAnsiTheme="minorBidi"/>
          <w:b/>
          <w:bCs/>
          <w:sz w:val="20"/>
          <w:szCs w:val="20"/>
        </w:rPr>
        <w:t xml:space="preserve"> 3)Faculty Development:</w:t>
      </w:r>
      <w:r w:rsidRPr="00C20E27">
        <w:rPr>
          <w:rFonts w:asciiTheme="minorBidi" w:hAnsiTheme="minorBidi"/>
          <w:sz w:val="20"/>
          <w:szCs w:val="20"/>
        </w:rPr>
        <w:t xml:space="preserve"> Invest in continuous professional development for pharmacy educators to deliver clinical and practice-based training effectively, </w:t>
      </w:r>
      <w:r w:rsidRPr="00C20E27">
        <w:rPr>
          <w:rFonts w:asciiTheme="minorBidi" w:hAnsiTheme="minorBidi"/>
          <w:b/>
          <w:bCs/>
          <w:sz w:val="20"/>
          <w:szCs w:val="20"/>
        </w:rPr>
        <w:t>4) Postgraduate Training:</w:t>
      </w:r>
      <w:r w:rsidRPr="00C20E27">
        <w:rPr>
          <w:rFonts w:asciiTheme="minorBidi" w:hAnsiTheme="minorBidi"/>
          <w:sz w:val="20"/>
          <w:szCs w:val="20"/>
        </w:rPr>
        <w:t xml:space="preserve"> Promote development of postgraduate residency and specialty training programs to support advanced pharmacist competencies and career progression and </w:t>
      </w:r>
      <w:r w:rsidRPr="00C20E27">
        <w:rPr>
          <w:rFonts w:asciiTheme="minorBidi" w:hAnsiTheme="minorBidi"/>
          <w:b/>
          <w:bCs/>
          <w:sz w:val="20"/>
          <w:szCs w:val="20"/>
        </w:rPr>
        <w:t>5) Further Research:</w:t>
      </w:r>
      <w:r w:rsidRPr="00C20E27">
        <w:rPr>
          <w:rFonts w:asciiTheme="minorBidi" w:hAnsiTheme="minorBidi"/>
          <w:sz w:val="20"/>
          <w:szCs w:val="20"/>
        </w:rPr>
        <w:t xml:space="preserve"> Conduct larger, multicenter longitudinal studies to monitor educational outcomes and student perceptions comprehensively as reforms evolve.</w:t>
      </w:r>
    </w:p>
    <w:p w14:paraId="38CC68E5" w14:textId="77777777" w:rsidR="008B15A2" w:rsidRPr="008B15A2" w:rsidRDefault="008B15A2" w:rsidP="008B15A2">
      <w:pPr>
        <w:bidi w:val="0"/>
        <w:spacing w:line="240" w:lineRule="auto"/>
        <w:jc w:val="both"/>
        <w:rPr>
          <w:rFonts w:asciiTheme="minorBidi" w:hAnsiTheme="minorBidi"/>
          <w:sz w:val="20"/>
          <w:szCs w:val="20"/>
        </w:rPr>
      </w:pPr>
      <w:bookmarkStart w:id="1" w:name="_GoBack"/>
      <w:bookmarkEnd w:id="1"/>
      <w:r w:rsidRPr="008B15A2">
        <w:rPr>
          <w:rFonts w:asciiTheme="minorBidi" w:hAnsiTheme="minorBidi"/>
          <w:sz w:val="20"/>
          <w:szCs w:val="20"/>
        </w:rPr>
        <w:lastRenderedPageBreak/>
        <w:t>COMPETING INTERESTS DISCLAIMER:</w:t>
      </w:r>
    </w:p>
    <w:p w14:paraId="71F334A8" w14:textId="14E0E8B1" w:rsidR="008B15A2" w:rsidRPr="00752668" w:rsidRDefault="008B15A2" w:rsidP="008B15A2">
      <w:pPr>
        <w:bidi w:val="0"/>
        <w:spacing w:line="240" w:lineRule="auto"/>
        <w:jc w:val="both"/>
        <w:rPr>
          <w:rFonts w:asciiTheme="minorBidi" w:hAnsiTheme="minorBidi"/>
          <w:sz w:val="20"/>
          <w:szCs w:val="20"/>
        </w:rPr>
      </w:pPr>
      <w:r w:rsidRPr="008B15A2">
        <w:rPr>
          <w:rFonts w:asciiTheme="minorBidi" w:hAnsiTheme="minorBidi"/>
          <w:sz w:val="20"/>
          <w:szCs w:val="20"/>
        </w:rPr>
        <w:t>Authors have declared that they have no known competing financial interests OR non-financial interests OR personal relationships that could have appeared to influence the work reported in this paper.</w:t>
      </w:r>
    </w:p>
    <w:p w14:paraId="0139510D" w14:textId="77777777" w:rsidR="00A84CC9" w:rsidRDefault="00A84CC9" w:rsidP="003C466A">
      <w:pPr>
        <w:bidi w:val="0"/>
        <w:spacing w:line="360" w:lineRule="auto"/>
        <w:jc w:val="both"/>
        <w:rPr>
          <w:rFonts w:asciiTheme="minorBidi" w:hAnsiTheme="minorBidi"/>
          <w:b/>
          <w:bCs/>
        </w:rPr>
      </w:pPr>
    </w:p>
    <w:p w14:paraId="726BA070" w14:textId="24B33759" w:rsidR="008972A3" w:rsidRPr="00C20E27" w:rsidRDefault="00C20E27" w:rsidP="00A84CC9">
      <w:pPr>
        <w:bidi w:val="0"/>
        <w:spacing w:line="360" w:lineRule="auto"/>
        <w:jc w:val="both"/>
        <w:rPr>
          <w:rFonts w:asciiTheme="minorBidi" w:hAnsiTheme="minorBidi"/>
          <w:b/>
          <w:bCs/>
        </w:rPr>
      </w:pPr>
      <w:r w:rsidRPr="00C20E27">
        <w:rPr>
          <w:rFonts w:asciiTheme="minorBidi" w:hAnsiTheme="minorBidi"/>
          <w:b/>
          <w:bCs/>
        </w:rPr>
        <w:t xml:space="preserve">5. </w:t>
      </w:r>
      <w:r w:rsidR="007535C2" w:rsidRPr="00C20E27">
        <w:rPr>
          <w:rFonts w:asciiTheme="minorBidi" w:hAnsiTheme="minorBidi"/>
          <w:b/>
          <w:bCs/>
        </w:rPr>
        <w:t>REFERENCES</w:t>
      </w:r>
    </w:p>
    <w:p w14:paraId="25F6EA8A" w14:textId="045200A2" w:rsidR="008972A3" w:rsidRPr="00C20E27" w:rsidRDefault="008972A3" w:rsidP="004C6B2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Anderson, C., &amp; Arakawa, N. (2021). Pharmacy education development. </w:t>
      </w:r>
      <w:r w:rsidRPr="00C20E27">
        <w:rPr>
          <w:rFonts w:asciiTheme="minorBidi" w:hAnsiTheme="minorBidi"/>
          <w:i/>
          <w:iCs/>
          <w:sz w:val="20"/>
          <w:szCs w:val="20"/>
        </w:rPr>
        <w:t>Pharmacy</w:t>
      </w:r>
      <w:r w:rsidRPr="00C20E27">
        <w:rPr>
          <w:rFonts w:asciiTheme="minorBidi" w:hAnsiTheme="minorBidi"/>
          <w:sz w:val="20"/>
          <w:szCs w:val="20"/>
        </w:rPr>
        <w:t xml:space="preserve">, 9(4), 168. </w:t>
      </w:r>
      <w:hyperlink r:id="rId11" w:tgtFrame="_blank" w:history="1">
        <w:r w:rsidRPr="00C20E27">
          <w:rPr>
            <w:rStyle w:val="Hyperlink"/>
            <w:rFonts w:asciiTheme="minorBidi" w:hAnsiTheme="minorBidi"/>
            <w:sz w:val="20"/>
            <w:szCs w:val="20"/>
          </w:rPr>
          <w:t>https://doi.org/10.3390/pharmacy9040168</w:t>
        </w:r>
      </w:hyperlink>
    </w:p>
    <w:p w14:paraId="0902CEB6" w14:textId="77777777" w:rsidR="004C6B2A" w:rsidRPr="00C20E27" w:rsidRDefault="004C6B2A" w:rsidP="004C6B2A">
      <w:pPr>
        <w:pStyle w:val="ListParagraph"/>
        <w:numPr>
          <w:ilvl w:val="0"/>
          <w:numId w:val="4"/>
        </w:numPr>
        <w:bidi w:val="0"/>
        <w:spacing w:line="360" w:lineRule="auto"/>
        <w:jc w:val="both"/>
        <w:rPr>
          <w:rStyle w:val="Hyperlink"/>
          <w:rFonts w:asciiTheme="minorBidi" w:hAnsiTheme="minorBidi"/>
          <w:color w:val="auto"/>
          <w:sz w:val="20"/>
          <w:szCs w:val="20"/>
          <w:u w:val="none"/>
        </w:rPr>
      </w:pPr>
      <w:r w:rsidRPr="00C20E27">
        <w:rPr>
          <w:rFonts w:asciiTheme="minorBidi" w:hAnsiTheme="minorBidi"/>
          <w:sz w:val="20"/>
          <w:szCs w:val="20"/>
        </w:rPr>
        <w:t xml:space="preserve">Unni, E., &amp; Kellar, J. (2025). Role of pharmacy education and pharmacy practice in developing pharmacists as researchers. </w:t>
      </w:r>
      <w:r w:rsidRPr="00C20E27">
        <w:rPr>
          <w:rFonts w:asciiTheme="minorBidi" w:hAnsiTheme="minorBidi"/>
          <w:i/>
          <w:iCs/>
          <w:sz w:val="20"/>
          <w:szCs w:val="20"/>
        </w:rPr>
        <w:t>International Journal of Pharmacy Practice, 33</w:t>
      </w:r>
      <w:r w:rsidRPr="00C20E27">
        <w:rPr>
          <w:rFonts w:asciiTheme="minorBidi" w:hAnsiTheme="minorBidi"/>
          <w:sz w:val="20"/>
          <w:szCs w:val="20"/>
        </w:rPr>
        <w:t xml:space="preserve">(2), 131–133. </w:t>
      </w:r>
      <w:hyperlink r:id="rId12" w:tgtFrame="_blank" w:history="1">
        <w:r w:rsidRPr="00C20E27">
          <w:rPr>
            <w:rStyle w:val="Hyperlink"/>
            <w:rFonts w:asciiTheme="minorBidi" w:hAnsiTheme="minorBidi"/>
            <w:sz w:val="20"/>
            <w:szCs w:val="20"/>
          </w:rPr>
          <w:t>https://doi.org/10.1093/ijpp/riaf024</w:t>
        </w:r>
      </w:hyperlink>
    </w:p>
    <w:p w14:paraId="5E4AFD4A" w14:textId="77777777" w:rsidR="00624D0A" w:rsidRPr="00C20E27" w:rsidRDefault="00624D0A"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Al-</w:t>
      </w:r>
      <w:proofErr w:type="spellStart"/>
      <w:r w:rsidRPr="00C20E27">
        <w:rPr>
          <w:rFonts w:asciiTheme="minorBidi" w:hAnsiTheme="minorBidi"/>
          <w:sz w:val="20"/>
          <w:szCs w:val="20"/>
        </w:rPr>
        <w:t>Ghananeem</w:t>
      </w:r>
      <w:proofErr w:type="spellEnd"/>
      <w:r w:rsidRPr="00C20E27">
        <w:rPr>
          <w:rFonts w:asciiTheme="minorBidi" w:hAnsiTheme="minorBidi"/>
          <w:sz w:val="20"/>
          <w:szCs w:val="20"/>
        </w:rPr>
        <w:t xml:space="preserve">, A. M., Malcom, D. R., Shammas, S., &amp; </w:t>
      </w:r>
      <w:proofErr w:type="spellStart"/>
      <w:r w:rsidRPr="00C20E27">
        <w:rPr>
          <w:rFonts w:asciiTheme="minorBidi" w:hAnsiTheme="minorBidi"/>
          <w:sz w:val="20"/>
          <w:szCs w:val="20"/>
        </w:rPr>
        <w:t>Aburjai</w:t>
      </w:r>
      <w:proofErr w:type="spellEnd"/>
      <w:r w:rsidRPr="00C20E27">
        <w:rPr>
          <w:rFonts w:asciiTheme="minorBidi" w:hAnsiTheme="minorBidi"/>
          <w:sz w:val="20"/>
          <w:szCs w:val="20"/>
        </w:rPr>
        <w:t>, T. (2018). A call to action to transform pharmacy education and practice in the Arab world. </w:t>
      </w:r>
      <w:r w:rsidRPr="00C20E27">
        <w:rPr>
          <w:rFonts w:asciiTheme="minorBidi" w:hAnsiTheme="minorBidi"/>
          <w:i/>
          <w:iCs/>
          <w:sz w:val="20"/>
          <w:szCs w:val="20"/>
        </w:rPr>
        <w:t>American journal of pharmaceutical education</w:t>
      </w:r>
      <w:r w:rsidRPr="00C20E27">
        <w:rPr>
          <w:rFonts w:asciiTheme="minorBidi" w:hAnsiTheme="minorBidi"/>
          <w:sz w:val="20"/>
          <w:szCs w:val="20"/>
        </w:rPr>
        <w:t>, </w:t>
      </w:r>
      <w:r w:rsidRPr="00C20E27">
        <w:rPr>
          <w:rFonts w:asciiTheme="minorBidi" w:hAnsiTheme="minorBidi"/>
          <w:i/>
          <w:iCs/>
          <w:sz w:val="20"/>
          <w:szCs w:val="20"/>
        </w:rPr>
        <w:t>82</w:t>
      </w:r>
      <w:r w:rsidRPr="00C20E27">
        <w:rPr>
          <w:rFonts w:asciiTheme="minorBidi" w:hAnsiTheme="minorBidi"/>
          <w:sz w:val="20"/>
          <w:szCs w:val="20"/>
        </w:rPr>
        <w:t>(9), 7014.</w:t>
      </w:r>
    </w:p>
    <w:p w14:paraId="2C8B294B" w14:textId="7DE3E841" w:rsidR="00DF5263" w:rsidRPr="00C20E27" w:rsidRDefault="00DF5263" w:rsidP="00624D0A">
      <w:pPr>
        <w:pStyle w:val="ListParagraph"/>
        <w:numPr>
          <w:ilvl w:val="0"/>
          <w:numId w:val="4"/>
        </w:numPr>
        <w:bidi w:val="0"/>
        <w:spacing w:line="360" w:lineRule="auto"/>
        <w:jc w:val="both"/>
        <w:rPr>
          <w:rFonts w:asciiTheme="minorBidi" w:hAnsiTheme="minorBidi"/>
          <w:sz w:val="20"/>
          <w:szCs w:val="20"/>
        </w:rPr>
      </w:pPr>
      <w:proofErr w:type="spellStart"/>
      <w:r w:rsidRPr="00C20E27">
        <w:rPr>
          <w:rFonts w:asciiTheme="minorBidi" w:hAnsiTheme="minorBidi"/>
          <w:sz w:val="20"/>
          <w:szCs w:val="20"/>
        </w:rPr>
        <w:t>Boura</w:t>
      </w:r>
      <w:proofErr w:type="spellEnd"/>
      <w:r w:rsidRPr="00C20E27">
        <w:rPr>
          <w:rFonts w:asciiTheme="minorBidi" w:hAnsiTheme="minorBidi"/>
          <w:sz w:val="20"/>
          <w:szCs w:val="20"/>
        </w:rPr>
        <w:t xml:space="preserve">, F., </w:t>
      </w:r>
      <w:proofErr w:type="spellStart"/>
      <w:r w:rsidRPr="00C20E27">
        <w:rPr>
          <w:rFonts w:asciiTheme="minorBidi" w:hAnsiTheme="minorBidi"/>
          <w:sz w:val="20"/>
          <w:szCs w:val="20"/>
        </w:rPr>
        <w:t>Awaisu</w:t>
      </w:r>
      <w:proofErr w:type="spellEnd"/>
      <w:r w:rsidRPr="00C20E27">
        <w:rPr>
          <w:rFonts w:asciiTheme="minorBidi" w:hAnsiTheme="minorBidi"/>
          <w:sz w:val="20"/>
          <w:szCs w:val="20"/>
        </w:rPr>
        <w:t xml:space="preserve">, A., </w:t>
      </w:r>
      <w:proofErr w:type="spellStart"/>
      <w:r w:rsidRPr="00C20E27">
        <w:rPr>
          <w:rFonts w:asciiTheme="minorBidi" w:hAnsiTheme="minorBidi"/>
          <w:sz w:val="20"/>
          <w:szCs w:val="20"/>
        </w:rPr>
        <w:t>ElGeed</w:t>
      </w:r>
      <w:proofErr w:type="spellEnd"/>
      <w:r w:rsidRPr="00C20E27">
        <w:rPr>
          <w:rFonts w:asciiTheme="minorBidi" w:hAnsiTheme="minorBidi"/>
          <w:sz w:val="20"/>
          <w:szCs w:val="20"/>
        </w:rPr>
        <w:t xml:space="preserve">, H., </w:t>
      </w:r>
      <w:proofErr w:type="spellStart"/>
      <w:r w:rsidRPr="00C20E27">
        <w:rPr>
          <w:rFonts w:asciiTheme="minorBidi" w:hAnsiTheme="minorBidi"/>
          <w:sz w:val="20"/>
          <w:szCs w:val="20"/>
        </w:rPr>
        <w:t>Katoue</w:t>
      </w:r>
      <w:proofErr w:type="spellEnd"/>
      <w:r w:rsidRPr="00C20E27">
        <w:rPr>
          <w:rFonts w:asciiTheme="minorBidi" w:hAnsiTheme="minorBidi"/>
          <w:sz w:val="20"/>
          <w:szCs w:val="20"/>
        </w:rPr>
        <w:t>, M., &amp; Kheir, N. (2022). Pharmaceutical care education at pharmacy colleges in the Middle East and North Africa region: A systematic review. Journal of Clinical Pharmacy and Therapeutics, 47(8), 1134-1148.</w:t>
      </w:r>
    </w:p>
    <w:p w14:paraId="48E9E8E3" w14:textId="77777777" w:rsidR="00624D0A" w:rsidRPr="00C20E27" w:rsidRDefault="00624D0A"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Blouin, R. A., &amp; Adams, M. L. (2017). The role of the pharmacist in health care: expanding and evolving. </w:t>
      </w:r>
      <w:r w:rsidRPr="00C20E27">
        <w:rPr>
          <w:rFonts w:asciiTheme="minorBidi" w:hAnsiTheme="minorBidi"/>
          <w:i/>
          <w:iCs/>
          <w:sz w:val="20"/>
          <w:szCs w:val="20"/>
        </w:rPr>
        <w:t>North Carolina medical journal</w:t>
      </w:r>
      <w:r w:rsidRPr="00C20E27">
        <w:rPr>
          <w:rFonts w:asciiTheme="minorBidi" w:hAnsiTheme="minorBidi"/>
          <w:sz w:val="20"/>
          <w:szCs w:val="20"/>
        </w:rPr>
        <w:t>, </w:t>
      </w:r>
      <w:r w:rsidRPr="00C20E27">
        <w:rPr>
          <w:rFonts w:asciiTheme="minorBidi" w:hAnsiTheme="minorBidi"/>
          <w:i/>
          <w:iCs/>
          <w:sz w:val="20"/>
          <w:szCs w:val="20"/>
        </w:rPr>
        <w:t>78</w:t>
      </w:r>
      <w:r w:rsidRPr="00C20E27">
        <w:rPr>
          <w:rFonts w:asciiTheme="minorBidi" w:hAnsiTheme="minorBidi"/>
          <w:sz w:val="20"/>
          <w:szCs w:val="20"/>
        </w:rPr>
        <w:t>(3), 165-167.</w:t>
      </w:r>
    </w:p>
    <w:p w14:paraId="399D05DA" w14:textId="77777777" w:rsidR="00624D0A" w:rsidRPr="00C20E27" w:rsidRDefault="00652800"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 </w:t>
      </w:r>
      <w:r w:rsidR="00624D0A" w:rsidRPr="00C20E27">
        <w:rPr>
          <w:rFonts w:asciiTheme="minorBidi" w:hAnsiTheme="minorBidi"/>
          <w:sz w:val="20"/>
          <w:szCs w:val="20"/>
        </w:rPr>
        <w:t>Bell, S. P., Schnipper, J. L., Goggins, K., Bian, A., Shintani, A., Roumie, C. L., ... &amp; Pharmacist Intervention for Low Literacy in Cardiovascular Disease (PILL-CVD) Study Group. (2016). Effect of pharmacist counseling intervention on health care utilization following hospital discharge: a randomized control trial. </w:t>
      </w:r>
      <w:r w:rsidR="00624D0A" w:rsidRPr="00C20E27">
        <w:rPr>
          <w:rFonts w:asciiTheme="minorBidi" w:hAnsiTheme="minorBidi"/>
          <w:i/>
          <w:iCs/>
          <w:sz w:val="20"/>
          <w:szCs w:val="20"/>
        </w:rPr>
        <w:t>Journal of general internal medicine</w:t>
      </w:r>
      <w:r w:rsidR="00624D0A" w:rsidRPr="00C20E27">
        <w:rPr>
          <w:rFonts w:asciiTheme="minorBidi" w:hAnsiTheme="minorBidi"/>
          <w:sz w:val="20"/>
          <w:szCs w:val="20"/>
        </w:rPr>
        <w:t>, </w:t>
      </w:r>
      <w:r w:rsidR="00624D0A" w:rsidRPr="00C20E27">
        <w:rPr>
          <w:rFonts w:asciiTheme="minorBidi" w:hAnsiTheme="minorBidi"/>
          <w:i/>
          <w:iCs/>
          <w:sz w:val="20"/>
          <w:szCs w:val="20"/>
        </w:rPr>
        <w:t>31</w:t>
      </w:r>
      <w:r w:rsidR="00624D0A" w:rsidRPr="00C20E27">
        <w:rPr>
          <w:rFonts w:asciiTheme="minorBidi" w:hAnsiTheme="minorBidi"/>
          <w:sz w:val="20"/>
          <w:szCs w:val="20"/>
        </w:rPr>
        <w:t>(5), 470-477.</w:t>
      </w:r>
    </w:p>
    <w:p w14:paraId="43F6415A" w14:textId="616FF607" w:rsidR="00652800" w:rsidRPr="00C20E27" w:rsidRDefault="00652800"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 </w:t>
      </w:r>
      <w:r w:rsidR="00624D0A" w:rsidRPr="00C20E27">
        <w:rPr>
          <w:rFonts w:asciiTheme="minorBidi" w:hAnsiTheme="minorBidi"/>
          <w:sz w:val="20"/>
          <w:szCs w:val="20"/>
        </w:rPr>
        <w:t xml:space="preserve">Lonie, J. M., Austin, Z., Nguyen, R., Gill, I., &amp; </w:t>
      </w:r>
      <w:proofErr w:type="spellStart"/>
      <w:r w:rsidR="00624D0A" w:rsidRPr="00C20E27">
        <w:rPr>
          <w:rFonts w:asciiTheme="minorBidi" w:hAnsiTheme="minorBidi"/>
          <w:sz w:val="20"/>
          <w:szCs w:val="20"/>
        </w:rPr>
        <w:t>Tsingos</w:t>
      </w:r>
      <w:proofErr w:type="spellEnd"/>
      <w:r w:rsidR="00624D0A" w:rsidRPr="00C20E27">
        <w:rPr>
          <w:rFonts w:asciiTheme="minorBidi" w:hAnsiTheme="minorBidi"/>
          <w:sz w:val="20"/>
          <w:szCs w:val="20"/>
        </w:rPr>
        <w:t>-Lucas, C. (2017). Pharmacist-based health coaching: A new model of pharmacist-patient care. </w:t>
      </w:r>
      <w:r w:rsidR="00624D0A" w:rsidRPr="00C20E27">
        <w:rPr>
          <w:rFonts w:asciiTheme="minorBidi" w:hAnsiTheme="minorBidi"/>
          <w:i/>
          <w:iCs/>
          <w:sz w:val="20"/>
          <w:szCs w:val="20"/>
        </w:rPr>
        <w:t>Research in Social and Administrative Pharmacy</w:t>
      </w:r>
      <w:r w:rsidR="00624D0A" w:rsidRPr="00C20E27">
        <w:rPr>
          <w:rFonts w:asciiTheme="minorBidi" w:hAnsiTheme="minorBidi"/>
          <w:sz w:val="20"/>
          <w:szCs w:val="20"/>
        </w:rPr>
        <w:t>, </w:t>
      </w:r>
      <w:r w:rsidR="00624D0A" w:rsidRPr="00C20E27">
        <w:rPr>
          <w:rFonts w:asciiTheme="minorBidi" w:hAnsiTheme="minorBidi"/>
          <w:i/>
          <w:iCs/>
          <w:sz w:val="20"/>
          <w:szCs w:val="20"/>
        </w:rPr>
        <w:t>13</w:t>
      </w:r>
      <w:r w:rsidR="00624D0A" w:rsidRPr="00C20E27">
        <w:rPr>
          <w:rFonts w:asciiTheme="minorBidi" w:hAnsiTheme="minorBidi"/>
          <w:sz w:val="20"/>
          <w:szCs w:val="20"/>
        </w:rPr>
        <w:t>(3), 644-652.</w:t>
      </w:r>
    </w:p>
    <w:p w14:paraId="297778B1" w14:textId="578B74F6" w:rsidR="00652800" w:rsidRPr="00C20E27" w:rsidRDefault="00652800"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 </w:t>
      </w:r>
      <w:r w:rsidR="00624D0A" w:rsidRPr="00C20E27">
        <w:rPr>
          <w:rFonts w:asciiTheme="minorBidi" w:hAnsiTheme="minorBidi"/>
          <w:sz w:val="20"/>
          <w:szCs w:val="20"/>
        </w:rPr>
        <w:t xml:space="preserve">Nkansah, N., </w:t>
      </w:r>
      <w:proofErr w:type="spellStart"/>
      <w:r w:rsidR="00624D0A" w:rsidRPr="00C20E27">
        <w:rPr>
          <w:rFonts w:asciiTheme="minorBidi" w:hAnsiTheme="minorBidi"/>
          <w:sz w:val="20"/>
          <w:szCs w:val="20"/>
        </w:rPr>
        <w:t>Mostovetsky</w:t>
      </w:r>
      <w:proofErr w:type="spellEnd"/>
      <w:r w:rsidR="00624D0A" w:rsidRPr="00C20E27">
        <w:rPr>
          <w:rFonts w:asciiTheme="minorBidi" w:hAnsiTheme="minorBidi"/>
          <w:sz w:val="20"/>
          <w:szCs w:val="20"/>
        </w:rPr>
        <w:t xml:space="preserve">, O., Yu, C., Chheng, T., </w:t>
      </w:r>
      <w:proofErr w:type="spellStart"/>
      <w:r w:rsidR="00624D0A" w:rsidRPr="00C20E27">
        <w:rPr>
          <w:rFonts w:asciiTheme="minorBidi" w:hAnsiTheme="minorBidi"/>
          <w:sz w:val="20"/>
          <w:szCs w:val="20"/>
        </w:rPr>
        <w:t>Beney</w:t>
      </w:r>
      <w:proofErr w:type="spellEnd"/>
      <w:r w:rsidR="00624D0A" w:rsidRPr="00C20E27">
        <w:rPr>
          <w:rFonts w:asciiTheme="minorBidi" w:hAnsiTheme="minorBidi"/>
          <w:sz w:val="20"/>
          <w:szCs w:val="20"/>
        </w:rPr>
        <w:t>, J., Bond, C. M., &amp; Bero, L. (2010). Effect of outpatient pharmacists' non</w:t>
      </w:r>
      <w:r w:rsidR="00624D0A" w:rsidRPr="00C20E27">
        <w:rPr>
          <w:rFonts w:ascii="Cambria Math" w:hAnsi="Cambria Math" w:cs="Cambria Math"/>
          <w:sz w:val="20"/>
          <w:szCs w:val="20"/>
        </w:rPr>
        <w:t>‐</w:t>
      </w:r>
      <w:r w:rsidR="00624D0A" w:rsidRPr="00C20E27">
        <w:rPr>
          <w:rFonts w:asciiTheme="minorBidi" w:hAnsiTheme="minorBidi"/>
          <w:sz w:val="20"/>
          <w:szCs w:val="20"/>
        </w:rPr>
        <w:t>dispensing roles on patient outcomes and prescribing patterns. </w:t>
      </w:r>
      <w:r w:rsidR="00624D0A" w:rsidRPr="00C20E27">
        <w:rPr>
          <w:rFonts w:asciiTheme="minorBidi" w:hAnsiTheme="minorBidi"/>
          <w:i/>
          <w:iCs/>
          <w:sz w:val="20"/>
          <w:szCs w:val="20"/>
        </w:rPr>
        <w:t>Cochrane database of systematic reviews</w:t>
      </w:r>
      <w:r w:rsidR="00624D0A" w:rsidRPr="00C20E27">
        <w:rPr>
          <w:rFonts w:asciiTheme="minorBidi" w:hAnsiTheme="minorBidi"/>
          <w:sz w:val="20"/>
          <w:szCs w:val="20"/>
        </w:rPr>
        <w:t>, (7).</w:t>
      </w:r>
    </w:p>
    <w:p w14:paraId="33B178A6" w14:textId="6FFFE7D2" w:rsidR="00FA0495" w:rsidRPr="00C20E27" w:rsidRDefault="00FA0495"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 </w:t>
      </w:r>
      <w:r w:rsidR="00624D0A" w:rsidRPr="00C20E27">
        <w:rPr>
          <w:rFonts w:asciiTheme="minorBidi" w:hAnsiTheme="minorBidi"/>
          <w:sz w:val="20"/>
          <w:szCs w:val="20"/>
        </w:rPr>
        <w:t xml:space="preserve">Mokdad, A. H., Jaber, S., Aziz, M. I. A., </w:t>
      </w:r>
      <w:proofErr w:type="spellStart"/>
      <w:r w:rsidR="00624D0A" w:rsidRPr="00C20E27">
        <w:rPr>
          <w:rFonts w:asciiTheme="minorBidi" w:hAnsiTheme="minorBidi"/>
          <w:sz w:val="20"/>
          <w:szCs w:val="20"/>
        </w:rPr>
        <w:t>AlBuhairan</w:t>
      </w:r>
      <w:proofErr w:type="spellEnd"/>
      <w:r w:rsidR="00624D0A" w:rsidRPr="00C20E27">
        <w:rPr>
          <w:rFonts w:asciiTheme="minorBidi" w:hAnsiTheme="minorBidi"/>
          <w:sz w:val="20"/>
          <w:szCs w:val="20"/>
        </w:rPr>
        <w:t>, F., AlGhaithi, A., AlHamad, N. M., ... &amp; Murray, C. J. (2014). The state of health in the Arab world, 1990–2010: an analysis of the burden of diseases, injuries, and risk factors. </w:t>
      </w:r>
      <w:r w:rsidR="00624D0A" w:rsidRPr="00C20E27">
        <w:rPr>
          <w:rFonts w:asciiTheme="minorBidi" w:hAnsiTheme="minorBidi"/>
          <w:i/>
          <w:iCs/>
          <w:sz w:val="20"/>
          <w:szCs w:val="20"/>
        </w:rPr>
        <w:t>The Lancet</w:t>
      </w:r>
      <w:r w:rsidR="00624D0A" w:rsidRPr="00C20E27">
        <w:rPr>
          <w:rFonts w:asciiTheme="minorBidi" w:hAnsiTheme="minorBidi"/>
          <w:sz w:val="20"/>
          <w:szCs w:val="20"/>
        </w:rPr>
        <w:t>, </w:t>
      </w:r>
      <w:r w:rsidR="00624D0A" w:rsidRPr="00C20E27">
        <w:rPr>
          <w:rFonts w:asciiTheme="minorBidi" w:hAnsiTheme="minorBidi"/>
          <w:i/>
          <w:iCs/>
          <w:sz w:val="20"/>
          <w:szCs w:val="20"/>
        </w:rPr>
        <w:t>383</w:t>
      </w:r>
      <w:r w:rsidR="00624D0A" w:rsidRPr="00C20E27">
        <w:rPr>
          <w:rFonts w:asciiTheme="minorBidi" w:hAnsiTheme="minorBidi"/>
          <w:sz w:val="20"/>
          <w:szCs w:val="20"/>
        </w:rPr>
        <w:t>(9914), 309-320.</w:t>
      </w:r>
    </w:p>
    <w:p w14:paraId="537E13A2" w14:textId="77777777" w:rsidR="00624D0A" w:rsidRPr="00C20E27" w:rsidRDefault="00FA0495"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 </w:t>
      </w:r>
      <w:r w:rsidR="00624D0A" w:rsidRPr="00C20E27">
        <w:rPr>
          <w:rFonts w:asciiTheme="minorBidi" w:hAnsiTheme="minorBidi"/>
          <w:sz w:val="20"/>
          <w:szCs w:val="20"/>
        </w:rPr>
        <w:t xml:space="preserve">Khoja, T., Rawaf, S., </w:t>
      </w:r>
      <w:proofErr w:type="spellStart"/>
      <w:r w:rsidR="00624D0A" w:rsidRPr="00C20E27">
        <w:rPr>
          <w:rFonts w:asciiTheme="minorBidi" w:hAnsiTheme="minorBidi"/>
          <w:sz w:val="20"/>
          <w:szCs w:val="20"/>
        </w:rPr>
        <w:t>Qidwai</w:t>
      </w:r>
      <w:proofErr w:type="spellEnd"/>
      <w:r w:rsidR="00624D0A" w:rsidRPr="00C20E27">
        <w:rPr>
          <w:rFonts w:asciiTheme="minorBidi" w:hAnsiTheme="minorBidi"/>
          <w:sz w:val="20"/>
          <w:szCs w:val="20"/>
        </w:rPr>
        <w:t>, W., Rawaf, D., Nanji, K., Hamad, A., &amp; Khoja, T. (2017). Health care in Gulf Cooperation Council countries: a review of challenges and opportunities. </w:t>
      </w:r>
      <w:proofErr w:type="spellStart"/>
      <w:r w:rsidR="00624D0A" w:rsidRPr="00C20E27">
        <w:rPr>
          <w:rFonts w:asciiTheme="minorBidi" w:hAnsiTheme="minorBidi"/>
          <w:i/>
          <w:iCs/>
          <w:sz w:val="20"/>
          <w:szCs w:val="20"/>
        </w:rPr>
        <w:t>Cureus</w:t>
      </w:r>
      <w:proofErr w:type="spellEnd"/>
      <w:r w:rsidR="00624D0A" w:rsidRPr="00C20E27">
        <w:rPr>
          <w:rFonts w:asciiTheme="minorBidi" w:hAnsiTheme="minorBidi"/>
          <w:sz w:val="20"/>
          <w:szCs w:val="20"/>
        </w:rPr>
        <w:t>, </w:t>
      </w:r>
      <w:r w:rsidR="00624D0A" w:rsidRPr="00C20E27">
        <w:rPr>
          <w:rFonts w:asciiTheme="minorBidi" w:hAnsiTheme="minorBidi"/>
          <w:i/>
          <w:iCs/>
          <w:sz w:val="20"/>
          <w:szCs w:val="20"/>
        </w:rPr>
        <w:t>9</w:t>
      </w:r>
      <w:r w:rsidR="00624D0A" w:rsidRPr="00C20E27">
        <w:rPr>
          <w:rFonts w:asciiTheme="minorBidi" w:hAnsiTheme="minorBidi"/>
          <w:sz w:val="20"/>
          <w:szCs w:val="20"/>
        </w:rPr>
        <w:t>(8).</w:t>
      </w:r>
    </w:p>
    <w:p w14:paraId="5E1BC919" w14:textId="77777777" w:rsidR="00624D0A" w:rsidRPr="00C20E27" w:rsidRDefault="00225119"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lastRenderedPageBreak/>
        <w:t xml:space="preserve"> </w:t>
      </w:r>
      <w:r w:rsidR="00624D0A" w:rsidRPr="00C20E27">
        <w:rPr>
          <w:rFonts w:asciiTheme="minorBidi" w:hAnsiTheme="minorBidi"/>
          <w:sz w:val="20"/>
          <w:szCs w:val="20"/>
        </w:rPr>
        <w:t xml:space="preserve">Rayes, I. K., </w:t>
      </w:r>
      <w:proofErr w:type="spellStart"/>
      <w:r w:rsidR="00624D0A" w:rsidRPr="00C20E27">
        <w:rPr>
          <w:rFonts w:asciiTheme="minorBidi" w:hAnsiTheme="minorBidi"/>
          <w:sz w:val="20"/>
          <w:szCs w:val="20"/>
        </w:rPr>
        <w:t>Hassali</w:t>
      </w:r>
      <w:proofErr w:type="spellEnd"/>
      <w:r w:rsidR="00624D0A" w:rsidRPr="00C20E27">
        <w:rPr>
          <w:rFonts w:asciiTheme="minorBidi" w:hAnsiTheme="minorBidi"/>
          <w:sz w:val="20"/>
          <w:szCs w:val="20"/>
        </w:rPr>
        <w:t xml:space="preserve">, M. A., &amp; </w:t>
      </w:r>
      <w:proofErr w:type="spellStart"/>
      <w:r w:rsidR="00624D0A" w:rsidRPr="00C20E27">
        <w:rPr>
          <w:rFonts w:asciiTheme="minorBidi" w:hAnsiTheme="minorBidi"/>
          <w:sz w:val="20"/>
          <w:szCs w:val="20"/>
        </w:rPr>
        <w:t>Abduelkarem</w:t>
      </w:r>
      <w:proofErr w:type="spellEnd"/>
      <w:r w:rsidR="00624D0A" w:rsidRPr="00C20E27">
        <w:rPr>
          <w:rFonts w:asciiTheme="minorBidi" w:hAnsiTheme="minorBidi"/>
          <w:sz w:val="20"/>
          <w:szCs w:val="20"/>
        </w:rPr>
        <w:t>, A. R. (2015). The role of pharmacists in developing countries: The current scenario in the United Arab Emirates. </w:t>
      </w:r>
      <w:r w:rsidR="00624D0A" w:rsidRPr="00C20E27">
        <w:rPr>
          <w:rFonts w:asciiTheme="minorBidi" w:hAnsiTheme="minorBidi"/>
          <w:i/>
          <w:iCs/>
          <w:sz w:val="20"/>
          <w:szCs w:val="20"/>
        </w:rPr>
        <w:t>Saudi Pharmaceutical Journal</w:t>
      </w:r>
      <w:r w:rsidR="00624D0A" w:rsidRPr="00C20E27">
        <w:rPr>
          <w:rFonts w:asciiTheme="minorBidi" w:hAnsiTheme="minorBidi"/>
          <w:sz w:val="20"/>
          <w:szCs w:val="20"/>
        </w:rPr>
        <w:t>, </w:t>
      </w:r>
      <w:r w:rsidR="00624D0A" w:rsidRPr="00C20E27">
        <w:rPr>
          <w:rFonts w:asciiTheme="minorBidi" w:hAnsiTheme="minorBidi"/>
          <w:i/>
          <w:iCs/>
          <w:sz w:val="20"/>
          <w:szCs w:val="20"/>
        </w:rPr>
        <w:t>23</w:t>
      </w:r>
      <w:r w:rsidR="00624D0A" w:rsidRPr="00C20E27">
        <w:rPr>
          <w:rFonts w:asciiTheme="minorBidi" w:hAnsiTheme="minorBidi"/>
          <w:sz w:val="20"/>
          <w:szCs w:val="20"/>
        </w:rPr>
        <w:t>(5), 470-474.</w:t>
      </w:r>
    </w:p>
    <w:p w14:paraId="2E0B8742" w14:textId="77777777" w:rsidR="00624D0A" w:rsidRPr="00C20E27" w:rsidRDefault="00624D0A"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Abdel-Latif, M. M., &amp; Sabra, K. (2016). Clinical pharmacy practice in Egyptian hospitals. </w:t>
      </w:r>
      <w:r w:rsidRPr="00C20E27">
        <w:rPr>
          <w:rFonts w:asciiTheme="minorBidi" w:hAnsiTheme="minorBidi"/>
          <w:i/>
          <w:iCs/>
          <w:sz w:val="20"/>
          <w:szCs w:val="20"/>
        </w:rPr>
        <w:t>American Journal of Health-System Pharmacy</w:t>
      </w:r>
      <w:r w:rsidRPr="00C20E27">
        <w:rPr>
          <w:rFonts w:asciiTheme="minorBidi" w:hAnsiTheme="minorBidi"/>
          <w:sz w:val="20"/>
          <w:szCs w:val="20"/>
        </w:rPr>
        <w:t>, </w:t>
      </w:r>
      <w:r w:rsidRPr="00C20E27">
        <w:rPr>
          <w:rFonts w:asciiTheme="minorBidi" w:hAnsiTheme="minorBidi"/>
          <w:i/>
          <w:iCs/>
          <w:sz w:val="20"/>
          <w:szCs w:val="20"/>
        </w:rPr>
        <w:t>73</w:t>
      </w:r>
      <w:r w:rsidRPr="00C20E27">
        <w:rPr>
          <w:rFonts w:asciiTheme="minorBidi" w:hAnsiTheme="minorBidi"/>
          <w:sz w:val="20"/>
          <w:szCs w:val="20"/>
        </w:rPr>
        <w:t>(1), e63-e66.</w:t>
      </w:r>
    </w:p>
    <w:p w14:paraId="566B76EA" w14:textId="77777777" w:rsidR="00624D0A" w:rsidRPr="00C20E27" w:rsidRDefault="00624D0A"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Kheir, N., Zaidan, M., Younes, H., El Hajj, M., Wilbur, K., &amp; </w:t>
      </w:r>
      <w:proofErr w:type="spellStart"/>
      <w:r w:rsidRPr="00C20E27">
        <w:rPr>
          <w:rFonts w:asciiTheme="minorBidi" w:hAnsiTheme="minorBidi"/>
          <w:sz w:val="20"/>
          <w:szCs w:val="20"/>
        </w:rPr>
        <w:t>Jewesson</w:t>
      </w:r>
      <w:proofErr w:type="spellEnd"/>
      <w:r w:rsidRPr="00C20E27">
        <w:rPr>
          <w:rFonts w:asciiTheme="minorBidi" w:hAnsiTheme="minorBidi"/>
          <w:sz w:val="20"/>
          <w:szCs w:val="20"/>
        </w:rPr>
        <w:t>, P. J. (2008). Pharmacy education and practice in 13 Middle Eastern countries. </w:t>
      </w:r>
      <w:r w:rsidRPr="00C20E27">
        <w:rPr>
          <w:rFonts w:asciiTheme="minorBidi" w:hAnsiTheme="minorBidi"/>
          <w:i/>
          <w:iCs/>
          <w:sz w:val="20"/>
          <w:szCs w:val="20"/>
        </w:rPr>
        <w:t>American journal of pharmaceutical education</w:t>
      </w:r>
      <w:r w:rsidRPr="00C20E27">
        <w:rPr>
          <w:rFonts w:asciiTheme="minorBidi" w:hAnsiTheme="minorBidi"/>
          <w:sz w:val="20"/>
          <w:szCs w:val="20"/>
        </w:rPr>
        <w:t>, </w:t>
      </w:r>
      <w:r w:rsidRPr="00C20E27">
        <w:rPr>
          <w:rFonts w:asciiTheme="minorBidi" w:hAnsiTheme="minorBidi"/>
          <w:i/>
          <w:iCs/>
          <w:sz w:val="20"/>
          <w:szCs w:val="20"/>
        </w:rPr>
        <w:t>72</w:t>
      </w:r>
      <w:r w:rsidRPr="00C20E27">
        <w:rPr>
          <w:rFonts w:asciiTheme="minorBidi" w:hAnsiTheme="minorBidi"/>
          <w:sz w:val="20"/>
          <w:szCs w:val="20"/>
        </w:rPr>
        <w:t>(6), 133.</w:t>
      </w:r>
    </w:p>
    <w:p w14:paraId="4C72AD2E" w14:textId="73BDCFE3" w:rsidR="003C466A" w:rsidRPr="00C20E27" w:rsidRDefault="003C466A" w:rsidP="00624D0A">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Espey M. Enhancing critical thinking using team-based learning. Higher Educ Res Develop. 2018;37(1):15-29.</w:t>
      </w:r>
    </w:p>
    <w:p w14:paraId="0C9081BC" w14:textId="7187FD06" w:rsidR="008972A3" w:rsidRPr="00C20E27" w:rsidRDefault="008972A3" w:rsidP="00652800">
      <w:pPr>
        <w:pStyle w:val="ListParagraph"/>
        <w:numPr>
          <w:ilvl w:val="0"/>
          <w:numId w:val="4"/>
        </w:numPr>
        <w:bidi w:val="0"/>
        <w:spacing w:line="360" w:lineRule="auto"/>
        <w:jc w:val="both"/>
        <w:rPr>
          <w:rFonts w:asciiTheme="minorBidi" w:hAnsiTheme="minorBidi"/>
          <w:sz w:val="20"/>
          <w:szCs w:val="20"/>
        </w:rPr>
      </w:pPr>
      <w:proofErr w:type="spellStart"/>
      <w:r w:rsidRPr="00C20E27">
        <w:rPr>
          <w:rFonts w:asciiTheme="minorBidi" w:hAnsiTheme="minorBidi"/>
          <w:sz w:val="20"/>
          <w:szCs w:val="20"/>
        </w:rPr>
        <w:t>Banigesh</w:t>
      </w:r>
      <w:proofErr w:type="spellEnd"/>
      <w:r w:rsidRPr="00C20E27">
        <w:rPr>
          <w:rFonts w:asciiTheme="minorBidi" w:hAnsiTheme="minorBidi"/>
          <w:sz w:val="20"/>
          <w:szCs w:val="20"/>
        </w:rPr>
        <w:t xml:space="preserve">, A. I. (2021). Transforming pharmacy education and practice for the new century. </w:t>
      </w:r>
      <w:r w:rsidRPr="00C20E27">
        <w:rPr>
          <w:rFonts w:asciiTheme="minorBidi" w:hAnsiTheme="minorBidi"/>
          <w:i/>
          <w:iCs/>
          <w:sz w:val="20"/>
          <w:szCs w:val="20"/>
        </w:rPr>
        <w:t>Mediterranean Journal of Pharmacy and Pharmaceutical Sciences, 14</w:t>
      </w:r>
      <w:r w:rsidRPr="00C20E27">
        <w:rPr>
          <w:rFonts w:asciiTheme="minorBidi" w:hAnsiTheme="minorBidi"/>
          <w:sz w:val="20"/>
          <w:szCs w:val="20"/>
        </w:rPr>
        <w:t>, 1-4.</w:t>
      </w:r>
    </w:p>
    <w:p w14:paraId="354119CB" w14:textId="77777777" w:rsidR="004C6B2A" w:rsidRPr="00C20E27" w:rsidRDefault="004C6B2A" w:rsidP="00652800">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Sherif, F. M. (2022). Education and practice of pharmacy in Libya. </w:t>
      </w:r>
      <w:r w:rsidRPr="00C20E27">
        <w:rPr>
          <w:rFonts w:asciiTheme="minorBidi" w:hAnsiTheme="minorBidi"/>
          <w:i/>
          <w:iCs/>
          <w:sz w:val="20"/>
          <w:szCs w:val="20"/>
        </w:rPr>
        <w:t>Mediterranean Journal of Pharmacy and Pharmaceutical Sciences, 23</w:t>
      </w:r>
      <w:r w:rsidRPr="00C20E27">
        <w:rPr>
          <w:rFonts w:asciiTheme="minorBidi" w:hAnsiTheme="minorBidi"/>
          <w:sz w:val="20"/>
          <w:szCs w:val="20"/>
        </w:rPr>
        <w:t>, 1-2.</w:t>
      </w:r>
    </w:p>
    <w:p w14:paraId="05A8A545" w14:textId="77777777" w:rsidR="004C6B2A" w:rsidRPr="00C20E27" w:rsidRDefault="008972A3" w:rsidP="00652800">
      <w:pPr>
        <w:pStyle w:val="ListParagraph"/>
        <w:numPr>
          <w:ilvl w:val="0"/>
          <w:numId w:val="4"/>
        </w:numPr>
        <w:bidi w:val="0"/>
        <w:spacing w:line="360" w:lineRule="auto"/>
        <w:jc w:val="both"/>
        <w:rPr>
          <w:rFonts w:asciiTheme="minorBidi" w:hAnsiTheme="minorBidi"/>
          <w:sz w:val="20"/>
          <w:szCs w:val="20"/>
        </w:rPr>
      </w:pPr>
      <w:proofErr w:type="spellStart"/>
      <w:r w:rsidRPr="00C20E27">
        <w:rPr>
          <w:rFonts w:asciiTheme="minorBidi" w:hAnsiTheme="minorBidi"/>
          <w:sz w:val="20"/>
          <w:szCs w:val="20"/>
        </w:rPr>
        <w:t>Bukhatwa</w:t>
      </w:r>
      <w:proofErr w:type="spellEnd"/>
      <w:r w:rsidRPr="00C20E27">
        <w:rPr>
          <w:rFonts w:asciiTheme="minorBidi" w:hAnsiTheme="minorBidi"/>
          <w:sz w:val="20"/>
          <w:szCs w:val="20"/>
        </w:rPr>
        <w:t xml:space="preserve">, S., &amp; </w:t>
      </w:r>
      <w:proofErr w:type="spellStart"/>
      <w:r w:rsidRPr="00C20E27">
        <w:rPr>
          <w:rFonts w:asciiTheme="minorBidi" w:hAnsiTheme="minorBidi"/>
          <w:sz w:val="20"/>
          <w:szCs w:val="20"/>
        </w:rPr>
        <w:t>Elfakhri</w:t>
      </w:r>
      <w:proofErr w:type="spellEnd"/>
      <w:r w:rsidRPr="00C20E27">
        <w:rPr>
          <w:rFonts w:asciiTheme="minorBidi" w:hAnsiTheme="minorBidi"/>
          <w:sz w:val="20"/>
          <w:szCs w:val="20"/>
        </w:rPr>
        <w:t xml:space="preserve">, M. (2019). The first PharmD program in Libya. </w:t>
      </w:r>
      <w:r w:rsidRPr="00C20E27">
        <w:rPr>
          <w:rFonts w:asciiTheme="minorBidi" w:hAnsiTheme="minorBidi"/>
          <w:i/>
          <w:iCs/>
          <w:sz w:val="20"/>
          <w:szCs w:val="20"/>
        </w:rPr>
        <w:t>Libyan International Medical University Journal, 4</w:t>
      </w:r>
      <w:r w:rsidRPr="00C20E27">
        <w:rPr>
          <w:rFonts w:asciiTheme="minorBidi" w:hAnsiTheme="minorBidi"/>
          <w:sz w:val="20"/>
          <w:szCs w:val="20"/>
        </w:rPr>
        <w:t>(02), 45–48.</w:t>
      </w:r>
    </w:p>
    <w:p w14:paraId="32C11A17" w14:textId="5B1C7B57" w:rsidR="00EB0F62" w:rsidRPr="00C20E27" w:rsidRDefault="005730B6" w:rsidP="005730B6">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Abu Farha, R., </w:t>
      </w:r>
      <w:proofErr w:type="spellStart"/>
      <w:r w:rsidRPr="00C20E27">
        <w:rPr>
          <w:rFonts w:asciiTheme="minorBidi" w:hAnsiTheme="minorBidi"/>
          <w:sz w:val="20"/>
          <w:szCs w:val="20"/>
        </w:rPr>
        <w:t>Elayeh</w:t>
      </w:r>
      <w:proofErr w:type="spellEnd"/>
      <w:r w:rsidRPr="00C20E27">
        <w:rPr>
          <w:rFonts w:asciiTheme="minorBidi" w:hAnsiTheme="minorBidi"/>
          <w:sz w:val="20"/>
          <w:szCs w:val="20"/>
        </w:rPr>
        <w:t xml:space="preserve">, E., </w:t>
      </w:r>
      <w:proofErr w:type="spellStart"/>
      <w:r w:rsidRPr="00C20E27">
        <w:rPr>
          <w:rFonts w:asciiTheme="minorBidi" w:hAnsiTheme="minorBidi"/>
          <w:sz w:val="20"/>
          <w:szCs w:val="20"/>
        </w:rPr>
        <w:t>Zalloum</w:t>
      </w:r>
      <w:proofErr w:type="spellEnd"/>
      <w:r w:rsidRPr="00C20E27">
        <w:rPr>
          <w:rFonts w:asciiTheme="minorBidi" w:hAnsiTheme="minorBidi"/>
          <w:sz w:val="20"/>
          <w:szCs w:val="20"/>
        </w:rPr>
        <w:t xml:space="preserve">, N., </w:t>
      </w:r>
      <w:proofErr w:type="spellStart"/>
      <w:r w:rsidRPr="00C20E27">
        <w:rPr>
          <w:rFonts w:asciiTheme="minorBidi" w:hAnsiTheme="minorBidi"/>
          <w:sz w:val="20"/>
          <w:szCs w:val="20"/>
        </w:rPr>
        <w:t>Mukattash</w:t>
      </w:r>
      <w:proofErr w:type="spellEnd"/>
      <w:r w:rsidRPr="00C20E27">
        <w:rPr>
          <w:rFonts w:asciiTheme="minorBidi" w:hAnsiTheme="minorBidi"/>
          <w:sz w:val="20"/>
          <w:szCs w:val="20"/>
        </w:rPr>
        <w:t xml:space="preserve">, T., </w:t>
      </w:r>
      <w:proofErr w:type="spellStart"/>
      <w:r w:rsidRPr="00C20E27">
        <w:rPr>
          <w:rFonts w:asciiTheme="minorBidi" w:hAnsiTheme="minorBidi"/>
          <w:sz w:val="20"/>
          <w:szCs w:val="20"/>
        </w:rPr>
        <w:t>Alefishat</w:t>
      </w:r>
      <w:proofErr w:type="spellEnd"/>
      <w:r w:rsidRPr="00C20E27">
        <w:rPr>
          <w:rFonts w:asciiTheme="minorBidi" w:hAnsiTheme="minorBidi"/>
          <w:sz w:val="20"/>
          <w:szCs w:val="20"/>
        </w:rPr>
        <w:t xml:space="preserve">, E., </w:t>
      </w:r>
      <w:proofErr w:type="spellStart"/>
      <w:r w:rsidRPr="00C20E27">
        <w:rPr>
          <w:rFonts w:asciiTheme="minorBidi" w:hAnsiTheme="minorBidi"/>
          <w:sz w:val="20"/>
          <w:szCs w:val="20"/>
        </w:rPr>
        <w:t>Suyagh</w:t>
      </w:r>
      <w:proofErr w:type="spellEnd"/>
      <w:r w:rsidRPr="00C20E27">
        <w:rPr>
          <w:rFonts w:asciiTheme="minorBidi" w:hAnsiTheme="minorBidi"/>
          <w:sz w:val="20"/>
          <w:szCs w:val="20"/>
        </w:rPr>
        <w:t xml:space="preserve">, M., &amp; </w:t>
      </w:r>
      <w:proofErr w:type="spellStart"/>
      <w:r w:rsidRPr="00C20E27">
        <w:rPr>
          <w:rFonts w:asciiTheme="minorBidi" w:hAnsiTheme="minorBidi"/>
          <w:sz w:val="20"/>
          <w:szCs w:val="20"/>
        </w:rPr>
        <w:t>Basheti</w:t>
      </w:r>
      <w:proofErr w:type="spellEnd"/>
      <w:r w:rsidRPr="00C20E27">
        <w:rPr>
          <w:rFonts w:asciiTheme="minorBidi" w:hAnsiTheme="minorBidi"/>
          <w:sz w:val="20"/>
          <w:szCs w:val="20"/>
        </w:rPr>
        <w:t>, I. (2021). Perception of pharmacy students towards their community pharmacy training experience: a cross-sectional study from Jordan. </w:t>
      </w:r>
      <w:r w:rsidRPr="00C20E27">
        <w:rPr>
          <w:rFonts w:asciiTheme="minorBidi" w:hAnsiTheme="minorBidi"/>
          <w:i/>
          <w:iCs/>
          <w:sz w:val="20"/>
          <w:szCs w:val="20"/>
        </w:rPr>
        <w:t>BMC Medical Education</w:t>
      </w:r>
      <w:r w:rsidRPr="00C20E27">
        <w:rPr>
          <w:rFonts w:asciiTheme="minorBidi" w:hAnsiTheme="minorBidi"/>
          <w:sz w:val="20"/>
          <w:szCs w:val="20"/>
        </w:rPr>
        <w:t>, </w:t>
      </w:r>
      <w:r w:rsidRPr="00C20E27">
        <w:rPr>
          <w:rFonts w:asciiTheme="minorBidi" w:hAnsiTheme="minorBidi"/>
          <w:i/>
          <w:iCs/>
          <w:sz w:val="20"/>
          <w:szCs w:val="20"/>
        </w:rPr>
        <w:t>21</w:t>
      </w:r>
      <w:r w:rsidRPr="00C20E27">
        <w:rPr>
          <w:rFonts w:asciiTheme="minorBidi" w:hAnsiTheme="minorBidi"/>
          <w:sz w:val="20"/>
          <w:szCs w:val="20"/>
        </w:rPr>
        <w:t>(1), 161.</w:t>
      </w:r>
    </w:p>
    <w:p w14:paraId="6EB4AD57" w14:textId="1329A4D8" w:rsidR="005730B6" w:rsidRPr="00C20E27" w:rsidRDefault="001359B5" w:rsidP="001359B5">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 xml:space="preserve">El-Awaisi, A., </w:t>
      </w:r>
      <w:proofErr w:type="spellStart"/>
      <w:r w:rsidRPr="00C20E27">
        <w:rPr>
          <w:rFonts w:asciiTheme="minorBidi" w:hAnsiTheme="minorBidi"/>
          <w:sz w:val="20"/>
          <w:szCs w:val="20"/>
        </w:rPr>
        <w:t>Saffouh</w:t>
      </w:r>
      <w:proofErr w:type="spellEnd"/>
      <w:r w:rsidRPr="00C20E27">
        <w:rPr>
          <w:rFonts w:asciiTheme="minorBidi" w:hAnsiTheme="minorBidi"/>
          <w:sz w:val="20"/>
          <w:szCs w:val="20"/>
        </w:rPr>
        <w:t xml:space="preserve"> El Hajj, M., Joseph, S., &amp; Diack, L. (2018). Perspectives of pharmacy students in Qatar toward interprofessional education and collaborative practice: a mixed methods study. </w:t>
      </w:r>
      <w:r w:rsidRPr="00C20E27">
        <w:rPr>
          <w:rFonts w:asciiTheme="minorBidi" w:hAnsiTheme="minorBidi"/>
          <w:i/>
          <w:iCs/>
          <w:sz w:val="20"/>
          <w:szCs w:val="20"/>
        </w:rPr>
        <w:t>Journal of interprofessional care</w:t>
      </w:r>
      <w:r w:rsidRPr="00C20E27">
        <w:rPr>
          <w:rFonts w:asciiTheme="minorBidi" w:hAnsiTheme="minorBidi"/>
          <w:sz w:val="20"/>
          <w:szCs w:val="20"/>
        </w:rPr>
        <w:t>, </w:t>
      </w:r>
      <w:r w:rsidRPr="00C20E27">
        <w:rPr>
          <w:rFonts w:asciiTheme="minorBidi" w:hAnsiTheme="minorBidi"/>
          <w:i/>
          <w:iCs/>
          <w:sz w:val="20"/>
          <w:szCs w:val="20"/>
        </w:rPr>
        <w:t>32</w:t>
      </w:r>
      <w:r w:rsidRPr="00C20E27">
        <w:rPr>
          <w:rFonts w:asciiTheme="minorBidi" w:hAnsiTheme="minorBidi"/>
          <w:sz w:val="20"/>
          <w:szCs w:val="20"/>
        </w:rPr>
        <w:t>(6), 674-688.</w:t>
      </w:r>
    </w:p>
    <w:p w14:paraId="596CA8C9" w14:textId="134B310D" w:rsidR="009454FB" w:rsidRPr="00C20E27" w:rsidRDefault="000A563B" w:rsidP="000A563B">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Shaikh, H., Crowl, A. N., Shrader, S., &amp; Burkhardt, C. D. (2020). Assessing self-perceived interprofessional collaborative competency on advanced pharmacy practice experiences through interprofessional simulations. </w:t>
      </w:r>
      <w:r w:rsidRPr="00C20E27">
        <w:rPr>
          <w:rFonts w:asciiTheme="minorBidi" w:hAnsiTheme="minorBidi"/>
          <w:i/>
          <w:iCs/>
          <w:sz w:val="20"/>
          <w:szCs w:val="20"/>
        </w:rPr>
        <w:t>American Journal of Pharmaceutical Education</w:t>
      </w:r>
      <w:r w:rsidRPr="00C20E27">
        <w:rPr>
          <w:rFonts w:asciiTheme="minorBidi" w:hAnsiTheme="minorBidi"/>
          <w:sz w:val="20"/>
          <w:szCs w:val="20"/>
        </w:rPr>
        <w:t>, </w:t>
      </w:r>
      <w:r w:rsidRPr="00C20E27">
        <w:rPr>
          <w:rFonts w:asciiTheme="minorBidi" w:hAnsiTheme="minorBidi"/>
          <w:i/>
          <w:iCs/>
          <w:sz w:val="20"/>
          <w:szCs w:val="20"/>
        </w:rPr>
        <w:t>84</w:t>
      </w:r>
      <w:r w:rsidRPr="00C20E27">
        <w:rPr>
          <w:rFonts w:asciiTheme="minorBidi" w:hAnsiTheme="minorBidi"/>
          <w:sz w:val="20"/>
          <w:szCs w:val="20"/>
        </w:rPr>
        <w:t>(4), 7530.</w:t>
      </w:r>
    </w:p>
    <w:p w14:paraId="4855611A" w14:textId="4AC4A358" w:rsidR="000A563B" w:rsidRPr="00C20E27" w:rsidRDefault="000A563B" w:rsidP="000A563B">
      <w:pPr>
        <w:pStyle w:val="ListParagraph"/>
        <w:numPr>
          <w:ilvl w:val="0"/>
          <w:numId w:val="4"/>
        </w:numPr>
        <w:bidi w:val="0"/>
        <w:spacing w:line="360" w:lineRule="auto"/>
        <w:jc w:val="both"/>
        <w:rPr>
          <w:rFonts w:asciiTheme="minorBidi" w:hAnsiTheme="minorBidi"/>
          <w:sz w:val="20"/>
          <w:szCs w:val="20"/>
        </w:rPr>
      </w:pPr>
      <w:proofErr w:type="spellStart"/>
      <w:r w:rsidRPr="00C20E27">
        <w:rPr>
          <w:rFonts w:asciiTheme="minorBidi" w:hAnsiTheme="minorBidi"/>
          <w:sz w:val="20"/>
          <w:szCs w:val="20"/>
        </w:rPr>
        <w:t>Toklu</w:t>
      </w:r>
      <w:proofErr w:type="spellEnd"/>
      <w:r w:rsidRPr="00C20E27">
        <w:rPr>
          <w:rFonts w:asciiTheme="minorBidi" w:hAnsiTheme="minorBidi"/>
          <w:sz w:val="20"/>
          <w:szCs w:val="20"/>
        </w:rPr>
        <w:t>, H. Z., &amp; Hussain, A. (2013). The changing face of pharmacy practice and the need for a new model of pharmacy education. </w:t>
      </w:r>
      <w:r w:rsidRPr="00C20E27">
        <w:rPr>
          <w:rFonts w:asciiTheme="minorBidi" w:hAnsiTheme="minorBidi"/>
          <w:i/>
          <w:iCs/>
          <w:sz w:val="20"/>
          <w:szCs w:val="20"/>
        </w:rPr>
        <w:t>Journal of Young Pharmacists</w:t>
      </w:r>
      <w:r w:rsidRPr="00C20E27">
        <w:rPr>
          <w:rFonts w:asciiTheme="minorBidi" w:hAnsiTheme="minorBidi"/>
          <w:sz w:val="20"/>
          <w:szCs w:val="20"/>
        </w:rPr>
        <w:t>, </w:t>
      </w:r>
      <w:r w:rsidRPr="00C20E27">
        <w:rPr>
          <w:rFonts w:asciiTheme="minorBidi" w:hAnsiTheme="minorBidi"/>
          <w:i/>
          <w:iCs/>
          <w:sz w:val="20"/>
          <w:szCs w:val="20"/>
        </w:rPr>
        <w:t>5</w:t>
      </w:r>
      <w:r w:rsidRPr="00C20E27">
        <w:rPr>
          <w:rFonts w:asciiTheme="minorBidi" w:hAnsiTheme="minorBidi"/>
          <w:sz w:val="20"/>
          <w:szCs w:val="20"/>
        </w:rPr>
        <w:t>(2), 38-40.</w:t>
      </w:r>
    </w:p>
    <w:p w14:paraId="7A383E29" w14:textId="0338BA3C" w:rsidR="00EB0F62" w:rsidRPr="00C20E27" w:rsidRDefault="00EB0F62" w:rsidP="00EB0F62">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Al-</w:t>
      </w:r>
      <w:proofErr w:type="spellStart"/>
      <w:r w:rsidRPr="00C20E27">
        <w:rPr>
          <w:rFonts w:asciiTheme="minorBidi" w:hAnsiTheme="minorBidi"/>
          <w:sz w:val="20"/>
          <w:szCs w:val="20"/>
        </w:rPr>
        <w:t>Worafi</w:t>
      </w:r>
      <w:proofErr w:type="spellEnd"/>
      <w:r w:rsidRPr="00C20E27">
        <w:rPr>
          <w:rFonts w:asciiTheme="minorBidi" w:hAnsiTheme="minorBidi"/>
          <w:sz w:val="20"/>
          <w:szCs w:val="20"/>
        </w:rPr>
        <w:t>, Y. M. (2024). Quality and Accreditation in Developing Countries: Pharmacy Education. In </w:t>
      </w:r>
      <w:r w:rsidRPr="00C20E27">
        <w:rPr>
          <w:rFonts w:asciiTheme="minorBidi" w:hAnsiTheme="minorBidi"/>
          <w:i/>
          <w:iCs/>
          <w:sz w:val="20"/>
          <w:szCs w:val="20"/>
        </w:rPr>
        <w:t>Handbook of Medical and Health Sciences in Developing Countries: Education, Practice, and Research</w:t>
      </w:r>
      <w:r w:rsidRPr="00C20E27">
        <w:rPr>
          <w:rFonts w:asciiTheme="minorBidi" w:hAnsiTheme="minorBidi"/>
          <w:sz w:val="20"/>
          <w:szCs w:val="20"/>
        </w:rPr>
        <w:t> (pp. 1-32). Cham: Springer International Publishing.</w:t>
      </w:r>
    </w:p>
    <w:p w14:paraId="0AF81502" w14:textId="49E53947" w:rsidR="00796E27" w:rsidRPr="00C20E27" w:rsidRDefault="00796E27" w:rsidP="00796E27">
      <w:pPr>
        <w:pStyle w:val="ListParagraph"/>
        <w:numPr>
          <w:ilvl w:val="0"/>
          <w:numId w:val="4"/>
        </w:numPr>
        <w:bidi w:val="0"/>
        <w:spacing w:line="360" w:lineRule="auto"/>
        <w:jc w:val="both"/>
        <w:rPr>
          <w:rFonts w:asciiTheme="minorBidi" w:hAnsiTheme="minorBidi"/>
          <w:sz w:val="20"/>
          <w:szCs w:val="20"/>
        </w:rPr>
      </w:pPr>
      <w:r w:rsidRPr="00C20E27">
        <w:rPr>
          <w:rFonts w:asciiTheme="minorBidi" w:hAnsiTheme="minorBidi"/>
          <w:sz w:val="20"/>
          <w:szCs w:val="20"/>
        </w:rPr>
        <w:t>Nguyen, V. P. V., Fernandez, N. A., &amp; Benson, H. (2026). Enhancing lifelong learning skills in pharmacy education: A scoping review of the literature. Currents in Pharmacy Teaching and Learning, 18(3), 102529.</w:t>
      </w:r>
    </w:p>
    <w:p w14:paraId="7A5936FE" w14:textId="384D33B0" w:rsidR="00796E27" w:rsidRPr="00C20E27" w:rsidRDefault="00796E27" w:rsidP="00796E27">
      <w:pPr>
        <w:pStyle w:val="ListParagraph"/>
        <w:numPr>
          <w:ilvl w:val="0"/>
          <w:numId w:val="4"/>
        </w:numPr>
        <w:bidi w:val="0"/>
        <w:spacing w:line="360" w:lineRule="auto"/>
        <w:jc w:val="both"/>
        <w:rPr>
          <w:rFonts w:asciiTheme="minorBidi" w:hAnsiTheme="minorBidi"/>
          <w:sz w:val="20"/>
          <w:szCs w:val="20"/>
        </w:rPr>
      </w:pPr>
      <w:proofErr w:type="spellStart"/>
      <w:r w:rsidRPr="00C20E27">
        <w:rPr>
          <w:rFonts w:asciiTheme="minorBidi" w:hAnsiTheme="minorBidi"/>
          <w:sz w:val="20"/>
          <w:szCs w:val="20"/>
        </w:rPr>
        <w:t>Ballaram</w:t>
      </w:r>
      <w:proofErr w:type="spellEnd"/>
      <w:r w:rsidRPr="00C20E27">
        <w:rPr>
          <w:rFonts w:asciiTheme="minorBidi" w:hAnsiTheme="minorBidi"/>
          <w:sz w:val="20"/>
          <w:szCs w:val="20"/>
        </w:rPr>
        <w:t>, S., Perumal-Pillay, V., &amp; Suleman, F. (2024). A scoping review of continuing education models and statutory requirements for pharmacists globally. </w:t>
      </w:r>
      <w:r w:rsidRPr="00C20E27">
        <w:rPr>
          <w:rFonts w:asciiTheme="minorBidi" w:hAnsiTheme="minorBidi"/>
          <w:i/>
          <w:iCs/>
          <w:sz w:val="20"/>
          <w:szCs w:val="20"/>
        </w:rPr>
        <w:t>BMC medical education</w:t>
      </w:r>
      <w:r w:rsidRPr="00C20E27">
        <w:rPr>
          <w:rFonts w:asciiTheme="minorBidi" w:hAnsiTheme="minorBidi"/>
          <w:sz w:val="20"/>
          <w:szCs w:val="20"/>
        </w:rPr>
        <w:t>, </w:t>
      </w:r>
      <w:r w:rsidRPr="00C20E27">
        <w:rPr>
          <w:rFonts w:asciiTheme="minorBidi" w:hAnsiTheme="minorBidi"/>
          <w:i/>
          <w:iCs/>
          <w:sz w:val="20"/>
          <w:szCs w:val="20"/>
        </w:rPr>
        <w:t>24</w:t>
      </w:r>
      <w:r w:rsidRPr="00C20E27">
        <w:rPr>
          <w:rFonts w:asciiTheme="minorBidi" w:hAnsiTheme="minorBidi"/>
          <w:sz w:val="20"/>
          <w:szCs w:val="20"/>
        </w:rPr>
        <w:t>(1), 343.</w:t>
      </w:r>
    </w:p>
    <w:p w14:paraId="66F7A5DC" w14:textId="1A4DDFD4" w:rsidR="00624D0A" w:rsidRPr="00C20E27" w:rsidRDefault="00624D0A" w:rsidP="00624D0A">
      <w:pPr>
        <w:pStyle w:val="ListParagraph"/>
        <w:numPr>
          <w:ilvl w:val="0"/>
          <w:numId w:val="4"/>
        </w:numPr>
        <w:bidi w:val="0"/>
        <w:spacing w:line="360" w:lineRule="auto"/>
        <w:jc w:val="both"/>
        <w:rPr>
          <w:rFonts w:asciiTheme="minorBidi" w:hAnsiTheme="minorBidi"/>
          <w:sz w:val="20"/>
          <w:szCs w:val="20"/>
        </w:rPr>
      </w:pPr>
      <w:proofErr w:type="spellStart"/>
      <w:r w:rsidRPr="00C20E27">
        <w:rPr>
          <w:rFonts w:asciiTheme="minorBidi" w:hAnsiTheme="minorBidi"/>
          <w:sz w:val="20"/>
          <w:szCs w:val="20"/>
        </w:rPr>
        <w:lastRenderedPageBreak/>
        <w:t>Tsingos</w:t>
      </w:r>
      <w:proofErr w:type="spellEnd"/>
      <w:r w:rsidRPr="00C20E27">
        <w:rPr>
          <w:rFonts w:asciiTheme="minorBidi" w:hAnsiTheme="minorBidi"/>
          <w:sz w:val="20"/>
          <w:szCs w:val="20"/>
        </w:rPr>
        <w:t xml:space="preserve">, C., </w:t>
      </w:r>
      <w:proofErr w:type="spellStart"/>
      <w:r w:rsidRPr="00C20E27">
        <w:rPr>
          <w:rFonts w:asciiTheme="minorBidi" w:hAnsiTheme="minorBidi"/>
          <w:sz w:val="20"/>
          <w:szCs w:val="20"/>
        </w:rPr>
        <w:t>Bosnic-Anticevich</w:t>
      </w:r>
      <w:proofErr w:type="spellEnd"/>
      <w:r w:rsidRPr="00C20E27">
        <w:rPr>
          <w:rFonts w:asciiTheme="minorBidi" w:hAnsiTheme="minorBidi"/>
          <w:sz w:val="20"/>
          <w:szCs w:val="20"/>
        </w:rPr>
        <w:t>, S., &amp; Smith, L. (2014). Reflective practice and its implications for pharmacy education. </w:t>
      </w:r>
      <w:r w:rsidRPr="00C20E27">
        <w:rPr>
          <w:rFonts w:asciiTheme="minorBidi" w:hAnsiTheme="minorBidi"/>
          <w:i/>
          <w:iCs/>
          <w:sz w:val="20"/>
          <w:szCs w:val="20"/>
        </w:rPr>
        <w:t>American journal of pharmaceutical education</w:t>
      </w:r>
      <w:r w:rsidRPr="00C20E27">
        <w:rPr>
          <w:rFonts w:asciiTheme="minorBidi" w:hAnsiTheme="minorBidi"/>
          <w:sz w:val="20"/>
          <w:szCs w:val="20"/>
        </w:rPr>
        <w:t>, </w:t>
      </w:r>
      <w:r w:rsidRPr="00C20E27">
        <w:rPr>
          <w:rFonts w:asciiTheme="minorBidi" w:hAnsiTheme="minorBidi"/>
          <w:i/>
          <w:iCs/>
          <w:sz w:val="20"/>
          <w:szCs w:val="20"/>
        </w:rPr>
        <w:t>78</w:t>
      </w:r>
      <w:r w:rsidRPr="00C20E27">
        <w:rPr>
          <w:rFonts w:asciiTheme="minorBidi" w:hAnsiTheme="minorBidi"/>
          <w:sz w:val="20"/>
          <w:szCs w:val="20"/>
        </w:rPr>
        <w:t>(1), 18.</w:t>
      </w:r>
    </w:p>
    <w:sectPr w:rsidR="00624D0A" w:rsidRPr="00C20E27" w:rsidSect="00603EE7">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CFBD8" w14:textId="77777777" w:rsidR="001A0E7D" w:rsidRDefault="001A0E7D" w:rsidP="0070693D">
      <w:pPr>
        <w:spacing w:after="0" w:line="240" w:lineRule="auto"/>
      </w:pPr>
      <w:r>
        <w:separator/>
      </w:r>
    </w:p>
  </w:endnote>
  <w:endnote w:type="continuationSeparator" w:id="0">
    <w:p w14:paraId="1F4571A3" w14:textId="77777777" w:rsidR="001A0E7D" w:rsidRDefault="001A0E7D" w:rsidP="0070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inter">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15D1B" w14:textId="77777777" w:rsidR="00FC147C" w:rsidRDefault="00FC1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969874456"/>
      <w:docPartObj>
        <w:docPartGallery w:val="Page Numbers (Bottom of Page)"/>
        <w:docPartUnique/>
      </w:docPartObj>
    </w:sdtPr>
    <w:sdtEndPr/>
    <w:sdtContent>
      <w:p w14:paraId="54787957" w14:textId="69BDFF22" w:rsidR="0070693D" w:rsidRDefault="0070693D">
        <w:pPr>
          <w:pStyle w:val="Footer"/>
          <w:jc w:val="center"/>
        </w:pPr>
        <w:r>
          <w:fldChar w:fldCharType="begin"/>
        </w:r>
        <w:r>
          <w:instrText>PAGE   \* MERGEFORMAT</w:instrText>
        </w:r>
        <w:r>
          <w:fldChar w:fldCharType="separate"/>
        </w:r>
        <w:r w:rsidR="006D08D8" w:rsidRPr="006D08D8">
          <w:rPr>
            <w:noProof/>
            <w:rtl/>
            <w:lang w:val="ar-SA"/>
          </w:rPr>
          <w:t>1</w:t>
        </w:r>
        <w:r>
          <w:fldChar w:fldCharType="end"/>
        </w:r>
      </w:p>
    </w:sdtContent>
  </w:sdt>
  <w:p w14:paraId="59BCBAD5" w14:textId="77777777" w:rsidR="0070693D" w:rsidRDefault="0070693D">
    <w:pPr>
      <w:pStyle w:val="Footer"/>
    </w:pPr>
  </w:p>
  <w:p w14:paraId="433E4AC7" w14:textId="77777777" w:rsidR="002D61CE" w:rsidRDefault="002D61C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8E35F" w14:textId="77777777" w:rsidR="00FC147C" w:rsidRDefault="00FC1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78626" w14:textId="77777777" w:rsidR="001A0E7D" w:rsidRDefault="001A0E7D" w:rsidP="0070693D">
      <w:pPr>
        <w:spacing w:after="0" w:line="240" w:lineRule="auto"/>
      </w:pPr>
      <w:r>
        <w:separator/>
      </w:r>
    </w:p>
  </w:footnote>
  <w:footnote w:type="continuationSeparator" w:id="0">
    <w:p w14:paraId="609CDE44" w14:textId="77777777" w:rsidR="001A0E7D" w:rsidRDefault="001A0E7D" w:rsidP="007069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8C80D" w14:textId="6DB2702C" w:rsidR="00FC147C" w:rsidRDefault="00FC147C">
    <w:pPr>
      <w:pStyle w:val="Header"/>
    </w:pPr>
    <w:r>
      <w:rPr>
        <w:noProof/>
      </w:rPr>
      <w:pict w14:anchorId="15B57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6A1C8" w14:textId="4128D368" w:rsidR="00FC147C" w:rsidRDefault="00FC147C">
    <w:pPr>
      <w:pStyle w:val="Header"/>
    </w:pPr>
    <w:r>
      <w:rPr>
        <w:noProof/>
      </w:rPr>
      <w:pict w14:anchorId="2669BA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48789" w14:textId="53C3A826" w:rsidR="00FC147C" w:rsidRDefault="00FC147C">
    <w:pPr>
      <w:pStyle w:val="Header"/>
    </w:pPr>
    <w:r>
      <w:rPr>
        <w:noProof/>
      </w:rPr>
      <w:pict w14:anchorId="76952B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30391"/>
    <w:multiLevelType w:val="multilevel"/>
    <w:tmpl w:val="2004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A781A"/>
    <w:multiLevelType w:val="hybridMultilevel"/>
    <w:tmpl w:val="9F589B00"/>
    <w:lvl w:ilvl="0" w:tplc="B176B27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800DF"/>
    <w:multiLevelType w:val="hybridMultilevel"/>
    <w:tmpl w:val="37E0D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8152A"/>
    <w:multiLevelType w:val="hybridMultilevel"/>
    <w:tmpl w:val="394EADB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101369"/>
    <w:multiLevelType w:val="multilevel"/>
    <w:tmpl w:val="9B36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72A3"/>
    <w:rsid w:val="00014A89"/>
    <w:rsid w:val="00051988"/>
    <w:rsid w:val="000A563B"/>
    <w:rsid w:val="000B41F2"/>
    <w:rsid w:val="000B44B1"/>
    <w:rsid w:val="000C15D8"/>
    <w:rsid w:val="000E3159"/>
    <w:rsid w:val="000E685E"/>
    <w:rsid w:val="001359B5"/>
    <w:rsid w:val="001423B5"/>
    <w:rsid w:val="001940FC"/>
    <w:rsid w:val="001A0E7D"/>
    <w:rsid w:val="001B343F"/>
    <w:rsid w:val="001B7080"/>
    <w:rsid w:val="00225119"/>
    <w:rsid w:val="00257DAF"/>
    <w:rsid w:val="00275777"/>
    <w:rsid w:val="002A14F3"/>
    <w:rsid w:val="002B2E97"/>
    <w:rsid w:val="002C735F"/>
    <w:rsid w:val="002D61CE"/>
    <w:rsid w:val="002E5AD9"/>
    <w:rsid w:val="00355E14"/>
    <w:rsid w:val="003756DF"/>
    <w:rsid w:val="003A7451"/>
    <w:rsid w:val="003C466A"/>
    <w:rsid w:val="003E1884"/>
    <w:rsid w:val="003E2500"/>
    <w:rsid w:val="003F1D73"/>
    <w:rsid w:val="00471DCC"/>
    <w:rsid w:val="004A2FC8"/>
    <w:rsid w:val="004C6B2A"/>
    <w:rsid w:val="005461EB"/>
    <w:rsid w:val="005730B6"/>
    <w:rsid w:val="005C517F"/>
    <w:rsid w:val="00603EE7"/>
    <w:rsid w:val="0062239F"/>
    <w:rsid w:val="00624D0A"/>
    <w:rsid w:val="0064618B"/>
    <w:rsid w:val="00652800"/>
    <w:rsid w:val="006D08D8"/>
    <w:rsid w:val="006E1EB3"/>
    <w:rsid w:val="0070693D"/>
    <w:rsid w:val="00752668"/>
    <w:rsid w:val="007535C2"/>
    <w:rsid w:val="00755693"/>
    <w:rsid w:val="0077167E"/>
    <w:rsid w:val="00796E27"/>
    <w:rsid w:val="00800165"/>
    <w:rsid w:val="00801E55"/>
    <w:rsid w:val="00815200"/>
    <w:rsid w:val="008609DC"/>
    <w:rsid w:val="00861FCC"/>
    <w:rsid w:val="008972A3"/>
    <w:rsid w:val="008B15A2"/>
    <w:rsid w:val="008D7786"/>
    <w:rsid w:val="008E785A"/>
    <w:rsid w:val="00922735"/>
    <w:rsid w:val="00922D92"/>
    <w:rsid w:val="009259B4"/>
    <w:rsid w:val="00941912"/>
    <w:rsid w:val="00941DB1"/>
    <w:rsid w:val="009454FB"/>
    <w:rsid w:val="00946189"/>
    <w:rsid w:val="00960ED8"/>
    <w:rsid w:val="009C3A30"/>
    <w:rsid w:val="00A21FC2"/>
    <w:rsid w:val="00A22FDD"/>
    <w:rsid w:val="00A57DB8"/>
    <w:rsid w:val="00A84CC9"/>
    <w:rsid w:val="00A878CE"/>
    <w:rsid w:val="00AE23AB"/>
    <w:rsid w:val="00AE38EF"/>
    <w:rsid w:val="00B51B65"/>
    <w:rsid w:val="00B566D9"/>
    <w:rsid w:val="00B84932"/>
    <w:rsid w:val="00BA6BCD"/>
    <w:rsid w:val="00BE5214"/>
    <w:rsid w:val="00BE552B"/>
    <w:rsid w:val="00C20E27"/>
    <w:rsid w:val="00C21AE0"/>
    <w:rsid w:val="00C64C67"/>
    <w:rsid w:val="00C73101"/>
    <w:rsid w:val="00C958DD"/>
    <w:rsid w:val="00CA39CB"/>
    <w:rsid w:val="00CE0F66"/>
    <w:rsid w:val="00CF20E3"/>
    <w:rsid w:val="00D23FD2"/>
    <w:rsid w:val="00D3281E"/>
    <w:rsid w:val="00D6231F"/>
    <w:rsid w:val="00D71929"/>
    <w:rsid w:val="00D72BE6"/>
    <w:rsid w:val="00D94A6A"/>
    <w:rsid w:val="00DC0B69"/>
    <w:rsid w:val="00DD39D7"/>
    <w:rsid w:val="00DF5263"/>
    <w:rsid w:val="00E0166B"/>
    <w:rsid w:val="00E36FC6"/>
    <w:rsid w:val="00E56E3C"/>
    <w:rsid w:val="00E603D5"/>
    <w:rsid w:val="00EB0F62"/>
    <w:rsid w:val="00EC0C14"/>
    <w:rsid w:val="00EE42BA"/>
    <w:rsid w:val="00EF5837"/>
    <w:rsid w:val="00F441B9"/>
    <w:rsid w:val="00F509D4"/>
    <w:rsid w:val="00F719BB"/>
    <w:rsid w:val="00F73606"/>
    <w:rsid w:val="00F8593C"/>
    <w:rsid w:val="00FA0495"/>
    <w:rsid w:val="00FA1E4D"/>
    <w:rsid w:val="00FC147C"/>
    <w:rsid w:val="00FD02BC"/>
    <w:rsid w:val="00FF53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3A9511C8"/>
  <w15:docId w15:val="{877F0EBD-8A73-4EC4-AE81-51012AF47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2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8972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972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972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972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97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2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8972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72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72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72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7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2A3"/>
    <w:rPr>
      <w:rFonts w:eastAsiaTheme="majorEastAsia" w:cstheme="majorBidi"/>
      <w:color w:val="272727" w:themeColor="text1" w:themeTint="D8"/>
    </w:rPr>
  </w:style>
  <w:style w:type="paragraph" w:styleId="Title">
    <w:name w:val="Title"/>
    <w:basedOn w:val="Normal"/>
    <w:next w:val="Normal"/>
    <w:link w:val="TitleChar"/>
    <w:uiPriority w:val="10"/>
    <w:qFormat/>
    <w:rsid w:val="00897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2A3"/>
    <w:pPr>
      <w:spacing w:before="160"/>
      <w:jc w:val="center"/>
    </w:pPr>
    <w:rPr>
      <w:i/>
      <w:iCs/>
      <w:color w:val="404040" w:themeColor="text1" w:themeTint="BF"/>
    </w:rPr>
  </w:style>
  <w:style w:type="character" w:customStyle="1" w:styleId="QuoteChar">
    <w:name w:val="Quote Char"/>
    <w:basedOn w:val="DefaultParagraphFont"/>
    <w:link w:val="Quote"/>
    <w:uiPriority w:val="29"/>
    <w:rsid w:val="008972A3"/>
    <w:rPr>
      <w:i/>
      <w:iCs/>
      <w:color w:val="404040" w:themeColor="text1" w:themeTint="BF"/>
    </w:rPr>
  </w:style>
  <w:style w:type="paragraph" w:styleId="ListParagraph">
    <w:name w:val="List Paragraph"/>
    <w:basedOn w:val="Normal"/>
    <w:link w:val="ListParagraphChar"/>
    <w:uiPriority w:val="34"/>
    <w:qFormat/>
    <w:rsid w:val="008972A3"/>
    <w:pPr>
      <w:ind w:left="720"/>
      <w:contextualSpacing/>
    </w:pPr>
  </w:style>
  <w:style w:type="character" w:styleId="IntenseEmphasis">
    <w:name w:val="Intense Emphasis"/>
    <w:basedOn w:val="DefaultParagraphFont"/>
    <w:uiPriority w:val="21"/>
    <w:qFormat/>
    <w:rsid w:val="008972A3"/>
    <w:rPr>
      <w:i/>
      <w:iCs/>
      <w:color w:val="2F5496" w:themeColor="accent1" w:themeShade="BF"/>
    </w:rPr>
  </w:style>
  <w:style w:type="paragraph" w:styleId="IntenseQuote">
    <w:name w:val="Intense Quote"/>
    <w:basedOn w:val="Normal"/>
    <w:next w:val="Normal"/>
    <w:link w:val="IntenseQuoteChar"/>
    <w:uiPriority w:val="30"/>
    <w:qFormat/>
    <w:rsid w:val="00897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972A3"/>
    <w:rPr>
      <w:i/>
      <w:iCs/>
      <w:color w:val="2F5496" w:themeColor="accent1" w:themeShade="BF"/>
    </w:rPr>
  </w:style>
  <w:style w:type="character" w:styleId="IntenseReference">
    <w:name w:val="Intense Reference"/>
    <w:basedOn w:val="DefaultParagraphFont"/>
    <w:uiPriority w:val="32"/>
    <w:qFormat/>
    <w:rsid w:val="008972A3"/>
    <w:rPr>
      <w:b/>
      <w:bCs/>
      <w:smallCaps/>
      <w:color w:val="2F5496" w:themeColor="accent1" w:themeShade="BF"/>
      <w:spacing w:val="5"/>
    </w:rPr>
  </w:style>
  <w:style w:type="character" w:styleId="Hyperlink">
    <w:name w:val="Hyperlink"/>
    <w:basedOn w:val="DefaultParagraphFont"/>
    <w:uiPriority w:val="99"/>
    <w:unhideWhenUsed/>
    <w:rsid w:val="008972A3"/>
    <w:rPr>
      <w:color w:val="0563C1" w:themeColor="hyperlink"/>
      <w:u w:val="single"/>
    </w:rPr>
  </w:style>
  <w:style w:type="character" w:customStyle="1" w:styleId="UnresolvedMention1">
    <w:name w:val="Unresolved Mention1"/>
    <w:basedOn w:val="DefaultParagraphFont"/>
    <w:uiPriority w:val="99"/>
    <w:semiHidden/>
    <w:unhideWhenUsed/>
    <w:rsid w:val="008972A3"/>
    <w:rPr>
      <w:color w:val="605E5C"/>
      <w:shd w:val="clear" w:color="auto" w:fill="E1DFDD"/>
    </w:rPr>
  </w:style>
  <w:style w:type="paragraph" w:styleId="Header">
    <w:name w:val="header"/>
    <w:basedOn w:val="Normal"/>
    <w:link w:val="HeaderChar"/>
    <w:uiPriority w:val="99"/>
    <w:unhideWhenUsed/>
    <w:rsid w:val="0070693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0693D"/>
  </w:style>
  <w:style w:type="paragraph" w:styleId="Footer">
    <w:name w:val="footer"/>
    <w:basedOn w:val="Normal"/>
    <w:link w:val="FooterChar"/>
    <w:uiPriority w:val="99"/>
    <w:unhideWhenUsed/>
    <w:rsid w:val="0070693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0693D"/>
  </w:style>
  <w:style w:type="paragraph" w:styleId="BodyText">
    <w:name w:val="Body Text"/>
    <w:basedOn w:val="Normal"/>
    <w:link w:val="BodyTextChar"/>
    <w:uiPriority w:val="1"/>
    <w:qFormat/>
    <w:rsid w:val="000B41F2"/>
    <w:pPr>
      <w:widowControl w:val="0"/>
      <w:autoSpaceDE w:val="0"/>
      <w:autoSpaceDN w:val="0"/>
      <w:bidi w:val="0"/>
      <w:spacing w:after="0" w:line="240" w:lineRule="auto"/>
    </w:pPr>
    <w:rPr>
      <w:rFonts w:ascii="Microsoft Sans Serif" w:eastAsia="Microsoft Sans Serif" w:hAnsi="Microsoft Sans Serif" w:cs="Microsoft Sans Serif"/>
      <w:sz w:val="18"/>
      <w:szCs w:val="18"/>
    </w:rPr>
  </w:style>
  <w:style w:type="character" w:customStyle="1" w:styleId="BodyTextChar">
    <w:name w:val="Body Text Char"/>
    <w:basedOn w:val="DefaultParagraphFont"/>
    <w:link w:val="BodyText"/>
    <w:uiPriority w:val="1"/>
    <w:rsid w:val="000B41F2"/>
    <w:rPr>
      <w:rFonts w:ascii="Microsoft Sans Serif" w:eastAsia="Microsoft Sans Serif" w:hAnsi="Microsoft Sans Serif" w:cs="Microsoft Sans Serif"/>
      <w:sz w:val="18"/>
      <w:szCs w:val="18"/>
    </w:rPr>
  </w:style>
  <w:style w:type="table" w:styleId="TableGrid">
    <w:name w:val="Table Grid"/>
    <w:basedOn w:val="TableNormal"/>
    <w:uiPriority w:val="39"/>
    <w:rsid w:val="000B41F2"/>
    <w:pPr>
      <w:widowControl w:val="0"/>
      <w:autoSpaceDE w:val="0"/>
      <w:autoSpaceDN w:val="0"/>
      <w:bidi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8D7786"/>
  </w:style>
  <w:style w:type="paragraph" w:styleId="BalloonText">
    <w:name w:val="Balloon Text"/>
    <w:basedOn w:val="Normal"/>
    <w:link w:val="BalloonTextChar"/>
    <w:uiPriority w:val="99"/>
    <w:semiHidden/>
    <w:unhideWhenUsed/>
    <w:rsid w:val="00960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ED8"/>
    <w:rPr>
      <w:rFonts w:ascii="Tahoma" w:hAnsi="Tahoma" w:cs="Tahoma"/>
      <w:sz w:val="16"/>
      <w:szCs w:val="16"/>
    </w:rPr>
  </w:style>
  <w:style w:type="paragraph" w:styleId="NormalWeb">
    <w:name w:val="Normal (Web)"/>
    <w:basedOn w:val="Normal"/>
    <w:uiPriority w:val="99"/>
    <w:semiHidden/>
    <w:unhideWhenUsed/>
    <w:rsid w:val="00BE521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F20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2243744">
      <w:bodyDiv w:val="1"/>
      <w:marLeft w:val="0"/>
      <w:marRight w:val="0"/>
      <w:marTop w:val="0"/>
      <w:marBottom w:val="0"/>
      <w:divBdr>
        <w:top w:val="none" w:sz="0" w:space="0" w:color="auto"/>
        <w:left w:val="none" w:sz="0" w:space="0" w:color="auto"/>
        <w:bottom w:val="none" w:sz="0" w:space="0" w:color="auto"/>
        <w:right w:val="none" w:sz="0" w:space="0" w:color="auto"/>
      </w:divBdr>
      <w:divsChild>
        <w:div w:id="660350764">
          <w:marLeft w:val="0"/>
          <w:marRight w:val="0"/>
          <w:marTop w:val="0"/>
          <w:marBottom w:val="0"/>
          <w:divBdr>
            <w:top w:val="none" w:sz="0" w:space="0" w:color="auto"/>
            <w:left w:val="none" w:sz="0" w:space="0" w:color="auto"/>
            <w:bottom w:val="none" w:sz="0" w:space="0" w:color="auto"/>
            <w:right w:val="none" w:sz="0" w:space="0" w:color="auto"/>
          </w:divBdr>
        </w:div>
      </w:divsChild>
    </w:div>
    <w:div w:id="1739208510">
      <w:bodyDiv w:val="1"/>
      <w:marLeft w:val="0"/>
      <w:marRight w:val="0"/>
      <w:marTop w:val="0"/>
      <w:marBottom w:val="0"/>
      <w:divBdr>
        <w:top w:val="none" w:sz="0" w:space="0" w:color="auto"/>
        <w:left w:val="none" w:sz="0" w:space="0" w:color="auto"/>
        <w:bottom w:val="none" w:sz="0" w:space="0" w:color="auto"/>
        <w:right w:val="none" w:sz="0" w:space="0" w:color="auto"/>
      </w:divBdr>
      <w:divsChild>
        <w:div w:id="1170677475">
          <w:marLeft w:val="0"/>
          <w:marRight w:val="0"/>
          <w:marTop w:val="0"/>
          <w:marBottom w:val="0"/>
          <w:divBdr>
            <w:top w:val="none" w:sz="0" w:space="0" w:color="auto"/>
            <w:left w:val="none" w:sz="0" w:space="0" w:color="auto"/>
            <w:bottom w:val="none" w:sz="0" w:space="0" w:color="auto"/>
            <w:right w:val="none" w:sz="0" w:space="0" w:color="auto"/>
          </w:divBdr>
        </w:div>
      </w:divsChild>
    </w:div>
    <w:div w:id="174398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ijpp/riaf02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pharmacy904016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1575;&#1604;&#1605;&#1589;&#1606;&#1601;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575;&#1604;&#1605;&#1589;&#1606;&#1601;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575;&#1604;&#1605;&#1589;&#1606;&#1601;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mn-lt"/>
                <a:ea typeface="+mn-ea"/>
                <a:cs typeface="+mn-cs"/>
              </a:defRPr>
            </a:pPr>
            <a:r>
              <a:rPr lang="en-US" sz="1100"/>
              <a:t>The</a:t>
            </a:r>
            <a:r>
              <a:rPr lang="en-US" sz="1100" baseline="0"/>
              <a:t> percentages of main career opportunities available for PharmD gradaute</a:t>
            </a:r>
            <a:endParaRPr lang="ar-LY" sz="1100"/>
          </a:p>
        </c:rich>
      </c:tx>
      <c:overlay val="0"/>
      <c:spPr>
        <a:noFill/>
        <a:ln>
          <a:noFill/>
        </a:ln>
        <a:effectLst/>
      </c:sp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ورقة1!$D$2</c:f>
              <c:strCache>
                <c:ptCount val="1"/>
                <c:pt idx="0">
                  <c:v>%</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C365-4110-8E24-D041EEC494D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C365-4110-8E24-D041EEC494D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C365-4110-8E24-D041EEC494D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7-C365-4110-8E24-D041EEC494D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sp3d/>
            </c:spPr>
            <c:extLst>
              <c:ext xmlns:c16="http://schemas.microsoft.com/office/drawing/2014/chart" uri="{C3380CC4-5D6E-409C-BE32-E72D297353CC}">
                <c16:uniqueId val="{00000009-C365-4110-8E24-D041EEC494DC}"/>
              </c:ext>
            </c:extLst>
          </c:dPt>
          <c:dLbls>
            <c:dLbl>
              <c:idx val="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6="http://schemas.microsoft.com/office/drawing/2014/chart" uri="{C3380CC4-5D6E-409C-BE32-E72D297353CC}">
                  <c16:uniqueId val="{00000001-C365-4110-8E24-D041EEC494D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ysClr val="windowText" lastClr="000000"/>
                    </a:solidFill>
                    <a:latin typeface="+mn-lt"/>
                    <a:ea typeface="+mn-ea"/>
                    <a:cs typeface="+mn-cs"/>
                  </a:defRPr>
                </a:pPr>
                <a:endParaRPr lang="en-US"/>
              </a:p>
            </c:txPr>
            <c:showLegendKey val="0"/>
            <c:showVal val="0"/>
            <c:showCatName val="1"/>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ورقة1!$C$3:$C$7</c:f>
              <c:strCache>
                <c:ptCount val="5"/>
                <c:pt idx="0">
                  <c:v>Clinical pharmacy </c:v>
                </c:pt>
                <c:pt idx="1">
                  <c:v>Industrial </c:v>
                </c:pt>
                <c:pt idx="2">
                  <c:v>Community pharmacy</c:v>
                </c:pt>
                <c:pt idx="3">
                  <c:v>Academia(e.g. teaching) </c:v>
                </c:pt>
                <c:pt idx="4">
                  <c:v>Others </c:v>
                </c:pt>
              </c:strCache>
            </c:strRef>
          </c:cat>
          <c:val>
            <c:numRef>
              <c:f>ورقة1!$D$3:$D$7</c:f>
              <c:numCache>
                <c:formatCode>General</c:formatCode>
                <c:ptCount val="5"/>
                <c:pt idx="0">
                  <c:v>71</c:v>
                </c:pt>
                <c:pt idx="1">
                  <c:v>3.2</c:v>
                </c:pt>
                <c:pt idx="2">
                  <c:v>12.9</c:v>
                </c:pt>
                <c:pt idx="3">
                  <c:v>8.1</c:v>
                </c:pt>
                <c:pt idx="4">
                  <c:v>4.8</c:v>
                </c:pt>
              </c:numCache>
            </c:numRef>
          </c:val>
          <c:extLst>
            <c:ext xmlns:c16="http://schemas.microsoft.com/office/drawing/2014/chart" uri="{C3380CC4-5D6E-409C-BE32-E72D297353CC}">
              <c16:uniqueId val="{0000000A-C365-4110-8E24-D041EEC494DC}"/>
            </c:ext>
          </c:extLst>
        </c:ser>
        <c:dLbls>
          <c:showLegendKey val="0"/>
          <c:showVal val="0"/>
          <c:showCatName val="1"/>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ورقة2!$C$2</c:f>
              <c:strCache>
                <c:ptCount val="1"/>
                <c:pt idx="0">
                  <c:v>%</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760-44BD-8967-5D213C5EC50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760-44BD-8967-5D213C5EC50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760-44BD-8967-5D213C5EC50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760-44BD-8967-5D213C5EC508}"/>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F760-44BD-8967-5D213C5EC508}"/>
              </c:ext>
            </c:extLst>
          </c:dPt>
          <c:dLbls>
            <c:dLbl>
              <c:idx val="3"/>
              <c:layout>
                <c:manualLayout>
                  <c:x val="-5.0618672665916763E-2"/>
                  <c:y val="1.646090534979424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F760-44BD-8967-5D213C5EC508}"/>
                </c:ext>
              </c:extLst>
            </c:dLbl>
            <c:dLbl>
              <c:idx val="4"/>
              <c:layout>
                <c:manualLayout>
                  <c:x val="6.7456352449081353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7488562484950637"/>
                      <c:h val="0.22880549682875265"/>
                    </c:manualLayout>
                  </c15:layout>
                </c:ext>
                <c:ext xmlns:c16="http://schemas.microsoft.com/office/drawing/2014/chart" uri="{C3380CC4-5D6E-409C-BE32-E72D297353CC}">
                  <c16:uniqueId val="{00000009-F760-44BD-8967-5D213C5EC508}"/>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ysClr val="windowText" lastClr="000000"/>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ورقة2!$B$3:$B$7</c:f>
              <c:strCache>
                <c:ptCount val="5"/>
                <c:pt idx="0">
                  <c:v>strongly agree</c:v>
                </c:pt>
                <c:pt idx="1">
                  <c:v>agree</c:v>
                </c:pt>
                <c:pt idx="2">
                  <c:v>neither agree nor disagree</c:v>
                </c:pt>
                <c:pt idx="3">
                  <c:v>disagree</c:v>
                </c:pt>
                <c:pt idx="4">
                  <c:v>strongly disagree</c:v>
                </c:pt>
              </c:strCache>
            </c:strRef>
          </c:cat>
          <c:val>
            <c:numRef>
              <c:f>ورقة2!$C$3:$C$7</c:f>
              <c:numCache>
                <c:formatCode>General</c:formatCode>
                <c:ptCount val="5"/>
                <c:pt idx="0">
                  <c:v>37</c:v>
                </c:pt>
                <c:pt idx="1">
                  <c:v>32.299999999999997</c:v>
                </c:pt>
                <c:pt idx="2">
                  <c:v>21</c:v>
                </c:pt>
                <c:pt idx="3">
                  <c:v>6.5</c:v>
                </c:pt>
                <c:pt idx="4">
                  <c:v>3.2</c:v>
                </c:pt>
              </c:numCache>
            </c:numRef>
          </c:val>
          <c:extLst>
            <c:ext xmlns:c16="http://schemas.microsoft.com/office/drawing/2014/chart" uri="{C3380CC4-5D6E-409C-BE32-E72D297353CC}">
              <c16:uniqueId val="{0000000A-F760-44BD-8967-5D213C5EC508}"/>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9050" cap="flat" cmpd="sng" algn="ctr">
      <a:solidFill>
        <a:schemeClr val="tx1">
          <a:alpha val="97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cap="none" baseline="0">
                <a:solidFill>
                  <a:sysClr val="windowText" lastClr="000000"/>
                </a:solidFill>
                <a:latin typeface="+mn-lt"/>
                <a:ea typeface="+mn-ea"/>
                <a:cs typeface="+mn-cs"/>
              </a:defRPr>
            </a:pPr>
            <a:r>
              <a:rPr lang="en-US" b="0" cap="none">
                <a:solidFill>
                  <a:sysClr val="windowText" lastClr="000000"/>
                </a:solidFill>
              </a:rPr>
              <a:t>future study in clinical pharmacy</a:t>
            </a:r>
            <a:endParaRPr lang="ar-LY" b="0" cap="none">
              <a:solidFill>
                <a:sysClr val="windowText" lastClr="000000"/>
              </a:solidFill>
            </a:endParaRPr>
          </a:p>
        </c:rich>
      </c:tx>
      <c:overlay val="0"/>
      <c:spPr>
        <a:noFill/>
        <a:ln>
          <a:noFill/>
        </a:ln>
        <a:effectLst/>
      </c:spPr>
    </c:title>
    <c:autoTitleDeleted val="0"/>
    <c:view3D>
      <c:rotX val="30"/>
      <c:rotY val="36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4351293096706179E-2"/>
          <c:y val="0.19438969499881698"/>
          <c:w val="0.86904075905887213"/>
          <c:h val="0.74235268547406419"/>
        </c:manualLayout>
      </c:layout>
      <c:pie3DChart>
        <c:varyColors val="1"/>
        <c:ser>
          <c:idx val="0"/>
          <c:order val="0"/>
          <c:tx>
            <c:strRef>
              <c:f>ورقة3!$C$3</c:f>
              <c:strCache>
                <c:ptCount val="1"/>
                <c:pt idx="0">
                  <c:v>%</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EF3-40AD-A0AF-249A4C6F146B}"/>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EF3-40AD-A0AF-249A4C6F146B}"/>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EF3-40AD-A0AF-249A4C6F146B}"/>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EF3-40AD-A0AF-249A4C6F146B}"/>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EF3-40AD-A0AF-249A4C6F146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3EF3-40AD-A0AF-249A4C6F146B}"/>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3EF3-40AD-A0AF-249A4C6F146B}"/>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3EF3-40AD-A0AF-249A4C6F146B}"/>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3EF3-40AD-A0AF-249A4C6F146B}"/>
                </c:ext>
              </c:extLst>
            </c:dLbl>
            <c:dLbl>
              <c:idx val="4"/>
              <c:layout>
                <c:manualLayout>
                  <c:x val="4.575006019744763E-2"/>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EF3-40AD-A0AF-249A4C6F146B}"/>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ورقة3!$B$4:$B$8</c:f>
              <c:strCache>
                <c:ptCount val="5"/>
                <c:pt idx="0">
                  <c:v>strongly agree</c:v>
                </c:pt>
                <c:pt idx="1">
                  <c:v>agree</c:v>
                </c:pt>
                <c:pt idx="2">
                  <c:v>neither agree nor disagree</c:v>
                </c:pt>
                <c:pt idx="3">
                  <c:v>disagree</c:v>
                </c:pt>
                <c:pt idx="4">
                  <c:v>strongly disagree</c:v>
                </c:pt>
              </c:strCache>
            </c:strRef>
          </c:cat>
          <c:val>
            <c:numRef>
              <c:f>ورقة3!$C$4:$C$8</c:f>
              <c:numCache>
                <c:formatCode>General</c:formatCode>
                <c:ptCount val="5"/>
                <c:pt idx="0">
                  <c:v>45.8</c:v>
                </c:pt>
                <c:pt idx="1">
                  <c:v>27.1</c:v>
                </c:pt>
                <c:pt idx="2">
                  <c:v>22</c:v>
                </c:pt>
                <c:pt idx="3">
                  <c:v>5.0999999999999996</c:v>
                </c:pt>
                <c:pt idx="4">
                  <c:v>0</c:v>
                </c:pt>
              </c:numCache>
            </c:numRef>
          </c:val>
          <c:extLst>
            <c:ext xmlns:c16="http://schemas.microsoft.com/office/drawing/2014/chart" uri="{C3380CC4-5D6E-409C-BE32-E72D297353CC}">
              <c16:uniqueId val="{0000000A-3EF3-40AD-A0AF-249A4C6F146B}"/>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22225" cap="flat" cmpd="sng" algn="ctr">
      <a:solidFill>
        <a:schemeClr val="tx1"/>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7C0AE6E-0B54-4E18-8724-70D9377C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3000</Words>
  <Characters>17103</Characters>
  <Application>Microsoft Office Word</Application>
  <DocSecurity>0</DocSecurity>
  <Lines>142</Lines>
  <Paragraphs>40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20063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5505</dc:creator>
  <cp:lastModifiedBy>SDI 1084</cp:lastModifiedBy>
  <cp:revision>11</cp:revision>
  <cp:lastPrinted>2025-11-05T08:53:00Z</cp:lastPrinted>
  <dcterms:created xsi:type="dcterms:W3CDTF">2026-02-18T19:46:00Z</dcterms:created>
  <dcterms:modified xsi:type="dcterms:W3CDTF">2026-02-19T12:25:00Z</dcterms:modified>
</cp:coreProperties>
</file>