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5BCF" w14:textId="7BCD559D" w:rsidR="00726424" w:rsidRPr="005F3E83" w:rsidRDefault="005076F0" w:rsidP="005076F0">
      <w:pPr>
        <w:shd w:val="clear" w:color="auto" w:fill="FFFFFF"/>
        <w:spacing w:before="100" w:beforeAutospacing="1" w:after="113" w:line="240" w:lineRule="auto"/>
        <w:jc w:val="center"/>
        <w:rPr>
          <w:rFonts w:eastAsia="Times New Roman" w:cstheme="minorHAnsi"/>
          <w:b/>
          <w:bCs/>
          <w:color w:val="0F1115"/>
          <w:sz w:val="36"/>
          <w:szCs w:val="36"/>
          <w:lang w:eastAsia="fr-FR"/>
        </w:rPr>
      </w:pPr>
      <w:bookmarkStart w:id="0" w:name="_Hlk222329380"/>
      <w:r w:rsidRPr="005F3E83">
        <w:rPr>
          <w:rFonts w:eastAsia="Times New Roman" w:cstheme="minorHAnsi"/>
          <w:b/>
          <w:bCs/>
          <w:color w:val="0F1115"/>
          <w:sz w:val="36"/>
          <w:szCs w:val="36"/>
          <w:lang w:eastAsia="fr-FR"/>
        </w:rPr>
        <w:t xml:space="preserve">A COMPREHENSIVE REVIEW OF IN-FLIGHT MEDICAL </w:t>
      </w:r>
      <w:proofErr w:type="gramStart"/>
      <w:r w:rsidRPr="005F3E83">
        <w:rPr>
          <w:rFonts w:eastAsia="Times New Roman" w:cstheme="minorHAnsi"/>
          <w:b/>
          <w:bCs/>
          <w:color w:val="0F1115"/>
          <w:sz w:val="36"/>
          <w:szCs w:val="36"/>
          <w:lang w:eastAsia="fr-FR"/>
        </w:rPr>
        <w:t>EMERGENCIES:</w:t>
      </w:r>
      <w:proofErr w:type="gramEnd"/>
      <w:r w:rsidRPr="005F3E83">
        <w:rPr>
          <w:rFonts w:eastAsia="Times New Roman" w:cstheme="minorHAnsi"/>
          <w:b/>
          <w:bCs/>
          <w:color w:val="0F1115"/>
          <w:sz w:val="36"/>
          <w:szCs w:val="36"/>
          <w:lang w:eastAsia="fr-FR"/>
        </w:rPr>
        <w:t xml:space="preserve"> EPIDEMIOLOGY, MANAGEMENT, AND FUTURE DIRECTIONS IN AVIATION MEDICINE</w:t>
      </w:r>
    </w:p>
    <w:p w14:paraId="05EABF08" w14:textId="77777777" w:rsidR="005076F0" w:rsidRPr="005F3E83" w:rsidRDefault="005076F0" w:rsidP="005076F0">
      <w:pPr>
        <w:shd w:val="clear" w:color="auto" w:fill="FFFFFF"/>
        <w:spacing w:before="100" w:beforeAutospacing="1" w:after="113" w:line="240" w:lineRule="auto"/>
        <w:jc w:val="center"/>
        <w:rPr>
          <w:rFonts w:eastAsia="Times New Roman" w:cstheme="minorHAnsi"/>
          <w:color w:val="0F1115"/>
          <w:sz w:val="24"/>
          <w:szCs w:val="24"/>
          <w:lang w:eastAsia="fr-FR"/>
        </w:rPr>
      </w:pPr>
      <w:bookmarkStart w:id="1" w:name="_GoBack"/>
      <w:bookmarkEnd w:id="0"/>
      <w:bookmarkEnd w:id="1"/>
    </w:p>
    <w:p w14:paraId="19AF4DBB" w14:textId="77777777" w:rsidR="005076F0" w:rsidRPr="005F3E83" w:rsidRDefault="00726424" w:rsidP="00726424">
      <w:pPr>
        <w:shd w:val="clear" w:color="auto" w:fill="FFFFFF"/>
        <w:spacing w:before="113" w:after="113" w:line="240" w:lineRule="auto"/>
        <w:rPr>
          <w:rFonts w:eastAsia="Times New Roman" w:cstheme="minorHAnsi"/>
          <w:color w:val="0F1115"/>
          <w:szCs w:val="24"/>
          <w:lang w:eastAsia="fr-FR"/>
        </w:rPr>
      </w:pPr>
      <w:r w:rsidRPr="005F3E83">
        <w:rPr>
          <w:rFonts w:eastAsia="Times New Roman" w:cstheme="minorHAnsi"/>
          <w:b/>
          <w:bCs/>
          <w:color w:val="0F1115"/>
          <w:sz w:val="28"/>
          <w:szCs w:val="32"/>
          <w:lang w:eastAsia="fr-FR"/>
        </w:rPr>
        <w:t>Abstrac</w:t>
      </w:r>
      <w:r w:rsidR="00246F26" w:rsidRPr="005F3E83">
        <w:rPr>
          <w:rFonts w:eastAsia="Times New Roman" w:cstheme="minorHAnsi"/>
          <w:b/>
          <w:bCs/>
          <w:color w:val="0F1115"/>
          <w:sz w:val="28"/>
          <w:szCs w:val="32"/>
          <w:lang w:eastAsia="fr-FR"/>
        </w:rPr>
        <w:t>t</w:t>
      </w:r>
    </w:p>
    <w:p w14:paraId="7545BEC5" w14:textId="77777777"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proofErr w:type="gramStart"/>
      <w:r w:rsidRPr="005F3E83">
        <w:rPr>
          <w:rStyle w:val="Strong"/>
          <w:rFonts w:ascii="Segoe UI" w:hAnsi="Segoe UI" w:cs="Segoe UI"/>
          <w:color w:val="0F1115"/>
          <w:szCs w:val="27"/>
        </w:rPr>
        <w:t>Background:</w:t>
      </w:r>
      <w:proofErr w:type="gramEnd"/>
      <w:r w:rsidRPr="005F3E83">
        <w:rPr>
          <w:rFonts w:ascii="Segoe UI" w:hAnsi="Segoe UI" w:cs="Segoe UI"/>
          <w:color w:val="0F1115"/>
          <w:szCs w:val="27"/>
        </w:rPr>
        <w:t> In-flight medical emergencies (IMEs) represent a critical intersection of clinical medicine, public health, and aviation logistics, occurring within a uniquely challenging environment characterized by physiological stress, limited resources, and confined spaces.</w:t>
      </w:r>
    </w:p>
    <w:p w14:paraId="0FB4827B" w14:textId="77777777"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proofErr w:type="gramStart"/>
      <w:r w:rsidRPr="005F3E83">
        <w:rPr>
          <w:rStyle w:val="Strong"/>
          <w:rFonts w:ascii="Segoe UI" w:hAnsi="Segoe UI" w:cs="Segoe UI"/>
          <w:color w:val="0F1115"/>
          <w:szCs w:val="27"/>
        </w:rPr>
        <w:t>Methods:</w:t>
      </w:r>
      <w:proofErr w:type="gramEnd"/>
      <w:r w:rsidRPr="005F3E83">
        <w:rPr>
          <w:rFonts w:ascii="Segoe UI" w:hAnsi="Segoe UI" w:cs="Segoe UI"/>
          <w:color w:val="0F1115"/>
          <w:szCs w:val="27"/>
        </w:rPr>
        <w:t> This narrative review was conducted in accordance with the SANRA guidelines. A comprehensive literature search was performed using PubMed, Scopus, Web of Science, and Google Scholar for articles published between January 2000 and December 2025. Keywords included "in-flight medical emergencies," "aviation medicine," "cardiac arrest," and related terms. Two independent reviewers screened articles, with disagreements resolved by a third reviewer.</w:t>
      </w:r>
    </w:p>
    <w:p w14:paraId="1AFE665A" w14:textId="77777777"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proofErr w:type="gramStart"/>
      <w:r w:rsidRPr="005F3E83">
        <w:rPr>
          <w:rStyle w:val="Strong"/>
          <w:rFonts w:ascii="Segoe UI" w:hAnsi="Segoe UI" w:cs="Segoe UI"/>
          <w:color w:val="0F1115"/>
          <w:szCs w:val="27"/>
        </w:rPr>
        <w:t>Results:</w:t>
      </w:r>
      <w:proofErr w:type="gramEnd"/>
      <w:r w:rsidRPr="005F3E83">
        <w:rPr>
          <w:rFonts w:ascii="Segoe UI" w:hAnsi="Segoe UI" w:cs="Segoe UI"/>
          <w:color w:val="0F1115"/>
          <w:szCs w:val="27"/>
        </w:rPr>
        <w:t> A total of 28 articles met the inclusion criteria. The literature reveals an estimated incidence of 24 to 130 events per million passengers, with syncopal episodes constituting the most frequent presentation, while acute cardiac events, though less common, carry the highest mortality risk and operational impact. Successful management relies on a triad of prepared cabin crew utilizing standardized emergency equipment, ground-based telemedical consultation, and, increasingly, the voluntary assistance of passenger healthcare professionals.</w:t>
      </w:r>
    </w:p>
    <w:p w14:paraId="2CA950FB" w14:textId="77777777"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proofErr w:type="gramStart"/>
      <w:r w:rsidRPr="005F3E83">
        <w:rPr>
          <w:rStyle w:val="Strong"/>
          <w:rFonts w:ascii="Segoe UI" w:hAnsi="Segoe UI" w:cs="Segoe UI"/>
          <w:color w:val="0F1115"/>
          <w:szCs w:val="27"/>
        </w:rPr>
        <w:t>Conclusion:</w:t>
      </w:r>
      <w:proofErr w:type="gramEnd"/>
      <w:r w:rsidRPr="005F3E83">
        <w:rPr>
          <w:rFonts w:ascii="Segoe UI" w:hAnsi="Segoe UI" w:cs="Segoe UI"/>
          <w:color w:val="0F1115"/>
          <w:szCs w:val="27"/>
        </w:rPr>
        <w:t> Persistent challenges include variability in crew training protocols, legal ambiguities for volunteer responders, and the integration of emerging technologies. This article consolidates current knowledge to inform clinical practice, guide policy development, and identify critical research gaps for improving outcomes in this specialized domain of travel medicine.</w:t>
      </w:r>
    </w:p>
    <w:p w14:paraId="76946F31" w14:textId="77777777" w:rsidR="00D23956" w:rsidRPr="005F3E83" w:rsidRDefault="00D23956" w:rsidP="00D23956">
      <w:pPr>
        <w:pStyle w:val="ds-markdown-paragraph"/>
        <w:shd w:val="clear" w:color="auto" w:fill="FFFFFF"/>
        <w:spacing w:before="274" w:beforeAutospacing="0" w:after="274" w:afterAutospacing="0"/>
        <w:rPr>
          <w:rFonts w:ascii="Segoe UI" w:hAnsi="Segoe UI" w:cs="Segoe UI"/>
          <w:color w:val="0F1115"/>
          <w:szCs w:val="27"/>
        </w:rPr>
      </w:pPr>
      <w:proofErr w:type="gramStart"/>
      <w:r w:rsidRPr="005F3E83">
        <w:rPr>
          <w:rStyle w:val="Strong"/>
          <w:rFonts w:ascii="Segoe UI" w:hAnsi="Segoe UI" w:cs="Segoe UI"/>
          <w:color w:val="0F1115"/>
          <w:szCs w:val="27"/>
        </w:rPr>
        <w:t>Keywords:</w:t>
      </w:r>
      <w:proofErr w:type="gramEnd"/>
      <w:r w:rsidR="00B569E5" w:rsidRPr="005F3E83">
        <w:rPr>
          <w:rFonts w:ascii="Segoe UI" w:hAnsi="Segoe UI" w:cs="Segoe UI"/>
          <w:color w:val="0F1115"/>
          <w:szCs w:val="27"/>
        </w:rPr>
        <w:t> Aviation</w:t>
      </w:r>
      <w:r w:rsidR="00246F26" w:rsidRPr="005F3E83">
        <w:rPr>
          <w:rFonts w:ascii="Segoe UI" w:hAnsi="Segoe UI" w:cs="Segoe UI"/>
          <w:color w:val="0F1115"/>
          <w:szCs w:val="27"/>
        </w:rPr>
        <w:t xml:space="preserve"> medicine, cardiac arrest</w:t>
      </w:r>
      <w:r w:rsidRPr="005F3E83">
        <w:rPr>
          <w:rFonts w:ascii="Segoe UI" w:hAnsi="Segoe UI" w:cs="Segoe UI"/>
          <w:color w:val="0F1115"/>
          <w:szCs w:val="27"/>
        </w:rPr>
        <w:t>, in-flight medical emergenci</w:t>
      </w:r>
      <w:r w:rsidR="00B569E5" w:rsidRPr="005F3E83">
        <w:rPr>
          <w:rFonts w:ascii="Segoe UI" w:hAnsi="Segoe UI" w:cs="Segoe UI"/>
          <w:color w:val="0F1115"/>
          <w:szCs w:val="27"/>
        </w:rPr>
        <w:t>es, telemedicine</w:t>
      </w:r>
    </w:p>
    <w:p w14:paraId="377AABFA" w14:textId="77777777" w:rsidR="005076F0" w:rsidRPr="005F3E83" w:rsidRDefault="005076F0" w:rsidP="00726424">
      <w:pPr>
        <w:shd w:val="clear" w:color="auto" w:fill="FFFFFF"/>
        <w:spacing w:before="113" w:after="113" w:line="240" w:lineRule="auto"/>
        <w:rPr>
          <w:rFonts w:eastAsia="Times New Roman" w:cstheme="minorHAnsi"/>
          <w:color w:val="0F1115"/>
          <w:sz w:val="24"/>
          <w:szCs w:val="24"/>
          <w:lang w:eastAsia="fr-FR"/>
        </w:rPr>
      </w:pPr>
    </w:p>
    <w:p w14:paraId="7824755A" w14:textId="77777777" w:rsidR="00BA5A61" w:rsidRPr="005F3E83" w:rsidRDefault="00BA5A61" w:rsidP="007709AF">
      <w:pPr>
        <w:shd w:val="clear" w:color="auto" w:fill="FFFFFF"/>
        <w:spacing w:before="113" w:after="113" w:line="240" w:lineRule="auto"/>
        <w:rPr>
          <w:rFonts w:eastAsia="Times New Roman" w:cstheme="minorHAnsi"/>
          <w:color w:val="0F1115"/>
          <w:sz w:val="24"/>
          <w:szCs w:val="24"/>
          <w:lang w:eastAsia="fr-FR"/>
        </w:rPr>
      </w:pPr>
    </w:p>
    <w:p w14:paraId="29B6EE3D" w14:textId="77777777" w:rsidR="007709AF" w:rsidRPr="005F3E83" w:rsidRDefault="00726424" w:rsidP="007709AF">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 xml:space="preserve"> Introduction</w:t>
      </w:r>
      <w:r w:rsidR="007709AF" w:rsidRPr="005F3E83">
        <w:rPr>
          <w:rFonts w:eastAsia="Times New Roman" w:cstheme="minorHAnsi"/>
          <w:b/>
          <w:bCs/>
          <w:color w:val="0F1115"/>
          <w:sz w:val="32"/>
          <w:szCs w:val="32"/>
          <w:lang w:eastAsia="fr-FR"/>
        </w:rPr>
        <w:t> :</w:t>
      </w:r>
    </w:p>
    <w:p w14:paraId="69DE6D67" w14:textId="77777777" w:rsidR="009B158C" w:rsidRPr="005F3E83" w:rsidRDefault="009B158C" w:rsidP="007709AF">
      <w:pPr>
        <w:shd w:val="clear" w:color="auto" w:fill="FFFFFF"/>
        <w:spacing w:before="113" w:after="113" w:line="240" w:lineRule="auto"/>
        <w:rPr>
          <w:rFonts w:eastAsia="Times New Roman" w:cstheme="minorHAnsi"/>
          <w:b/>
          <w:bCs/>
          <w:color w:val="0F1115"/>
          <w:sz w:val="32"/>
          <w:szCs w:val="32"/>
          <w:lang w:eastAsia="fr-FR"/>
        </w:rPr>
      </w:pPr>
      <w:r w:rsidRPr="005F3E83">
        <w:rPr>
          <w:rFonts w:cstheme="minorHAnsi"/>
          <w:color w:val="0F1115"/>
          <w:sz w:val="24"/>
          <w:szCs w:val="24"/>
        </w:rPr>
        <w:t>In 2025, commercial aviation transporte</w:t>
      </w:r>
      <w:r w:rsidRPr="005F3E83">
        <w:rPr>
          <w:rFonts w:cstheme="minorHAnsi"/>
          <w:color w:val="0F1115"/>
        </w:rPr>
        <w:t>d over five billion passengers (International Air Transport Association [IATA], 2025)</w:t>
      </w:r>
      <w:r w:rsidRPr="005F3E83">
        <w:rPr>
          <w:rFonts w:cstheme="minorHAnsi"/>
          <w:color w:val="0F1115"/>
          <w:sz w:val="24"/>
          <w:szCs w:val="24"/>
        </w:rPr>
        <w:t xml:space="preserve">, creating a mobile, global community with diverse health profiles flying at altitudes of 30,000 to 40,000 feet. The cabin environment presents multiple </w:t>
      </w:r>
      <w:r w:rsidRPr="005F3E83">
        <w:rPr>
          <w:rFonts w:cstheme="minorHAnsi"/>
          <w:color w:val="0F1115"/>
          <w:sz w:val="24"/>
          <w:szCs w:val="24"/>
        </w:rPr>
        <w:lastRenderedPageBreak/>
        <w:t xml:space="preserve">physiological </w:t>
      </w:r>
      <w:proofErr w:type="gramStart"/>
      <w:r w:rsidRPr="005F3E83">
        <w:rPr>
          <w:rFonts w:cstheme="minorHAnsi"/>
          <w:color w:val="0F1115"/>
          <w:sz w:val="24"/>
          <w:szCs w:val="24"/>
        </w:rPr>
        <w:t>stressors:</w:t>
      </w:r>
      <w:proofErr w:type="gramEnd"/>
      <w:r w:rsidRPr="005F3E83">
        <w:rPr>
          <w:rFonts w:cstheme="minorHAnsi"/>
          <w:color w:val="0F1115"/>
          <w:sz w:val="24"/>
          <w:szCs w:val="24"/>
        </w:rPr>
        <w:t xml:space="preserve"> effective cabin altitudes of 6,000–8,000 feet induce mild hypobaric hypoxia; humidity levels below 20% promote dehydration; and prolonged immobility in confined seating increases thromboembolic risk (Sharmar et al., 2023; Silverman &amp; Gendreau, 2009). These factors, combined with the psychological stress of travel and the potential for </w:t>
      </w:r>
      <w:r w:rsidRPr="005F3E83">
        <w:rPr>
          <w:rFonts w:cstheme="minorHAnsi"/>
          <w:bCs/>
          <w:sz w:val="24"/>
          <w:szCs w:val="24"/>
        </w:rPr>
        <w:t>preexisting</w:t>
      </w:r>
      <w:r w:rsidRPr="005F3E83">
        <w:rPr>
          <w:rFonts w:cstheme="minorHAnsi"/>
          <w:color w:val="0F1115"/>
          <w:sz w:val="24"/>
          <w:szCs w:val="24"/>
        </w:rPr>
        <w:t> medical conditions among passengers, create </w:t>
      </w:r>
      <w:r w:rsidRPr="005F3E83">
        <w:rPr>
          <w:rFonts w:cstheme="minorHAnsi"/>
          <w:bCs/>
          <w:sz w:val="24"/>
          <w:szCs w:val="24"/>
        </w:rPr>
        <w:t>an environment</w:t>
      </w:r>
      <w:r w:rsidRPr="005F3E83">
        <w:rPr>
          <w:rFonts w:cstheme="minorHAnsi"/>
          <w:color w:val="0F1115"/>
          <w:sz w:val="24"/>
          <w:szCs w:val="24"/>
        </w:rPr>
        <w:t> in which medical incidents are not only possible but </w:t>
      </w:r>
      <w:r w:rsidRPr="005F3E83">
        <w:rPr>
          <w:rFonts w:cstheme="minorHAnsi"/>
          <w:bCs/>
          <w:sz w:val="24"/>
          <w:szCs w:val="24"/>
        </w:rPr>
        <w:t>statistically probable</w:t>
      </w:r>
      <w:r w:rsidRPr="005F3E83">
        <w:rPr>
          <w:rFonts w:cstheme="minorHAnsi"/>
          <w:color w:val="0F1115"/>
          <w:sz w:val="24"/>
          <w:szCs w:val="24"/>
        </w:rPr>
        <w:t>.</w:t>
      </w:r>
    </w:p>
    <w:p w14:paraId="1518010E" w14:textId="77777777" w:rsidR="009B158C" w:rsidRPr="005F3E83" w:rsidRDefault="009B158C" w:rsidP="009B158C">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An </w:t>
      </w:r>
      <w:r w:rsidRPr="005F3E83">
        <w:rPr>
          <w:rFonts w:asciiTheme="minorHAnsi" w:hAnsiTheme="minorHAnsi" w:cstheme="minorHAnsi"/>
          <w:bCs/>
        </w:rPr>
        <w:t>in-flight medical emergency</w:t>
      </w:r>
      <w:r w:rsidRPr="005F3E83">
        <w:rPr>
          <w:rFonts w:asciiTheme="minorHAnsi" w:hAnsiTheme="minorHAnsi" w:cstheme="minorHAnsi"/>
          <w:color w:val="0F1115"/>
        </w:rPr>
        <w:t> is defined as any unexpected illness or injury requiring assessment or intervention during a commercial flight. The management of such events is a complex, </w:t>
      </w:r>
      <w:r w:rsidRPr="005F3E83">
        <w:rPr>
          <w:rFonts w:asciiTheme="minorHAnsi" w:hAnsiTheme="minorHAnsi" w:cstheme="minorHAnsi"/>
          <w:bCs/>
        </w:rPr>
        <w:t>multifaceted</w:t>
      </w:r>
      <w:r w:rsidRPr="005F3E83">
        <w:rPr>
          <w:rFonts w:asciiTheme="minorHAnsi" w:hAnsiTheme="minorHAnsi" w:cstheme="minorHAnsi"/>
          <w:color w:val="0F1115"/>
        </w:rPr>
        <w:t> process</w:t>
      </w:r>
      <w:r w:rsidR="009C3AAB" w:rsidRPr="005F3E83">
        <w:rPr>
          <w:rFonts w:asciiTheme="minorHAnsi" w:hAnsiTheme="minorHAnsi" w:cstheme="minorHAnsi"/>
          <w:color w:val="0F1115"/>
        </w:rPr>
        <w:t>,</w:t>
      </w:r>
      <w:r w:rsidRPr="005F3E83">
        <w:rPr>
          <w:rFonts w:asciiTheme="minorHAnsi" w:hAnsiTheme="minorHAnsi" w:cstheme="minorHAnsi"/>
          <w:color w:val="0F1115"/>
        </w:rPr>
        <w:t xml:space="preserve"> constrained by the absence of definitive care, limited diagnostic tools, and the imperative of flight safety. The response system has evolved into a sophisticated protocol involving cabin crew as first responders, onboard medical kits, real-time ground-based medical support, and, when available, volunteer healthcare professionals from among the passengers (</w:t>
      </w:r>
      <w:r w:rsidRPr="005F3E83">
        <w:rPr>
          <w:rFonts w:asciiTheme="minorHAnsi" w:hAnsiTheme="minorHAnsi" w:cstheme="minorHAnsi"/>
          <w:bCs/>
        </w:rPr>
        <w:t>Martin-Gill et al., 2018</w:t>
      </w:r>
      <w:r w:rsidRPr="005F3E83">
        <w:rPr>
          <w:rFonts w:asciiTheme="minorHAnsi" w:hAnsiTheme="minorHAnsi" w:cstheme="minorHAnsi"/>
          <w:color w:val="0F1115"/>
        </w:rPr>
        <w:t>). This review aims to provide a</w:t>
      </w:r>
      <w:r w:rsidR="00D23956" w:rsidRPr="005F3E83">
        <w:rPr>
          <w:rFonts w:asciiTheme="minorHAnsi" w:hAnsiTheme="minorHAnsi" w:cstheme="minorHAnsi"/>
          <w:color w:val="0F1115"/>
        </w:rPr>
        <w:t xml:space="preserve"> detailed synthesis of the past twenty-</w:t>
      </w:r>
      <w:r w:rsidR="00246F26" w:rsidRPr="005F3E83">
        <w:rPr>
          <w:rFonts w:asciiTheme="minorHAnsi" w:hAnsiTheme="minorHAnsi" w:cstheme="minorHAnsi"/>
          <w:color w:val="0F1115"/>
        </w:rPr>
        <w:t>six years (2000</w:t>
      </w:r>
      <w:r w:rsidRPr="005F3E83">
        <w:rPr>
          <w:rFonts w:asciiTheme="minorHAnsi" w:hAnsiTheme="minorHAnsi" w:cstheme="minorHAnsi"/>
          <w:color w:val="0F1115"/>
        </w:rPr>
        <w:t>–2025) of literature on</w:t>
      </w:r>
      <w:r w:rsidR="009C3AAB" w:rsidRPr="005F3E83">
        <w:rPr>
          <w:rFonts w:asciiTheme="minorHAnsi" w:hAnsiTheme="minorHAnsi" w:cstheme="minorHAnsi"/>
          <w:color w:val="0F1115"/>
        </w:rPr>
        <w:t xml:space="preserve"> In-flight medical emergencies (IMEs)</w:t>
      </w:r>
      <w:r w:rsidRPr="005F3E83">
        <w:rPr>
          <w:rFonts w:asciiTheme="minorHAnsi" w:hAnsiTheme="minorHAnsi" w:cstheme="minorHAnsi"/>
          <w:color w:val="0F1115"/>
        </w:rPr>
        <w:t>, offering a thorough examination of their epidemiology, the evidence-based management of common and critical conditions, the operational and legal frameworks that guide responses, and emerging innovations that promise to enhance future outcomes.</w:t>
      </w:r>
    </w:p>
    <w:p w14:paraId="54ED3A7F" w14:textId="77777777" w:rsidR="00D23956" w:rsidRPr="005F3E83" w:rsidRDefault="00D23956" w:rsidP="00D23956">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 xml:space="preserve">Methodology </w:t>
      </w:r>
    </w:p>
    <w:p w14:paraId="2BE9EDC2" w14:textId="77777777" w:rsidR="00D23956" w:rsidRPr="005F3E83"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 xml:space="preserve">This narrative review was conducted in accordance with the SANRA (Scale for the Assessment of Narrative Review Articles) guidelines to ensure transparency, rigor, and credibility. A comprehensive literature search was performed using PubMed, Scopus, Web of Science, and Google Scholar, covering the period from January 2000 to December 2025 to capture both foundational and recent developments in the field. The following keywords and Medical Subject Headings (MeSH) terms were used in various </w:t>
      </w:r>
      <w:proofErr w:type="gramStart"/>
      <w:r w:rsidRPr="005F3E83">
        <w:rPr>
          <w:rFonts w:eastAsia="Times New Roman" w:cstheme="minorHAnsi"/>
          <w:color w:val="0F1115"/>
          <w:sz w:val="24"/>
          <w:szCs w:val="24"/>
          <w:lang w:eastAsia="fr-FR"/>
        </w:rPr>
        <w:t>combinations:</w:t>
      </w:r>
      <w:proofErr w:type="gramEnd"/>
      <w:r w:rsidRPr="005F3E83">
        <w:rPr>
          <w:rFonts w:eastAsia="Times New Roman" w:cstheme="minorHAnsi"/>
          <w:color w:val="0F1115"/>
          <w:sz w:val="24"/>
          <w:szCs w:val="24"/>
          <w:lang w:eastAsia="fr-FR"/>
        </w:rPr>
        <w:t xml:space="preserve"> "in-flight medical emergencies," "aviation medicine," "commercial airlines," "medical equipment," "telehealth," "cardiac arrest," "pregnancy," "COVID-19," "first aid," and "aeromedicine."</w:t>
      </w:r>
    </w:p>
    <w:p w14:paraId="4852FA3A" w14:textId="77777777" w:rsidR="00D23956" w:rsidRPr="005F3E83"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 xml:space="preserve">Articles were considered eligible if they addressed medical emergencies, health risks, or medical protocols in commercial aviation or related aerospace </w:t>
      </w:r>
      <w:proofErr w:type="gramStart"/>
      <w:r w:rsidRPr="005F3E83">
        <w:rPr>
          <w:rFonts w:eastAsia="Times New Roman" w:cstheme="minorHAnsi"/>
          <w:color w:val="0F1115"/>
          <w:sz w:val="24"/>
          <w:szCs w:val="24"/>
          <w:lang w:eastAsia="fr-FR"/>
        </w:rPr>
        <w:t>settings;</w:t>
      </w:r>
      <w:proofErr w:type="gramEnd"/>
      <w:r w:rsidRPr="005F3E83">
        <w:rPr>
          <w:rFonts w:eastAsia="Times New Roman" w:cstheme="minorHAnsi"/>
          <w:color w:val="0F1115"/>
          <w:sz w:val="24"/>
          <w:szCs w:val="24"/>
          <w:lang w:eastAsia="fr-FR"/>
        </w:rPr>
        <w:t xml:space="preserve"> were published in peer-reviewed journals, by reputable international organizations, or presented at recognized scientific conferences; were written in English or French; and included original research, systematic reviews, narrative reviews, case studies, or official guidelines. Articles were excluded if they were opinion pieces, editorials, or letters to the editor without original </w:t>
      </w:r>
      <w:proofErr w:type="gramStart"/>
      <w:r w:rsidRPr="005F3E83">
        <w:rPr>
          <w:rFonts w:eastAsia="Times New Roman" w:cstheme="minorHAnsi"/>
          <w:color w:val="0F1115"/>
          <w:sz w:val="24"/>
          <w:szCs w:val="24"/>
          <w:lang w:eastAsia="fr-FR"/>
        </w:rPr>
        <w:t>data;</w:t>
      </w:r>
      <w:proofErr w:type="gramEnd"/>
      <w:r w:rsidRPr="005F3E83">
        <w:rPr>
          <w:rFonts w:eastAsia="Times New Roman" w:cstheme="minorHAnsi"/>
          <w:color w:val="0F1115"/>
          <w:sz w:val="24"/>
          <w:szCs w:val="24"/>
          <w:lang w:eastAsia="fr-FR"/>
        </w:rPr>
        <w:t xml:space="preserve"> focused exclusively on military aviation or space travel without relevance to commercial aviation; or lacked full-text availability or sufficient bibliographic information.</w:t>
      </w:r>
    </w:p>
    <w:p w14:paraId="3256593D" w14:textId="77777777" w:rsidR="00726424" w:rsidRPr="005F3E83" w:rsidRDefault="00D23956" w:rsidP="00D23956">
      <w:pPr>
        <w:shd w:val="clear" w:color="auto" w:fill="FFFFFF"/>
        <w:spacing w:before="107" w:after="107"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 xml:space="preserve">Two independent reviewers screened titles and abstracts against the inclusion criteria, after which full-text articles were assessed for eligibility. Disagreements were resolved through discussion or consultation with a third reviewer. The reference lists of included articles were also hand-searched to identify additional relevant studies. A total of 28 articles met the inclusion criteria and were included in this narrative review, comprising peer-reviewed journal articles covering topics such as in-flight medical emergencies, cardiac arrest management, telehealth applications, pregnancy and high-altitude travel, respiratory disease transmission, and psychiatric emergencies; conference presentations and press releases from authoritative bodies such as the International Air Transport Association (IATA); and studies on aviation medicine training, passenger and crew health, and emerging </w:t>
      </w:r>
      <w:r w:rsidRPr="005F3E83">
        <w:rPr>
          <w:rFonts w:eastAsia="Times New Roman" w:cstheme="minorHAnsi"/>
          <w:color w:val="0F1115"/>
          <w:sz w:val="24"/>
          <w:szCs w:val="24"/>
          <w:lang w:eastAsia="fr-FR"/>
        </w:rPr>
        <w:lastRenderedPageBreak/>
        <w:t>technologies in flight safety. All selected references are listed in the reference section below, and key themes emerging from these articles were synthesized to provide a comprehensive overview of the current state of knowledge in aviation medicine and in-flight medical emergencies.</w:t>
      </w:r>
    </w:p>
    <w:p w14:paraId="35AA4EA7" w14:textId="77777777" w:rsidR="007709AF" w:rsidRPr="005F3E83" w:rsidRDefault="00726424" w:rsidP="007709AF">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Epidemiology and Demographic Trends of In</w:t>
      </w:r>
      <w:r w:rsidRPr="005F3E83">
        <w:rPr>
          <w:rFonts w:eastAsia="Times New Roman" w:cstheme="minorHAnsi"/>
          <w:b/>
          <w:bCs/>
          <w:color w:val="0F1115"/>
          <w:sz w:val="32"/>
          <w:szCs w:val="32"/>
          <w:lang w:eastAsia="fr-FR"/>
        </w:rPr>
        <w:noBreakHyphen/>
        <w:t>Flight Medical Events</w:t>
      </w:r>
    </w:p>
    <w:p w14:paraId="6198402C" w14:textId="77777777"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Understanding the scope and nature of IMEs is fundamental to effective preparedness. </w:t>
      </w:r>
      <w:r w:rsidRPr="005F3E83">
        <w:rPr>
          <w:rFonts w:eastAsia="Times New Roman" w:cstheme="minorHAnsi"/>
          <w:bCs/>
          <w:sz w:val="24"/>
          <w:szCs w:val="24"/>
          <w:lang w:eastAsia="fr-FR"/>
        </w:rPr>
        <w:t>Large-scale</w:t>
      </w:r>
      <w:r w:rsidRPr="005F3E83">
        <w:rPr>
          <w:rFonts w:eastAsia="Times New Roman" w:cstheme="minorHAnsi"/>
          <w:color w:val="0F1115"/>
          <w:sz w:val="24"/>
          <w:szCs w:val="24"/>
          <w:lang w:eastAsia="fr-FR"/>
        </w:rPr>
        <w:t> epidemiological studies provide crucial insights. The landmark study by Peterson et al. (2013) of approximately 11,920 IMEs on a major US carrier established a foundational incidence rate of approximately 1 medical event per 604 flights, or 16 events per 1 million passengers. More recent data from a major US airline (2019</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2024) align</w:t>
      </w:r>
      <w:r w:rsidRPr="005F3E83">
        <w:rPr>
          <w:rFonts w:eastAsia="Times New Roman" w:cstheme="minorHAnsi"/>
          <w:bCs/>
          <w:sz w:val="24"/>
          <w:szCs w:val="24"/>
          <w:lang w:eastAsia="fr-FR"/>
        </w:rPr>
        <w:t>s</w:t>
      </w:r>
      <w:r w:rsidRPr="005F3E83">
        <w:rPr>
          <w:rFonts w:eastAsia="Times New Roman" w:cstheme="minorHAnsi"/>
          <w:color w:val="0F1115"/>
          <w:sz w:val="24"/>
          <w:szCs w:val="24"/>
          <w:lang w:eastAsia="fr-FR"/>
        </w:rPr>
        <w:t> with this, reporting 18.4 incidents per million passengers (Brady &amp; Nable, 2025). Serious events necessitating aircraft diversion are far less frequent, occurring roughly once in every 10,000 to 20,000 flights.</w:t>
      </w:r>
    </w:p>
    <w:p w14:paraId="28E2BA38" w14:textId="77777777"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The distribution of IMEs by medical specialty reveals consistent patterns across studies. Neurological symptoms, primarily syncope, presyncope, and vasovagal episodes, are overwhelmingly the most common category, accounting for 33</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 xml:space="preserve">37% of all events (Kingsley et al., </w:t>
      </w:r>
      <w:proofErr w:type="gramStart"/>
      <w:r w:rsidRPr="005F3E83">
        <w:rPr>
          <w:rFonts w:eastAsia="Times New Roman" w:cstheme="minorHAnsi"/>
          <w:color w:val="0F1115"/>
          <w:sz w:val="24"/>
          <w:szCs w:val="24"/>
          <w:lang w:eastAsia="fr-FR"/>
        </w:rPr>
        <w:t>2020;</w:t>
      </w:r>
      <w:proofErr w:type="gramEnd"/>
      <w:r w:rsidRPr="005F3E83">
        <w:rPr>
          <w:rFonts w:eastAsia="Times New Roman" w:cstheme="minorHAnsi"/>
          <w:color w:val="0F1115"/>
          <w:sz w:val="24"/>
          <w:szCs w:val="24"/>
          <w:lang w:eastAsia="fr-FR"/>
        </w:rPr>
        <w:t xml:space="preserve"> Nable et al., 2015). This is attributed to a confluence of factors</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 including dehydration, anxiety, minor hypoglycemia, and prolonged sitting. Respiratory complaints (dyspnea, asthma exacerbation, upper respiratory infections) and gastrointestinal issues (nausea, vomiting, abdominal pain) follow in prevalence, each comprising 10</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 xml:space="preserve">15% of cases (Brady &amp; Nable, </w:t>
      </w:r>
      <w:proofErr w:type="gramStart"/>
      <w:r w:rsidRPr="005F3E83">
        <w:rPr>
          <w:rFonts w:eastAsia="Times New Roman" w:cstheme="minorHAnsi"/>
          <w:color w:val="0F1115"/>
          <w:sz w:val="24"/>
          <w:szCs w:val="24"/>
          <w:lang w:eastAsia="fr-FR"/>
        </w:rPr>
        <w:t>2025;</w:t>
      </w:r>
      <w:proofErr w:type="gramEnd"/>
      <w:r w:rsidRPr="005F3E83">
        <w:rPr>
          <w:rFonts w:eastAsia="Times New Roman" w:cstheme="minorHAnsi"/>
          <w:color w:val="0F1115"/>
          <w:sz w:val="24"/>
          <w:szCs w:val="24"/>
          <w:lang w:eastAsia="fr-FR"/>
        </w:rPr>
        <w:t xml:space="preserve"> Whelan et al., 2003).</w:t>
      </w:r>
    </w:p>
    <w:p w14:paraId="1D0EAED8" w14:textId="77777777"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Cardiac events, while representing only 3</w:t>
      </w:r>
      <w:r w:rsidRPr="005F3E83">
        <w:rPr>
          <w:rFonts w:eastAsia="Times New Roman" w:cstheme="minorHAnsi"/>
          <w:bCs/>
          <w:sz w:val="24"/>
          <w:szCs w:val="24"/>
          <w:lang w:eastAsia="fr-FR"/>
        </w:rPr>
        <w:t>–</w:t>
      </w:r>
      <w:r w:rsidRPr="005F3E83">
        <w:rPr>
          <w:rFonts w:eastAsia="Times New Roman" w:cstheme="minorHAnsi"/>
          <w:color w:val="0F1115"/>
          <w:sz w:val="24"/>
          <w:szCs w:val="24"/>
          <w:lang w:eastAsia="fr-FR"/>
        </w:rPr>
        <w:t>5% of total IMEs, are clinically and operationally paramount. They are the leading cause of </w:t>
      </w:r>
      <w:r w:rsidRPr="005F3E83">
        <w:rPr>
          <w:rFonts w:eastAsia="Times New Roman" w:cstheme="minorHAnsi"/>
          <w:bCs/>
          <w:sz w:val="24"/>
          <w:szCs w:val="24"/>
          <w:lang w:eastAsia="fr-FR"/>
        </w:rPr>
        <w:t>in</w:t>
      </w:r>
      <w:r w:rsidRPr="005F3E83">
        <w:rPr>
          <w:rFonts w:eastAsia="Times New Roman" w:cstheme="minorHAnsi"/>
          <w:bCs/>
          <w:sz w:val="24"/>
          <w:szCs w:val="24"/>
          <w:lang w:eastAsia="fr-FR"/>
        </w:rPr>
        <w:noBreakHyphen/>
        <w:t>flight</w:t>
      </w:r>
      <w:r w:rsidRPr="005F3E83">
        <w:rPr>
          <w:rFonts w:eastAsia="Times New Roman" w:cstheme="minorHAnsi"/>
          <w:color w:val="0F1115"/>
          <w:sz w:val="24"/>
          <w:szCs w:val="24"/>
          <w:lang w:eastAsia="fr-FR"/>
        </w:rPr>
        <w:t> mortality and a primary reason for urgent diversion. Myocardial ischemia, arrhythmias, and cardiac arrest fall under this category (Shekhar &amp; Ruskin, 2022). Other significant categories include traumatic injuries (from turbulence or falls), psychiatric and behavioral emergencies (acute anxiety, agitation), and neurological events beyond syncope, such as seizures and suspected strokes (</w:t>
      </w:r>
      <w:r w:rsidRPr="005F3E83">
        <w:rPr>
          <w:rFonts w:eastAsia="Times New Roman" w:cstheme="minorHAnsi"/>
          <w:bCs/>
          <w:sz w:val="24"/>
          <w:szCs w:val="24"/>
          <w:lang w:eastAsia="fr-FR"/>
        </w:rPr>
        <w:t xml:space="preserve">Hov &amp; Larsen, </w:t>
      </w:r>
      <w:proofErr w:type="gramStart"/>
      <w:r w:rsidRPr="005F3E83">
        <w:rPr>
          <w:rFonts w:eastAsia="Times New Roman" w:cstheme="minorHAnsi"/>
          <w:bCs/>
          <w:sz w:val="24"/>
          <w:szCs w:val="24"/>
          <w:lang w:eastAsia="fr-FR"/>
        </w:rPr>
        <w:t>2025;</w:t>
      </w:r>
      <w:proofErr w:type="gramEnd"/>
      <w:r w:rsidRPr="005F3E83">
        <w:rPr>
          <w:rFonts w:eastAsia="Times New Roman" w:cstheme="minorHAnsi"/>
          <w:bCs/>
          <w:sz w:val="24"/>
          <w:szCs w:val="24"/>
          <w:lang w:eastAsia="fr-FR"/>
        </w:rPr>
        <w:t xml:space="preserve"> Joshi, 2019; Trevorrow, 2006</w:t>
      </w:r>
      <w:r w:rsidRPr="005F3E83">
        <w:rPr>
          <w:rFonts w:eastAsia="Times New Roman" w:cstheme="minorHAnsi"/>
          <w:color w:val="0F1115"/>
          <w:sz w:val="24"/>
          <w:szCs w:val="24"/>
          <w:lang w:eastAsia="fr-FR"/>
        </w:rPr>
        <w:t>). True obstetric and pediatric emergencies are relatively rare but present unique management challenges (</w:t>
      </w:r>
      <w:r w:rsidRPr="005F3E83">
        <w:rPr>
          <w:rFonts w:eastAsia="Times New Roman" w:cstheme="minorHAnsi"/>
          <w:bCs/>
          <w:sz w:val="24"/>
          <w:szCs w:val="24"/>
          <w:lang w:eastAsia="fr-FR"/>
        </w:rPr>
        <w:t xml:space="preserve">Antuñano, </w:t>
      </w:r>
      <w:proofErr w:type="gramStart"/>
      <w:r w:rsidRPr="005F3E83">
        <w:rPr>
          <w:rFonts w:eastAsia="Times New Roman" w:cstheme="minorHAnsi"/>
          <w:bCs/>
          <w:sz w:val="24"/>
          <w:szCs w:val="24"/>
          <w:lang w:eastAsia="fr-FR"/>
        </w:rPr>
        <w:t>2023;</w:t>
      </w:r>
      <w:proofErr w:type="gramEnd"/>
      <w:r w:rsidRPr="005F3E83">
        <w:rPr>
          <w:rFonts w:eastAsia="Times New Roman" w:cstheme="minorHAnsi"/>
          <w:bCs/>
          <w:sz w:val="24"/>
          <w:szCs w:val="24"/>
          <w:lang w:eastAsia="fr-FR"/>
        </w:rPr>
        <w:t xml:space="preserve"> Heggie, 2020</w:t>
      </w:r>
      <w:r w:rsidRPr="005F3E83">
        <w:rPr>
          <w:rFonts w:eastAsia="Times New Roman" w:cstheme="minorHAnsi"/>
          <w:color w:val="0F1115"/>
          <w:sz w:val="24"/>
          <w:szCs w:val="24"/>
          <w:lang w:eastAsia="fr-FR"/>
        </w:rPr>
        <w:t>).</w:t>
      </w:r>
    </w:p>
    <w:p w14:paraId="5756464C" w14:textId="77777777" w:rsidR="009C3AAB" w:rsidRPr="005F3E83" w:rsidRDefault="009C3AAB" w:rsidP="007709AF">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Demographic analyses indicate that IMEs occur across all age groups but are more common in </w:t>
      </w:r>
      <w:r w:rsidRPr="005F3E83">
        <w:rPr>
          <w:rFonts w:eastAsia="Times New Roman" w:cstheme="minorHAnsi"/>
          <w:bCs/>
          <w:sz w:val="24"/>
          <w:szCs w:val="24"/>
          <w:lang w:eastAsia="fr-FR"/>
        </w:rPr>
        <w:t>middle</w:t>
      </w:r>
      <w:r w:rsidRPr="005F3E83">
        <w:rPr>
          <w:rFonts w:eastAsia="Times New Roman" w:cstheme="minorHAnsi"/>
          <w:bCs/>
          <w:sz w:val="24"/>
          <w:szCs w:val="24"/>
          <w:lang w:eastAsia="fr-FR"/>
        </w:rPr>
        <w:noBreakHyphen/>
        <w:t>aged</w:t>
      </w:r>
      <w:r w:rsidRPr="005F3E83">
        <w:rPr>
          <w:rFonts w:eastAsia="Times New Roman" w:cstheme="minorHAnsi"/>
          <w:color w:val="0F1115"/>
          <w:sz w:val="24"/>
          <w:szCs w:val="24"/>
          <w:lang w:eastAsia="fr-FR"/>
        </w:rPr>
        <w:t> and older adults. There is no significant gender predilection. </w:t>
      </w:r>
      <w:r w:rsidRPr="005F3E83">
        <w:rPr>
          <w:rFonts w:eastAsia="Times New Roman" w:cstheme="minorHAnsi"/>
          <w:bCs/>
          <w:sz w:val="24"/>
          <w:szCs w:val="24"/>
          <w:lang w:eastAsia="fr-FR"/>
        </w:rPr>
        <w:t>Long</w:t>
      </w:r>
      <w:r w:rsidRPr="005F3E83">
        <w:rPr>
          <w:rFonts w:eastAsia="Times New Roman" w:cstheme="minorHAnsi"/>
          <w:bCs/>
          <w:sz w:val="24"/>
          <w:szCs w:val="24"/>
          <w:lang w:eastAsia="fr-FR"/>
        </w:rPr>
        <w:noBreakHyphen/>
        <w:t>haul</w:t>
      </w:r>
      <w:r w:rsidRPr="005F3E83">
        <w:rPr>
          <w:rFonts w:eastAsia="Times New Roman" w:cstheme="minorHAnsi"/>
          <w:color w:val="0F1115"/>
          <w:sz w:val="24"/>
          <w:szCs w:val="24"/>
          <w:lang w:eastAsia="fr-FR"/>
        </w:rPr>
        <w:t> flights (greater than 6 hours) are associated with a higher incidence of certain events, particularly venous thromboembolism and complications related to immobility.</w:t>
      </w:r>
    </w:p>
    <w:p w14:paraId="23D3A36F" w14:textId="77777777" w:rsidR="00726424" w:rsidRPr="005F3E83" w:rsidRDefault="00726424" w:rsidP="00726424">
      <w:pPr>
        <w:spacing w:before="226" w:after="226" w:line="240" w:lineRule="auto"/>
        <w:rPr>
          <w:rFonts w:eastAsia="Times New Roman" w:cstheme="minorHAnsi"/>
          <w:sz w:val="24"/>
          <w:szCs w:val="24"/>
          <w:lang w:eastAsia="fr-FR"/>
        </w:rPr>
      </w:pPr>
    </w:p>
    <w:p w14:paraId="09319A4A" w14:textId="77777777" w:rsidR="007709AF" w:rsidRPr="005F3E83" w:rsidRDefault="00726424" w:rsidP="007709AF">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24"/>
          <w:szCs w:val="24"/>
          <w:lang w:eastAsia="fr-FR"/>
        </w:rPr>
        <w:t xml:space="preserve"> </w:t>
      </w:r>
      <w:r w:rsidRPr="005F3E83">
        <w:rPr>
          <w:rFonts w:eastAsia="Times New Roman" w:cstheme="minorHAnsi"/>
          <w:b/>
          <w:bCs/>
          <w:color w:val="0F1115"/>
          <w:sz w:val="32"/>
          <w:szCs w:val="32"/>
          <w:lang w:eastAsia="fr-FR"/>
        </w:rPr>
        <w:t>Pathophysiological Impact of the Flight Environment</w:t>
      </w:r>
    </w:p>
    <w:p w14:paraId="4EF8CEDE" w14:textId="77777777" w:rsidR="007709AF" w:rsidRPr="005F3E83" w:rsidRDefault="007709AF" w:rsidP="007709AF">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The aircraft cabin is a controlled but physiologically taxing environment. The reduced partial pressure of oxygen at cruising altitude can lower arterial oxygen saturation (SpO₂) to 90</w:t>
      </w:r>
      <w:r w:rsidRPr="005F3E83">
        <w:rPr>
          <w:rFonts w:asciiTheme="minorHAnsi" w:hAnsiTheme="minorHAnsi" w:cstheme="minorHAnsi"/>
          <w:bCs/>
        </w:rPr>
        <w:t>–</w:t>
      </w:r>
      <w:r w:rsidRPr="005F3E83">
        <w:rPr>
          <w:rFonts w:asciiTheme="minorHAnsi" w:hAnsiTheme="minorHAnsi" w:cstheme="minorHAnsi"/>
          <w:color w:val="0F1115"/>
        </w:rPr>
        <w:t>94% in healthy individuals, a state of mild hypoxia. For passengers with </w:t>
      </w:r>
      <w:r w:rsidRPr="005F3E83">
        <w:rPr>
          <w:rFonts w:asciiTheme="minorHAnsi" w:hAnsiTheme="minorHAnsi" w:cstheme="minorHAnsi"/>
          <w:bCs/>
        </w:rPr>
        <w:t>preexisting</w:t>
      </w:r>
      <w:r w:rsidRPr="005F3E83">
        <w:rPr>
          <w:rFonts w:asciiTheme="minorHAnsi" w:hAnsiTheme="minorHAnsi" w:cstheme="minorHAnsi"/>
          <w:color w:val="0F1115"/>
        </w:rPr>
        <w:t> cardiovascular or pulmonary disease (congestive heart failure, chronic obstructive pulmonary disease [COPD]), this can precipitate significant cardiopulmonary stress, potentially leading to dyspnea, angina, or arrhythmias (Sharmar et al., 2023). The extremely low cabin humidity accelerates insensible fluid loss, contributing to dehydration, which is a key precipitant of syncope and can exacerbate conditions such as renal calculi.</w:t>
      </w:r>
    </w:p>
    <w:p w14:paraId="3A24E727" w14:textId="77777777" w:rsidR="007709AF" w:rsidRPr="005F3E83" w:rsidRDefault="007709AF" w:rsidP="007709AF">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lastRenderedPageBreak/>
        <w:t>Furthermore, the combination of immobility, possible dehydration, and potential underlying hypercoagulable states significantly elevates the risk of deep vein thrombosis (DVT) and pulmonary embolism (PE) during and after </w:t>
      </w:r>
      <w:r w:rsidRPr="005F3E83">
        <w:rPr>
          <w:rFonts w:asciiTheme="minorHAnsi" w:hAnsiTheme="minorHAnsi" w:cstheme="minorHAnsi"/>
          <w:bCs/>
        </w:rPr>
        <w:t>long</w:t>
      </w:r>
      <w:r w:rsidRPr="005F3E83">
        <w:rPr>
          <w:rFonts w:asciiTheme="minorHAnsi" w:hAnsiTheme="minorHAnsi" w:cstheme="minorHAnsi"/>
          <w:bCs/>
        </w:rPr>
        <w:noBreakHyphen/>
        <w:t>haul</w:t>
      </w:r>
      <w:r w:rsidRPr="005F3E83">
        <w:rPr>
          <w:rFonts w:asciiTheme="minorHAnsi" w:hAnsiTheme="minorHAnsi" w:cstheme="minorHAnsi"/>
          <w:color w:val="0F1115"/>
        </w:rPr>
        <w:t> flights—a condition often termed </w:t>
      </w:r>
      <w:r w:rsidRPr="005F3E83">
        <w:rPr>
          <w:rFonts w:asciiTheme="minorHAnsi" w:hAnsiTheme="minorHAnsi" w:cstheme="minorHAnsi"/>
          <w:bCs/>
        </w:rPr>
        <w:t>"</w:t>
      </w:r>
      <w:r w:rsidRPr="005F3E83">
        <w:rPr>
          <w:rFonts w:asciiTheme="minorHAnsi" w:hAnsiTheme="minorHAnsi" w:cstheme="minorHAnsi"/>
          <w:color w:val="0F1115"/>
        </w:rPr>
        <w:t>economy class syndrome,</w:t>
      </w:r>
      <w:r w:rsidRPr="005F3E83">
        <w:rPr>
          <w:rFonts w:asciiTheme="minorHAnsi" w:hAnsiTheme="minorHAnsi" w:cstheme="minorHAnsi"/>
          <w:bCs/>
        </w:rPr>
        <w:t>"</w:t>
      </w:r>
      <w:r w:rsidRPr="005F3E83">
        <w:rPr>
          <w:rFonts w:asciiTheme="minorHAnsi" w:hAnsiTheme="minorHAnsi" w:cstheme="minorHAnsi"/>
          <w:color w:val="0F1115"/>
        </w:rPr>
        <w:t> though it can occur in any seating class. While not always manifesting as an acute </w:t>
      </w:r>
      <w:r w:rsidRPr="005F3E83">
        <w:rPr>
          <w:rFonts w:asciiTheme="minorHAnsi" w:hAnsiTheme="minorHAnsi" w:cstheme="minorHAnsi"/>
          <w:bCs/>
        </w:rPr>
        <w:t>in</w:t>
      </w:r>
      <w:r w:rsidRPr="005F3E83">
        <w:rPr>
          <w:rFonts w:asciiTheme="minorHAnsi" w:hAnsiTheme="minorHAnsi" w:cstheme="minorHAnsi"/>
          <w:bCs/>
        </w:rPr>
        <w:noBreakHyphen/>
        <w:t>flight</w:t>
      </w:r>
      <w:r w:rsidRPr="005F3E83">
        <w:rPr>
          <w:rFonts w:asciiTheme="minorHAnsi" w:hAnsiTheme="minorHAnsi" w:cstheme="minorHAnsi"/>
          <w:color w:val="0F1115"/>
        </w:rPr>
        <w:t> emergency, PE can present suddenly with severe dyspnea, chest pain, and cardiovascular collapse, constituting a critical IME.</w:t>
      </w:r>
    </w:p>
    <w:p w14:paraId="34C4881A" w14:textId="77777777" w:rsidR="007709AF" w:rsidRPr="005F3E83" w:rsidRDefault="007709AF" w:rsidP="00726424">
      <w:pPr>
        <w:shd w:val="clear" w:color="auto" w:fill="FFFFFF"/>
        <w:spacing w:before="113" w:after="113" w:line="240" w:lineRule="auto"/>
        <w:rPr>
          <w:rFonts w:eastAsia="Times New Roman" w:cstheme="minorHAnsi"/>
          <w:color w:val="0F1115"/>
          <w:sz w:val="24"/>
          <w:szCs w:val="24"/>
          <w:lang w:eastAsia="fr-FR"/>
        </w:rPr>
      </w:pPr>
    </w:p>
    <w:p w14:paraId="72A62B7A" w14:textId="77777777" w:rsidR="00726424" w:rsidRPr="005F3E83" w:rsidRDefault="00726424" w:rsidP="00726424">
      <w:pPr>
        <w:spacing w:before="226" w:after="226" w:line="240" w:lineRule="auto"/>
        <w:rPr>
          <w:rFonts w:eastAsia="Times New Roman" w:cstheme="minorHAnsi"/>
          <w:sz w:val="24"/>
          <w:szCs w:val="24"/>
          <w:lang w:eastAsia="fr-FR"/>
        </w:rPr>
      </w:pPr>
    </w:p>
    <w:p w14:paraId="6BDEE5F2" w14:textId="77777777" w:rsidR="009F74B6" w:rsidRPr="005F3E83" w:rsidRDefault="00726424" w:rsidP="00726424">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Management of Critical In</w:t>
      </w:r>
      <w:r w:rsidRPr="005F3E83">
        <w:rPr>
          <w:rFonts w:eastAsia="Times New Roman" w:cstheme="minorHAnsi"/>
          <w:b/>
          <w:bCs/>
          <w:color w:val="0F1115"/>
          <w:sz w:val="32"/>
          <w:szCs w:val="32"/>
          <w:lang w:eastAsia="fr-FR"/>
        </w:rPr>
        <w:noBreakHyphen/>
        <w:t>Flight Conditions</w:t>
      </w:r>
    </w:p>
    <w:p w14:paraId="61287437" w14:textId="77777777" w:rsidR="00F5208D" w:rsidRPr="005F3E83" w:rsidRDefault="00F5208D" w:rsidP="00F5208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Cardiac Arrest and Life</w:t>
      </w:r>
      <w:r w:rsidRPr="005F3E83">
        <w:rPr>
          <w:rFonts w:asciiTheme="minorHAnsi" w:hAnsiTheme="minorHAnsi" w:cstheme="minorHAnsi"/>
          <w:b/>
          <w:bCs/>
        </w:rPr>
        <w:noBreakHyphen/>
        <w:t>Threatening Arrhythmias</w:t>
      </w:r>
      <w:r w:rsidRPr="005F3E83">
        <w:rPr>
          <w:rFonts w:asciiTheme="minorHAnsi" w:hAnsiTheme="minorHAnsi" w:cstheme="minorHAnsi"/>
          <w:color w:val="0F1115"/>
        </w:rPr>
        <w:br/>
        <w:t>The management of sudden cardiac arrest is the highest</w:t>
      </w:r>
      <w:r w:rsidRPr="005F3E83">
        <w:rPr>
          <w:rFonts w:asciiTheme="minorHAnsi" w:hAnsiTheme="minorHAnsi" w:cstheme="minorHAnsi"/>
          <w:color w:val="0F1115"/>
        </w:rPr>
        <w:noBreakHyphen/>
        <w:t>stakes scenario in aviation medicine. Survival is dependent on the immediate initiation of </w:t>
      </w:r>
      <w:r w:rsidRPr="005F3E83">
        <w:rPr>
          <w:rFonts w:asciiTheme="minorHAnsi" w:hAnsiTheme="minorHAnsi" w:cstheme="minorHAnsi"/>
          <w:bCs/>
        </w:rPr>
        <w:t>high</w:t>
      </w:r>
      <w:r w:rsidRPr="005F3E83">
        <w:rPr>
          <w:rFonts w:asciiTheme="minorHAnsi" w:hAnsiTheme="minorHAnsi" w:cstheme="minorHAnsi"/>
          <w:bCs/>
        </w:rPr>
        <w:noBreakHyphen/>
        <w:t>quality</w:t>
      </w:r>
      <w:r w:rsidRPr="005F3E83">
        <w:rPr>
          <w:rFonts w:asciiTheme="minorHAnsi" w:hAnsiTheme="minorHAnsi" w:cstheme="minorHAnsi"/>
          <w:color w:val="0F1115"/>
        </w:rPr>
        <w:t> cardiopulmonary resuscitation (CPR) and rapid defibrillation. The near</w:t>
      </w:r>
      <w:r w:rsidRPr="005F3E83">
        <w:rPr>
          <w:rFonts w:asciiTheme="minorHAnsi" w:hAnsiTheme="minorHAnsi" w:cstheme="minorHAnsi"/>
          <w:color w:val="0F1115"/>
        </w:rPr>
        <w:noBreakHyphen/>
        <w:t>universal mandate for automated external defibrillators (AEDs) on commercial aircraft has been a transformative advancement. Data confirm that AED use </w:t>
      </w:r>
      <w:r w:rsidRPr="005F3E83">
        <w:rPr>
          <w:rFonts w:asciiTheme="minorHAnsi" w:hAnsiTheme="minorHAnsi" w:cstheme="minorHAnsi"/>
          <w:bCs/>
        </w:rPr>
        <w:t>in</w:t>
      </w:r>
      <w:r w:rsidRPr="005F3E83">
        <w:rPr>
          <w:rFonts w:asciiTheme="minorHAnsi" w:hAnsiTheme="minorHAnsi" w:cstheme="minorHAnsi"/>
          <w:bCs/>
        </w:rPr>
        <w:noBreakHyphen/>
        <w:t>flight</w:t>
      </w:r>
      <w:r w:rsidRPr="005F3E83">
        <w:rPr>
          <w:rFonts w:asciiTheme="minorHAnsi" w:hAnsiTheme="minorHAnsi" w:cstheme="minorHAnsi"/>
          <w:color w:val="0F1115"/>
        </w:rPr>
        <w:t> is not only feasible but can result in return of spontaneous circulation (ROSC) and survival to hospital discharge with good neurological outcomes (</w:t>
      </w:r>
      <w:r w:rsidRPr="005F3E83">
        <w:rPr>
          <w:rFonts w:asciiTheme="minorHAnsi" w:hAnsiTheme="minorHAnsi" w:cstheme="minorHAnsi"/>
          <w:bCs/>
        </w:rPr>
        <w:t xml:space="preserve">Deakin et al., </w:t>
      </w:r>
      <w:proofErr w:type="gramStart"/>
      <w:r w:rsidRPr="005F3E83">
        <w:rPr>
          <w:rFonts w:asciiTheme="minorHAnsi" w:hAnsiTheme="minorHAnsi" w:cstheme="minorHAnsi"/>
          <w:bCs/>
        </w:rPr>
        <w:t>2014;</w:t>
      </w:r>
      <w:proofErr w:type="gramEnd"/>
      <w:r w:rsidRPr="005F3E83">
        <w:rPr>
          <w:rFonts w:asciiTheme="minorHAnsi" w:hAnsiTheme="minorHAnsi" w:cstheme="minorHAnsi"/>
          <w:bCs/>
        </w:rPr>
        <w:t xml:space="preserve"> Shekhar &amp; Ruskin, 2022</w:t>
      </w:r>
      <w:r w:rsidRPr="005F3E83">
        <w:rPr>
          <w:rFonts w:asciiTheme="minorHAnsi" w:hAnsiTheme="minorHAnsi" w:cstheme="minorHAnsi"/>
          <w:color w:val="0F1115"/>
        </w:rPr>
        <w:t xml:space="preserve">). Challenges include performing effective chest compressions in the narrow aisle, managing logistics if the patient is in a window seat, and coordinating the response with the flight deck. A survey of US airlines found that while all carriers have AEDs, policies on who can operate them (crew only vs. </w:t>
      </w:r>
      <w:proofErr w:type="gramStart"/>
      <w:r w:rsidRPr="005F3E83">
        <w:rPr>
          <w:rFonts w:asciiTheme="minorHAnsi" w:hAnsiTheme="minorHAnsi" w:cstheme="minorHAnsi"/>
          <w:color w:val="0F1115"/>
        </w:rPr>
        <w:t>trained</w:t>
      </w:r>
      <w:proofErr w:type="gramEnd"/>
      <w:r w:rsidRPr="005F3E83">
        <w:rPr>
          <w:rFonts w:asciiTheme="minorHAnsi" w:hAnsiTheme="minorHAnsi" w:cstheme="minorHAnsi"/>
          <w:color w:val="0F1115"/>
        </w:rPr>
        <w:t xml:space="preserve"> volunteers) vary, though most empower and train cabin crew in their use (Ruskin et al., 2018).</w:t>
      </w:r>
    </w:p>
    <w:p w14:paraId="67FF5332" w14:textId="77777777" w:rsidR="00F5208D" w:rsidRPr="005F3E83" w:rsidRDefault="00F5208D" w:rsidP="00F5208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Acute Coronary Syndromes</w:t>
      </w:r>
      <w:r w:rsidRPr="005F3E83">
        <w:rPr>
          <w:rFonts w:asciiTheme="minorHAnsi" w:hAnsiTheme="minorHAnsi" w:cstheme="minorHAnsi"/>
          <w:color w:val="0F1115"/>
        </w:rPr>
        <w:br/>
        <w:t>For suspected myocardial infarction, management is supportive and focused on pain relief and hemodynamic stabilization. Onboard emergency medical kits (EMKs) typically contain aspirin, nitroglycerin, and opioid analgesics (morphine). </w:t>
      </w:r>
      <w:r w:rsidRPr="005F3E83">
        <w:rPr>
          <w:rFonts w:asciiTheme="minorHAnsi" w:hAnsiTheme="minorHAnsi" w:cstheme="minorHAnsi"/>
          <w:bCs/>
        </w:rPr>
        <w:t>Ground</w:t>
      </w:r>
      <w:r w:rsidRPr="005F3E83">
        <w:rPr>
          <w:rFonts w:asciiTheme="minorHAnsi" w:hAnsiTheme="minorHAnsi" w:cstheme="minorHAnsi"/>
          <w:bCs/>
        </w:rPr>
        <w:noBreakHyphen/>
        <w:t>based</w:t>
      </w:r>
      <w:r w:rsidRPr="005F3E83">
        <w:rPr>
          <w:rFonts w:asciiTheme="minorHAnsi" w:hAnsiTheme="minorHAnsi" w:cstheme="minorHAnsi"/>
          <w:color w:val="0F1115"/>
        </w:rPr>
        <w:t> physicians can guide their administration. Oxygen supplementation is a key intervention to mitigate myocardial hypoxia. The decision to divert is almost always made for a suspected acute coronary syndrome to facilitate timely reperfusion therapy.</w:t>
      </w:r>
    </w:p>
    <w:p w14:paraId="4927909C" w14:textId="77777777" w:rsidR="00F5208D" w:rsidRPr="005F3E83" w:rsidRDefault="00F5208D" w:rsidP="00F5208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Syncope and Presyncope</w:t>
      </w:r>
      <w:r w:rsidRPr="005F3E83">
        <w:rPr>
          <w:rFonts w:asciiTheme="minorHAnsi" w:hAnsiTheme="minorHAnsi" w:cstheme="minorHAnsi"/>
          <w:color w:val="0F1115"/>
        </w:rPr>
        <w:br/>
        <w:t>As the most common IME, syncope management is a core competency for cabin crews. The primary approach involves placing the passenger in a supine position with legs elevated, ideally in a galley area, to improve cerebral perfusion. Assessing for potential underlying serious causes (arrhythmia, hypoglycemia) is crucial. Vital sign monitoring, oxygen administration, and oral rehydration are standard interventions. Most syncopal episodes resolve with these simple measures, allowing the flight to continue to its destination.</w:t>
      </w:r>
    </w:p>
    <w:p w14:paraId="0DE39CA6" w14:textId="77777777" w:rsidR="00F5208D" w:rsidRPr="005F3E83" w:rsidRDefault="00F5208D" w:rsidP="00F5208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Respiratory Distress</w:t>
      </w:r>
      <w:r w:rsidRPr="005F3E83">
        <w:rPr>
          <w:rFonts w:asciiTheme="minorHAnsi" w:hAnsiTheme="minorHAnsi" w:cstheme="minorHAnsi"/>
          <w:color w:val="0F1115"/>
        </w:rPr>
        <w:br/>
        <w:t>Causes range from exacerbations of chronic conditions (asthma, COPD) to acute events such as pneumothorax or pulmonary embolism. Supplemental oxygen is the </w:t>
      </w:r>
      <w:r w:rsidRPr="005F3E83">
        <w:rPr>
          <w:rFonts w:asciiTheme="minorHAnsi" w:hAnsiTheme="minorHAnsi" w:cstheme="minorHAnsi"/>
          <w:bCs/>
        </w:rPr>
        <w:t>first</w:t>
      </w:r>
      <w:r w:rsidRPr="005F3E83">
        <w:rPr>
          <w:rFonts w:asciiTheme="minorHAnsi" w:hAnsiTheme="minorHAnsi" w:cstheme="minorHAnsi"/>
          <w:bCs/>
        </w:rPr>
        <w:noBreakHyphen/>
        <w:t>line</w:t>
      </w:r>
      <w:r w:rsidRPr="005F3E83">
        <w:rPr>
          <w:rFonts w:asciiTheme="minorHAnsi" w:hAnsiTheme="minorHAnsi" w:cstheme="minorHAnsi"/>
          <w:color w:val="0F1115"/>
        </w:rPr>
        <w:t xml:space="preserve"> therapy. EMKs contain bronchodilators (albuterol inhalers or nebulizers) for asthma. For more severe distress, epinephrine may be available for anaphylaxis or severe bronchospasm. The hypoxic </w:t>
      </w:r>
      <w:r w:rsidRPr="005F3E83">
        <w:rPr>
          <w:rFonts w:asciiTheme="minorHAnsi" w:hAnsiTheme="minorHAnsi" w:cstheme="minorHAnsi"/>
          <w:color w:val="0F1115"/>
        </w:rPr>
        <w:lastRenderedPageBreak/>
        <w:t>cabin environment can acutely worsen respiratory conditions, making oxygen therapy and potential descent to a lower altitude (if possible) critical interventions.</w:t>
      </w:r>
    </w:p>
    <w:p w14:paraId="6FFD35F6" w14:textId="77777777" w:rsidR="00726424" w:rsidRPr="005F3E83" w:rsidRDefault="00F5208D" w:rsidP="00F5208D">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Seizures</w:t>
      </w:r>
      <w:r w:rsidRPr="005F3E83">
        <w:rPr>
          <w:rFonts w:asciiTheme="minorHAnsi" w:hAnsiTheme="minorHAnsi" w:cstheme="minorHAnsi"/>
          <w:color w:val="0F1115"/>
        </w:rPr>
        <w:br/>
        <w:t xml:space="preserve">Management follows standard first aid </w:t>
      </w:r>
      <w:proofErr w:type="gramStart"/>
      <w:r w:rsidRPr="005F3E83">
        <w:rPr>
          <w:rFonts w:asciiTheme="minorHAnsi" w:hAnsiTheme="minorHAnsi" w:cstheme="minorHAnsi"/>
          <w:color w:val="0F1115"/>
        </w:rPr>
        <w:t>principles:</w:t>
      </w:r>
      <w:proofErr w:type="gramEnd"/>
      <w:r w:rsidRPr="005F3E83">
        <w:rPr>
          <w:rFonts w:asciiTheme="minorHAnsi" w:hAnsiTheme="minorHAnsi" w:cstheme="minorHAnsi"/>
          <w:color w:val="0F1115"/>
        </w:rPr>
        <w:t xml:space="preserve"> protecting the individual from injury, not restraining them, and placing them in the recovery position </w:t>
      </w:r>
      <w:r w:rsidRPr="005F3E83">
        <w:rPr>
          <w:rFonts w:asciiTheme="minorHAnsi" w:hAnsiTheme="minorHAnsi" w:cstheme="minorHAnsi"/>
          <w:bCs/>
        </w:rPr>
        <w:t>postictally</w:t>
      </w:r>
      <w:r w:rsidRPr="005F3E83">
        <w:rPr>
          <w:rFonts w:asciiTheme="minorHAnsi" w:hAnsiTheme="minorHAnsi" w:cstheme="minorHAnsi"/>
          <w:color w:val="0F1115"/>
        </w:rPr>
        <w:t xml:space="preserve">. Crucially, nothing should be placed in the mouth. Status epilepticus is a medical emergency requiring </w:t>
      </w:r>
      <w:proofErr w:type="gramStart"/>
      <w:r w:rsidRPr="005F3E83">
        <w:rPr>
          <w:rFonts w:asciiTheme="minorHAnsi" w:hAnsiTheme="minorHAnsi" w:cstheme="minorHAnsi"/>
          <w:color w:val="0F1115"/>
        </w:rPr>
        <w:t>diversion;</w:t>
      </w:r>
      <w:proofErr w:type="gramEnd"/>
      <w:r w:rsidRPr="005F3E83">
        <w:rPr>
          <w:rFonts w:asciiTheme="minorHAnsi" w:hAnsiTheme="minorHAnsi" w:cstheme="minorHAnsi"/>
          <w:color w:val="0F1115"/>
        </w:rPr>
        <w:t xml:space="preserve"> some EMKs may contain benzodiazepines (diazepam rectal gel or intramuscular midazolam) for this purpose under remote physician guidance (Trevorrow, 2006).</w:t>
      </w:r>
    </w:p>
    <w:p w14:paraId="600C1E45" w14:textId="77777777" w:rsidR="00F27E25" w:rsidRPr="005F3E83" w:rsidRDefault="00F5208D" w:rsidP="00F27E25">
      <w:pPr>
        <w:pStyle w:val="ds-markdown-paragraph"/>
        <w:shd w:val="clear" w:color="auto" w:fill="FFFFFF"/>
        <w:spacing w:before="175" w:after="175"/>
        <w:rPr>
          <w:rFonts w:asciiTheme="minorHAnsi" w:hAnsiTheme="minorHAnsi" w:cstheme="minorHAnsi"/>
          <w:b/>
          <w:bCs/>
        </w:rPr>
      </w:pPr>
      <w:r w:rsidRPr="005F3E83">
        <w:rPr>
          <w:rFonts w:asciiTheme="minorHAnsi" w:hAnsiTheme="minorHAnsi" w:cstheme="minorHAnsi"/>
          <w:b/>
          <w:bCs/>
        </w:rPr>
        <w:t>Suspected Acute Stroke</w:t>
      </w:r>
    </w:p>
    <w:p w14:paraId="4BF2194D" w14:textId="77777777" w:rsidR="00F5208D" w:rsidRPr="005F3E83" w:rsidRDefault="00F5208D" w:rsidP="00F27E25">
      <w:pPr>
        <w:pStyle w:val="ds-markdown-paragraph"/>
        <w:shd w:val="clear" w:color="auto" w:fill="FFFFFF"/>
        <w:spacing w:before="175" w:after="175"/>
        <w:rPr>
          <w:rFonts w:asciiTheme="minorHAnsi" w:hAnsiTheme="minorHAnsi" w:cstheme="minorHAnsi"/>
          <w:b/>
          <w:bCs/>
        </w:rPr>
      </w:pPr>
      <w:r w:rsidRPr="005F3E83">
        <w:rPr>
          <w:rFonts w:asciiTheme="minorHAnsi" w:hAnsiTheme="minorHAnsi" w:cstheme="minorHAnsi"/>
          <w:color w:val="0F1115"/>
        </w:rPr>
        <w:t>In</w:t>
      </w:r>
      <w:r w:rsidRPr="005F3E83">
        <w:rPr>
          <w:rFonts w:ascii="Cambria Math" w:hAnsi="Cambria Math" w:cs="Cambria Math"/>
          <w:color w:val="0F1115"/>
        </w:rPr>
        <w:t>‑</w:t>
      </w:r>
      <w:r w:rsidRPr="005F3E83">
        <w:rPr>
          <w:rFonts w:ascii="Calibri" w:hAnsi="Calibri" w:cs="Calibri"/>
          <w:color w:val="0F1115"/>
        </w:rPr>
        <w:t>flight management is primarily supportive, focusing on airway protection and hemodynamic stability. Rapid recognition using stroke scales (FAST : Face drooping, Arm weakness, Speech dif</w:t>
      </w:r>
      <w:r w:rsidRPr="005F3E83">
        <w:rPr>
          <w:rFonts w:asciiTheme="minorHAnsi" w:hAnsiTheme="minorHAnsi" w:cstheme="minorHAnsi"/>
          <w:color w:val="0F1115"/>
        </w:rPr>
        <w:t>ficulties, and Time to call emergency services) and immediate communication with ground</w:t>
      </w:r>
      <w:r w:rsidRPr="005F3E83">
        <w:rPr>
          <w:rFonts w:ascii="Cambria Math" w:hAnsi="Cambria Math" w:cs="Cambria Math"/>
          <w:color w:val="0F1115"/>
        </w:rPr>
        <w:t>‑</w:t>
      </w:r>
      <w:r w:rsidRPr="005F3E83">
        <w:rPr>
          <w:rFonts w:ascii="Calibri" w:hAnsi="Calibri" w:cs="Calibri"/>
          <w:color w:val="0F1115"/>
        </w:rPr>
        <w:t>based support are vital to facilitate the fastest possible diversion to a stroke</w:t>
      </w:r>
      <w:r w:rsidRPr="005F3E83">
        <w:rPr>
          <w:rFonts w:ascii="Cambria Math" w:hAnsi="Cambria Math" w:cs="Cambria Math"/>
          <w:color w:val="0F1115"/>
        </w:rPr>
        <w:t>‑</w:t>
      </w:r>
      <w:r w:rsidRPr="005F3E83">
        <w:rPr>
          <w:rFonts w:ascii="Calibri" w:hAnsi="Calibri" w:cs="Calibri"/>
          <w:color w:val="0F1115"/>
        </w:rPr>
        <w:t>capable center (Hov &amp; Larsen, 2025). Time</w:t>
      </w:r>
      <w:r w:rsidRPr="005F3E83">
        <w:rPr>
          <w:rFonts w:ascii="Cambria Math" w:hAnsi="Cambria Math" w:cs="Cambria Math"/>
          <w:color w:val="0F1115"/>
        </w:rPr>
        <w:t>‑</w:t>
      </w:r>
      <w:r w:rsidRPr="005F3E83">
        <w:rPr>
          <w:rFonts w:ascii="Calibri" w:hAnsi="Calibri" w:cs="Calibri"/>
          <w:color w:val="0F1115"/>
        </w:rPr>
        <w:t>dependent treatments such as thrombolysis mak</w:t>
      </w:r>
      <w:r w:rsidRPr="005F3E83">
        <w:rPr>
          <w:rFonts w:asciiTheme="minorHAnsi" w:hAnsiTheme="minorHAnsi" w:cstheme="minorHAnsi"/>
          <w:color w:val="0F1115"/>
        </w:rPr>
        <w:t>e minimizing ground transfer time paramount.</w:t>
      </w:r>
    </w:p>
    <w:p w14:paraId="21C18FD1" w14:textId="77777777" w:rsidR="00726424" w:rsidRPr="005F3E83" w:rsidRDefault="00726424" w:rsidP="00F27E25">
      <w:pPr>
        <w:spacing w:after="0" w:line="240" w:lineRule="auto"/>
        <w:rPr>
          <w:rFonts w:eastAsia="Times New Roman" w:cstheme="minorHAnsi"/>
          <w:sz w:val="24"/>
          <w:szCs w:val="24"/>
          <w:lang w:eastAsia="fr-FR"/>
        </w:rPr>
      </w:pPr>
    </w:p>
    <w:p w14:paraId="19B70D89" w14:textId="77777777" w:rsidR="00F27E25" w:rsidRPr="005F3E83" w:rsidRDefault="00F27E25" w:rsidP="00726424">
      <w:pPr>
        <w:shd w:val="clear" w:color="auto" w:fill="FFFFFF"/>
        <w:spacing w:before="113" w:after="113" w:line="240" w:lineRule="auto"/>
        <w:rPr>
          <w:rFonts w:eastAsia="Times New Roman" w:cstheme="minorHAnsi"/>
          <w:b/>
          <w:bCs/>
          <w:color w:val="0F1115"/>
          <w:sz w:val="24"/>
          <w:szCs w:val="24"/>
          <w:lang w:eastAsia="fr-FR"/>
        </w:rPr>
      </w:pPr>
    </w:p>
    <w:p w14:paraId="1E8EF49F" w14:textId="77777777" w:rsidR="00F27E25" w:rsidRPr="005F3E83" w:rsidRDefault="00F27E25" w:rsidP="00726424">
      <w:pPr>
        <w:shd w:val="clear" w:color="auto" w:fill="FFFFFF"/>
        <w:spacing w:before="113" w:after="113" w:line="240" w:lineRule="auto"/>
        <w:rPr>
          <w:rFonts w:eastAsia="Times New Roman" w:cstheme="minorHAnsi"/>
          <w:b/>
          <w:bCs/>
          <w:color w:val="0F1115"/>
          <w:sz w:val="24"/>
          <w:szCs w:val="24"/>
          <w:lang w:eastAsia="fr-FR"/>
        </w:rPr>
      </w:pPr>
    </w:p>
    <w:p w14:paraId="6D4B45E9" w14:textId="77777777" w:rsidR="00F27E25" w:rsidRPr="005F3E83" w:rsidRDefault="00F27E25" w:rsidP="00726424">
      <w:pPr>
        <w:shd w:val="clear" w:color="auto" w:fill="FFFFFF"/>
        <w:spacing w:before="113" w:after="113" w:line="240" w:lineRule="auto"/>
        <w:rPr>
          <w:rFonts w:eastAsia="Times New Roman" w:cstheme="minorHAnsi"/>
          <w:b/>
          <w:bCs/>
          <w:color w:val="0F1115"/>
          <w:sz w:val="24"/>
          <w:szCs w:val="24"/>
          <w:lang w:eastAsia="fr-FR"/>
        </w:rPr>
      </w:pPr>
    </w:p>
    <w:p w14:paraId="7BC5E6CA" w14:textId="77777777" w:rsidR="00F27E25" w:rsidRPr="005F3E83" w:rsidRDefault="00726424" w:rsidP="00726424">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24"/>
          <w:szCs w:val="24"/>
          <w:lang w:eastAsia="fr-FR"/>
        </w:rPr>
        <w:t xml:space="preserve"> </w:t>
      </w:r>
      <w:r w:rsidRPr="005F3E83">
        <w:rPr>
          <w:rFonts w:eastAsia="Times New Roman" w:cstheme="minorHAnsi"/>
          <w:b/>
          <w:bCs/>
          <w:color w:val="0F1115"/>
          <w:sz w:val="32"/>
          <w:szCs w:val="32"/>
          <w:lang w:eastAsia="fr-FR"/>
        </w:rPr>
        <w:t xml:space="preserve">The Response </w:t>
      </w:r>
      <w:proofErr w:type="gramStart"/>
      <w:r w:rsidRPr="005F3E83">
        <w:rPr>
          <w:rFonts w:eastAsia="Times New Roman" w:cstheme="minorHAnsi"/>
          <w:b/>
          <w:bCs/>
          <w:color w:val="0F1115"/>
          <w:sz w:val="32"/>
          <w:szCs w:val="32"/>
          <w:lang w:eastAsia="fr-FR"/>
        </w:rPr>
        <w:t>System:</w:t>
      </w:r>
      <w:proofErr w:type="gramEnd"/>
      <w:r w:rsidRPr="005F3E83">
        <w:rPr>
          <w:rFonts w:eastAsia="Times New Roman" w:cstheme="minorHAnsi"/>
          <w:b/>
          <w:bCs/>
          <w:color w:val="0F1115"/>
          <w:sz w:val="32"/>
          <w:szCs w:val="32"/>
          <w:lang w:eastAsia="fr-FR"/>
        </w:rPr>
        <w:t xml:space="preserve"> Infrastructure, Personnel, and Protocols</w:t>
      </w:r>
    </w:p>
    <w:p w14:paraId="7233C9FE" w14:textId="77777777" w:rsidR="00F27E25" w:rsidRPr="005F3E83" w:rsidRDefault="00F27E25" w:rsidP="00F27E25">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 xml:space="preserve">Cabin </w:t>
      </w:r>
      <w:proofErr w:type="gramStart"/>
      <w:r w:rsidRPr="005F3E83">
        <w:rPr>
          <w:rFonts w:asciiTheme="minorHAnsi" w:hAnsiTheme="minorHAnsi" w:cstheme="minorHAnsi"/>
          <w:b/>
          <w:bCs/>
        </w:rPr>
        <w:t>Crew:</w:t>
      </w:r>
      <w:proofErr w:type="gramEnd"/>
      <w:r w:rsidRPr="005F3E83">
        <w:rPr>
          <w:rFonts w:asciiTheme="minorHAnsi" w:hAnsiTheme="minorHAnsi" w:cstheme="minorHAnsi"/>
          <w:b/>
          <w:bCs/>
        </w:rPr>
        <w:t xml:space="preserve"> The First Responders</w:t>
      </w:r>
      <w:r w:rsidRPr="005F3E83">
        <w:rPr>
          <w:rFonts w:asciiTheme="minorHAnsi" w:hAnsiTheme="minorHAnsi" w:cstheme="minorHAnsi"/>
          <w:color w:val="0F1115"/>
        </w:rPr>
        <w:br/>
        <w:t xml:space="preserve">Flight attendants are the cornerstone of the IME response system. Their training, mandated by international aviation regulations, covers basic life support (BLS), </w:t>
      </w:r>
      <w:r w:rsidR="002A7D06" w:rsidRPr="005F3E83">
        <w:rPr>
          <w:rFonts w:asciiTheme="minorHAnsi" w:hAnsiTheme="minorHAnsi" w:cstheme="minorHAnsi"/>
          <w:bCs/>
        </w:rPr>
        <w:t>Automated External Defibrillator</w:t>
      </w:r>
      <w:r w:rsidR="002A7D06" w:rsidRPr="005F3E83">
        <w:rPr>
          <w:rFonts w:asciiTheme="minorHAnsi" w:hAnsiTheme="minorHAnsi" w:cstheme="minorHAnsi"/>
          <w:color w:val="0F1115"/>
        </w:rPr>
        <w:t xml:space="preserve"> (</w:t>
      </w:r>
      <w:r w:rsidRPr="005F3E83">
        <w:rPr>
          <w:rFonts w:asciiTheme="minorHAnsi" w:hAnsiTheme="minorHAnsi" w:cstheme="minorHAnsi"/>
          <w:color w:val="0F1115"/>
        </w:rPr>
        <w:t>AED</w:t>
      </w:r>
      <w:r w:rsidR="002A7D06" w:rsidRPr="005F3E83">
        <w:rPr>
          <w:rFonts w:asciiTheme="minorHAnsi" w:hAnsiTheme="minorHAnsi" w:cstheme="minorHAnsi"/>
          <w:color w:val="0F1115"/>
        </w:rPr>
        <w:t>)</w:t>
      </w:r>
      <w:r w:rsidRPr="005F3E83">
        <w:rPr>
          <w:rFonts w:asciiTheme="minorHAnsi" w:hAnsiTheme="minorHAnsi" w:cstheme="minorHAnsi"/>
          <w:color w:val="0F1115"/>
        </w:rPr>
        <w:t xml:space="preserve"> operation, first aid, and the use of the onboard medical kit. However, systematic reviews highlight significant variability in the duration, frequency, and depth of this training across airlines and regions (Hinkelbein et al., 2017). Enhancing training through regular, high</w:t>
      </w:r>
      <w:r w:rsidRPr="005F3E83">
        <w:rPr>
          <w:rFonts w:asciiTheme="minorHAnsi" w:hAnsiTheme="minorHAnsi" w:cstheme="minorHAnsi"/>
          <w:color w:val="0F1115"/>
        </w:rPr>
        <w:noBreakHyphen/>
        <w:t>fidelity simulations that replicate the confined, noisy, and stressful cabin environment is a widely endorsed recommendation to improve crew confidence and competency.</w:t>
      </w:r>
    </w:p>
    <w:p w14:paraId="47D903CB" w14:textId="77777777" w:rsidR="00F27E25" w:rsidRPr="005F3E83" w:rsidRDefault="00F27E25" w:rsidP="00F27E25">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Onboard Medical Equipment</w:t>
      </w:r>
      <w:r w:rsidRPr="005F3E83">
        <w:rPr>
          <w:rFonts w:asciiTheme="minorHAnsi" w:hAnsiTheme="minorHAnsi" w:cstheme="minorHAnsi"/>
          <w:color w:val="0F1115"/>
        </w:rPr>
        <w:br/>
        <w:t>Commercial aircraft are required to carry standardized emergency medical equipment. The Emergency Medical Kit (EMK) is a </w:t>
      </w:r>
      <w:r w:rsidRPr="005F3E83">
        <w:rPr>
          <w:rFonts w:asciiTheme="minorHAnsi" w:hAnsiTheme="minorHAnsi" w:cstheme="minorHAnsi"/>
          <w:bCs/>
        </w:rPr>
        <w:t>physician</w:t>
      </w:r>
      <w:r w:rsidRPr="005F3E83">
        <w:rPr>
          <w:rFonts w:asciiTheme="minorHAnsi" w:hAnsiTheme="minorHAnsi" w:cstheme="minorHAnsi"/>
          <w:bCs/>
        </w:rPr>
        <w:noBreakHyphen/>
        <w:t>directed</w:t>
      </w:r>
      <w:r w:rsidRPr="005F3E83">
        <w:rPr>
          <w:rFonts w:asciiTheme="minorHAnsi" w:hAnsiTheme="minorHAnsi" w:cstheme="minorHAnsi"/>
          <w:color w:val="0F1115"/>
        </w:rPr>
        <w:t> kit, typically containing medications (epinephrine, antihistamines, nitroglycerin, aspirin, analgesics, antiemetics, sedatives), intravenous supplies, and basic instruments (stethoscope, sphygmomanometer). The Automated External Defibrillator (AED) is a separate, critical device. The contents are regulated by bodies like the U.S. Federal Aviation Administration (FAA) and the European Union Aviation Safety Agency (EASA). Familiarity with the specific contents and locations of these kits is essential for any responding healthcare professional (Brownlee, 2021).</w:t>
      </w:r>
    </w:p>
    <w:p w14:paraId="6B735996" w14:textId="77777777" w:rsidR="00F27E25" w:rsidRPr="005F3E83" w:rsidRDefault="00F27E25" w:rsidP="00F27E25">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Ground</w:t>
      </w:r>
      <w:r w:rsidRPr="005F3E83">
        <w:rPr>
          <w:rFonts w:asciiTheme="minorHAnsi" w:hAnsiTheme="minorHAnsi" w:cstheme="minorHAnsi"/>
          <w:b/>
          <w:bCs/>
        </w:rPr>
        <w:noBreakHyphen/>
        <w:t>Based Telemedical Support</w:t>
      </w:r>
      <w:r w:rsidRPr="005F3E83">
        <w:rPr>
          <w:rFonts w:asciiTheme="minorHAnsi" w:hAnsiTheme="minorHAnsi" w:cstheme="minorHAnsi"/>
          <w:color w:val="0F1115"/>
        </w:rPr>
        <w:br/>
        <w:t xml:space="preserve">Virtually all major airlines contract with specialized medical communication centers staffed </w:t>
      </w:r>
      <w:r w:rsidRPr="005F3E83">
        <w:rPr>
          <w:rFonts w:asciiTheme="minorHAnsi" w:hAnsiTheme="minorHAnsi" w:cstheme="minorHAnsi"/>
          <w:color w:val="0F1115"/>
        </w:rPr>
        <w:lastRenderedPageBreak/>
        <w:t>by physicians experienced in aviation medicine. When an IME occurs, the cabin crew contacts this center via satellite communication. The ground physician can then provide </w:t>
      </w:r>
      <w:r w:rsidRPr="005F3E83">
        <w:rPr>
          <w:rFonts w:asciiTheme="minorHAnsi" w:hAnsiTheme="minorHAnsi" w:cstheme="minorHAnsi"/>
          <w:bCs/>
        </w:rPr>
        <w:t>real</w:t>
      </w:r>
      <w:r w:rsidRPr="005F3E83">
        <w:rPr>
          <w:rFonts w:asciiTheme="minorHAnsi" w:hAnsiTheme="minorHAnsi" w:cstheme="minorHAnsi"/>
          <w:bCs/>
        </w:rPr>
        <w:noBreakHyphen/>
        <w:t>time</w:t>
      </w:r>
      <w:r w:rsidRPr="005F3E83">
        <w:rPr>
          <w:rFonts w:asciiTheme="minorHAnsi" w:hAnsiTheme="minorHAnsi" w:cstheme="minorHAnsi"/>
          <w:color w:val="0F1115"/>
        </w:rPr>
        <w:t> diagnostic and therapeutic guidance, authorize the use of specific medications from the EMK, and assist in the critical decision regarding aircraft diversion. This telemedical link effectively brings specialist consultation into the cabin and is a proven component of effective IME management (Kim et al., 2025).</w:t>
      </w:r>
    </w:p>
    <w:p w14:paraId="4340BD56" w14:textId="77777777" w:rsidR="00F27E25" w:rsidRPr="005F3E83" w:rsidRDefault="00F27E25" w:rsidP="00F27E25">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b/>
          <w:bCs/>
        </w:rPr>
        <w:t>The Volunteer Healthcare Professional</w:t>
      </w:r>
      <w:r w:rsidRPr="005F3E83">
        <w:rPr>
          <w:rFonts w:asciiTheme="minorHAnsi" w:hAnsiTheme="minorHAnsi" w:cstheme="minorHAnsi"/>
          <w:color w:val="0F1115"/>
        </w:rPr>
        <w:br/>
        <w:t xml:space="preserve">The call for “Is there a doctor on </w:t>
      </w:r>
      <w:proofErr w:type="gramStart"/>
      <w:r w:rsidRPr="005F3E83">
        <w:rPr>
          <w:rFonts w:asciiTheme="minorHAnsi" w:hAnsiTheme="minorHAnsi" w:cstheme="minorHAnsi"/>
          <w:color w:val="0F1115"/>
        </w:rPr>
        <w:t>board?</w:t>
      </w:r>
      <w:proofErr w:type="gramEnd"/>
      <w:r w:rsidRPr="005F3E83">
        <w:rPr>
          <w:rFonts w:asciiTheme="minorHAnsi" w:hAnsiTheme="minorHAnsi" w:cstheme="minorHAnsi"/>
          <w:color w:val="0F1115"/>
        </w:rPr>
        <w:t xml:space="preserve">” is a familiar trope and a real protocol. Physicians, nurses, paramedics, and other licensed providers who volunteer face a challenging </w:t>
      </w:r>
      <w:proofErr w:type="gramStart"/>
      <w:r w:rsidRPr="005F3E83">
        <w:rPr>
          <w:rFonts w:asciiTheme="minorHAnsi" w:hAnsiTheme="minorHAnsi" w:cstheme="minorHAnsi"/>
          <w:color w:val="0F1115"/>
        </w:rPr>
        <w:t>situation:</w:t>
      </w:r>
      <w:proofErr w:type="gramEnd"/>
      <w:r w:rsidRPr="005F3E83">
        <w:rPr>
          <w:rFonts w:asciiTheme="minorHAnsi" w:hAnsiTheme="minorHAnsi" w:cstheme="minorHAnsi"/>
          <w:color w:val="0F1115"/>
        </w:rPr>
        <w:t xml:space="preserve"> practicing outside their usual environment with limited tools and under significant pressure. Their role is typically to assist the crew, provide a more detailed assessment, and execute treatments under the direction of the ground physician. Their value is well documented, often leading to more appropriate use of the EMK and supporting complex decision</w:t>
      </w:r>
      <w:r w:rsidRPr="005F3E83">
        <w:rPr>
          <w:rFonts w:asciiTheme="minorHAnsi" w:hAnsiTheme="minorHAnsi" w:cstheme="minorHAnsi"/>
          <w:color w:val="0F1115"/>
        </w:rPr>
        <w:noBreakHyphen/>
        <w:t>making.</w:t>
      </w:r>
    </w:p>
    <w:p w14:paraId="25AC712C" w14:textId="77777777" w:rsidR="004E4D64" w:rsidRPr="005F3E83" w:rsidRDefault="004E4D64" w:rsidP="00F27E25">
      <w:pPr>
        <w:pStyle w:val="ds-markdown-paragraph"/>
        <w:shd w:val="clear" w:color="auto" w:fill="FFFFFF"/>
        <w:spacing w:before="175" w:beforeAutospacing="0" w:after="175" w:afterAutospacing="0"/>
        <w:rPr>
          <w:rFonts w:asciiTheme="minorHAnsi" w:hAnsiTheme="minorHAnsi" w:cstheme="minorHAnsi"/>
          <w:color w:val="0F1115"/>
        </w:rPr>
      </w:pPr>
    </w:p>
    <w:p w14:paraId="637E7229" w14:textId="77777777" w:rsidR="00FD2144" w:rsidRPr="005F3E83" w:rsidRDefault="00726424" w:rsidP="00726424">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b/>
          <w:bCs/>
          <w:color w:val="0F1115"/>
          <w:sz w:val="32"/>
          <w:szCs w:val="32"/>
          <w:lang w:eastAsia="fr-FR"/>
        </w:rPr>
        <w:t>Operational Decision</w:t>
      </w:r>
      <w:r w:rsidRPr="005F3E83">
        <w:rPr>
          <w:rFonts w:eastAsia="Times New Roman" w:cstheme="minorHAnsi"/>
          <w:b/>
          <w:bCs/>
          <w:color w:val="0F1115"/>
          <w:sz w:val="32"/>
          <w:szCs w:val="32"/>
          <w:lang w:eastAsia="fr-FR"/>
        </w:rPr>
        <w:noBreakHyphen/>
      </w:r>
      <w:proofErr w:type="gramStart"/>
      <w:r w:rsidRPr="005F3E83">
        <w:rPr>
          <w:rFonts w:eastAsia="Times New Roman" w:cstheme="minorHAnsi"/>
          <w:b/>
          <w:bCs/>
          <w:color w:val="0F1115"/>
          <w:sz w:val="32"/>
          <w:szCs w:val="32"/>
          <w:lang w:eastAsia="fr-FR"/>
        </w:rPr>
        <w:t>Making:</w:t>
      </w:r>
      <w:proofErr w:type="gramEnd"/>
      <w:r w:rsidRPr="005F3E83">
        <w:rPr>
          <w:rFonts w:eastAsia="Times New Roman" w:cstheme="minorHAnsi"/>
          <w:b/>
          <w:bCs/>
          <w:color w:val="0F1115"/>
          <w:sz w:val="32"/>
          <w:szCs w:val="32"/>
          <w:lang w:eastAsia="fr-FR"/>
        </w:rPr>
        <w:t xml:space="preserve"> The Diversion Calculus</w:t>
      </w:r>
    </w:p>
    <w:p w14:paraId="04EE6C2F"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color w:val="0F1115"/>
        </w:rPr>
        <w:t>The decision to divert an aircraft for a medical emergency is complex, involving clinical, operational, and economic considerations. The pilot in command has ultimate authority, guided by input from the cabin crew, any assisting medical professional, and the </w:t>
      </w:r>
      <w:r w:rsidRPr="005F3E83">
        <w:rPr>
          <w:rFonts w:asciiTheme="minorHAnsi" w:hAnsiTheme="minorHAnsi" w:cstheme="minorHAnsi"/>
          <w:bCs/>
        </w:rPr>
        <w:t>ground</w:t>
      </w:r>
      <w:r w:rsidRPr="005F3E83">
        <w:rPr>
          <w:rFonts w:asciiTheme="minorHAnsi" w:hAnsiTheme="minorHAnsi" w:cstheme="minorHAnsi"/>
          <w:bCs/>
        </w:rPr>
        <w:noBreakHyphen/>
        <w:t>based</w:t>
      </w:r>
      <w:r w:rsidRPr="005F3E83">
        <w:rPr>
          <w:rFonts w:asciiTheme="minorHAnsi" w:hAnsiTheme="minorHAnsi" w:cstheme="minorHAnsi"/>
          <w:color w:val="0F1115"/>
        </w:rPr>
        <w:t xml:space="preserve"> physician. Key factors </w:t>
      </w:r>
      <w:proofErr w:type="gramStart"/>
      <w:r w:rsidRPr="005F3E83">
        <w:rPr>
          <w:rFonts w:asciiTheme="minorHAnsi" w:hAnsiTheme="minorHAnsi" w:cstheme="minorHAnsi"/>
          <w:color w:val="0F1115"/>
        </w:rPr>
        <w:t>include:</w:t>
      </w:r>
      <w:proofErr w:type="gramEnd"/>
    </w:p>
    <w:p w14:paraId="49B90005"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proofErr w:type="gramStart"/>
      <w:r w:rsidRPr="005F3E83">
        <w:rPr>
          <w:rFonts w:asciiTheme="minorHAnsi" w:hAnsiTheme="minorHAnsi" w:cstheme="minorHAnsi"/>
          <w:b/>
          <w:color w:val="0F1115"/>
        </w:rPr>
        <w:t>clinical</w:t>
      </w:r>
      <w:proofErr w:type="gramEnd"/>
      <w:r w:rsidRPr="005F3E83">
        <w:rPr>
          <w:rFonts w:asciiTheme="minorHAnsi" w:hAnsiTheme="minorHAnsi" w:cstheme="minorHAnsi"/>
          <w:b/>
          <w:color w:val="0F1115"/>
        </w:rPr>
        <w:t xml:space="preserve"> urgency:</w:t>
      </w:r>
      <w:r w:rsidRPr="005F3E83">
        <w:rPr>
          <w:rFonts w:asciiTheme="minorHAnsi" w:hAnsiTheme="minorHAnsi" w:cstheme="minorHAnsi"/>
          <w:color w:val="0F1115"/>
        </w:rPr>
        <w:t xml:space="preserve"> Is the condition immediately </w:t>
      </w:r>
      <w:r w:rsidRPr="005F3E83">
        <w:rPr>
          <w:rFonts w:asciiTheme="minorHAnsi" w:hAnsiTheme="minorHAnsi" w:cstheme="minorHAnsi"/>
          <w:b/>
          <w:bCs/>
        </w:rPr>
        <w:t>life</w:t>
      </w:r>
      <w:r w:rsidRPr="005F3E83">
        <w:rPr>
          <w:rFonts w:asciiTheme="minorHAnsi" w:hAnsiTheme="minorHAnsi" w:cstheme="minorHAnsi"/>
          <w:b/>
          <w:bCs/>
        </w:rPr>
        <w:noBreakHyphen/>
        <w:t>threatening</w:t>
      </w:r>
      <w:r w:rsidRPr="005F3E83">
        <w:rPr>
          <w:rFonts w:asciiTheme="minorHAnsi" w:hAnsiTheme="minorHAnsi" w:cstheme="minorHAnsi"/>
          <w:color w:val="0F1115"/>
        </w:rPr>
        <w:t> or </w:t>
      </w:r>
      <w:r w:rsidRPr="005F3E83">
        <w:rPr>
          <w:rFonts w:asciiTheme="minorHAnsi" w:hAnsiTheme="minorHAnsi" w:cstheme="minorHAnsi"/>
          <w:b/>
          <w:bCs/>
        </w:rPr>
        <w:t>time</w:t>
      </w:r>
      <w:r w:rsidRPr="005F3E83">
        <w:rPr>
          <w:rFonts w:asciiTheme="minorHAnsi" w:hAnsiTheme="minorHAnsi" w:cstheme="minorHAnsi"/>
          <w:b/>
          <w:bCs/>
        </w:rPr>
        <w:noBreakHyphen/>
        <w:t>sensitive</w:t>
      </w:r>
      <w:r w:rsidRPr="005F3E83">
        <w:rPr>
          <w:rFonts w:asciiTheme="minorHAnsi" w:hAnsiTheme="minorHAnsi" w:cstheme="minorHAnsi"/>
          <w:color w:val="0F1115"/>
        </w:rPr>
        <w:t> (cardiac arrest, stroke, obstructed airway)?</w:t>
      </w:r>
    </w:p>
    <w:p w14:paraId="59429B74"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proofErr w:type="gramStart"/>
      <w:r w:rsidRPr="005F3E83">
        <w:rPr>
          <w:rFonts w:asciiTheme="minorHAnsi" w:hAnsiTheme="minorHAnsi" w:cstheme="minorHAnsi"/>
          <w:b/>
          <w:color w:val="0F1115"/>
        </w:rPr>
        <w:t>stabilization</w:t>
      </w:r>
      <w:proofErr w:type="gramEnd"/>
      <w:r w:rsidRPr="005F3E83">
        <w:rPr>
          <w:rFonts w:asciiTheme="minorHAnsi" w:hAnsiTheme="minorHAnsi" w:cstheme="minorHAnsi"/>
          <w:b/>
          <w:color w:val="0F1115"/>
        </w:rPr>
        <w:t xml:space="preserve"> potential</w:t>
      </w:r>
      <w:r w:rsidRPr="005F3E83">
        <w:rPr>
          <w:rFonts w:asciiTheme="minorHAnsi" w:hAnsiTheme="minorHAnsi" w:cstheme="minorHAnsi"/>
          <w:color w:val="0F1115"/>
        </w:rPr>
        <w:t>: Can the condition be adequately managed onboard until the scheduled destination?</w:t>
      </w:r>
    </w:p>
    <w:p w14:paraId="6B529099"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proofErr w:type="gramStart"/>
      <w:r w:rsidRPr="005F3E83">
        <w:rPr>
          <w:rFonts w:asciiTheme="minorHAnsi" w:hAnsiTheme="minorHAnsi" w:cstheme="minorHAnsi"/>
          <w:b/>
          <w:color w:val="0F1115"/>
        </w:rPr>
        <w:t>proximity</w:t>
      </w:r>
      <w:proofErr w:type="gramEnd"/>
      <w:r w:rsidRPr="005F3E83">
        <w:rPr>
          <w:rFonts w:asciiTheme="minorHAnsi" w:hAnsiTheme="minorHAnsi" w:cstheme="minorHAnsi"/>
          <w:b/>
          <w:color w:val="0F1115"/>
        </w:rPr>
        <w:t xml:space="preserve"> to suitable airport</w:t>
      </w:r>
      <w:r w:rsidRPr="005F3E83">
        <w:rPr>
          <w:rFonts w:asciiTheme="minorHAnsi" w:hAnsiTheme="minorHAnsi" w:cstheme="minorHAnsi"/>
          <w:color w:val="0F1115"/>
        </w:rPr>
        <w:t>: Is there an airport with adequate medical facilities within a reasonable flying time?</w:t>
      </w:r>
    </w:p>
    <w:p w14:paraId="59822728"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proofErr w:type="gramStart"/>
      <w:r w:rsidRPr="005F3E83">
        <w:rPr>
          <w:rFonts w:asciiTheme="minorHAnsi" w:hAnsiTheme="minorHAnsi" w:cstheme="minorHAnsi"/>
          <w:b/>
          <w:color w:val="0F1115"/>
        </w:rPr>
        <w:t>aircraft</w:t>
      </w:r>
      <w:proofErr w:type="gramEnd"/>
      <w:r w:rsidRPr="005F3E83">
        <w:rPr>
          <w:rFonts w:asciiTheme="minorHAnsi" w:hAnsiTheme="minorHAnsi" w:cstheme="minorHAnsi"/>
          <w:b/>
          <w:color w:val="0F1115"/>
        </w:rPr>
        <w:t xml:space="preserve"> capabilities</w:t>
      </w:r>
      <w:r w:rsidRPr="005F3E83">
        <w:rPr>
          <w:rFonts w:asciiTheme="minorHAnsi" w:hAnsiTheme="minorHAnsi" w:cstheme="minorHAnsi"/>
          <w:color w:val="0F1115"/>
        </w:rPr>
        <w:t xml:space="preserve">: Does the aircraft have sufficient fuel to reach an alternate airport? What are the weather and landing conditions at potential diversion </w:t>
      </w:r>
      <w:proofErr w:type="gramStart"/>
      <w:r w:rsidRPr="005F3E83">
        <w:rPr>
          <w:rFonts w:asciiTheme="minorHAnsi" w:hAnsiTheme="minorHAnsi" w:cstheme="minorHAnsi"/>
          <w:color w:val="0F1115"/>
        </w:rPr>
        <w:t>sites?</w:t>
      </w:r>
      <w:proofErr w:type="gramEnd"/>
    </w:p>
    <w:p w14:paraId="712500D2"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proofErr w:type="gramStart"/>
      <w:r w:rsidRPr="005F3E83">
        <w:rPr>
          <w:rFonts w:asciiTheme="minorHAnsi" w:hAnsiTheme="minorHAnsi" w:cstheme="minorHAnsi"/>
          <w:b/>
          <w:color w:val="0F1115"/>
        </w:rPr>
        <w:t>operational</w:t>
      </w:r>
      <w:proofErr w:type="gramEnd"/>
      <w:r w:rsidRPr="005F3E83">
        <w:rPr>
          <w:rFonts w:asciiTheme="minorHAnsi" w:hAnsiTheme="minorHAnsi" w:cstheme="minorHAnsi"/>
          <w:b/>
          <w:color w:val="0F1115"/>
        </w:rPr>
        <w:t xml:space="preserve"> impact</w:t>
      </w:r>
      <w:r w:rsidRPr="005F3E83">
        <w:rPr>
          <w:rFonts w:asciiTheme="minorHAnsi" w:hAnsiTheme="minorHAnsi" w:cstheme="minorHAnsi"/>
          <w:color w:val="0F1115"/>
        </w:rPr>
        <w:t>: Diversion incurs significant costs (fuel, landing fees, passenger </w:t>
      </w:r>
      <w:r w:rsidRPr="005F3E83">
        <w:rPr>
          <w:rFonts w:asciiTheme="minorHAnsi" w:hAnsiTheme="minorHAnsi" w:cstheme="minorHAnsi"/>
          <w:b/>
          <w:bCs/>
        </w:rPr>
        <w:t>re</w:t>
      </w:r>
      <w:r w:rsidRPr="005F3E83">
        <w:rPr>
          <w:rFonts w:asciiTheme="minorHAnsi" w:hAnsiTheme="minorHAnsi" w:cstheme="minorHAnsi"/>
          <w:b/>
          <w:bCs/>
        </w:rPr>
        <w:noBreakHyphen/>
        <w:t>accommodation</w:t>
      </w:r>
      <w:r w:rsidRPr="005F3E83">
        <w:rPr>
          <w:rFonts w:asciiTheme="minorHAnsi" w:hAnsiTheme="minorHAnsi" w:cstheme="minorHAnsi"/>
          <w:color w:val="0F1115"/>
        </w:rPr>
        <w:t>) and disrupts schedules for hundreds of other passengers.</w:t>
      </w:r>
    </w:p>
    <w:p w14:paraId="339D6995" w14:textId="77777777" w:rsidR="009B3BD7" w:rsidRPr="005F3E83" w:rsidRDefault="009B3BD7" w:rsidP="009B3BD7">
      <w:pPr>
        <w:pStyle w:val="ds-markdown-paragraph"/>
        <w:shd w:val="clear" w:color="auto" w:fill="FFFFFF"/>
        <w:spacing w:before="0" w:beforeAutospacing="0" w:after="0" w:afterAutospacing="0"/>
        <w:rPr>
          <w:rFonts w:asciiTheme="minorHAnsi" w:hAnsiTheme="minorHAnsi" w:cstheme="minorHAnsi"/>
          <w:color w:val="0F1115"/>
        </w:rPr>
      </w:pPr>
      <w:r w:rsidRPr="005F3E83">
        <w:rPr>
          <w:rFonts w:asciiTheme="minorHAnsi" w:hAnsiTheme="minorHAnsi" w:cstheme="minorHAnsi"/>
          <w:color w:val="0F1115"/>
        </w:rPr>
        <w:t>Studies show that only a small minority of IMEs (approximately 4</w:t>
      </w:r>
      <w:r w:rsidRPr="005F3E83">
        <w:rPr>
          <w:rFonts w:asciiTheme="minorHAnsi" w:hAnsiTheme="minorHAnsi" w:cstheme="minorHAnsi"/>
          <w:b/>
          <w:bCs/>
        </w:rPr>
        <w:t>–</w:t>
      </w:r>
      <w:r w:rsidRPr="005F3E83">
        <w:rPr>
          <w:rFonts w:asciiTheme="minorHAnsi" w:hAnsiTheme="minorHAnsi" w:cstheme="minorHAnsi"/>
          <w:color w:val="0F1115"/>
        </w:rPr>
        <w:t>7%) result in diversion, underscoring that most are managed successfully </w:t>
      </w:r>
      <w:r w:rsidRPr="005F3E83">
        <w:rPr>
          <w:rFonts w:asciiTheme="minorHAnsi" w:hAnsiTheme="minorHAnsi" w:cstheme="minorHAnsi"/>
          <w:b/>
          <w:bCs/>
        </w:rPr>
        <w:t>in</w:t>
      </w:r>
      <w:r w:rsidRPr="005F3E83">
        <w:rPr>
          <w:rFonts w:asciiTheme="minorHAnsi" w:hAnsiTheme="minorHAnsi" w:cstheme="minorHAnsi"/>
          <w:b/>
          <w:bCs/>
        </w:rPr>
        <w:noBreakHyphen/>
        <w:t>flight</w:t>
      </w:r>
      <w:r w:rsidRPr="005F3E83">
        <w:rPr>
          <w:rFonts w:asciiTheme="minorHAnsi" w:hAnsiTheme="minorHAnsi" w:cstheme="minorHAnsi"/>
          <w:color w:val="0F1115"/>
        </w:rPr>
        <w:t xml:space="preserve"> (Brady &amp; Nable, </w:t>
      </w:r>
      <w:proofErr w:type="gramStart"/>
      <w:r w:rsidRPr="005F3E83">
        <w:rPr>
          <w:rFonts w:asciiTheme="minorHAnsi" w:hAnsiTheme="minorHAnsi" w:cstheme="minorHAnsi"/>
          <w:color w:val="0F1115"/>
        </w:rPr>
        <w:t>2025;</w:t>
      </w:r>
      <w:proofErr w:type="gramEnd"/>
      <w:r w:rsidRPr="005F3E83">
        <w:rPr>
          <w:rFonts w:asciiTheme="minorHAnsi" w:hAnsiTheme="minorHAnsi" w:cstheme="minorHAnsi"/>
          <w:color w:val="0F1115"/>
        </w:rPr>
        <w:t xml:space="preserve"> Peterson et al., 2013).</w:t>
      </w:r>
    </w:p>
    <w:p w14:paraId="38E8452F" w14:textId="77777777" w:rsidR="009B3BD7" w:rsidRPr="005F3E83" w:rsidRDefault="009B3BD7" w:rsidP="009B3BD7">
      <w:pPr>
        <w:shd w:val="clear" w:color="auto" w:fill="FFFFFF"/>
        <w:spacing w:after="0" w:line="240" w:lineRule="auto"/>
        <w:rPr>
          <w:rFonts w:eastAsia="Times New Roman" w:cstheme="minorHAnsi"/>
          <w:color w:val="0F1115"/>
          <w:sz w:val="24"/>
          <w:szCs w:val="24"/>
          <w:lang w:eastAsia="fr-FR"/>
        </w:rPr>
      </w:pPr>
    </w:p>
    <w:p w14:paraId="41B2DD90" w14:textId="77777777" w:rsidR="00726424" w:rsidRPr="005F3E83" w:rsidRDefault="00726424" w:rsidP="00FD2144">
      <w:pPr>
        <w:spacing w:after="0" w:line="240" w:lineRule="auto"/>
        <w:rPr>
          <w:rFonts w:eastAsia="Times New Roman" w:cstheme="minorHAnsi"/>
          <w:sz w:val="24"/>
          <w:szCs w:val="24"/>
          <w:lang w:eastAsia="fr-FR"/>
        </w:rPr>
      </w:pPr>
    </w:p>
    <w:p w14:paraId="05EAADB7" w14:textId="77777777" w:rsidR="00FD2144" w:rsidRPr="005F3E83" w:rsidRDefault="00726424" w:rsidP="00726424">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24"/>
          <w:szCs w:val="24"/>
          <w:lang w:eastAsia="fr-FR"/>
        </w:rPr>
        <w:t xml:space="preserve"> </w:t>
      </w:r>
      <w:r w:rsidRPr="005F3E83">
        <w:rPr>
          <w:rFonts w:eastAsia="Times New Roman" w:cstheme="minorHAnsi"/>
          <w:b/>
          <w:bCs/>
          <w:color w:val="0F1115"/>
          <w:sz w:val="32"/>
          <w:szCs w:val="32"/>
          <w:lang w:eastAsia="fr-FR"/>
        </w:rPr>
        <w:t>Legal, Ethical, and Regulatory Frameworks</w:t>
      </w:r>
    </w:p>
    <w:p w14:paraId="1716F523" w14:textId="77777777" w:rsidR="009B3BD7" w:rsidRPr="005F3E83" w:rsidRDefault="009B3BD7" w:rsidP="00726424">
      <w:pPr>
        <w:shd w:val="clear" w:color="auto" w:fill="FFFFFF"/>
        <w:spacing w:before="113" w:after="113" w:line="240" w:lineRule="auto"/>
        <w:rPr>
          <w:rFonts w:eastAsia="Times New Roman" w:cstheme="minorHAnsi"/>
          <w:color w:val="0F1115"/>
          <w:sz w:val="24"/>
          <w:szCs w:val="24"/>
          <w:lang w:eastAsia="fr-FR"/>
        </w:rPr>
      </w:pPr>
    </w:p>
    <w:p w14:paraId="66C70745" w14:textId="77777777" w:rsidR="009B3BD7" w:rsidRPr="005F3E83" w:rsidRDefault="009B3BD7" w:rsidP="009B3BD7">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Good Samaritan Protections</w:t>
      </w:r>
      <w:r w:rsidRPr="005F3E83">
        <w:rPr>
          <w:rFonts w:asciiTheme="minorHAnsi" w:hAnsiTheme="minorHAnsi" w:cstheme="minorHAnsi"/>
          <w:color w:val="0F1115"/>
        </w:rPr>
        <w:br/>
        <w:t xml:space="preserve">A primary concern for potential volunteer responders is liability. Most jurisdictions have "Good Samaritan" laws designed to protect individuals who provide emergency assistance in good faith from civil liability. However, the applicability of these laws in international airspace or over foreign countries can be ambiguous. Airlines typically provide indemnity to volunteers, but the specific legal protections vary. This ambiguity can create a deterrent </w:t>
      </w:r>
      <w:r w:rsidRPr="005F3E83">
        <w:rPr>
          <w:rFonts w:asciiTheme="minorHAnsi" w:hAnsiTheme="minorHAnsi" w:cstheme="minorHAnsi"/>
          <w:color w:val="0F1115"/>
        </w:rPr>
        <w:lastRenderedPageBreak/>
        <w:t>effect, highlighting the need for clearer, internationally harmonized protections for healthcare professionals assisting</w:t>
      </w:r>
      <w:r w:rsidRPr="005F3E83">
        <w:rPr>
          <w:rFonts w:asciiTheme="minorHAnsi" w:hAnsiTheme="minorHAnsi" w:cstheme="minorHAnsi"/>
          <w:b/>
          <w:color w:val="0F1115"/>
        </w:rPr>
        <w:t> </w:t>
      </w:r>
      <w:r w:rsidRPr="005F3E83">
        <w:rPr>
          <w:rStyle w:val="Strong"/>
          <w:rFonts w:asciiTheme="minorHAnsi" w:hAnsiTheme="minorHAnsi" w:cstheme="minorHAnsi"/>
          <w:b w:val="0"/>
          <w:color w:val="0F1115"/>
        </w:rPr>
        <w:t>in</w:t>
      </w:r>
      <w:r w:rsidRPr="005F3E83">
        <w:rPr>
          <w:rStyle w:val="Strong"/>
          <w:rFonts w:asciiTheme="minorHAnsi" w:hAnsiTheme="minorHAnsi" w:cstheme="minorHAnsi"/>
          <w:b w:val="0"/>
          <w:color w:val="0F1115"/>
        </w:rPr>
        <w:noBreakHyphen/>
        <w:t>flight</w:t>
      </w:r>
      <w:r w:rsidRPr="005F3E83">
        <w:rPr>
          <w:rFonts w:asciiTheme="minorHAnsi" w:hAnsiTheme="minorHAnsi" w:cstheme="minorHAnsi"/>
          <w:b/>
          <w:color w:val="0F1115"/>
        </w:rPr>
        <w:t> (</w:t>
      </w:r>
      <w:r w:rsidRPr="005F3E83">
        <w:rPr>
          <w:rStyle w:val="Strong"/>
          <w:rFonts w:asciiTheme="minorHAnsi" w:hAnsiTheme="minorHAnsi" w:cstheme="minorHAnsi"/>
          <w:b w:val="0"/>
          <w:color w:val="0F1115"/>
        </w:rPr>
        <w:t xml:space="preserve">Çamcı, </w:t>
      </w:r>
      <w:proofErr w:type="gramStart"/>
      <w:r w:rsidRPr="005F3E83">
        <w:rPr>
          <w:rStyle w:val="Strong"/>
          <w:rFonts w:asciiTheme="minorHAnsi" w:hAnsiTheme="minorHAnsi" w:cstheme="minorHAnsi"/>
          <w:b w:val="0"/>
          <w:color w:val="0F1115"/>
        </w:rPr>
        <w:t>2023;</w:t>
      </w:r>
      <w:proofErr w:type="gramEnd"/>
      <w:r w:rsidRPr="005F3E83">
        <w:rPr>
          <w:rStyle w:val="Strong"/>
          <w:rFonts w:asciiTheme="minorHAnsi" w:hAnsiTheme="minorHAnsi" w:cstheme="minorHAnsi"/>
          <w:b w:val="0"/>
          <w:color w:val="0F1115"/>
        </w:rPr>
        <w:t xml:space="preserve"> Shepherd et al., 2006</w:t>
      </w:r>
      <w:r w:rsidRPr="005F3E83">
        <w:rPr>
          <w:rFonts w:asciiTheme="minorHAnsi" w:hAnsiTheme="minorHAnsi" w:cstheme="minorHAnsi"/>
          <w:color w:val="0F1115"/>
        </w:rPr>
        <w:t>).</w:t>
      </w:r>
    </w:p>
    <w:p w14:paraId="7C6ECDCF" w14:textId="77777777" w:rsidR="009B3BD7" w:rsidRPr="005F3E83" w:rsidRDefault="009B3BD7" w:rsidP="009B3BD7">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Regulatory Landscape</w:t>
      </w:r>
      <w:r w:rsidRPr="005F3E83">
        <w:rPr>
          <w:rFonts w:asciiTheme="minorHAnsi" w:hAnsiTheme="minorHAnsi" w:cstheme="minorHAnsi"/>
          <w:color w:val="0F1115"/>
        </w:rPr>
        <w:br/>
        <w:t>Aviation medical oversight is governed by international standards set by the International Civil Aviation Organization (ICAO) and implemented by national authorities such as the FAA and EASA. These regulations stipulate minimum requirements for crew training, medical kit contents, and communication systems. Ongoing efforts aim to standardize these requirements globally to ensure a consistent level of care across all airlines.</w:t>
      </w:r>
    </w:p>
    <w:p w14:paraId="41DA860B" w14:textId="77777777" w:rsidR="009B3BD7" w:rsidRPr="005F3E83" w:rsidRDefault="009B3BD7" w:rsidP="009B3BD7">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Ethical Considerations</w:t>
      </w:r>
      <w:r w:rsidRPr="005F3E83">
        <w:rPr>
          <w:rFonts w:asciiTheme="minorHAnsi" w:hAnsiTheme="minorHAnsi" w:cstheme="minorHAnsi"/>
          <w:color w:val="0F1115"/>
        </w:rPr>
        <w:br/>
        <w:t>Ethical dilemmas can arise, such as resource allocation in multiple </w:t>
      </w:r>
      <w:r w:rsidRPr="005F3E83">
        <w:rPr>
          <w:rStyle w:val="Strong"/>
          <w:rFonts w:asciiTheme="minorHAnsi" w:hAnsiTheme="minorHAnsi" w:cstheme="minorHAnsi"/>
          <w:b w:val="0"/>
          <w:color w:val="0F1115"/>
        </w:rPr>
        <w:t>simultaneous emergencies</w:t>
      </w:r>
      <w:r w:rsidRPr="005F3E83">
        <w:rPr>
          <w:rFonts w:asciiTheme="minorHAnsi" w:hAnsiTheme="minorHAnsi" w:cstheme="minorHAnsi"/>
          <w:b/>
          <w:color w:val="0F1115"/>
        </w:rPr>
        <w:t>,</w:t>
      </w:r>
      <w:r w:rsidRPr="005F3E83">
        <w:rPr>
          <w:rFonts w:asciiTheme="minorHAnsi" w:hAnsiTheme="minorHAnsi" w:cstheme="minorHAnsi"/>
          <w:color w:val="0F1115"/>
        </w:rPr>
        <w:t xml:space="preserve"> privacy concerns in a public cabin, and the duty of care owed by an airline to its passengers versus the voluntary nature of a healthcare professional's assistance. These scenarios, though rare, require clear protocols and ethical guidelines.</w:t>
      </w:r>
    </w:p>
    <w:p w14:paraId="775539F8" w14:textId="77777777" w:rsidR="00726424" w:rsidRPr="005F3E83" w:rsidRDefault="00726424" w:rsidP="00726424">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The Impact of the COVID-19 Pandemic</w:t>
      </w:r>
    </w:p>
    <w:p w14:paraId="1B9DE777" w14:textId="77777777" w:rsidR="009B3BD7" w:rsidRPr="005F3E83" w:rsidRDefault="009B3BD7" w:rsidP="00726424">
      <w:pPr>
        <w:shd w:val="clear" w:color="auto" w:fill="FFFFFF"/>
        <w:spacing w:before="113" w:after="113" w:line="240" w:lineRule="auto"/>
        <w:rPr>
          <w:rFonts w:eastAsia="Times New Roman" w:cstheme="minorHAnsi"/>
          <w:color w:val="0F1115"/>
          <w:sz w:val="24"/>
          <w:szCs w:val="24"/>
          <w:lang w:eastAsia="fr-FR"/>
        </w:rPr>
      </w:pPr>
      <w:r w:rsidRPr="005F3E83">
        <w:rPr>
          <w:rFonts w:eastAsia="Times New Roman" w:cstheme="minorHAnsi"/>
          <w:color w:val="0F1115"/>
          <w:sz w:val="24"/>
          <w:szCs w:val="24"/>
          <w:lang w:eastAsia="fr-FR"/>
        </w:rPr>
        <w:t>The pandemic profoundly altered the landscape of IMEs. Concerns over </w:t>
      </w:r>
      <w:r w:rsidRPr="005F3E83">
        <w:rPr>
          <w:rFonts w:eastAsia="Times New Roman" w:cstheme="minorHAnsi"/>
          <w:bCs/>
          <w:sz w:val="24"/>
          <w:szCs w:val="24"/>
          <w:lang w:eastAsia="fr-FR"/>
        </w:rPr>
        <w:t>in</w:t>
      </w:r>
      <w:r w:rsidRPr="005F3E83">
        <w:rPr>
          <w:rFonts w:eastAsia="Times New Roman" w:cstheme="minorHAnsi"/>
          <w:bCs/>
          <w:sz w:val="24"/>
          <w:szCs w:val="24"/>
          <w:lang w:eastAsia="fr-FR"/>
        </w:rPr>
        <w:noBreakHyphen/>
        <w:t>flight</w:t>
      </w:r>
      <w:r w:rsidRPr="005F3E83">
        <w:rPr>
          <w:rFonts w:eastAsia="Times New Roman" w:cstheme="minorHAnsi"/>
          <w:color w:val="0F1115"/>
          <w:sz w:val="24"/>
          <w:szCs w:val="24"/>
          <w:lang w:eastAsia="fr-FR"/>
        </w:rPr>
        <w:t> transmission of </w:t>
      </w:r>
      <w:r w:rsidRPr="005F3E83">
        <w:rPr>
          <w:rFonts w:eastAsia="Times New Roman" w:cstheme="minorHAnsi"/>
          <w:bCs/>
          <w:sz w:val="24"/>
          <w:szCs w:val="24"/>
          <w:lang w:eastAsia="fr-FR"/>
        </w:rPr>
        <w:t>SARS</w:t>
      </w:r>
      <w:r w:rsidRPr="005F3E83">
        <w:rPr>
          <w:rFonts w:eastAsia="Times New Roman" w:cstheme="minorHAnsi"/>
          <w:bCs/>
          <w:sz w:val="24"/>
          <w:szCs w:val="24"/>
          <w:lang w:eastAsia="fr-FR"/>
        </w:rPr>
        <w:noBreakHyphen/>
        <w:t>CoV</w:t>
      </w:r>
      <w:r w:rsidRPr="005F3E83">
        <w:rPr>
          <w:rFonts w:eastAsia="Times New Roman" w:cstheme="minorHAnsi"/>
          <w:bCs/>
          <w:sz w:val="24"/>
          <w:szCs w:val="24"/>
          <w:lang w:eastAsia="fr-FR"/>
        </w:rPr>
        <w:noBreakHyphen/>
        <w:t>2</w:t>
      </w:r>
      <w:r w:rsidRPr="005F3E83">
        <w:rPr>
          <w:rFonts w:eastAsia="Times New Roman" w:cstheme="minorHAnsi"/>
          <w:color w:val="0F1115"/>
          <w:sz w:val="24"/>
          <w:szCs w:val="24"/>
          <w:lang w:eastAsia="fr-FR"/>
        </w:rPr>
        <w:t> became paramount. Studies of specific flights provided evidence of transmission, particularly before masking mandates were common, highlighting the role of proximity and duration of exposure (</w:t>
      </w:r>
      <w:r w:rsidRPr="005F3E83">
        <w:rPr>
          <w:rFonts w:eastAsia="Times New Roman" w:cstheme="minorHAnsi"/>
          <w:bCs/>
          <w:sz w:val="24"/>
          <w:szCs w:val="24"/>
          <w:lang w:eastAsia="fr-FR"/>
        </w:rPr>
        <w:t xml:space="preserve">Guo et al., </w:t>
      </w:r>
      <w:proofErr w:type="gramStart"/>
      <w:r w:rsidRPr="005F3E83">
        <w:rPr>
          <w:rFonts w:eastAsia="Times New Roman" w:cstheme="minorHAnsi"/>
          <w:bCs/>
          <w:sz w:val="24"/>
          <w:szCs w:val="24"/>
          <w:lang w:eastAsia="fr-FR"/>
        </w:rPr>
        <w:t>2022;</w:t>
      </w:r>
      <w:proofErr w:type="gramEnd"/>
      <w:r w:rsidRPr="005F3E83">
        <w:rPr>
          <w:rFonts w:eastAsia="Times New Roman" w:cstheme="minorHAnsi"/>
          <w:bCs/>
          <w:sz w:val="24"/>
          <w:szCs w:val="24"/>
          <w:lang w:eastAsia="fr-FR"/>
        </w:rPr>
        <w:t xml:space="preserve"> Hertzberg et al., 2018</w:t>
      </w:r>
      <w:r w:rsidRPr="005F3E83">
        <w:rPr>
          <w:rFonts w:eastAsia="Times New Roman" w:cstheme="minorHAnsi"/>
          <w:color w:val="0F1115"/>
          <w:sz w:val="24"/>
          <w:szCs w:val="24"/>
          <w:lang w:eastAsia="fr-FR"/>
        </w:rPr>
        <w:t>). This led to enhanced sanitation protocols, mandatory masking, and revised procedures for managing passengers with suspected infectious diseases. Furthermore, the pandemic saw an increase in IMEs related to psychological distress and anxiety, as well as complications in passengers with </w:t>
      </w:r>
      <w:r w:rsidRPr="005F3E83">
        <w:rPr>
          <w:rFonts w:eastAsia="Times New Roman" w:cstheme="minorHAnsi"/>
          <w:bCs/>
          <w:sz w:val="24"/>
          <w:szCs w:val="24"/>
          <w:lang w:eastAsia="fr-FR"/>
        </w:rPr>
        <w:t>preexisting</w:t>
      </w:r>
      <w:r w:rsidRPr="005F3E83">
        <w:rPr>
          <w:rFonts w:eastAsia="Times New Roman" w:cstheme="minorHAnsi"/>
          <w:color w:val="0F1115"/>
          <w:sz w:val="24"/>
          <w:szCs w:val="24"/>
          <w:lang w:eastAsia="fr-FR"/>
        </w:rPr>
        <w:t> conditions who had delayed care during lockdowns (Brady &amp; Nable, 2025). The experience underscored the importance of aviation in global public health and the need for agile response protocols for infectious disease threats</w:t>
      </w:r>
      <w:r w:rsidRPr="005F3E83">
        <w:rPr>
          <w:rFonts w:ascii="Segoe UI" w:hAnsi="Segoe UI" w:cs="Segoe UI"/>
          <w:color w:val="0F1115"/>
          <w:sz w:val="18"/>
          <w:szCs w:val="18"/>
          <w:shd w:val="clear" w:color="auto" w:fill="FFFFFF"/>
        </w:rPr>
        <w:t>.</w:t>
      </w:r>
    </w:p>
    <w:p w14:paraId="13C58A30" w14:textId="77777777" w:rsidR="00726424" w:rsidRPr="005F3E83" w:rsidRDefault="00726424" w:rsidP="00726424">
      <w:pPr>
        <w:spacing w:before="226" w:after="226" w:line="240" w:lineRule="auto"/>
        <w:rPr>
          <w:rFonts w:eastAsia="Times New Roman" w:cstheme="minorHAnsi"/>
          <w:sz w:val="24"/>
          <w:szCs w:val="24"/>
          <w:lang w:eastAsia="fr-FR"/>
        </w:rPr>
      </w:pPr>
    </w:p>
    <w:p w14:paraId="1C5311A1" w14:textId="77777777" w:rsidR="00FD2144" w:rsidRPr="005F3E83" w:rsidRDefault="00726424" w:rsidP="00726424">
      <w:pPr>
        <w:shd w:val="clear" w:color="auto" w:fill="FFFFFF"/>
        <w:spacing w:before="113" w:after="113" w:line="240" w:lineRule="auto"/>
        <w:rPr>
          <w:rFonts w:eastAsia="Times New Roman" w:cstheme="minorHAnsi"/>
          <w:b/>
          <w:bCs/>
          <w:color w:val="0F1115"/>
          <w:sz w:val="32"/>
          <w:szCs w:val="32"/>
          <w:lang w:eastAsia="fr-FR"/>
        </w:rPr>
      </w:pPr>
      <w:r w:rsidRPr="005F3E83">
        <w:rPr>
          <w:rFonts w:eastAsia="Times New Roman" w:cstheme="minorHAnsi"/>
          <w:b/>
          <w:bCs/>
          <w:color w:val="0F1115"/>
          <w:sz w:val="32"/>
          <w:szCs w:val="32"/>
          <w:lang w:eastAsia="fr-FR"/>
        </w:rPr>
        <w:t>Emerging Technologies and Future Directions</w:t>
      </w:r>
    </w:p>
    <w:p w14:paraId="39D81E30" w14:textId="77777777" w:rsidR="004A0D52" w:rsidRPr="005F3E83" w:rsidRDefault="004A0D52" w:rsidP="00726424">
      <w:pPr>
        <w:shd w:val="clear" w:color="auto" w:fill="FFFFFF"/>
        <w:spacing w:before="113" w:after="113" w:line="240" w:lineRule="auto"/>
        <w:rPr>
          <w:rFonts w:eastAsia="Times New Roman" w:cstheme="minorHAnsi"/>
          <w:color w:val="0F1115"/>
          <w:sz w:val="24"/>
          <w:szCs w:val="24"/>
          <w:lang w:eastAsia="fr-FR"/>
        </w:rPr>
      </w:pPr>
    </w:p>
    <w:p w14:paraId="330AE2F7" w14:textId="77777777"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Fonts w:asciiTheme="minorHAnsi" w:hAnsiTheme="minorHAnsi" w:cstheme="minorHAnsi"/>
          <w:color w:val="0F1115"/>
        </w:rPr>
        <w:t xml:space="preserve">Aviation medicine is poised to benefit from several technological </w:t>
      </w:r>
      <w:proofErr w:type="gramStart"/>
      <w:r w:rsidRPr="005F3E83">
        <w:rPr>
          <w:rFonts w:asciiTheme="minorHAnsi" w:hAnsiTheme="minorHAnsi" w:cstheme="minorHAnsi"/>
          <w:color w:val="0F1115"/>
        </w:rPr>
        <w:t>advancements:</w:t>
      </w:r>
      <w:proofErr w:type="gramEnd"/>
    </w:p>
    <w:p w14:paraId="43B1FB2B" w14:textId="77777777"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Point</w:t>
      </w:r>
      <w:r w:rsidRPr="005F3E83">
        <w:rPr>
          <w:rStyle w:val="Strong"/>
          <w:rFonts w:asciiTheme="minorHAnsi" w:hAnsiTheme="minorHAnsi" w:cstheme="minorHAnsi"/>
          <w:color w:val="0F1115"/>
        </w:rPr>
        <w:noBreakHyphen/>
        <w:t>of</w:t>
      </w:r>
      <w:r w:rsidRPr="005F3E83">
        <w:rPr>
          <w:rStyle w:val="Strong"/>
          <w:rFonts w:asciiTheme="minorHAnsi" w:hAnsiTheme="minorHAnsi" w:cstheme="minorHAnsi"/>
          <w:color w:val="0F1115"/>
        </w:rPr>
        <w:noBreakHyphen/>
        <w:t>Care Ultrasound (POCUS)</w:t>
      </w:r>
      <w:r w:rsidRPr="005F3E83">
        <w:rPr>
          <w:rFonts w:asciiTheme="minorHAnsi" w:hAnsiTheme="minorHAnsi" w:cstheme="minorHAnsi"/>
          <w:color w:val="0F1115"/>
        </w:rPr>
        <w:br/>
        <w:t>Compact, handheld ultrasound devices are being explored for use </w:t>
      </w:r>
      <w:r w:rsidRPr="005F3E83">
        <w:rPr>
          <w:rStyle w:val="Strong"/>
          <w:rFonts w:asciiTheme="minorHAnsi" w:hAnsiTheme="minorHAnsi" w:cstheme="minorHAnsi"/>
          <w:color w:val="0F1115"/>
        </w:rPr>
        <w:t>in</w:t>
      </w:r>
      <w:r w:rsidRPr="005F3E83">
        <w:rPr>
          <w:rStyle w:val="Strong"/>
          <w:rFonts w:asciiTheme="minorHAnsi" w:hAnsiTheme="minorHAnsi" w:cstheme="minorHAnsi"/>
          <w:color w:val="0F1115"/>
        </w:rPr>
        <w:noBreakHyphen/>
        <w:t>flight</w:t>
      </w:r>
      <w:r w:rsidRPr="005F3E83">
        <w:rPr>
          <w:rFonts w:asciiTheme="minorHAnsi" w:hAnsiTheme="minorHAnsi" w:cstheme="minorHAnsi"/>
          <w:color w:val="0F1115"/>
        </w:rPr>
        <w:t>. They could aid in diagnosing conditions such as pneumothorax, pericardial effusion, DVT, or assessing cardiac activity during arrest, potentially guiding critical diversion decisions</w:t>
      </w:r>
      <w:r w:rsidR="00B974A9" w:rsidRPr="005F3E83">
        <w:rPr>
          <w:rFonts w:asciiTheme="minorHAnsi" w:hAnsiTheme="minorHAnsi" w:cstheme="minorHAnsi"/>
          <w:color w:val="0F1115"/>
          <w:shd w:val="clear" w:color="auto" w:fill="FFFFFF"/>
        </w:rPr>
        <w:t xml:space="preserve"> (Hill et al., 2024).</w:t>
      </w:r>
    </w:p>
    <w:p w14:paraId="1DFD6781" w14:textId="77777777"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Artificial Intelligence (AI) and Decision Support</w:t>
      </w:r>
      <w:r w:rsidRPr="005F3E83">
        <w:rPr>
          <w:rFonts w:asciiTheme="minorHAnsi" w:hAnsiTheme="minorHAnsi" w:cstheme="minorHAnsi"/>
          <w:color w:val="0F1115"/>
        </w:rPr>
        <w:br/>
        <w:t>AI algorithms could be developed to assist cabin crews in triaging symptoms, suggesting initial actions, or even enhancing training through virtual reality simulations. Feasibility studies are underway to assess AI's role in evaluating crew preparedness and supporting </w:t>
      </w:r>
      <w:r w:rsidRPr="005F3E83">
        <w:rPr>
          <w:rStyle w:val="Strong"/>
          <w:rFonts w:asciiTheme="minorHAnsi" w:hAnsiTheme="minorHAnsi" w:cstheme="minorHAnsi"/>
          <w:b w:val="0"/>
          <w:color w:val="0F1115"/>
        </w:rPr>
        <w:t>real</w:t>
      </w:r>
      <w:r w:rsidRPr="005F3E83">
        <w:rPr>
          <w:rStyle w:val="Strong"/>
          <w:rFonts w:asciiTheme="minorHAnsi" w:hAnsiTheme="minorHAnsi" w:cstheme="minorHAnsi"/>
          <w:b w:val="0"/>
          <w:color w:val="0F1115"/>
        </w:rPr>
        <w:noBreakHyphen/>
        <w:t>time</w:t>
      </w:r>
      <w:r w:rsidRPr="005F3E83">
        <w:rPr>
          <w:rFonts w:asciiTheme="minorHAnsi" w:hAnsiTheme="minorHAnsi" w:cstheme="minorHAnsi"/>
          <w:b/>
          <w:color w:val="0F1115"/>
        </w:rPr>
        <w:t> decision</w:t>
      </w:r>
      <w:r w:rsidRPr="005F3E83">
        <w:rPr>
          <w:rFonts w:asciiTheme="minorHAnsi" w:hAnsiTheme="minorHAnsi" w:cstheme="minorHAnsi"/>
          <w:b/>
          <w:color w:val="0F1115"/>
        </w:rPr>
        <w:noBreakHyphen/>
        <w:t>making (</w:t>
      </w:r>
      <w:r w:rsidRPr="005F3E83">
        <w:rPr>
          <w:rStyle w:val="Strong"/>
          <w:rFonts w:asciiTheme="minorHAnsi" w:hAnsiTheme="minorHAnsi" w:cstheme="minorHAnsi"/>
          <w:b w:val="0"/>
          <w:color w:val="0F1115"/>
        </w:rPr>
        <w:t>Dieter et al., 2024</w:t>
      </w:r>
      <w:r w:rsidRPr="005F3E83">
        <w:rPr>
          <w:rFonts w:asciiTheme="minorHAnsi" w:hAnsiTheme="minorHAnsi" w:cstheme="minorHAnsi"/>
          <w:b/>
          <w:color w:val="0F1115"/>
        </w:rPr>
        <w:t>).</w:t>
      </w:r>
    </w:p>
    <w:p w14:paraId="1D789343" w14:textId="77777777" w:rsidR="004A0D52" w:rsidRPr="005F3E83" w:rsidRDefault="004A0D52" w:rsidP="004A0D52">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Enhanced Telemedicine Capabilities</w:t>
      </w:r>
      <w:r w:rsidRPr="005F3E83">
        <w:rPr>
          <w:rFonts w:asciiTheme="minorHAnsi" w:hAnsiTheme="minorHAnsi" w:cstheme="minorHAnsi"/>
          <w:color w:val="0F1115"/>
        </w:rPr>
        <w:br/>
        <w:t xml:space="preserve">As satellite bandwidth increases, the potential for richer telemedical consultation, including </w:t>
      </w:r>
      <w:r w:rsidRPr="005F3E83">
        <w:rPr>
          <w:rFonts w:asciiTheme="minorHAnsi" w:hAnsiTheme="minorHAnsi" w:cstheme="minorHAnsi"/>
          <w:color w:val="0F1115"/>
        </w:rPr>
        <w:lastRenderedPageBreak/>
        <w:t>transmission of vital signs, ECG tracings, or even ultrasound images, could significantly augment ground support (Kim et al., 2025).</w:t>
      </w:r>
    </w:p>
    <w:p w14:paraId="35B62B2F" w14:textId="77777777" w:rsidR="00726424" w:rsidRPr="005F3E83" w:rsidRDefault="004A0D52"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Advanced Medical Kits</w:t>
      </w:r>
      <w:r w:rsidRPr="005F3E83">
        <w:rPr>
          <w:rFonts w:asciiTheme="minorHAnsi" w:hAnsiTheme="minorHAnsi" w:cstheme="minorHAnsi"/>
          <w:color w:val="0F1115"/>
        </w:rPr>
        <w:br/>
        <w:t>Future EMKs may include newer medications, advanced airway devices, and wearable continuous vital sign monitors to better manage passengers in distress</w:t>
      </w:r>
      <w:r w:rsidR="007E65AE" w:rsidRPr="005F3E83">
        <w:rPr>
          <w:rFonts w:asciiTheme="minorHAnsi" w:hAnsiTheme="minorHAnsi" w:cstheme="minorHAnsi"/>
          <w:color w:val="0F1115"/>
        </w:rPr>
        <w:t>.</w:t>
      </w:r>
    </w:p>
    <w:p w14:paraId="28A38C9B" w14:textId="77777777"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p>
    <w:p w14:paraId="2555EAAE" w14:textId="77777777" w:rsidR="00726424" w:rsidRPr="005F3E83" w:rsidRDefault="00726424" w:rsidP="00726424">
      <w:pPr>
        <w:shd w:val="clear" w:color="auto" w:fill="FFFFFF"/>
        <w:spacing w:before="113" w:after="113" w:line="240" w:lineRule="auto"/>
        <w:rPr>
          <w:rFonts w:eastAsia="Times New Roman" w:cstheme="minorHAnsi"/>
          <w:color w:val="0F1115"/>
          <w:sz w:val="32"/>
          <w:szCs w:val="32"/>
          <w:lang w:eastAsia="fr-FR"/>
        </w:rPr>
      </w:pPr>
      <w:r w:rsidRPr="005F3E83">
        <w:rPr>
          <w:rFonts w:eastAsia="Times New Roman" w:cstheme="minorHAnsi"/>
          <w:b/>
          <w:bCs/>
          <w:color w:val="0F1115"/>
          <w:sz w:val="32"/>
          <w:szCs w:val="32"/>
          <w:lang w:eastAsia="fr-FR"/>
        </w:rPr>
        <w:t>Recommendations for Stakeholders</w:t>
      </w:r>
    </w:p>
    <w:p w14:paraId="6C18DCEA" w14:textId="77777777"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For Airlines and Regulators</w:t>
      </w:r>
      <w:r w:rsidRPr="005F3E83">
        <w:rPr>
          <w:rFonts w:asciiTheme="minorHAnsi" w:hAnsiTheme="minorHAnsi" w:cstheme="minorHAnsi"/>
          <w:color w:val="0F1115"/>
        </w:rPr>
        <w:br/>
        <w:t>Standardize and enhance recurrent, </w:t>
      </w:r>
      <w:r w:rsidRPr="005F3E83">
        <w:rPr>
          <w:rStyle w:val="Strong"/>
          <w:rFonts w:asciiTheme="minorHAnsi" w:hAnsiTheme="minorHAnsi" w:cstheme="minorHAnsi"/>
          <w:b w:val="0"/>
          <w:color w:val="0F1115"/>
        </w:rPr>
        <w:t>simulation</w:t>
      </w:r>
      <w:r w:rsidRPr="005F3E83">
        <w:rPr>
          <w:rStyle w:val="Strong"/>
          <w:rFonts w:asciiTheme="minorHAnsi" w:hAnsiTheme="minorHAnsi" w:cstheme="minorHAnsi"/>
          <w:b w:val="0"/>
          <w:color w:val="0F1115"/>
        </w:rPr>
        <w:noBreakHyphen/>
        <w:t>based</w:t>
      </w:r>
      <w:r w:rsidRPr="005F3E83">
        <w:rPr>
          <w:rFonts w:asciiTheme="minorHAnsi" w:hAnsiTheme="minorHAnsi" w:cstheme="minorHAnsi"/>
          <w:color w:val="0F1115"/>
        </w:rPr>
        <w:t> training for cabin crews globally. Work towards clearer, more robust international legal protections for volunteer responders. Foster research through centralized, anonymized IME databases (Xu et al., 2023).</w:t>
      </w:r>
    </w:p>
    <w:p w14:paraId="10DFF6B2" w14:textId="77777777"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For Healthcare Professionals</w:t>
      </w:r>
      <w:r w:rsidRPr="005F3E83">
        <w:rPr>
          <w:rFonts w:asciiTheme="minorHAnsi" w:hAnsiTheme="minorHAnsi" w:cstheme="minorHAnsi"/>
          <w:color w:val="0F1115"/>
        </w:rPr>
        <w:br/>
        <w:t>Those who travel frequently should consider familiarizing themselves with common IME patterns, typical onboard medical kit contents, and the principles of aeromedical physiology. Understanding the operational chain of command (crew → ground physician) is crucial (Hinkelbein et al., 2017).</w:t>
      </w:r>
    </w:p>
    <w:p w14:paraId="7B07BD89" w14:textId="77777777" w:rsidR="007E65AE" w:rsidRPr="005F3E83" w:rsidRDefault="007E65AE" w:rsidP="007E65AE">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color w:val="0F1115"/>
        </w:rPr>
        <w:t>For Passengers with Medical Conditions</w:t>
      </w:r>
      <w:r w:rsidRPr="005F3E83">
        <w:rPr>
          <w:rFonts w:asciiTheme="minorHAnsi" w:hAnsiTheme="minorHAnsi" w:cstheme="minorHAnsi"/>
          <w:color w:val="0F1115"/>
        </w:rPr>
        <w:br/>
        <w:t>Consult a physician before travel if you have an unstable condition. Carry essential medications in your </w:t>
      </w:r>
      <w:r w:rsidRPr="005F3E83">
        <w:rPr>
          <w:rStyle w:val="Strong"/>
          <w:rFonts w:asciiTheme="minorHAnsi" w:hAnsiTheme="minorHAnsi" w:cstheme="minorHAnsi"/>
          <w:b w:val="0"/>
          <w:color w:val="0F1115"/>
        </w:rPr>
        <w:t>carry</w:t>
      </w:r>
      <w:r w:rsidRPr="005F3E83">
        <w:rPr>
          <w:rStyle w:val="Strong"/>
          <w:rFonts w:asciiTheme="minorHAnsi" w:hAnsiTheme="minorHAnsi" w:cstheme="minorHAnsi"/>
          <w:b w:val="0"/>
          <w:color w:val="0F1115"/>
        </w:rPr>
        <w:noBreakHyphen/>
        <w:t>on</w:t>
      </w:r>
      <w:r w:rsidRPr="005F3E83">
        <w:rPr>
          <w:rFonts w:asciiTheme="minorHAnsi" w:hAnsiTheme="minorHAnsi" w:cstheme="minorHAnsi"/>
          <w:color w:val="0F1115"/>
        </w:rPr>
        <w:t> luggage, clearly labeled. Inform the airline of specific needs (oxygen) well in advance. Stay hydrated and move about the cabin periodically on</w:t>
      </w:r>
      <w:r w:rsidRPr="005F3E83">
        <w:rPr>
          <w:rFonts w:asciiTheme="minorHAnsi" w:hAnsiTheme="minorHAnsi" w:cstheme="minorHAnsi"/>
          <w:b/>
          <w:color w:val="0F1115"/>
        </w:rPr>
        <w:t> </w:t>
      </w:r>
      <w:r w:rsidRPr="005F3E83">
        <w:rPr>
          <w:rStyle w:val="Strong"/>
          <w:rFonts w:asciiTheme="minorHAnsi" w:hAnsiTheme="minorHAnsi" w:cstheme="minorHAnsi"/>
          <w:b w:val="0"/>
          <w:color w:val="0F1115"/>
        </w:rPr>
        <w:t>long</w:t>
      </w:r>
      <w:r w:rsidRPr="005F3E83">
        <w:rPr>
          <w:rStyle w:val="Strong"/>
          <w:rFonts w:asciiTheme="minorHAnsi" w:hAnsiTheme="minorHAnsi" w:cstheme="minorHAnsi"/>
          <w:b w:val="0"/>
          <w:color w:val="0F1115"/>
        </w:rPr>
        <w:noBreakHyphen/>
        <w:t>haul</w:t>
      </w:r>
      <w:r w:rsidRPr="005F3E83">
        <w:rPr>
          <w:rFonts w:asciiTheme="minorHAnsi" w:hAnsiTheme="minorHAnsi" w:cstheme="minorHAnsi"/>
          <w:b/>
          <w:color w:val="0F1115"/>
        </w:rPr>
        <w:t> </w:t>
      </w:r>
      <w:r w:rsidRPr="005F3E83">
        <w:rPr>
          <w:rFonts w:asciiTheme="minorHAnsi" w:hAnsiTheme="minorHAnsi" w:cstheme="minorHAnsi"/>
          <w:color w:val="0F1115"/>
        </w:rPr>
        <w:t>flights (</w:t>
      </w:r>
      <w:r w:rsidRPr="005F3E83">
        <w:rPr>
          <w:rStyle w:val="Strong"/>
          <w:rFonts w:asciiTheme="minorHAnsi" w:hAnsiTheme="minorHAnsi" w:cstheme="minorHAnsi"/>
          <w:b w:val="0"/>
          <w:color w:val="0F1115"/>
        </w:rPr>
        <w:t>Savona</w:t>
      </w:r>
      <w:r w:rsidRPr="005F3E83">
        <w:rPr>
          <w:rStyle w:val="Strong"/>
          <w:rFonts w:asciiTheme="minorHAnsi" w:hAnsiTheme="minorHAnsi" w:cstheme="minorHAnsi"/>
          <w:b w:val="0"/>
          <w:color w:val="0F1115"/>
        </w:rPr>
        <w:noBreakHyphen/>
        <w:t>Ventura &amp; Mahmood, 2022</w:t>
      </w:r>
      <w:r w:rsidRPr="005F3E83">
        <w:rPr>
          <w:rFonts w:asciiTheme="minorHAnsi" w:hAnsiTheme="minorHAnsi" w:cstheme="minorHAnsi"/>
          <w:color w:val="0F1115"/>
        </w:rPr>
        <w:t>).</w:t>
      </w:r>
    </w:p>
    <w:p w14:paraId="72FF3DC8" w14:textId="77777777" w:rsidR="007E65AE" w:rsidRPr="005F3E83" w:rsidRDefault="00726424" w:rsidP="007E65AE">
      <w:pPr>
        <w:pStyle w:val="ds-markdown-paragraph"/>
        <w:shd w:val="clear" w:color="auto" w:fill="FFFFFF"/>
        <w:spacing w:before="175" w:beforeAutospacing="0" w:after="175" w:afterAutospacing="0"/>
        <w:rPr>
          <w:rFonts w:asciiTheme="minorHAnsi" w:hAnsiTheme="minorHAnsi" w:cstheme="minorHAnsi"/>
          <w:b/>
          <w:bCs/>
          <w:color w:val="0F1115"/>
          <w:sz w:val="32"/>
          <w:szCs w:val="32"/>
        </w:rPr>
      </w:pPr>
      <w:r w:rsidRPr="005F3E83">
        <w:rPr>
          <w:rFonts w:asciiTheme="minorHAnsi" w:hAnsiTheme="minorHAnsi" w:cstheme="minorHAnsi"/>
          <w:b/>
          <w:bCs/>
          <w:color w:val="0F1115"/>
          <w:sz w:val="32"/>
          <w:szCs w:val="32"/>
        </w:rPr>
        <w:t>Conclusion</w:t>
      </w:r>
      <w:r w:rsidR="00F27E25" w:rsidRPr="005F3E83">
        <w:rPr>
          <w:rFonts w:asciiTheme="minorHAnsi" w:hAnsiTheme="minorHAnsi" w:cstheme="minorHAnsi"/>
          <w:b/>
          <w:bCs/>
          <w:color w:val="0F1115"/>
          <w:sz w:val="32"/>
          <w:szCs w:val="32"/>
        </w:rPr>
        <w:t xml:space="preserve"> : </w:t>
      </w:r>
    </w:p>
    <w:p w14:paraId="44F21C2A" w14:textId="77777777" w:rsidR="002F29A3" w:rsidRPr="005F3E83" w:rsidRDefault="0069049F" w:rsidP="002F29A3">
      <w:pPr>
        <w:pStyle w:val="ds-markdown-paragraph"/>
        <w:shd w:val="clear" w:color="auto" w:fill="FFFFFF"/>
        <w:spacing w:before="175" w:beforeAutospacing="0" w:after="175" w:afterAutospacing="0"/>
        <w:rPr>
          <w:rFonts w:asciiTheme="minorHAnsi" w:hAnsiTheme="minorHAnsi" w:cstheme="minorHAnsi"/>
          <w:color w:val="0F1115"/>
        </w:rPr>
      </w:pPr>
      <w:r w:rsidRPr="005F3E83">
        <w:rPr>
          <w:rStyle w:val="Strong"/>
          <w:rFonts w:asciiTheme="minorHAnsi" w:hAnsiTheme="minorHAnsi" w:cstheme="minorHAnsi"/>
          <w:b w:val="0"/>
          <w:color w:val="0F1115"/>
          <w:shd w:val="clear" w:color="auto" w:fill="FFFFFF"/>
        </w:rPr>
        <w:t>In</w:t>
      </w:r>
      <w:r w:rsidRPr="005F3E83">
        <w:rPr>
          <w:rStyle w:val="Strong"/>
          <w:rFonts w:asciiTheme="minorHAnsi" w:hAnsiTheme="minorHAnsi" w:cstheme="minorHAnsi"/>
          <w:b w:val="0"/>
          <w:color w:val="0F1115"/>
          <w:shd w:val="clear" w:color="auto" w:fill="FFFFFF"/>
        </w:rPr>
        <w:noBreakHyphen/>
        <w:t>flight</w:t>
      </w:r>
      <w:r w:rsidRPr="005F3E83">
        <w:rPr>
          <w:rFonts w:asciiTheme="minorHAnsi" w:hAnsiTheme="minorHAnsi" w:cstheme="minorHAnsi"/>
          <w:color w:val="0F1115"/>
          <w:shd w:val="clear" w:color="auto" w:fill="FFFFFF"/>
        </w:rPr>
        <w:t> medical emergencies are a complex but manageable reality of global air travel. A robust, </w:t>
      </w:r>
      <w:r w:rsidRPr="005F3E83">
        <w:rPr>
          <w:rStyle w:val="Strong"/>
          <w:rFonts w:asciiTheme="minorHAnsi" w:hAnsiTheme="minorHAnsi" w:cstheme="minorHAnsi"/>
          <w:b w:val="0"/>
          <w:color w:val="0F1115"/>
          <w:shd w:val="clear" w:color="auto" w:fill="FFFFFF"/>
        </w:rPr>
        <w:t>multi</w:t>
      </w:r>
      <w:r w:rsidRPr="005F3E83">
        <w:rPr>
          <w:rStyle w:val="Strong"/>
          <w:rFonts w:asciiTheme="minorHAnsi" w:hAnsiTheme="minorHAnsi" w:cstheme="minorHAnsi"/>
          <w:b w:val="0"/>
          <w:color w:val="0F1115"/>
          <w:shd w:val="clear" w:color="auto" w:fill="FFFFFF"/>
        </w:rPr>
        <w:noBreakHyphen/>
        <w:t>layered</w:t>
      </w:r>
      <w:r w:rsidRPr="005F3E83">
        <w:rPr>
          <w:rFonts w:asciiTheme="minorHAnsi" w:hAnsiTheme="minorHAnsi" w:cstheme="minorHAnsi"/>
          <w:color w:val="0F1115"/>
          <w:shd w:val="clear" w:color="auto" w:fill="FFFFFF"/>
        </w:rPr>
        <w:t> system—comprising trained cabin crews, mandated emergency equipment, and </w:t>
      </w:r>
      <w:r w:rsidRPr="005F3E83">
        <w:rPr>
          <w:rStyle w:val="Strong"/>
          <w:rFonts w:asciiTheme="minorHAnsi" w:hAnsiTheme="minorHAnsi" w:cstheme="minorHAnsi"/>
          <w:b w:val="0"/>
          <w:color w:val="0F1115"/>
          <w:shd w:val="clear" w:color="auto" w:fill="FFFFFF"/>
        </w:rPr>
        <w:t>real</w:t>
      </w:r>
      <w:r w:rsidRPr="005F3E83">
        <w:rPr>
          <w:rStyle w:val="Strong"/>
          <w:rFonts w:asciiTheme="minorHAnsi" w:hAnsiTheme="minorHAnsi" w:cstheme="minorHAnsi"/>
          <w:b w:val="0"/>
          <w:color w:val="0F1115"/>
          <w:shd w:val="clear" w:color="auto" w:fill="FFFFFF"/>
        </w:rPr>
        <w:noBreakHyphen/>
        <w:t>time</w:t>
      </w:r>
      <w:r w:rsidRPr="005F3E83">
        <w:rPr>
          <w:rFonts w:asciiTheme="minorHAnsi" w:hAnsiTheme="minorHAnsi" w:cstheme="minorHAnsi"/>
          <w:color w:val="0F1115"/>
          <w:shd w:val="clear" w:color="auto" w:fill="FFFFFF"/>
        </w:rPr>
        <w:t xml:space="preserve"> telemedical support—has proven effective in managing the vast majority of incidents, with only a small fraction requiring diversion. The literature of the past two decades (2005–2025) solidifies our understanding of the epidemiology, with syncope as the most common and cardiac arrest as the most critical event. Key challenges remain, including the standardization of training, clarification of legal frameworks, and the thoughtful </w:t>
      </w:r>
      <w:r w:rsidRPr="005F3E83">
        <w:rPr>
          <w:rFonts w:asciiTheme="minorHAnsi" w:hAnsiTheme="minorHAnsi" w:cstheme="minorHAnsi"/>
          <w:color w:val="0F1115"/>
        </w:rPr>
        <w:t xml:space="preserve">integration of new technologies such AI. Continued research, international collaboration, and investment in training and technology are essential to further enhance the safety net for the billions of passengers who take to the skies each year. As air travel continues to expand and the passenger population ages, the field of aviation medicine will remain a dynamic and vital frontier in </w:t>
      </w:r>
      <w:r w:rsidR="002F29A3" w:rsidRPr="005F3E83">
        <w:rPr>
          <w:rFonts w:asciiTheme="minorHAnsi" w:hAnsiTheme="minorHAnsi" w:cstheme="minorHAnsi"/>
          <w:color w:val="0F1115"/>
        </w:rPr>
        <w:t>public health and clinical care</w:t>
      </w:r>
    </w:p>
    <w:p w14:paraId="172F5080" w14:textId="77777777" w:rsidR="0069049F" w:rsidRPr="005F3E83" w:rsidRDefault="0069049F" w:rsidP="00726424">
      <w:pPr>
        <w:shd w:val="clear" w:color="auto" w:fill="FFFFFF"/>
        <w:spacing w:before="113" w:after="113" w:line="240" w:lineRule="auto"/>
        <w:rPr>
          <w:rFonts w:eastAsia="Times New Roman" w:cstheme="minorHAnsi"/>
          <w:sz w:val="28"/>
          <w:szCs w:val="24"/>
          <w:lang w:eastAsia="fr-FR"/>
        </w:rPr>
      </w:pPr>
    </w:p>
    <w:p w14:paraId="0D2FFECB" w14:textId="77777777" w:rsidR="00BA5A61" w:rsidRPr="005F3E83" w:rsidRDefault="00BA5A61" w:rsidP="00726424">
      <w:pPr>
        <w:shd w:val="clear" w:color="auto" w:fill="FFFFFF"/>
        <w:spacing w:before="113" w:after="113" w:line="240" w:lineRule="auto"/>
        <w:rPr>
          <w:rFonts w:eastAsia="Times New Roman" w:cstheme="minorHAnsi"/>
          <w:sz w:val="28"/>
          <w:szCs w:val="24"/>
          <w:lang w:eastAsia="fr-FR"/>
        </w:rPr>
      </w:pPr>
    </w:p>
    <w:p w14:paraId="054E5F62" w14:textId="77777777" w:rsidR="00BA5A61" w:rsidRPr="005F3E83" w:rsidRDefault="00BA5A61" w:rsidP="00726424">
      <w:pPr>
        <w:shd w:val="clear" w:color="auto" w:fill="FFFFFF"/>
        <w:spacing w:before="113" w:after="113" w:line="240" w:lineRule="auto"/>
        <w:rPr>
          <w:rFonts w:eastAsia="Times New Roman" w:cstheme="minorHAnsi"/>
          <w:sz w:val="28"/>
          <w:szCs w:val="24"/>
          <w:lang w:eastAsia="fr-FR"/>
        </w:rPr>
      </w:pPr>
    </w:p>
    <w:p w14:paraId="2AADD778" w14:textId="77777777" w:rsidR="00726424" w:rsidRPr="005F3E83" w:rsidRDefault="00726424" w:rsidP="00726424">
      <w:pPr>
        <w:shd w:val="clear" w:color="auto" w:fill="FFFFFF"/>
        <w:spacing w:before="113" w:after="113" w:line="240" w:lineRule="auto"/>
        <w:rPr>
          <w:sz w:val="24"/>
        </w:rPr>
      </w:pPr>
      <w:r w:rsidRPr="005F3E83">
        <w:rPr>
          <w:rFonts w:ascii="Segoe UI" w:eastAsia="Times New Roman" w:hAnsi="Segoe UI" w:cs="Segoe UI"/>
          <w:color w:val="0F1115"/>
          <w:sz w:val="13"/>
          <w:szCs w:val="11"/>
          <w:lang w:eastAsia="fr-FR"/>
        </w:rPr>
        <w:t>Antuñano, M. (2023, November 7). </w:t>
      </w:r>
      <w:r w:rsidRPr="005F3E83">
        <w:rPr>
          <w:rFonts w:ascii="Segoe UI" w:eastAsia="Times New Roman" w:hAnsi="Segoe UI" w:cs="Segoe UI"/>
          <w:i/>
          <w:iCs/>
          <w:color w:val="0F1115"/>
          <w:sz w:val="13"/>
          <w:lang w:eastAsia="fr-FR"/>
        </w:rPr>
        <w:t>Challenges and opportunities in aviation medicine and human factors in relation to new air transportation systems</w:t>
      </w:r>
      <w:r w:rsidRPr="005F3E83">
        <w:rPr>
          <w:rFonts w:ascii="Segoe UI" w:eastAsia="Times New Roman" w:hAnsi="Segoe UI" w:cs="Segoe UI"/>
          <w:color w:val="0F1115"/>
          <w:sz w:val="13"/>
          <w:szCs w:val="11"/>
          <w:lang w:eastAsia="fr-FR"/>
        </w:rPr>
        <w:t> [Oral presentation]. ICAO Seminario de Medicina Aeronáutica, Seattle, WA, United States. </w:t>
      </w:r>
      <w:hyperlink r:id="rId7" w:tgtFrame="_blank" w:history="1">
        <w:r w:rsidRPr="005F3E83">
          <w:rPr>
            <w:rFonts w:ascii="Segoe UI" w:eastAsia="Times New Roman" w:hAnsi="Segoe UI" w:cs="Segoe UI"/>
            <w:color w:val="3964FE"/>
            <w:sz w:val="13"/>
            <w:lang w:eastAsia="fr-FR"/>
          </w:rPr>
          <w:t>https://srvsop.aero/site/wp-content/uploads/2023/02/2.1-Dr.-Melchor-Antunano_FAA.pdf</w:t>
        </w:r>
      </w:hyperlink>
    </w:p>
    <w:p w14:paraId="6A2FD827" w14:textId="77777777" w:rsidR="009F74B6" w:rsidRPr="005F3E83" w:rsidRDefault="00756BE1" w:rsidP="00726424">
      <w:pPr>
        <w:shd w:val="clear" w:color="auto" w:fill="FFFFFF"/>
        <w:spacing w:before="113" w:after="113" w:line="240" w:lineRule="auto"/>
        <w:rPr>
          <w:rFonts w:ascii="Segoe UI" w:eastAsia="Times New Roman" w:hAnsi="Segoe UI" w:cs="Segoe UI"/>
          <w:color w:val="3964FE"/>
          <w:sz w:val="13"/>
          <w:lang w:eastAsia="fr-FR"/>
        </w:rPr>
      </w:pPr>
      <w:r w:rsidRPr="005F3E83">
        <w:rPr>
          <w:rFonts w:ascii="Segoe UI" w:eastAsia="Times New Roman" w:hAnsi="Segoe UI" w:cs="Segoe UI"/>
          <w:color w:val="0F1115"/>
          <w:sz w:val="13"/>
          <w:szCs w:val="11"/>
          <w:lang w:eastAsia="fr-FR"/>
        </w:rPr>
        <w:lastRenderedPageBreak/>
        <w:t>International Air Transport</w:t>
      </w:r>
      <w:r w:rsidRPr="005F3E83">
        <w:rPr>
          <w:rFonts w:ascii="Helvetica" w:hAnsi="Helvetica" w:cs="Helvetica"/>
          <w:sz w:val="13"/>
          <w:szCs w:val="13"/>
          <w:shd w:val="clear" w:color="auto" w:fill="FFFFFF"/>
        </w:rPr>
        <w:t xml:space="preserve"> Association</w:t>
      </w:r>
      <w:r w:rsidR="009F74B6" w:rsidRPr="005F3E83">
        <w:rPr>
          <w:rFonts w:ascii="Segoe UI" w:eastAsia="Times New Roman" w:hAnsi="Segoe UI" w:cs="Segoe UI"/>
          <w:color w:val="0F1115"/>
          <w:sz w:val="13"/>
          <w:szCs w:val="11"/>
          <w:lang w:eastAsia="fr-FR"/>
        </w:rPr>
        <w:t>l. (2025, novembre 28). </w:t>
      </w:r>
      <w:r w:rsidR="009F74B6" w:rsidRPr="005F3E83">
        <w:rPr>
          <w:rFonts w:eastAsia="Times New Roman"/>
          <w:i/>
          <w:iCs/>
          <w:sz w:val="13"/>
          <w:szCs w:val="11"/>
          <w:lang w:eastAsia="fr-FR"/>
        </w:rPr>
        <w:t>La croissance du trafic de passagers accélère en octobre, et atteint 6,6 %</w:t>
      </w:r>
      <w:r w:rsidR="009F74B6" w:rsidRPr="005F3E83">
        <w:rPr>
          <w:rFonts w:ascii="Segoe UI" w:eastAsia="Times New Roman" w:hAnsi="Segoe UI" w:cs="Segoe UI"/>
          <w:color w:val="0F1115"/>
          <w:sz w:val="13"/>
          <w:szCs w:val="11"/>
          <w:lang w:eastAsia="fr-FR"/>
        </w:rPr>
        <w:t> [Communiqué de</w:t>
      </w:r>
      <w:r w:rsidR="009F74B6" w:rsidRPr="005F3E83">
        <w:rPr>
          <w:rFonts w:ascii="Segoe UI" w:hAnsi="Segoe UI" w:cs="Segoe UI"/>
          <w:color w:val="0F1115"/>
          <w:sz w:val="18"/>
          <w:szCs w:val="17"/>
          <w:shd w:val="clear" w:color="auto" w:fill="FFFFFF"/>
        </w:rPr>
        <w:t xml:space="preserve"> </w:t>
      </w:r>
      <w:r w:rsidR="009F74B6" w:rsidRPr="005F3E83">
        <w:rPr>
          <w:rFonts w:ascii="Segoe UI" w:eastAsia="Times New Roman" w:hAnsi="Segoe UI" w:cs="Segoe UI"/>
          <w:color w:val="0F1115"/>
          <w:sz w:val="13"/>
          <w:szCs w:val="11"/>
          <w:lang w:eastAsia="fr-FR"/>
        </w:rPr>
        <w:t>presse].</w:t>
      </w:r>
      <w:r w:rsidR="009F74B6" w:rsidRPr="005F3E83">
        <w:rPr>
          <w:rFonts w:ascii="Segoe UI" w:eastAsia="Times New Roman" w:hAnsi="Segoe UI" w:cs="Segoe UI"/>
          <w:color w:val="3964FE"/>
          <w:sz w:val="13"/>
          <w:lang w:eastAsia="fr-FR"/>
        </w:rPr>
        <w:t> </w:t>
      </w:r>
      <w:hyperlink r:id="rId8" w:tgtFrame="_blank" w:history="1">
        <w:r w:rsidR="009F74B6" w:rsidRPr="005F3E83">
          <w:rPr>
            <w:rFonts w:ascii="Segoe UI" w:eastAsia="Times New Roman" w:hAnsi="Segoe UI" w:cs="Segoe UI"/>
            <w:color w:val="3964FE"/>
            <w:sz w:val="13"/>
            <w:lang w:eastAsia="fr-FR"/>
          </w:rPr>
          <w:t>https://www.iata.org/contentassets/1a52555accf241e7a12ec53a6b785979/2025-11-28-02-fr.pdf</w:t>
        </w:r>
      </w:hyperlink>
    </w:p>
    <w:p w14:paraId="48844DE6"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Brady, W. J., &amp; Nable, J. V. (2025). Characterizing in</w:t>
      </w:r>
      <w:r w:rsidRPr="005F3E83">
        <w:rPr>
          <w:rFonts w:ascii="Segoe UI" w:eastAsia="Times New Roman" w:hAnsi="Segoe UI" w:cs="Segoe UI"/>
          <w:color w:val="0F1115"/>
          <w:sz w:val="13"/>
          <w:szCs w:val="11"/>
          <w:lang w:eastAsia="fr-FR"/>
        </w:rPr>
        <w:noBreakHyphen/>
        <w:t>flight medical emergencies on commercial airline flights. </w:t>
      </w:r>
      <w:r w:rsidRPr="005F3E83">
        <w:rPr>
          <w:rFonts w:ascii="Segoe UI" w:eastAsia="Times New Roman" w:hAnsi="Segoe UI" w:cs="Segoe UI"/>
          <w:i/>
          <w:iCs/>
          <w:color w:val="0F1115"/>
          <w:sz w:val="13"/>
          <w:lang w:eastAsia="fr-FR"/>
        </w:rPr>
        <w:t>JAMA Network Open, 8</w:t>
      </w:r>
      <w:r w:rsidRPr="005F3E83">
        <w:rPr>
          <w:rFonts w:ascii="Segoe UI" w:eastAsia="Times New Roman" w:hAnsi="Segoe UI" w:cs="Segoe UI"/>
          <w:color w:val="0F1115"/>
          <w:sz w:val="13"/>
          <w:szCs w:val="11"/>
          <w:lang w:eastAsia="fr-FR"/>
        </w:rPr>
        <w:t>(3), Article e2533940. </w:t>
      </w:r>
      <w:hyperlink r:id="rId9" w:tgtFrame="_blank" w:history="1">
        <w:r w:rsidRPr="005F3E83">
          <w:rPr>
            <w:rFonts w:ascii="Segoe UI" w:eastAsia="Times New Roman" w:hAnsi="Segoe UI" w:cs="Segoe UI"/>
            <w:color w:val="3964FE"/>
            <w:sz w:val="13"/>
            <w:lang w:eastAsia="fr-FR"/>
          </w:rPr>
          <w:t>https://doi.org/10.1001/jamanetworkopen.2025.33940</w:t>
        </w:r>
      </w:hyperlink>
    </w:p>
    <w:p w14:paraId="16AD4274"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Brownlee, H. C. (2021). Is there a doctor </w:t>
      </w:r>
      <w:proofErr w:type="gramStart"/>
      <w:r w:rsidRPr="005F3E83">
        <w:rPr>
          <w:rFonts w:ascii="Segoe UI" w:eastAsia="Times New Roman" w:hAnsi="Segoe UI" w:cs="Segoe UI"/>
          <w:color w:val="0F1115"/>
          <w:sz w:val="13"/>
          <w:szCs w:val="11"/>
          <w:lang w:eastAsia="fr-FR"/>
        </w:rPr>
        <w:t>onboard?</w:t>
      </w:r>
      <w:proofErr w:type="gramEnd"/>
      <w:r w:rsidRPr="005F3E83">
        <w:rPr>
          <w:rFonts w:ascii="Segoe UI" w:eastAsia="Times New Roman" w:hAnsi="Segoe UI" w:cs="Segoe UI"/>
          <w:color w:val="0F1115"/>
          <w:sz w:val="13"/>
          <w:szCs w:val="11"/>
          <w:lang w:eastAsia="fr-FR"/>
        </w:rPr>
        <w:t> </w:t>
      </w:r>
      <w:r w:rsidRPr="005F3E83">
        <w:rPr>
          <w:rFonts w:ascii="Segoe UI" w:eastAsia="Times New Roman" w:hAnsi="Segoe UI" w:cs="Segoe UI"/>
          <w:i/>
          <w:iCs/>
          <w:color w:val="0F1115"/>
          <w:sz w:val="13"/>
          <w:lang w:eastAsia="fr-FR"/>
        </w:rPr>
        <w:t>International Journal of Medical Students, 9</w:t>
      </w:r>
      <w:r w:rsidRPr="005F3E83">
        <w:rPr>
          <w:rFonts w:ascii="Segoe UI" w:eastAsia="Times New Roman" w:hAnsi="Segoe UI" w:cs="Segoe UI"/>
          <w:color w:val="0F1115"/>
          <w:sz w:val="13"/>
          <w:szCs w:val="11"/>
          <w:lang w:eastAsia="fr-FR"/>
        </w:rPr>
        <w:t>(2), 174–175. </w:t>
      </w:r>
      <w:hyperlink r:id="rId10" w:tgtFrame="_blank" w:history="1">
        <w:r w:rsidRPr="005F3E83">
          <w:rPr>
            <w:rFonts w:ascii="Segoe UI" w:eastAsia="Times New Roman" w:hAnsi="Segoe UI" w:cs="Segoe UI"/>
            <w:color w:val="3964FE"/>
            <w:sz w:val="13"/>
            <w:lang w:eastAsia="fr-FR"/>
          </w:rPr>
          <w:t>https://doi.org/10.5195/ijms.2021.767</w:t>
        </w:r>
      </w:hyperlink>
    </w:p>
    <w:p w14:paraId="0FDB2413"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Çamcı, M. (2023). In</w:t>
      </w:r>
      <w:r w:rsidRPr="005F3E83">
        <w:rPr>
          <w:rFonts w:ascii="Segoe UI" w:eastAsia="Times New Roman" w:hAnsi="Segoe UI" w:cs="Segoe UI"/>
          <w:color w:val="0F1115"/>
          <w:sz w:val="13"/>
          <w:szCs w:val="11"/>
          <w:lang w:eastAsia="fr-FR"/>
        </w:rPr>
        <w:noBreakHyphen/>
        <w:t xml:space="preserve">flight emergency medical </w:t>
      </w:r>
      <w:proofErr w:type="gramStart"/>
      <w:r w:rsidRPr="005F3E83">
        <w:rPr>
          <w:rFonts w:ascii="Segoe UI" w:eastAsia="Times New Roman" w:hAnsi="Segoe UI" w:cs="Segoe UI"/>
          <w:color w:val="0F1115"/>
          <w:sz w:val="13"/>
          <w:szCs w:val="11"/>
          <w:lang w:eastAsia="fr-FR"/>
        </w:rPr>
        <w:t>intervention:</w:t>
      </w:r>
      <w:proofErr w:type="gramEnd"/>
      <w:r w:rsidRPr="005F3E83">
        <w:rPr>
          <w:rFonts w:ascii="Segoe UI" w:eastAsia="Times New Roman" w:hAnsi="Segoe UI" w:cs="Segoe UI"/>
          <w:color w:val="0F1115"/>
          <w:sz w:val="13"/>
          <w:szCs w:val="11"/>
          <w:lang w:eastAsia="fr-FR"/>
        </w:rPr>
        <w:t xml:space="preserve"> Physicians' legal responsibilities. </w:t>
      </w:r>
      <w:r w:rsidRPr="005F3E83">
        <w:rPr>
          <w:rFonts w:ascii="Segoe UI" w:eastAsia="Times New Roman" w:hAnsi="Segoe UI" w:cs="Segoe UI"/>
          <w:i/>
          <w:iCs/>
          <w:color w:val="0F1115"/>
          <w:sz w:val="13"/>
          <w:lang w:eastAsia="fr-FR"/>
        </w:rPr>
        <w:t>Intercontinental Journal of Emergency Medicine, 1</w:t>
      </w:r>
      <w:r w:rsidRPr="005F3E83">
        <w:rPr>
          <w:rFonts w:ascii="Segoe UI" w:eastAsia="Times New Roman" w:hAnsi="Segoe UI" w:cs="Segoe UI"/>
          <w:color w:val="0F1115"/>
          <w:sz w:val="13"/>
          <w:szCs w:val="11"/>
          <w:lang w:eastAsia="fr-FR"/>
        </w:rPr>
        <w:t>(1), 25–30. </w:t>
      </w:r>
      <w:hyperlink r:id="rId11" w:tgtFrame="_blank" w:history="1">
        <w:r w:rsidRPr="005F3E83">
          <w:rPr>
            <w:rFonts w:ascii="Segoe UI" w:eastAsia="Times New Roman" w:hAnsi="Segoe UI" w:cs="Segoe UI"/>
            <w:color w:val="3964FE"/>
            <w:sz w:val="13"/>
            <w:lang w:eastAsia="fr-FR"/>
          </w:rPr>
          <w:t>https://doi.org/10.51271/ICJEM-0056</w:t>
        </w:r>
      </w:hyperlink>
    </w:p>
    <w:p w14:paraId="6503AEC3"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Deakin, C. D., Shewry, E., &amp; Gray, H. H. (2014). Public access defibrillation remains out of reach for most victims of out</w:t>
      </w:r>
      <w:r w:rsidRPr="005F3E83">
        <w:rPr>
          <w:rFonts w:ascii="Segoe UI" w:eastAsia="Times New Roman" w:hAnsi="Segoe UI" w:cs="Segoe UI"/>
          <w:color w:val="0F1115"/>
          <w:sz w:val="13"/>
          <w:szCs w:val="11"/>
          <w:lang w:eastAsia="fr-FR"/>
        </w:rPr>
        <w:noBreakHyphen/>
        <w:t>of</w:t>
      </w:r>
      <w:r w:rsidRPr="005F3E83">
        <w:rPr>
          <w:rFonts w:ascii="Segoe UI" w:eastAsia="Times New Roman" w:hAnsi="Segoe UI" w:cs="Segoe UI"/>
          <w:color w:val="0F1115"/>
          <w:sz w:val="13"/>
          <w:szCs w:val="11"/>
          <w:lang w:eastAsia="fr-FR"/>
        </w:rPr>
        <w:noBreakHyphen/>
        <w:t>hospital sudden cardiac arrest. </w:t>
      </w:r>
      <w:r w:rsidRPr="005F3E83">
        <w:rPr>
          <w:rFonts w:ascii="Segoe UI" w:eastAsia="Times New Roman" w:hAnsi="Segoe UI" w:cs="Segoe UI"/>
          <w:i/>
          <w:iCs/>
          <w:color w:val="0F1115"/>
          <w:sz w:val="13"/>
          <w:lang w:eastAsia="fr-FR"/>
        </w:rPr>
        <w:t>Heart, 100</w:t>
      </w:r>
      <w:r w:rsidRPr="005F3E83">
        <w:rPr>
          <w:rFonts w:ascii="Segoe UI" w:eastAsia="Times New Roman" w:hAnsi="Segoe UI" w:cs="Segoe UI"/>
          <w:color w:val="0F1115"/>
          <w:sz w:val="13"/>
          <w:szCs w:val="11"/>
          <w:lang w:eastAsia="fr-FR"/>
        </w:rPr>
        <w:t>(8), 619–623. </w:t>
      </w:r>
      <w:hyperlink r:id="rId12" w:tgtFrame="_blank" w:history="1">
        <w:r w:rsidRPr="005F3E83">
          <w:rPr>
            <w:rFonts w:ascii="Segoe UI" w:eastAsia="Times New Roman" w:hAnsi="Segoe UI" w:cs="Segoe UI"/>
            <w:color w:val="3964FE"/>
            <w:sz w:val="13"/>
            <w:lang w:eastAsia="fr-FR"/>
          </w:rPr>
          <w:t>https://doi.org/10.1136/heartjnl-2013-305030</w:t>
        </w:r>
      </w:hyperlink>
    </w:p>
    <w:p w14:paraId="59546214"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Dieter, M., Sprenger, E., Pasnicu, O., Staudt, J., &amp; Ellenrieder, N. (2024). Virtual flight deck crew assistance utilizing artificial intelligence methods to interpret </w:t>
      </w:r>
      <w:proofErr w:type="gramStart"/>
      <w:r w:rsidRPr="005F3E83">
        <w:rPr>
          <w:rFonts w:ascii="Segoe UI" w:eastAsia="Times New Roman" w:hAnsi="Segoe UI" w:cs="Segoe UI"/>
          <w:color w:val="0F1115"/>
          <w:sz w:val="13"/>
          <w:szCs w:val="11"/>
          <w:lang w:eastAsia="fr-FR"/>
        </w:rPr>
        <w:t>NOTAMs:</w:t>
      </w:r>
      <w:proofErr w:type="gramEnd"/>
      <w:r w:rsidRPr="005F3E83">
        <w:rPr>
          <w:rFonts w:ascii="Segoe UI" w:eastAsia="Times New Roman" w:hAnsi="Segoe UI" w:cs="Segoe UI"/>
          <w:color w:val="0F1115"/>
          <w:sz w:val="13"/>
          <w:szCs w:val="11"/>
          <w:lang w:eastAsia="fr-FR"/>
        </w:rPr>
        <w:t xml:space="preserve"> A user acceptance study. </w:t>
      </w:r>
      <w:r w:rsidRPr="005F3E83">
        <w:rPr>
          <w:rFonts w:ascii="Segoe UI" w:eastAsia="Times New Roman" w:hAnsi="Segoe UI" w:cs="Segoe UI"/>
          <w:i/>
          <w:iCs/>
          <w:color w:val="0F1115"/>
          <w:sz w:val="13"/>
          <w:lang w:eastAsia="fr-FR"/>
        </w:rPr>
        <w:t>CEAS Aeronautical Journal, 15</w:t>
      </w:r>
      <w:r w:rsidRPr="005F3E83">
        <w:rPr>
          <w:rFonts w:ascii="Segoe UI" w:eastAsia="Times New Roman" w:hAnsi="Segoe UI" w:cs="Segoe UI"/>
          <w:color w:val="0F1115"/>
          <w:sz w:val="13"/>
          <w:szCs w:val="11"/>
          <w:lang w:eastAsia="fr-FR"/>
        </w:rPr>
        <w:t>, 1137–1144. </w:t>
      </w:r>
      <w:hyperlink r:id="rId13" w:tgtFrame="_blank" w:history="1"/>
      <w:r w:rsidR="00ED44F6" w:rsidRPr="005F3E83">
        <w:t xml:space="preserve"> </w:t>
      </w:r>
      <w:r w:rsidR="00ED44F6" w:rsidRPr="005F3E83">
        <w:rPr>
          <w:rFonts w:ascii="Segoe UI" w:eastAsia="Times New Roman" w:hAnsi="Segoe UI" w:cs="Segoe UI"/>
          <w:color w:val="3964FE"/>
          <w:sz w:val="13"/>
          <w:lang w:eastAsia="fr-FR"/>
        </w:rPr>
        <w:t>https://doi.org/</w:t>
      </w:r>
      <w:hyperlink r:id="rId14" w:tgtFrame="_blank" w:history="1">
        <w:r w:rsidR="00ED44F6" w:rsidRPr="005F3E83">
          <w:rPr>
            <w:rFonts w:ascii="Segoe UI" w:eastAsia="Times New Roman" w:hAnsi="Segoe UI" w:cs="Segoe UI"/>
            <w:color w:val="3964FE"/>
            <w:sz w:val="13"/>
            <w:lang w:eastAsia="fr-FR"/>
          </w:rPr>
          <w:t>10.1007/s13272-024-00767-1</w:t>
        </w:r>
      </w:hyperlink>
    </w:p>
    <w:p w14:paraId="1543810B"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Guo, Q., Wang, J., Estill, J., Lan, H., Zhang, J., Wu, S., Yao, J., Yan, X., &amp; Chen, Y. (2022). Risk of COVID</w:t>
      </w:r>
      <w:r w:rsidRPr="005F3E83">
        <w:rPr>
          <w:rFonts w:ascii="Segoe UI" w:eastAsia="Times New Roman" w:hAnsi="Segoe UI" w:cs="Segoe UI"/>
          <w:color w:val="0F1115"/>
          <w:sz w:val="13"/>
          <w:szCs w:val="11"/>
          <w:lang w:eastAsia="fr-FR"/>
        </w:rPr>
        <w:noBreakHyphen/>
        <w:t xml:space="preserve">19 transmission aboard </w:t>
      </w:r>
      <w:proofErr w:type="gramStart"/>
      <w:r w:rsidRPr="005F3E83">
        <w:rPr>
          <w:rFonts w:ascii="Segoe UI" w:eastAsia="Times New Roman" w:hAnsi="Segoe UI" w:cs="Segoe UI"/>
          <w:color w:val="0F1115"/>
          <w:sz w:val="13"/>
          <w:szCs w:val="11"/>
          <w:lang w:eastAsia="fr-FR"/>
        </w:rPr>
        <w:t>aircraft:</w:t>
      </w:r>
      <w:proofErr w:type="gramEnd"/>
      <w:r w:rsidRPr="005F3E83">
        <w:rPr>
          <w:rFonts w:ascii="Segoe UI" w:eastAsia="Times New Roman" w:hAnsi="Segoe UI" w:cs="Segoe UI"/>
          <w:color w:val="0F1115"/>
          <w:sz w:val="13"/>
          <w:szCs w:val="11"/>
          <w:lang w:eastAsia="fr-FR"/>
        </w:rPr>
        <w:t xml:space="preserve"> An epidemiological analysis based on the National Health Information Platform. </w:t>
      </w:r>
      <w:r w:rsidRPr="005F3E83">
        <w:rPr>
          <w:rFonts w:ascii="Segoe UI" w:eastAsia="Times New Roman" w:hAnsi="Segoe UI" w:cs="Segoe UI"/>
          <w:i/>
          <w:iCs/>
          <w:color w:val="0F1115"/>
          <w:sz w:val="13"/>
          <w:lang w:eastAsia="fr-FR"/>
        </w:rPr>
        <w:t>International Journal of Infectious Diseases, 118</w:t>
      </w:r>
      <w:r w:rsidRPr="005F3E83">
        <w:rPr>
          <w:rFonts w:ascii="Segoe UI" w:eastAsia="Times New Roman" w:hAnsi="Segoe UI" w:cs="Segoe UI"/>
          <w:color w:val="0F1115"/>
          <w:sz w:val="13"/>
          <w:szCs w:val="11"/>
          <w:lang w:eastAsia="fr-FR"/>
        </w:rPr>
        <w:t>, 270–276. </w:t>
      </w:r>
      <w:hyperlink r:id="rId15" w:tgtFrame="_blank" w:history="1">
        <w:r w:rsidRPr="005F3E83">
          <w:rPr>
            <w:rFonts w:ascii="Segoe UI" w:eastAsia="Times New Roman" w:hAnsi="Segoe UI" w:cs="Segoe UI"/>
            <w:color w:val="3964FE"/>
            <w:sz w:val="13"/>
            <w:lang w:eastAsia="fr-FR"/>
          </w:rPr>
          <w:t>https://doi.org/10.1016/j.ijid.2022.03.024</w:t>
        </w:r>
      </w:hyperlink>
    </w:p>
    <w:p w14:paraId="59BA4C6D"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Heggie, T. W. (2020). </w:t>
      </w:r>
      <w:proofErr w:type="gramStart"/>
      <w:r w:rsidRPr="005F3E83">
        <w:rPr>
          <w:rFonts w:ascii="Segoe UI" w:eastAsia="Times New Roman" w:hAnsi="Segoe UI" w:cs="Segoe UI"/>
          <w:color w:val="0F1115"/>
          <w:sz w:val="13"/>
          <w:szCs w:val="11"/>
          <w:lang w:eastAsia="fr-FR"/>
        </w:rPr>
        <w:t>Skyborn:</w:t>
      </w:r>
      <w:proofErr w:type="gramEnd"/>
      <w:r w:rsidRPr="005F3E83">
        <w:rPr>
          <w:rFonts w:ascii="Segoe UI" w:eastAsia="Times New Roman" w:hAnsi="Segoe UI" w:cs="Segoe UI"/>
          <w:color w:val="0F1115"/>
          <w:sz w:val="13"/>
          <w:szCs w:val="11"/>
          <w:lang w:eastAsia="fr-FR"/>
        </w:rPr>
        <w:t xml:space="preserve"> In flight emergency births on commercial airlines. </w:t>
      </w:r>
      <w:r w:rsidRPr="005F3E83">
        <w:rPr>
          <w:rFonts w:ascii="Segoe UI" w:eastAsia="Times New Roman" w:hAnsi="Segoe UI" w:cs="Segoe UI"/>
          <w:i/>
          <w:iCs/>
          <w:color w:val="0F1115"/>
          <w:sz w:val="13"/>
          <w:lang w:eastAsia="fr-FR"/>
        </w:rPr>
        <w:t>Journal of Travel Medicine, 27</w:t>
      </w:r>
      <w:r w:rsidRPr="005F3E83">
        <w:rPr>
          <w:rFonts w:ascii="Segoe UI" w:eastAsia="Times New Roman" w:hAnsi="Segoe UI" w:cs="Segoe UI"/>
          <w:color w:val="0F1115"/>
          <w:sz w:val="13"/>
          <w:szCs w:val="11"/>
          <w:lang w:eastAsia="fr-FR"/>
        </w:rPr>
        <w:t>(2), Article taz042. </w:t>
      </w:r>
      <w:hyperlink r:id="rId16" w:tgtFrame="_blank" w:history="1">
        <w:r w:rsidRPr="005F3E83">
          <w:rPr>
            <w:rFonts w:ascii="Segoe UI" w:eastAsia="Times New Roman" w:hAnsi="Segoe UI" w:cs="Segoe UI"/>
            <w:color w:val="3964FE"/>
            <w:sz w:val="13"/>
            <w:lang w:eastAsia="fr-FR"/>
          </w:rPr>
          <w:t>https://doi.org/10.1093/jtm/taz042</w:t>
        </w:r>
      </w:hyperlink>
    </w:p>
    <w:p w14:paraId="5B12CBBC" w14:textId="77777777" w:rsidR="00726424" w:rsidRPr="005F3E83" w:rsidRDefault="00726424" w:rsidP="00726424">
      <w:pPr>
        <w:shd w:val="clear" w:color="auto" w:fill="FFFFFF"/>
        <w:spacing w:before="113" w:after="113" w:line="240" w:lineRule="auto"/>
      </w:pPr>
      <w:r w:rsidRPr="005F3E83">
        <w:rPr>
          <w:rFonts w:ascii="Segoe UI" w:eastAsia="Times New Roman" w:hAnsi="Segoe UI" w:cs="Segoe UI"/>
          <w:color w:val="0F1115"/>
          <w:sz w:val="13"/>
          <w:szCs w:val="11"/>
          <w:lang w:eastAsia="fr-FR"/>
        </w:rPr>
        <w:t>Hertzberg, V. S., Weiss, H., Elon, L., Si, W., &amp; Norris, S. L. (2018). Behaviors, movements, and transmission of droplet</w:t>
      </w:r>
      <w:r w:rsidRPr="005F3E83">
        <w:rPr>
          <w:rFonts w:ascii="Segoe UI" w:eastAsia="Times New Roman" w:hAnsi="Segoe UI" w:cs="Segoe UI"/>
          <w:color w:val="0F1115"/>
          <w:sz w:val="13"/>
          <w:szCs w:val="11"/>
          <w:lang w:eastAsia="fr-FR"/>
        </w:rPr>
        <w:noBreakHyphen/>
        <w:t>mediated respiratory diseases during transcontinental airline flights. </w:t>
      </w:r>
      <w:r w:rsidRPr="005F3E83">
        <w:rPr>
          <w:rFonts w:ascii="Segoe UI" w:eastAsia="Times New Roman" w:hAnsi="Segoe UI" w:cs="Segoe UI"/>
          <w:i/>
          <w:iCs/>
          <w:color w:val="0F1115"/>
          <w:sz w:val="13"/>
          <w:lang w:eastAsia="fr-FR"/>
        </w:rPr>
        <w:t>Proceedings of the National Academy of Sciences, 115</w:t>
      </w:r>
      <w:r w:rsidRPr="005F3E83">
        <w:rPr>
          <w:rFonts w:ascii="Segoe UI" w:eastAsia="Times New Roman" w:hAnsi="Segoe UI" w:cs="Segoe UI"/>
          <w:color w:val="0F1115"/>
          <w:sz w:val="13"/>
          <w:szCs w:val="11"/>
          <w:lang w:eastAsia="fr-FR"/>
        </w:rPr>
        <w:t>(14), 3623–3627. </w:t>
      </w:r>
      <w:hyperlink r:id="rId17" w:tgtFrame="_blank" w:history="1">
        <w:r w:rsidRPr="005F3E83">
          <w:rPr>
            <w:rFonts w:ascii="Segoe UI" w:eastAsia="Times New Roman" w:hAnsi="Segoe UI" w:cs="Segoe UI"/>
            <w:color w:val="3964FE"/>
            <w:sz w:val="13"/>
            <w:lang w:eastAsia="fr-FR"/>
          </w:rPr>
          <w:t>https://doi.org/10.1073/pnas.1711611115</w:t>
        </w:r>
      </w:hyperlink>
    </w:p>
    <w:p w14:paraId="7B1ED8D7" w14:textId="77777777" w:rsidR="00756BE1" w:rsidRPr="005F3E83" w:rsidRDefault="00B974A9" w:rsidP="00756BE1">
      <w:pPr>
        <w:shd w:val="clear" w:color="auto" w:fill="FFFFFF"/>
        <w:spacing w:before="113" w:after="113" w:line="240" w:lineRule="auto"/>
        <w:rPr>
          <w:rFonts w:ascii="Segoe UI" w:eastAsia="Times New Roman" w:hAnsi="Segoe UI" w:cs="Segoe UI"/>
          <w:color w:val="0F1115"/>
          <w:sz w:val="11"/>
          <w:szCs w:val="11"/>
          <w:lang w:eastAsia="fr-FR"/>
        </w:rPr>
      </w:pPr>
      <w:r w:rsidRPr="005F3E83">
        <w:rPr>
          <w:rFonts w:ascii="Segoe UI" w:hAnsi="Segoe UI" w:cs="Segoe UI"/>
          <w:color w:val="0F1115"/>
          <w:sz w:val="14"/>
          <w:szCs w:val="16"/>
          <w:shd w:val="clear" w:color="auto" w:fill="FFFFFF"/>
        </w:rPr>
        <w:t>Hill, M. A., Jones, J. D., VandeHei, M., Purnell, J., Schnittke, N., Damewood, S., &amp; Kuttab, H. I. (2024). Evaluation of point</w:t>
      </w:r>
      <w:r w:rsidRPr="005F3E83">
        <w:rPr>
          <w:rFonts w:ascii="Segoe UI" w:hAnsi="Segoe UI" w:cs="Segoe UI"/>
          <w:color w:val="0F1115"/>
          <w:sz w:val="14"/>
          <w:szCs w:val="16"/>
          <w:shd w:val="clear" w:color="auto" w:fill="FFFFFF"/>
        </w:rPr>
        <w:noBreakHyphen/>
        <w:t>of</w:t>
      </w:r>
      <w:r w:rsidRPr="005F3E83">
        <w:rPr>
          <w:rFonts w:ascii="Segoe UI" w:hAnsi="Segoe UI" w:cs="Segoe UI"/>
          <w:color w:val="0F1115"/>
          <w:sz w:val="14"/>
          <w:szCs w:val="16"/>
          <w:shd w:val="clear" w:color="auto" w:fill="FFFFFF"/>
        </w:rPr>
        <w:noBreakHyphen/>
        <w:t>care ultrasound in a helicopter emergency medical service program. </w:t>
      </w:r>
      <w:r w:rsidRPr="005F3E83">
        <w:rPr>
          <w:rStyle w:val="Emphasis"/>
          <w:rFonts w:ascii="Segoe UI" w:hAnsi="Segoe UI" w:cs="Segoe UI"/>
          <w:color w:val="0F1115"/>
          <w:sz w:val="14"/>
          <w:szCs w:val="16"/>
          <w:shd w:val="clear" w:color="auto" w:fill="FFFFFF"/>
        </w:rPr>
        <w:t>Air Medical Journal, 43</w:t>
      </w:r>
      <w:r w:rsidRPr="005F3E83">
        <w:rPr>
          <w:rFonts w:ascii="Segoe UI" w:hAnsi="Segoe UI" w:cs="Segoe UI"/>
          <w:color w:val="0F1115"/>
          <w:sz w:val="14"/>
          <w:szCs w:val="16"/>
          <w:shd w:val="clear" w:color="auto" w:fill="FFFFFF"/>
        </w:rPr>
        <w:t>(4), 365. </w:t>
      </w:r>
      <w:r w:rsidRPr="005F3E83">
        <w:rPr>
          <w:sz w:val="20"/>
        </w:rPr>
        <w:t xml:space="preserve"> </w:t>
      </w:r>
      <w:hyperlink r:id="rId18" w:tgtFrame="_blank" w:tooltip="Persistent link using digital object identifier" w:history="1">
        <w:r w:rsidRPr="005F3E83">
          <w:rPr>
            <w:rStyle w:val="anchor-text"/>
            <w:rFonts w:ascii="Arial" w:hAnsi="Arial" w:cs="Arial"/>
            <w:color w:val="0272B1"/>
            <w:sz w:val="13"/>
            <w:szCs w:val="13"/>
          </w:rPr>
          <w:t>https://doi.org/10.1016/j.amj.2024.05.016</w:t>
        </w:r>
      </w:hyperlink>
    </w:p>
    <w:p w14:paraId="69719F5F" w14:textId="77777777" w:rsidR="00726424" w:rsidRPr="005F3E83" w:rsidRDefault="00726424" w:rsidP="00756BE1">
      <w:pPr>
        <w:shd w:val="clear" w:color="auto" w:fill="FFFFFF"/>
        <w:spacing w:before="113" w:after="113" w:line="240" w:lineRule="auto"/>
        <w:rPr>
          <w:rFonts w:ascii="Segoe UI" w:eastAsia="Times New Roman" w:hAnsi="Segoe UI" w:cs="Segoe UI"/>
          <w:color w:val="0F1115"/>
          <w:sz w:val="11"/>
          <w:szCs w:val="11"/>
          <w:lang w:eastAsia="fr-FR"/>
        </w:rPr>
      </w:pPr>
      <w:r w:rsidRPr="005F3E83">
        <w:rPr>
          <w:rFonts w:ascii="Segoe UI" w:eastAsia="Times New Roman" w:hAnsi="Segoe UI" w:cs="Segoe UI"/>
          <w:color w:val="0F1115"/>
          <w:sz w:val="13"/>
          <w:szCs w:val="11"/>
          <w:lang w:eastAsia="fr-FR"/>
        </w:rPr>
        <w:t>Hinkelbein, J., Neuhaus, C., Böhm, L., Kalina, S., &amp; Braunecker, S. (2017). In</w:t>
      </w:r>
      <w:r w:rsidRPr="005F3E83">
        <w:rPr>
          <w:rFonts w:ascii="Segoe UI" w:eastAsia="Times New Roman" w:hAnsi="Segoe UI" w:cs="Segoe UI"/>
          <w:color w:val="0F1115"/>
          <w:sz w:val="13"/>
          <w:szCs w:val="11"/>
          <w:lang w:eastAsia="fr-FR"/>
        </w:rPr>
        <w:noBreakHyphen/>
        <w:t xml:space="preserve">flight medical emergencies during airline </w:t>
      </w:r>
      <w:proofErr w:type="gramStart"/>
      <w:r w:rsidRPr="005F3E83">
        <w:rPr>
          <w:rFonts w:ascii="Segoe UI" w:eastAsia="Times New Roman" w:hAnsi="Segoe UI" w:cs="Segoe UI"/>
          <w:color w:val="0F1115"/>
          <w:sz w:val="13"/>
          <w:szCs w:val="11"/>
          <w:lang w:eastAsia="fr-FR"/>
        </w:rPr>
        <w:t>operations:</w:t>
      </w:r>
      <w:proofErr w:type="gramEnd"/>
      <w:r w:rsidRPr="005F3E83">
        <w:rPr>
          <w:rFonts w:ascii="Segoe UI" w:eastAsia="Times New Roman" w:hAnsi="Segoe UI" w:cs="Segoe UI"/>
          <w:color w:val="0F1115"/>
          <w:sz w:val="13"/>
          <w:szCs w:val="11"/>
          <w:lang w:eastAsia="fr-FR"/>
        </w:rPr>
        <w:t xml:space="preserve"> A survey of physicians on the incidence, nature, and available medical equipment. </w:t>
      </w:r>
      <w:r w:rsidRPr="005F3E83">
        <w:rPr>
          <w:rFonts w:ascii="Segoe UI" w:eastAsia="Times New Roman" w:hAnsi="Segoe UI" w:cs="Segoe UI"/>
          <w:i/>
          <w:iCs/>
          <w:color w:val="0F1115"/>
          <w:sz w:val="13"/>
          <w:lang w:eastAsia="fr-FR"/>
        </w:rPr>
        <w:t>Journal of Travel Medicine, 24</w:t>
      </w:r>
      <w:r w:rsidRPr="005F3E83">
        <w:rPr>
          <w:rFonts w:ascii="Segoe UI" w:eastAsia="Times New Roman" w:hAnsi="Segoe UI" w:cs="Segoe UI"/>
          <w:color w:val="0F1115"/>
          <w:sz w:val="13"/>
          <w:szCs w:val="11"/>
          <w:lang w:eastAsia="fr-FR"/>
        </w:rPr>
        <w:t>(5), Article tax036. </w:t>
      </w:r>
      <w:r w:rsidR="00756BE1" w:rsidRPr="005F3E83">
        <w:t xml:space="preserve"> </w:t>
      </w:r>
      <w:r w:rsidR="00756BE1" w:rsidRPr="005F3E83">
        <w:rPr>
          <w:rStyle w:val="anchor-text"/>
          <w:rFonts w:ascii="Arial" w:hAnsi="Arial" w:cs="Arial"/>
          <w:color w:val="0272B1"/>
          <w:sz w:val="13"/>
          <w:szCs w:val="13"/>
        </w:rPr>
        <w:t>https://doi.org/</w:t>
      </w:r>
      <w:hyperlink r:id="rId19" w:tgtFrame="_blank" w:history="1">
        <w:r w:rsidR="00756BE1" w:rsidRPr="005F3E83">
          <w:rPr>
            <w:rStyle w:val="anchor-text"/>
            <w:rFonts w:ascii="Arial" w:hAnsi="Arial" w:cs="Arial"/>
            <w:color w:val="0272B1"/>
            <w:sz w:val="13"/>
            <w:szCs w:val="13"/>
          </w:rPr>
          <w:t>10.2147/OAEM.S129250</w:t>
        </w:r>
      </w:hyperlink>
      <w:r w:rsidR="00756BE1" w:rsidRPr="005F3E83">
        <w:rPr>
          <w:rFonts w:ascii="Segoe UI" w:eastAsia="Times New Roman" w:hAnsi="Segoe UI" w:cs="Segoe UI"/>
          <w:color w:val="0F1115"/>
          <w:sz w:val="13"/>
          <w:szCs w:val="11"/>
          <w:lang w:eastAsia="fr-FR"/>
        </w:rPr>
        <w:t xml:space="preserve"> </w:t>
      </w:r>
    </w:p>
    <w:p w14:paraId="46FBF5AC"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Hov, M. R., &amp; Larsen, K. (2025). Stroke care in the </w:t>
      </w:r>
      <w:proofErr w:type="gramStart"/>
      <w:r w:rsidRPr="005F3E83">
        <w:rPr>
          <w:rFonts w:ascii="Segoe UI" w:eastAsia="Times New Roman" w:hAnsi="Segoe UI" w:cs="Segoe UI"/>
          <w:color w:val="0F1115"/>
          <w:sz w:val="13"/>
          <w:szCs w:val="11"/>
          <w:lang w:eastAsia="fr-FR"/>
        </w:rPr>
        <w:t>air:</w:t>
      </w:r>
      <w:proofErr w:type="gramEnd"/>
      <w:r w:rsidRPr="005F3E83">
        <w:rPr>
          <w:rFonts w:ascii="Segoe UI" w:eastAsia="Times New Roman" w:hAnsi="Segoe UI" w:cs="Segoe UI"/>
          <w:color w:val="0F1115"/>
          <w:sz w:val="13"/>
          <w:szCs w:val="11"/>
          <w:lang w:eastAsia="fr-FR"/>
        </w:rPr>
        <w:t xml:space="preserve"> A new horizon for helicopter emergency medical services. </w:t>
      </w:r>
      <w:r w:rsidRPr="005F3E83">
        <w:rPr>
          <w:rFonts w:ascii="Segoe UI" w:eastAsia="Times New Roman" w:hAnsi="Segoe UI" w:cs="Segoe UI"/>
          <w:i/>
          <w:iCs/>
          <w:color w:val="0F1115"/>
          <w:sz w:val="13"/>
          <w:lang w:eastAsia="fr-FR"/>
        </w:rPr>
        <w:t>Scandinavian Journal of Trauma, Resuscitation and Emergency Medicine, 33</w:t>
      </w:r>
      <w:r w:rsidRPr="005F3E83">
        <w:rPr>
          <w:rFonts w:ascii="Segoe UI" w:eastAsia="Times New Roman" w:hAnsi="Segoe UI" w:cs="Segoe UI"/>
          <w:color w:val="0F1115"/>
          <w:sz w:val="13"/>
          <w:szCs w:val="11"/>
          <w:lang w:eastAsia="fr-FR"/>
        </w:rPr>
        <w:t>, Article 197. </w:t>
      </w:r>
      <w:hyperlink r:id="rId20" w:tgtFrame="_blank" w:history="1">
        <w:r w:rsidRPr="005F3E83">
          <w:rPr>
            <w:rFonts w:ascii="Segoe UI" w:eastAsia="Times New Roman" w:hAnsi="Segoe UI" w:cs="Segoe UI"/>
            <w:color w:val="3964FE"/>
            <w:sz w:val="13"/>
            <w:lang w:eastAsia="fr-FR"/>
          </w:rPr>
          <w:t>https://doi.org/10.1186/s13049-025-01507-y</w:t>
        </w:r>
      </w:hyperlink>
    </w:p>
    <w:p w14:paraId="4B0CB27B"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Joshi, K. G. (2019, December). In</w:t>
      </w:r>
      <w:r w:rsidRPr="005F3E83">
        <w:rPr>
          <w:rFonts w:ascii="Segoe UI" w:eastAsia="Times New Roman" w:hAnsi="Segoe UI" w:cs="Segoe UI"/>
          <w:color w:val="0F1115"/>
          <w:sz w:val="13"/>
          <w:szCs w:val="11"/>
          <w:lang w:eastAsia="fr-FR"/>
        </w:rPr>
        <w:noBreakHyphen/>
        <w:t xml:space="preserve">flight psychiatric </w:t>
      </w:r>
      <w:proofErr w:type="gramStart"/>
      <w:r w:rsidRPr="005F3E83">
        <w:rPr>
          <w:rFonts w:ascii="Segoe UI" w:eastAsia="Times New Roman" w:hAnsi="Segoe UI" w:cs="Segoe UI"/>
          <w:color w:val="0F1115"/>
          <w:sz w:val="13"/>
          <w:szCs w:val="11"/>
          <w:lang w:eastAsia="fr-FR"/>
        </w:rPr>
        <w:t>emergencies:</w:t>
      </w:r>
      <w:proofErr w:type="gramEnd"/>
      <w:r w:rsidRPr="005F3E83">
        <w:rPr>
          <w:rFonts w:ascii="Segoe UI" w:eastAsia="Times New Roman" w:hAnsi="Segoe UI" w:cs="Segoe UI"/>
          <w:color w:val="0F1115"/>
          <w:sz w:val="13"/>
          <w:szCs w:val="11"/>
          <w:lang w:eastAsia="fr-FR"/>
        </w:rPr>
        <w:t xml:space="preserve"> What you should know. </w:t>
      </w:r>
      <w:r w:rsidRPr="005F3E83">
        <w:rPr>
          <w:rFonts w:ascii="Segoe UI" w:eastAsia="Times New Roman" w:hAnsi="Segoe UI" w:cs="Segoe UI"/>
          <w:i/>
          <w:iCs/>
          <w:color w:val="0F1115"/>
          <w:sz w:val="13"/>
          <w:lang w:eastAsia="fr-FR"/>
        </w:rPr>
        <w:t>Current Psychiatry, 18</w:t>
      </w:r>
      <w:r w:rsidRPr="005F3E83">
        <w:rPr>
          <w:rFonts w:ascii="Segoe UI" w:eastAsia="Times New Roman" w:hAnsi="Segoe UI" w:cs="Segoe UI"/>
          <w:color w:val="0F1115"/>
          <w:sz w:val="13"/>
          <w:szCs w:val="11"/>
          <w:lang w:eastAsia="fr-FR"/>
        </w:rPr>
        <w:t>(12), 17–51.</w:t>
      </w:r>
    </w:p>
    <w:p w14:paraId="41280135"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Kim, Y., Bae, S. C., &amp; Song, Y.-S. (2025). Exploring the potential of telehealth in</w:t>
      </w:r>
      <w:r w:rsidRPr="005F3E83">
        <w:rPr>
          <w:rFonts w:ascii="Segoe UI" w:eastAsia="Times New Roman" w:hAnsi="Segoe UI" w:cs="Segoe UI"/>
          <w:color w:val="0F1115"/>
          <w:sz w:val="13"/>
          <w:szCs w:val="11"/>
          <w:lang w:eastAsia="fr-FR"/>
        </w:rPr>
        <w:noBreakHyphen/>
        <w:t>flight medical emergencies. </w:t>
      </w:r>
      <w:r w:rsidRPr="005F3E83">
        <w:rPr>
          <w:rFonts w:ascii="Segoe UI" w:eastAsia="Times New Roman" w:hAnsi="Segoe UI" w:cs="Segoe UI"/>
          <w:i/>
          <w:iCs/>
          <w:color w:val="0F1115"/>
          <w:sz w:val="13"/>
          <w:lang w:eastAsia="fr-FR"/>
        </w:rPr>
        <w:t>Digital Health</w:t>
      </w:r>
      <w:r w:rsidRPr="005F3E83">
        <w:rPr>
          <w:rFonts w:ascii="Segoe UI" w:eastAsia="Times New Roman" w:hAnsi="Segoe UI" w:cs="Segoe UI"/>
          <w:color w:val="0F1115"/>
          <w:sz w:val="13"/>
          <w:szCs w:val="11"/>
          <w:lang w:eastAsia="fr-FR"/>
        </w:rPr>
        <w:t>. Advance online publication. </w:t>
      </w:r>
      <w:hyperlink r:id="rId21" w:tgtFrame="_blank" w:history="1">
        <w:r w:rsidRPr="005F3E83">
          <w:rPr>
            <w:rFonts w:ascii="Segoe UI" w:eastAsia="Times New Roman" w:hAnsi="Segoe UI" w:cs="Segoe UI"/>
            <w:color w:val="3964FE"/>
            <w:sz w:val="13"/>
            <w:lang w:eastAsia="fr-FR"/>
          </w:rPr>
          <w:t>https://doi.org/10.1177/20552076251326666</w:t>
        </w:r>
      </w:hyperlink>
    </w:p>
    <w:p w14:paraId="36C33701"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Kingsley, T., Kirchoff, R., Newman, J. S., &amp; Chaudhary, R. (2020). Demystifying airline syncope. </w:t>
      </w:r>
      <w:r w:rsidRPr="005F3E83">
        <w:rPr>
          <w:rFonts w:ascii="Segoe UI" w:eastAsia="Times New Roman" w:hAnsi="Segoe UI" w:cs="Segoe UI"/>
          <w:i/>
          <w:iCs/>
          <w:color w:val="0F1115"/>
          <w:sz w:val="13"/>
          <w:lang w:eastAsia="fr-FR"/>
        </w:rPr>
        <w:t>World Journal of Cardiology, 12</w:t>
      </w:r>
      <w:r w:rsidRPr="005F3E83">
        <w:rPr>
          <w:rFonts w:ascii="Segoe UI" w:eastAsia="Times New Roman" w:hAnsi="Segoe UI" w:cs="Segoe UI"/>
          <w:color w:val="0F1115"/>
          <w:sz w:val="13"/>
          <w:szCs w:val="11"/>
          <w:lang w:eastAsia="fr-FR"/>
        </w:rPr>
        <w:t>(3), 107–112. </w:t>
      </w:r>
      <w:hyperlink r:id="rId22" w:tgtFrame="_blank" w:history="1">
        <w:r w:rsidRPr="005F3E83">
          <w:rPr>
            <w:rFonts w:ascii="Segoe UI" w:eastAsia="Times New Roman" w:hAnsi="Segoe UI" w:cs="Segoe UI"/>
            <w:color w:val="3964FE"/>
            <w:sz w:val="13"/>
            <w:lang w:eastAsia="fr-FR"/>
          </w:rPr>
          <w:t>https://doi.org/10.4330/wjc.v12.i3.107</w:t>
        </w:r>
      </w:hyperlink>
    </w:p>
    <w:p w14:paraId="7A21F8A7"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Martin</w:t>
      </w:r>
      <w:r w:rsidRPr="005F3E83">
        <w:rPr>
          <w:rFonts w:ascii="Segoe UI" w:eastAsia="Times New Roman" w:hAnsi="Segoe UI" w:cs="Segoe UI"/>
          <w:color w:val="0F1115"/>
          <w:sz w:val="13"/>
          <w:szCs w:val="11"/>
          <w:lang w:eastAsia="fr-FR"/>
        </w:rPr>
        <w:noBreakHyphen/>
        <w:t>Gill, C., Doyle, T. J., &amp; Yealy, D. M. (2018). In</w:t>
      </w:r>
      <w:r w:rsidRPr="005F3E83">
        <w:rPr>
          <w:rFonts w:ascii="Segoe UI" w:eastAsia="Times New Roman" w:hAnsi="Segoe UI" w:cs="Segoe UI"/>
          <w:color w:val="0F1115"/>
          <w:sz w:val="13"/>
          <w:szCs w:val="11"/>
          <w:lang w:eastAsia="fr-FR"/>
        </w:rPr>
        <w:noBreakHyphen/>
        <w:t xml:space="preserve">Flight Medical </w:t>
      </w:r>
      <w:proofErr w:type="gramStart"/>
      <w:r w:rsidRPr="005F3E83">
        <w:rPr>
          <w:rFonts w:ascii="Segoe UI" w:eastAsia="Times New Roman" w:hAnsi="Segoe UI" w:cs="Segoe UI"/>
          <w:color w:val="0F1115"/>
          <w:sz w:val="13"/>
          <w:szCs w:val="11"/>
          <w:lang w:eastAsia="fr-FR"/>
        </w:rPr>
        <w:t>Emergencies:</w:t>
      </w:r>
      <w:proofErr w:type="gramEnd"/>
      <w:r w:rsidRPr="005F3E83">
        <w:rPr>
          <w:rFonts w:ascii="Segoe UI" w:eastAsia="Times New Roman" w:hAnsi="Segoe UI" w:cs="Segoe UI"/>
          <w:color w:val="0F1115"/>
          <w:sz w:val="13"/>
          <w:szCs w:val="11"/>
          <w:lang w:eastAsia="fr-FR"/>
        </w:rPr>
        <w:t xml:space="preserve"> A Review. </w:t>
      </w:r>
      <w:r w:rsidRPr="005F3E83">
        <w:rPr>
          <w:rFonts w:ascii="Segoe UI" w:eastAsia="Times New Roman" w:hAnsi="Segoe UI" w:cs="Segoe UI"/>
          <w:i/>
          <w:iCs/>
          <w:color w:val="0F1115"/>
          <w:sz w:val="13"/>
          <w:lang w:eastAsia="fr-FR"/>
        </w:rPr>
        <w:t>JAMA, 320</w:t>
      </w:r>
      <w:r w:rsidRPr="005F3E83">
        <w:rPr>
          <w:rFonts w:ascii="Segoe UI" w:eastAsia="Times New Roman" w:hAnsi="Segoe UI" w:cs="Segoe UI"/>
          <w:color w:val="0F1115"/>
          <w:sz w:val="13"/>
          <w:szCs w:val="11"/>
          <w:lang w:eastAsia="fr-FR"/>
        </w:rPr>
        <w:t>(24), 2580–2590. </w:t>
      </w:r>
      <w:hyperlink r:id="rId23" w:tgtFrame="_blank" w:history="1">
        <w:r w:rsidRPr="005F3E83">
          <w:rPr>
            <w:rFonts w:ascii="Segoe UI" w:eastAsia="Times New Roman" w:hAnsi="Segoe UI" w:cs="Segoe UI"/>
            <w:color w:val="3964FE"/>
            <w:sz w:val="13"/>
            <w:lang w:eastAsia="fr-FR"/>
          </w:rPr>
          <w:t>https://doi.org/10.1001/jama.2018.19842</w:t>
        </w:r>
      </w:hyperlink>
    </w:p>
    <w:p w14:paraId="044D0FF7"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Nable, J. V., Tupe, C. L., Gehle, B. D., &amp; Brady, W. J. (2015). In</w:t>
      </w:r>
      <w:r w:rsidRPr="005F3E83">
        <w:rPr>
          <w:rFonts w:ascii="Segoe UI" w:eastAsia="Times New Roman" w:hAnsi="Segoe UI" w:cs="Segoe UI"/>
          <w:color w:val="0F1115"/>
          <w:sz w:val="13"/>
          <w:szCs w:val="11"/>
          <w:lang w:eastAsia="fr-FR"/>
        </w:rPr>
        <w:noBreakHyphen/>
        <w:t>flight medical emergencies during commercial travel. </w:t>
      </w:r>
      <w:r w:rsidRPr="005F3E83">
        <w:rPr>
          <w:rFonts w:ascii="Segoe UI" w:eastAsia="Times New Roman" w:hAnsi="Segoe UI" w:cs="Segoe UI"/>
          <w:i/>
          <w:iCs/>
          <w:color w:val="0F1115"/>
          <w:sz w:val="13"/>
          <w:lang w:eastAsia="fr-FR"/>
        </w:rPr>
        <w:t>New England Journal of Medicine, 373</w:t>
      </w:r>
      <w:r w:rsidRPr="005F3E83">
        <w:rPr>
          <w:rFonts w:ascii="Segoe UI" w:eastAsia="Times New Roman" w:hAnsi="Segoe UI" w:cs="Segoe UI"/>
          <w:color w:val="0F1115"/>
          <w:sz w:val="13"/>
          <w:szCs w:val="11"/>
          <w:lang w:eastAsia="fr-FR"/>
        </w:rPr>
        <w:t>(10), 939–945. </w:t>
      </w:r>
      <w:hyperlink r:id="rId24" w:tgtFrame="_blank" w:history="1">
        <w:r w:rsidRPr="005F3E83">
          <w:rPr>
            <w:rFonts w:ascii="Segoe UI" w:eastAsia="Times New Roman" w:hAnsi="Segoe UI" w:cs="Segoe UI"/>
            <w:color w:val="3964FE"/>
            <w:sz w:val="13"/>
            <w:lang w:eastAsia="fr-FR"/>
          </w:rPr>
          <w:t>https://doi.org/10.1056/NEJMra1409213</w:t>
        </w:r>
      </w:hyperlink>
    </w:p>
    <w:p w14:paraId="1B6A1C6C"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Peterson, D. C., Martin</w:t>
      </w:r>
      <w:r w:rsidRPr="005F3E83">
        <w:rPr>
          <w:rFonts w:ascii="Segoe UI" w:eastAsia="Times New Roman" w:hAnsi="Segoe UI" w:cs="Segoe UI"/>
          <w:color w:val="0F1115"/>
          <w:sz w:val="13"/>
          <w:szCs w:val="11"/>
          <w:lang w:eastAsia="fr-FR"/>
        </w:rPr>
        <w:noBreakHyphen/>
        <w:t>Gill, C., Guyette, F. X., Tobias, A. Z., McCarthy, C. E., Harrington, S. T., … &amp; Yealy, D. M. (2013). Outcomes of Medical Emergencies on Commercial Airline Flights. </w:t>
      </w:r>
      <w:r w:rsidRPr="005F3E83">
        <w:rPr>
          <w:rFonts w:ascii="Segoe UI" w:eastAsia="Times New Roman" w:hAnsi="Segoe UI" w:cs="Segoe UI"/>
          <w:i/>
          <w:iCs/>
          <w:color w:val="0F1115"/>
          <w:sz w:val="13"/>
          <w:lang w:eastAsia="fr-FR"/>
        </w:rPr>
        <w:t>New England Journal of Medicine, 368</w:t>
      </w:r>
      <w:r w:rsidRPr="005F3E83">
        <w:rPr>
          <w:rFonts w:ascii="Segoe UI" w:eastAsia="Times New Roman" w:hAnsi="Segoe UI" w:cs="Segoe UI"/>
          <w:color w:val="0F1115"/>
          <w:sz w:val="13"/>
          <w:szCs w:val="11"/>
          <w:lang w:eastAsia="fr-FR"/>
        </w:rPr>
        <w:t>(22), 2075–2083. </w:t>
      </w:r>
      <w:hyperlink r:id="rId25" w:tgtFrame="_blank" w:history="1">
        <w:r w:rsidRPr="005F3E83">
          <w:rPr>
            <w:rFonts w:ascii="Segoe UI" w:eastAsia="Times New Roman" w:hAnsi="Segoe UI" w:cs="Segoe UI"/>
            <w:color w:val="3964FE"/>
            <w:sz w:val="13"/>
            <w:lang w:eastAsia="fr-FR"/>
          </w:rPr>
          <w:t>https://doi.org/10.1056/NEJMoa1212052</w:t>
        </w:r>
      </w:hyperlink>
    </w:p>
    <w:p w14:paraId="50D11CB9"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Ruskin, K. J., Ricaurte, E. M., &amp; Alves, P. M. (2018). Medical guidelines for airline </w:t>
      </w:r>
      <w:proofErr w:type="gramStart"/>
      <w:r w:rsidRPr="005F3E83">
        <w:rPr>
          <w:rFonts w:ascii="Segoe UI" w:eastAsia="Times New Roman" w:hAnsi="Segoe UI" w:cs="Segoe UI"/>
          <w:color w:val="0F1115"/>
          <w:sz w:val="13"/>
          <w:szCs w:val="11"/>
          <w:lang w:eastAsia="fr-FR"/>
        </w:rPr>
        <w:t>travel:</w:t>
      </w:r>
      <w:proofErr w:type="gramEnd"/>
      <w:r w:rsidRPr="005F3E83">
        <w:rPr>
          <w:rFonts w:ascii="Segoe UI" w:eastAsia="Times New Roman" w:hAnsi="Segoe UI" w:cs="Segoe UI"/>
          <w:color w:val="0F1115"/>
          <w:sz w:val="13"/>
          <w:szCs w:val="11"/>
          <w:lang w:eastAsia="fr-FR"/>
        </w:rPr>
        <w:t xml:space="preserve"> Management of in</w:t>
      </w:r>
      <w:r w:rsidRPr="005F3E83">
        <w:rPr>
          <w:rFonts w:ascii="Segoe UI" w:eastAsia="Times New Roman" w:hAnsi="Segoe UI" w:cs="Segoe UI"/>
          <w:color w:val="0F1115"/>
          <w:sz w:val="13"/>
          <w:szCs w:val="11"/>
          <w:lang w:eastAsia="fr-FR"/>
        </w:rPr>
        <w:noBreakHyphen/>
        <w:t>flight cardiac arrest. </w:t>
      </w:r>
      <w:r w:rsidRPr="005F3E83">
        <w:rPr>
          <w:rFonts w:ascii="Segoe UI" w:eastAsia="Times New Roman" w:hAnsi="Segoe UI" w:cs="Segoe UI"/>
          <w:i/>
          <w:iCs/>
          <w:color w:val="0F1115"/>
          <w:sz w:val="13"/>
          <w:lang w:eastAsia="fr-FR"/>
        </w:rPr>
        <w:t>Aerospace Medicine and Human Performance, 89</w:t>
      </w:r>
      <w:r w:rsidRPr="005F3E83">
        <w:rPr>
          <w:rFonts w:ascii="Segoe UI" w:eastAsia="Times New Roman" w:hAnsi="Segoe UI" w:cs="Segoe UI"/>
          <w:color w:val="0F1115"/>
          <w:sz w:val="13"/>
          <w:szCs w:val="11"/>
          <w:lang w:eastAsia="fr-FR"/>
        </w:rPr>
        <w:t>(8), 754–759. </w:t>
      </w:r>
      <w:hyperlink r:id="rId26" w:tgtFrame="_blank" w:history="1">
        <w:r w:rsidRPr="005F3E83">
          <w:rPr>
            <w:rFonts w:ascii="Segoe UI" w:eastAsia="Times New Roman" w:hAnsi="Segoe UI" w:cs="Segoe UI"/>
            <w:color w:val="3964FE"/>
            <w:sz w:val="13"/>
            <w:lang w:eastAsia="fr-FR"/>
          </w:rPr>
          <w:t>https://doi.org/10.3357/AMHP.5038.2018</w:t>
        </w:r>
      </w:hyperlink>
    </w:p>
    <w:p w14:paraId="0147B59C"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Savona</w:t>
      </w:r>
      <w:r w:rsidRPr="005F3E83">
        <w:rPr>
          <w:rFonts w:ascii="Segoe UI" w:eastAsia="Times New Roman" w:hAnsi="Segoe UI" w:cs="Segoe UI"/>
          <w:color w:val="0F1115"/>
          <w:sz w:val="13"/>
          <w:szCs w:val="11"/>
          <w:lang w:eastAsia="fr-FR"/>
        </w:rPr>
        <w:noBreakHyphen/>
        <w:t>Ventura, C., &amp; Mahmood, T. (2022). Commercial air and high</w:t>
      </w:r>
      <w:r w:rsidRPr="005F3E83">
        <w:rPr>
          <w:rFonts w:ascii="Segoe UI" w:eastAsia="Times New Roman" w:hAnsi="Segoe UI" w:cs="Segoe UI"/>
          <w:color w:val="0F1115"/>
          <w:sz w:val="13"/>
          <w:szCs w:val="11"/>
          <w:lang w:eastAsia="fr-FR"/>
        </w:rPr>
        <w:noBreakHyphen/>
        <w:t xml:space="preserve">altitude travel by pregnant </w:t>
      </w:r>
      <w:proofErr w:type="gramStart"/>
      <w:r w:rsidRPr="005F3E83">
        <w:rPr>
          <w:rFonts w:ascii="Segoe UI" w:eastAsia="Times New Roman" w:hAnsi="Segoe UI" w:cs="Segoe UI"/>
          <w:color w:val="0F1115"/>
          <w:sz w:val="13"/>
          <w:szCs w:val="11"/>
          <w:lang w:eastAsia="fr-FR"/>
        </w:rPr>
        <w:t>women:</w:t>
      </w:r>
      <w:proofErr w:type="gramEnd"/>
      <w:r w:rsidRPr="005F3E83">
        <w:rPr>
          <w:rFonts w:ascii="Segoe UI" w:eastAsia="Times New Roman" w:hAnsi="Segoe UI" w:cs="Segoe UI"/>
          <w:color w:val="0F1115"/>
          <w:sz w:val="13"/>
          <w:szCs w:val="11"/>
          <w:lang w:eastAsia="fr-FR"/>
        </w:rPr>
        <w:t xml:space="preserve"> A scientific review commissioned by the European Board and College of Obstetrics and Gynaecology (EBCOG). </w:t>
      </w:r>
      <w:r w:rsidRPr="005F3E83">
        <w:rPr>
          <w:rFonts w:ascii="Segoe UI" w:eastAsia="Times New Roman" w:hAnsi="Segoe UI" w:cs="Segoe UI"/>
          <w:i/>
          <w:iCs/>
          <w:color w:val="0F1115"/>
          <w:sz w:val="13"/>
          <w:lang w:eastAsia="fr-FR"/>
        </w:rPr>
        <w:t>European Journal of Obstetrics &amp; Gynecology and Reproductive Biology, 273</w:t>
      </w:r>
      <w:r w:rsidRPr="005F3E83">
        <w:rPr>
          <w:rFonts w:ascii="Segoe UI" w:eastAsia="Times New Roman" w:hAnsi="Segoe UI" w:cs="Segoe UI"/>
          <w:color w:val="0F1115"/>
          <w:sz w:val="13"/>
          <w:szCs w:val="11"/>
          <w:lang w:eastAsia="fr-FR"/>
        </w:rPr>
        <w:t>, 15–22. </w:t>
      </w:r>
      <w:hyperlink r:id="rId27" w:tgtFrame="_blank" w:history="1">
        <w:r w:rsidRPr="005F3E83">
          <w:rPr>
            <w:rFonts w:ascii="Segoe UI" w:eastAsia="Times New Roman" w:hAnsi="Segoe UI" w:cs="Segoe UI"/>
            <w:color w:val="3964FE"/>
            <w:sz w:val="13"/>
            <w:lang w:eastAsia="fr-FR"/>
          </w:rPr>
          <w:t>https://doi.org/10.1016/j.ejogrb.2022.03.047</w:t>
        </w:r>
      </w:hyperlink>
    </w:p>
    <w:p w14:paraId="370ED154"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Sharmar, S. N., Meller, L. L. T., Sharma, A. N., &amp; Amsterdam, E. A. (2023). Cardiovascular adaptations of space </w:t>
      </w:r>
      <w:proofErr w:type="gramStart"/>
      <w:r w:rsidRPr="005F3E83">
        <w:rPr>
          <w:rFonts w:ascii="Segoe UI" w:eastAsia="Times New Roman" w:hAnsi="Segoe UI" w:cs="Segoe UI"/>
          <w:color w:val="0F1115"/>
          <w:sz w:val="13"/>
          <w:szCs w:val="11"/>
          <w:lang w:eastAsia="fr-FR"/>
        </w:rPr>
        <w:t>travel:</w:t>
      </w:r>
      <w:proofErr w:type="gramEnd"/>
      <w:r w:rsidRPr="005F3E83">
        <w:rPr>
          <w:rFonts w:ascii="Segoe UI" w:eastAsia="Times New Roman" w:hAnsi="Segoe UI" w:cs="Segoe UI"/>
          <w:color w:val="0F1115"/>
          <w:sz w:val="13"/>
          <w:szCs w:val="11"/>
          <w:lang w:eastAsia="fr-FR"/>
        </w:rPr>
        <w:t xml:space="preserve"> A systematic review. </w:t>
      </w:r>
      <w:r w:rsidRPr="005F3E83">
        <w:rPr>
          <w:rFonts w:ascii="Segoe UI" w:eastAsia="Times New Roman" w:hAnsi="Segoe UI" w:cs="Segoe UI"/>
          <w:i/>
          <w:iCs/>
          <w:color w:val="0F1115"/>
          <w:sz w:val="13"/>
          <w:lang w:eastAsia="fr-FR"/>
        </w:rPr>
        <w:t>Cardiology, 148</w:t>
      </w:r>
      <w:r w:rsidRPr="005F3E83">
        <w:rPr>
          <w:rFonts w:ascii="Segoe UI" w:eastAsia="Times New Roman" w:hAnsi="Segoe UI" w:cs="Segoe UI"/>
          <w:color w:val="0F1115"/>
          <w:sz w:val="13"/>
          <w:szCs w:val="11"/>
          <w:lang w:eastAsia="fr-FR"/>
        </w:rPr>
        <w:t>(5), 434–440. </w:t>
      </w:r>
      <w:hyperlink r:id="rId28" w:tgtFrame="_blank" w:history="1">
        <w:r w:rsidRPr="005F3E83">
          <w:rPr>
            <w:rFonts w:ascii="Segoe UI" w:eastAsia="Times New Roman" w:hAnsi="Segoe UI" w:cs="Segoe UI"/>
            <w:color w:val="3964FE"/>
            <w:sz w:val="13"/>
            <w:lang w:eastAsia="fr-FR"/>
          </w:rPr>
          <w:t>https://doi.org/10.1159/000531466</w:t>
        </w:r>
      </w:hyperlink>
    </w:p>
    <w:p w14:paraId="4E814B13" w14:textId="77777777" w:rsidR="00ED44F6" w:rsidRPr="005F3E83" w:rsidRDefault="00726424" w:rsidP="00ED44F6">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 xml:space="preserve">Shekhar, A. C., &amp; Ruskin, K. J. (2022). Sudden cardiac arrest in commercial </w:t>
      </w:r>
      <w:proofErr w:type="gramStart"/>
      <w:r w:rsidRPr="005F3E83">
        <w:rPr>
          <w:rFonts w:ascii="Segoe UI" w:eastAsia="Times New Roman" w:hAnsi="Segoe UI" w:cs="Segoe UI"/>
          <w:color w:val="0F1115"/>
          <w:sz w:val="13"/>
          <w:szCs w:val="11"/>
          <w:lang w:eastAsia="fr-FR"/>
        </w:rPr>
        <w:t>airports:</w:t>
      </w:r>
      <w:proofErr w:type="gramEnd"/>
      <w:r w:rsidRPr="005F3E83">
        <w:rPr>
          <w:rFonts w:ascii="Segoe UI" w:eastAsia="Times New Roman" w:hAnsi="Segoe UI" w:cs="Segoe UI"/>
          <w:color w:val="0F1115"/>
          <w:sz w:val="13"/>
          <w:szCs w:val="11"/>
          <w:lang w:eastAsia="fr-FR"/>
        </w:rPr>
        <w:t xml:space="preserve"> Incidence, responses, and implications. </w:t>
      </w:r>
      <w:r w:rsidRPr="005F3E83">
        <w:rPr>
          <w:rFonts w:ascii="Segoe UI" w:eastAsia="Times New Roman" w:hAnsi="Segoe UI" w:cs="Segoe UI"/>
          <w:i/>
          <w:iCs/>
          <w:color w:val="0F1115"/>
          <w:sz w:val="13"/>
          <w:lang w:eastAsia="fr-FR"/>
        </w:rPr>
        <w:t>The American Journal of Emergency Medicine, 59</w:t>
      </w:r>
      <w:r w:rsidRPr="005F3E83">
        <w:rPr>
          <w:rFonts w:ascii="Segoe UI" w:eastAsia="Times New Roman" w:hAnsi="Segoe UI" w:cs="Segoe UI"/>
          <w:color w:val="0F1115"/>
          <w:sz w:val="13"/>
          <w:szCs w:val="11"/>
          <w:lang w:eastAsia="fr-FR"/>
        </w:rPr>
        <w:t>, 118–120. </w:t>
      </w:r>
      <w:hyperlink r:id="rId29" w:tgtFrame="_blank" w:history="1">
        <w:r w:rsidRPr="005F3E83">
          <w:rPr>
            <w:rFonts w:ascii="Segoe UI" w:eastAsia="Times New Roman" w:hAnsi="Segoe UI" w:cs="Segoe UI"/>
            <w:color w:val="3964FE"/>
            <w:sz w:val="13"/>
            <w:lang w:eastAsia="fr-FR"/>
          </w:rPr>
          <w:t>https://doi.org/10.1016/j.ajem.2022.07.006</w:t>
        </w:r>
      </w:hyperlink>
    </w:p>
    <w:p w14:paraId="5129E8C0" w14:textId="77777777" w:rsidR="00ED44F6" w:rsidRPr="005F3E83" w:rsidRDefault="00726424" w:rsidP="00ED44F6">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Shepherd, B., Macpherson, D., &amp; Edwards, C. M. B. (2006). In</w:t>
      </w:r>
      <w:r w:rsidRPr="005F3E83">
        <w:rPr>
          <w:rFonts w:ascii="Segoe UI" w:eastAsia="Times New Roman" w:hAnsi="Segoe UI" w:cs="Segoe UI"/>
          <w:color w:val="0F1115"/>
          <w:sz w:val="13"/>
          <w:szCs w:val="11"/>
          <w:lang w:eastAsia="fr-FR"/>
        </w:rPr>
        <w:noBreakHyphen/>
        <w:t xml:space="preserve">flight </w:t>
      </w:r>
      <w:proofErr w:type="gramStart"/>
      <w:r w:rsidRPr="005F3E83">
        <w:rPr>
          <w:rFonts w:ascii="Segoe UI" w:eastAsia="Times New Roman" w:hAnsi="Segoe UI" w:cs="Segoe UI"/>
          <w:color w:val="0F1115"/>
          <w:sz w:val="13"/>
          <w:szCs w:val="11"/>
          <w:lang w:eastAsia="fr-FR"/>
        </w:rPr>
        <w:t>emergencies:</w:t>
      </w:r>
      <w:proofErr w:type="gramEnd"/>
      <w:r w:rsidRPr="005F3E83">
        <w:rPr>
          <w:rFonts w:ascii="Segoe UI" w:eastAsia="Times New Roman" w:hAnsi="Segoe UI" w:cs="Segoe UI"/>
          <w:color w:val="0F1115"/>
          <w:sz w:val="13"/>
          <w:szCs w:val="11"/>
          <w:lang w:eastAsia="fr-FR"/>
        </w:rPr>
        <w:t xml:space="preserve"> Playing The Good Samaritan. </w:t>
      </w:r>
      <w:r w:rsidRPr="005F3E83">
        <w:rPr>
          <w:rFonts w:ascii="Segoe UI" w:eastAsia="Times New Roman" w:hAnsi="Segoe UI" w:cs="Segoe UI"/>
          <w:i/>
          <w:iCs/>
          <w:color w:val="0F1115"/>
          <w:sz w:val="13"/>
          <w:lang w:eastAsia="fr-FR"/>
        </w:rPr>
        <w:t>Journal of the Royal Society of Medicine, 99</w:t>
      </w:r>
      <w:r w:rsidRPr="005F3E83">
        <w:rPr>
          <w:rFonts w:ascii="Segoe UI" w:eastAsia="Times New Roman" w:hAnsi="Segoe UI" w:cs="Segoe UI"/>
          <w:color w:val="0F1115"/>
          <w:sz w:val="13"/>
          <w:szCs w:val="11"/>
          <w:lang w:eastAsia="fr-FR"/>
        </w:rPr>
        <w:t>(12), 628–631. </w:t>
      </w:r>
      <w:r w:rsidR="00ED44F6" w:rsidRPr="005F3E83">
        <w:rPr>
          <w:rStyle w:val="identifier"/>
          <w:rFonts w:ascii="Segoe UI" w:hAnsi="Segoe UI" w:cs="Segoe UI"/>
          <w:color w:val="212121"/>
          <w:sz w:val="15"/>
          <w:szCs w:val="15"/>
        </w:rPr>
        <w:t xml:space="preserve"> </w:t>
      </w:r>
      <w:r w:rsidR="00ED44F6" w:rsidRPr="005F3E83">
        <w:rPr>
          <w:rFonts w:eastAsia="Times New Roman"/>
          <w:color w:val="3964FE"/>
          <w:sz w:val="13"/>
          <w:lang w:eastAsia="fr-FR"/>
        </w:rPr>
        <w:t>https://doi.org/</w:t>
      </w:r>
      <w:hyperlink r:id="rId30" w:tgtFrame="_blank" w:history="1">
        <w:r w:rsidR="00ED44F6" w:rsidRPr="005F3E83">
          <w:rPr>
            <w:rFonts w:eastAsia="Times New Roman"/>
            <w:color w:val="3964FE"/>
            <w:sz w:val="13"/>
            <w:lang w:eastAsia="fr-FR"/>
          </w:rPr>
          <w:t>10.1177/014107680609901211</w:t>
        </w:r>
      </w:hyperlink>
    </w:p>
    <w:p w14:paraId="4FD2E737"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Silverman, D., &amp; Gendreau, M. (2009). Medical issues associated with commercial flights. </w:t>
      </w:r>
      <w:r w:rsidRPr="005F3E83">
        <w:rPr>
          <w:rFonts w:ascii="Segoe UI" w:eastAsia="Times New Roman" w:hAnsi="Segoe UI" w:cs="Segoe UI"/>
          <w:i/>
          <w:iCs/>
          <w:color w:val="0F1115"/>
          <w:sz w:val="13"/>
          <w:lang w:eastAsia="fr-FR"/>
        </w:rPr>
        <w:t>The Lancet, 373</w:t>
      </w:r>
      <w:r w:rsidRPr="005F3E83">
        <w:rPr>
          <w:rFonts w:ascii="Segoe UI" w:eastAsia="Times New Roman" w:hAnsi="Segoe UI" w:cs="Segoe UI"/>
          <w:color w:val="0F1115"/>
          <w:sz w:val="13"/>
          <w:szCs w:val="11"/>
          <w:lang w:eastAsia="fr-FR"/>
        </w:rPr>
        <w:t>(9680), 2067–2077. </w:t>
      </w:r>
      <w:hyperlink r:id="rId31" w:tgtFrame="_blank" w:history="1">
        <w:r w:rsidRPr="005F3E83">
          <w:rPr>
            <w:rFonts w:ascii="Segoe UI" w:eastAsia="Times New Roman" w:hAnsi="Segoe UI" w:cs="Segoe UI"/>
            <w:color w:val="3964FE"/>
            <w:sz w:val="13"/>
            <w:lang w:eastAsia="fr-FR"/>
          </w:rPr>
          <w:t>https://doi.org/10.1016/S0140-6736(09)60209-9</w:t>
        </w:r>
      </w:hyperlink>
    </w:p>
    <w:p w14:paraId="68FCFE2C"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Trevorrow, T. (2006). Air travel and seizure frequency for individuals with epilepsy. </w:t>
      </w:r>
      <w:r w:rsidRPr="005F3E83">
        <w:rPr>
          <w:rFonts w:ascii="Segoe UI" w:eastAsia="Times New Roman" w:hAnsi="Segoe UI" w:cs="Segoe UI"/>
          <w:i/>
          <w:iCs/>
          <w:color w:val="0F1115"/>
          <w:sz w:val="13"/>
          <w:lang w:eastAsia="fr-FR"/>
        </w:rPr>
        <w:t>Seizure, 15</w:t>
      </w:r>
      <w:r w:rsidRPr="005F3E83">
        <w:rPr>
          <w:rFonts w:ascii="Segoe UI" w:eastAsia="Times New Roman" w:hAnsi="Segoe UI" w:cs="Segoe UI"/>
          <w:color w:val="0F1115"/>
          <w:sz w:val="13"/>
          <w:szCs w:val="11"/>
          <w:lang w:eastAsia="fr-FR"/>
        </w:rPr>
        <w:t>(5), 320–323. </w:t>
      </w:r>
      <w:hyperlink r:id="rId32" w:tgtFrame="_blank" w:history="1">
        <w:r w:rsidRPr="005F3E83">
          <w:rPr>
            <w:rFonts w:ascii="Segoe UI" w:eastAsia="Times New Roman" w:hAnsi="Segoe UI" w:cs="Segoe UI"/>
            <w:color w:val="3964FE"/>
            <w:sz w:val="13"/>
            <w:lang w:eastAsia="fr-FR"/>
          </w:rPr>
          <w:t>https://doi.org/10.1016/j.seizure.2006.03.006</w:t>
        </w:r>
      </w:hyperlink>
    </w:p>
    <w:p w14:paraId="4CAFCBFB" w14:textId="77777777" w:rsidR="00726424" w:rsidRPr="005F3E83" w:rsidRDefault="00726424" w:rsidP="00726424">
      <w:pPr>
        <w:shd w:val="clear" w:color="auto" w:fill="FFFFFF"/>
        <w:spacing w:before="113" w:after="113"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Whelan, E. A., Lawson, C. C., Grajewski, B., Petersen, M. R., Pinkerton, L. E., Ward, E. M., &amp; Schnorr, T. M. (2003). Prevalence of respiratory symptoms among female flight attendants and teachers. </w:t>
      </w:r>
      <w:r w:rsidRPr="005F3E83">
        <w:rPr>
          <w:rFonts w:ascii="Segoe UI" w:eastAsia="Times New Roman" w:hAnsi="Segoe UI" w:cs="Segoe UI"/>
          <w:i/>
          <w:iCs/>
          <w:color w:val="0F1115"/>
          <w:sz w:val="13"/>
          <w:lang w:eastAsia="fr-FR"/>
        </w:rPr>
        <w:t>Occupational and Environmental Medicine, 60</w:t>
      </w:r>
      <w:r w:rsidRPr="005F3E83">
        <w:rPr>
          <w:rFonts w:ascii="Segoe UI" w:eastAsia="Times New Roman" w:hAnsi="Segoe UI" w:cs="Segoe UI"/>
          <w:color w:val="0F1115"/>
          <w:sz w:val="13"/>
          <w:szCs w:val="11"/>
          <w:lang w:eastAsia="fr-FR"/>
        </w:rPr>
        <w:t>(12), 929–934. </w:t>
      </w:r>
      <w:hyperlink r:id="rId33" w:tgtFrame="_blank" w:history="1">
        <w:r w:rsidRPr="005F3E83">
          <w:rPr>
            <w:rFonts w:ascii="Segoe UI" w:eastAsia="Times New Roman" w:hAnsi="Segoe UI" w:cs="Segoe UI"/>
            <w:color w:val="3964FE"/>
            <w:sz w:val="13"/>
            <w:lang w:eastAsia="fr-FR"/>
          </w:rPr>
          <w:t>https://doi.org/10.1136/oem.60.12.929</w:t>
        </w:r>
      </w:hyperlink>
    </w:p>
    <w:p w14:paraId="0F31288A" w14:textId="77777777" w:rsidR="00726424" w:rsidRPr="00FD2144" w:rsidRDefault="00726424" w:rsidP="00726424">
      <w:pPr>
        <w:shd w:val="clear" w:color="auto" w:fill="FFFFFF"/>
        <w:spacing w:before="113" w:after="100" w:afterAutospacing="1" w:line="240" w:lineRule="auto"/>
        <w:rPr>
          <w:rFonts w:ascii="Segoe UI" w:eastAsia="Times New Roman" w:hAnsi="Segoe UI" w:cs="Segoe UI"/>
          <w:color w:val="0F1115"/>
          <w:sz w:val="13"/>
          <w:szCs w:val="11"/>
          <w:lang w:eastAsia="fr-FR"/>
        </w:rPr>
      </w:pPr>
      <w:r w:rsidRPr="005F3E83">
        <w:rPr>
          <w:rFonts w:ascii="Segoe UI" w:eastAsia="Times New Roman" w:hAnsi="Segoe UI" w:cs="Segoe UI"/>
          <w:color w:val="0F1115"/>
          <w:sz w:val="13"/>
          <w:szCs w:val="11"/>
          <w:lang w:eastAsia="fr-FR"/>
        </w:rPr>
        <w:t>Xu, W., Nasri, N. M., Jamaludin, K. A., &amp; Jin, K. (2023). Cabin crew aero medicine and first aid training in China. </w:t>
      </w:r>
      <w:r w:rsidRPr="005F3E83">
        <w:rPr>
          <w:rFonts w:ascii="Segoe UI" w:eastAsia="Times New Roman" w:hAnsi="Segoe UI" w:cs="Segoe UI"/>
          <w:i/>
          <w:iCs/>
          <w:color w:val="0F1115"/>
          <w:sz w:val="13"/>
          <w:lang w:eastAsia="fr-FR"/>
        </w:rPr>
        <w:t>Cogent Education, 10</w:t>
      </w:r>
      <w:r w:rsidRPr="005F3E83">
        <w:rPr>
          <w:rFonts w:ascii="Segoe UI" w:eastAsia="Times New Roman" w:hAnsi="Segoe UI" w:cs="Segoe UI"/>
          <w:color w:val="0F1115"/>
          <w:sz w:val="13"/>
          <w:szCs w:val="11"/>
          <w:lang w:eastAsia="fr-FR"/>
        </w:rPr>
        <w:t>(2), Article 2282312. </w:t>
      </w:r>
      <w:hyperlink r:id="rId34" w:tgtFrame="_blank" w:history="1">
        <w:r w:rsidRPr="005F3E83">
          <w:rPr>
            <w:rFonts w:ascii="Segoe UI" w:eastAsia="Times New Roman" w:hAnsi="Segoe UI" w:cs="Segoe UI"/>
            <w:color w:val="3964FE"/>
            <w:sz w:val="13"/>
            <w:lang w:eastAsia="fr-FR"/>
          </w:rPr>
          <w:t>https://doi.org/10.1080/2331186X.2023.2282312</w:t>
        </w:r>
      </w:hyperlink>
    </w:p>
    <w:p w14:paraId="6BECED21" w14:textId="77777777" w:rsidR="00007C61" w:rsidRDefault="00007C61"/>
    <w:sectPr w:rsidR="00007C61" w:rsidSect="00007C61">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5745" w14:textId="77777777" w:rsidR="0009258D" w:rsidRDefault="0009258D" w:rsidP="00A3387B">
      <w:pPr>
        <w:spacing w:after="0" w:line="240" w:lineRule="auto"/>
      </w:pPr>
      <w:r>
        <w:separator/>
      </w:r>
    </w:p>
  </w:endnote>
  <w:endnote w:type="continuationSeparator" w:id="0">
    <w:p w14:paraId="28FA8FDF" w14:textId="77777777" w:rsidR="0009258D" w:rsidRDefault="0009258D" w:rsidP="00A3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B01F" w14:textId="77777777" w:rsidR="00A3387B" w:rsidRDefault="00A3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C290" w14:textId="77777777" w:rsidR="00A3387B" w:rsidRDefault="00A33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62A1" w14:textId="77777777" w:rsidR="00A3387B" w:rsidRDefault="00A3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77ACD" w14:textId="77777777" w:rsidR="0009258D" w:rsidRDefault="0009258D" w:rsidP="00A3387B">
      <w:pPr>
        <w:spacing w:after="0" w:line="240" w:lineRule="auto"/>
      </w:pPr>
      <w:r>
        <w:separator/>
      </w:r>
    </w:p>
  </w:footnote>
  <w:footnote w:type="continuationSeparator" w:id="0">
    <w:p w14:paraId="5FD2F4A3" w14:textId="77777777" w:rsidR="0009258D" w:rsidRDefault="0009258D" w:rsidP="00A3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DA1A" w14:textId="156454A5" w:rsidR="00A3387B" w:rsidRDefault="00A3387B">
    <w:pPr>
      <w:pStyle w:val="Header"/>
    </w:pPr>
    <w:r>
      <w:rPr>
        <w:noProof/>
      </w:rPr>
      <w:pict w14:anchorId="67C54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F312" w14:textId="09CA57B3" w:rsidR="00A3387B" w:rsidRDefault="00A3387B">
    <w:pPr>
      <w:pStyle w:val="Header"/>
    </w:pPr>
    <w:r>
      <w:rPr>
        <w:noProof/>
      </w:rPr>
      <w:pict w14:anchorId="57F91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80C9" w14:textId="587E8351" w:rsidR="00A3387B" w:rsidRDefault="00A3387B">
    <w:pPr>
      <w:pStyle w:val="Header"/>
    </w:pPr>
    <w:r>
      <w:rPr>
        <w:noProof/>
      </w:rPr>
      <w:pict w14:anchorId="4BDF8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87603"/>
    <w:multiLevelType w:val="multilevel"/>
    <w:tmpl w:val="A3C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E2268"/>
    <w:multiLevelType w:val="multilevel"/>
    <w:tmpl w:val="6E9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23B01"/>
    <w:multiLevelType w:val="multilevel"/>
    <w:tmpl w:val="BCD0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D316A"/>
    <w:multiLevelType w:val="multilevel"/>
    <w:tmpl w:val="BBE8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8319A"/>
    <w:multiLevelType w:val="multilevel"/>
    <w:tmpl w:val="5E0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C6DBA"/>
    <w:multiLevelType w:val="multilevel"/>
    <w:tmpl w:val="7B3A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D40E42"/>
    <w:multiLevelType w:val="multilevel"/>
    <w:tmpl w:val="5404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424"/>
    <w:rsid w:val="00007C61"/>
    <w:rsid w:val="00052B24"/>
    <w:rsid w:val="0009258D"/>
    <w:rsid w:val="000A5C41"/>
    <w:rsid w:val="000E4190"/>
    <w:rsid w:val="00107203"/>
    <w:rsid w:val="00160FF1"/>
    <w:rsid w:val="001E5837"/>
    <w:rsid w:val="00203870"/>
    <w:rsid w:val="00246F26"/>
    <w:rsid w:val="002A7D06"/>
    <w:rsid w:val="002F29A3"/>
    <w:rsid w:val="00355056"/>
    <w:rsid w:val="004A0D52"/>
    <w:rsid w:val="004C538A"/>
    <w:rsid w:val="004E4D64"/>
    <w:rsid w:val="005076F0"/>
    <w:rsid w:val="005F3E83"/>
    <w:rsid w:val="00636D43"/>
    <w:rsid w:val="0066641D"/>
    <w:rsid w:val="0069049F"/>
    <w:rsid w:val="00701203"/>
    <w:rsid w:val="00726424"/>
    <w:rsid w:val="00756BE1"/>
    <w:rsid w:val="007709AF"/>
    <w:rsid w:val="007801C9"/>
    <w:rsid w:val="007E65AE"/>
    <w:rsid w:val="007F2366"/>
    <w:rsid w:val="007F369D"/>
    <w:rsid w:val="00830F8C"/>
    <w:rsid w:val="008F26DA"/>
    <w:rsid w:val="009A60C4"/>
    <w:rsid w:val="009B158C"/>
    <w:rsid w:val="009B3BD7"/>
    <w:rsid w:val="009C3AAB"/>
    <w:rsid w:val="009F74B6"/>
    <w:rsid w:val="00A3387B"/>
    <w:rsid w:val="00B569E5"/>
    <w:rsid w:val="00B974A9"/>
    <w:rsid w:val="00BA5A61"/>
    <w:rsid w:val="00CB5726"/>
    <w:rsid w:val="00D23956"/>
    <w:rsid w:val="00DD6A2F"/>
    <w:rsid w:val="00ED44F6"/>
    <w:rsid w:val="00F27E25"/>
    <w:rsid w:val="00F5208D"/>
    <w:rsid w:val="00FA3868"/>
    <w:rsid w:val="00FD2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0D9F29"/>
  <w15:docId w15:val="{D9B305B8-D1C3-4B20-A3C8-B0D606F3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61"/>
  </w:style>
  <w:style w:type="paragraph" w:styleId="Heading2">
    <w:name w:val="heading 2"/>
    <w:basedOn w:val="Normal"/>
    <w:link w:val="Heading2Char"/>
    <w:uiPriority w:val="9"/>
    <w:qFormat/>
    <w:rsid w:val="00D239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7264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26424"/>
    <w:rPr>
      <w:b/>
      <w:bCs/>
    </w:rPr>
  </w:style>
  <w:style w:type="character" w:styleId="Emphasis">
    <w:name w:val="Emphasis"/>
    <w:basedOn w:val="DefaultParagraphFont"/>
    <w:uiPriority w:val="20"/>
    <w:qFormat/>
    <w:rsid w:val="00726424"/>
    <w:rPr>
      <w:i/>
      <w:iCs/>
    </w:rPr>
  </w:style>
  <w:style w:type="character" w:styleId="Hyperlink">
    <w:name w:val="Hyperlink"/>
    <w:basedOn w:val="DefaultParagraphFont"/>
    <w:uiPriority w:val="99"/>
    <w:unhideWhenUsed/>
    <w:rsid w:val="00726424"/>
    <w:rPr>
      <w:color w:val="0000FF"/>
      <w:u w:val="single"/>
    </w:rPr>
  </w:style>
  <w:style w:type="paragraph" w:styleId="ListParagraph">
    <w:name w:val="List Paragraph"/>
    <w:basedOn w:val="Normal"/>
    <w:uiPriority w:val="34"/>
    <w:qFormat/>
    <w:rsid w:val="00726424"/>
    <w:pPr>
      <w:ind w:left="720"/>
      <w:contextualSpacing/>
    </w:pPr>
  </w:style>
  <w:style w:type="character" w:customStyle="1" w:styleId="anchor-text">
    <w:name w:val="anchor-text"/>
    <w:basedOn w:val="DefaultParagraphFont"/>
    <w:rsid w:val="00B974A9"/>
  </w:style>
  <w:style w:type="character" w:customStyle="1" w:styleId="identifier">
    <w:name w:val="identifier"/>
    <w:basedOn w:val="DefaultParagraphFont"/>
    <w:rsid w:val="00756BE1"/>
  </w:style>
  <w:style w:type="character" w:customStyle="1" w:styleId="id-label">
    <w:name w:val="id-label"/>
    <w:basedOn w:val="DefaultParagraphFont"/>
    <w:rsid w:val="00ED44F6"/>
  </w:style>
  <w:style w:type="character" w:customStyle="1" w:styleId="Heading2Char">
    <w:name w:val="Heading 2 Char"/>
    <w:basedOn w:val="DefaultParagraphFont"/>
    <w:link w:val="Heading2"/>
    <w:uiPriority w:val="9"/>
    <w:rsid w:val="00D23956"/>
    <w:rPr>
      <w:rFonts w:ascii="Times New Roman" w:eastAsia="Times New Roman" w:hAnsi="Times New Roman" w:cs="Times New Roman"/>
      <w:b/>
      <w:bCs/>
      <w:sz w:val="36"/>
      <w:szCs w:val="36"/>
      <w:lang w:eastAsia="fr-FR"/>
    </w:rPr>
  </w:style>
  <w:style w:type="character" w:styleId="UnresolvedMention">
    <w:name w:val="Unresolved Mention"/>
    <w:basedOn w:val="DefaultParagraphFont"/>
    <w:uiPriority w:val="99"/>
    <w:semiHidden/>
    <w:unhideWhenUsed/>
    <w:rsid w:val="004C538A"/>
    <w:rPr>
      <w:color w:val="605E5C"/>
      <w:shd w:val="clear" w:color="auto" w:fill="E1DFDD"/>
    </w:rPr>
  </w:style>
  <w:style w:type="paragraph" w:styleId="Header">
    <w:name w:val="header"/>
    <w:basedOn w:val="Normal"/>
    <w:link w:val="HeaderChar"/>
    <w:uiPriority w:val="99"/>
    <w:unhideWhenUsed/>
    <w:rsid w:val="00A33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87B"/>
  </w:style>
  <w:style w:type="paragraph" w:styleId="Footer">
    <w:name w:val="footer"/>
    <w:basedOn w:val="Normal"/>
    <w:link w:val="FooterChar"/>
    <w:uiPriority w:val="99"/>
    <w:unhideWhenUsed/>
    <w:rsid w:val="00A33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574">
      <w:bodyDiv w:val="1"/>
      <w:marLeft w:val="0"/>
      <w:marRight w:val="0"/>
      <w:marTop w:val="0"/>
      <w:marBottom w:val="0"/>
      <w:divBdr>
        <w:top w:val="none" w:sz="0" w:space="0" w:color="auto"/>
        <w:left w:val="none" w:sz="0" w:space="0" w:color="auto"/>
        <w:bottom w:val="none" w:sz="0" w:space="0" w:color="auto"/>
        <w:right w:val="none" w:sz="0" w:space="0" w:color="auto"/>
      </w:divBdr>
    </w:div>
    <w:div w:id="195696579">
      <w:bodyDiv w:val="1"/>
      <w:marLeft w:val="0"/>
      <w:marRight w:val="0"/>
      <w:marTop w:val="0"/>
      <w:marBottom w:val="0"/>
      <w:divBdr>
        <w:top w:val="none" w:sz="0" w:space="0" w:color="auto"/>
        <w:left w:val="none" w:sz="0" w:space="0" w:color="auto"/>
        <w:bottom w:val="none" w:sz="0" w:space="0" w:color="auto"/>
        <w:right w:val="none" w:sz="0" w:space="0" w:color="auto"/>
      </w:divBdr>
    </w:div>
    <w:div w:id="247079805">
      <w:bodyDiv w:val="1"/>
      <w:marLeft w:val="0"/>
      <w:marRight w:val="0"/>
      <w:marTop w:val="0"/>
      <w:marBottom w:val="0"/>
      <w:divBdr>
        <w:top w:val="none" w:sz="0" w:space="0" w:color="auto"/>
        <w:left w:val="none" w:sz="0" w:space="0" w:color="auto"/>
        <w:bottom w:val="none" w:sz="0" w:space="0" w:color="auto"/>
        <w:right w:val="none" w:sz="0" w:space="0" w:color="auto"/>
      </w:divBdr>
    </w:div>
    <w:div w:id="443035278">
      <w:bodyDiv w:val="1"/>
      <w:marLeft w:val="0"/>
      <w:marRight w:val="0"/>
      <w:marTop w:val="0"/>
      <w:marBottom w:val="0"/>
      <w:divBdr>
        <w:top w:val="none" w:sz="0" w:space="0" w:color="auto"/>
        <w:left w:val="none" w:sz="0" w:space="0" w:color="auto"/>
        <w:bottom w:val="none" w:sz="0" w:space="0" w:color="auto"/>
        <w:right w:val="none" w:sz="0" w:space="0" w:color="auto"/>
      </w:divBdr>
    </w:div>
    <w:div w:id="510069968">
      <w:bodyDiv w:val="1"/>
      <w:marLeft w:val="0"/>
      <w:marRight w:val="0"/>
      <w:marTop w:val="0"/>
      <w:marBottom w:val="0"/>
      <w:divBdr>
        <w:top w:val="none" w:sz="0" w:space="0" w:color="auto"/>
        <w:left w:val="none" w:sz="0" w:space="0" w:color="auto"/>
        <w:bottom w:val="none" w:sz="0" w:space="0" w:color="auto"/>
        <w:right w:val="none" w:sz="0" w:space="0" w:color="auto"/>
      </w:divBdr>
    </w:div>
    <w:div w:id="541358625">
      <w:bodyDiv w:val="1"/>
      <w:marLeft w:val="0"/>
      <w:marRight w:val="0"/>
      <w:marTop w:val="0"/>
      <w:marBottom w:val="0"/>
      <w:divBdr>
        <w:top w:val="none" w:sz="0" w:space="0" w:color="auto"/>
        <w:left w:val="none" w:sz="0" w:space="0" w:color="auto"/>
        <w:bottom w:val="none" w:sz="0" w:space="0" w:color="auto"/>
        <w:right w:val="none" w:sz="0" w:space="0" w:color="auto"/>
      </w:divBdr>
    </w:div>
    <w:div w:id="549264072">
      <w:bodyDiv w:val="1"/>
      <w:marLeft w:val="0"/>
      <w:marRight w:val="0"/>
      <w:marTop w:val="0"/>
      <w:marBottom w:val="0"/>
      <w:divBdr>
        <w:top w:val="none" w:sz="0" w:space="0" w:color="auto"/>
        <w:left w:val="none" w:sz="0" w:space="0" w:color="auto"/>
        <w:bottom w:val="none" w:sz="0" w:space="0" w:color="auto"/>
        <w:right w:val="none" w:sz="0" w:space="0" w:color="auto"/>
      </w:divBdr>
    </w:div>
    <w:div w:id="700395656">
      <w:bodyDiv w:val="1"/>
      <w:marLeft w:val="0"/>
      <w:marRight w:val="0"/>
      <w:marTop w:val="0"/>
      <w:marBottom w:val="0"/>
      <w:divBdr>
        <w:top w:val="none" w:sz="0" w:space="0" w:color="auto"/>
        <w:left w:val="none" w:sz="0" w:space="0" w:color="auto"/>
        <w:bottom w:val="none" w:sz="0" w:space="0" w:color="auto"/>
        <w:right w:val="none" w:sz="0" w:space="0" w:color="auto"/>
      </w:divBdr>
    </w:div>
    <w:div w:id="701395227">
      <w:bodyDiv w:val="1"/>
      <w:marLeft w:val="0"/>
      <w:marRight w:val="0"/>
      <w:marTop w:val="0"/>
      <w:marBottom w:val="0"/>
      <w:divBdr>
        <w:top w:val="none" w:sz="0" w:space="0" w:color="auto"/>
        <w:left w:val="none" w:sz="0" w:space="0" w:color="auto"/>
        <w:bottom w:val="none" w:sz="0" w:space="0" w:color="auto"/>
        <w:right w:val="none" w:sz="0" w:space="0" w:color="auto"/>
      </w:divBdr>
    </w:div>
    <w:div w:id="1227181067">
      <w:bodyDiv w:val="1"/>
      <w:marLeft w:val="0"/>
      <w:marRight w:val="0"/>
      <w:marTop w:val="0"/>
      <w:marBottom w:val="0"/>
      <w:divBdr>
        <w:top w:val="none" w:sz="0" w:space="0" w:color="auto"/>
        <w:left w:val="none" w:sz="0" w:space="0" w:color="auto"/>
        <w:bottom w:val="none" w:sz="0" w:space="0" w:color="auto"/>
        <w:right w:val="none" w:sz="0" w:space="0" w:color="auto"/>
      </w:divBdr>
    </w:div>
    <w:div w:id="1235748761">
      <w:bodyDiv w:val="1"/>
      <w:marLeft w:val="0"/>
      <w:marRight w:val="0"/>
      <w:marTop w:val="0"/>
      <w:marBottom w:val="0"/>
      <w:divBdr>
        <w:top w:val="none" w:sz="0" w:space="0" w:color="auto"/>
        <w:left w:val="none" w:sz="0" w:space="0" w:color="auto"/>
        <w:bottom w:val="none" w:sz="0" w:space="0" w:color="auto"/>
        <w:right w:val="none" w:sz="0" w:space="0" w:color="auto"/>
      </w:divBdr>
    </w:div>
    <w:div w:id="1301031001">
      <w:bodyDiv w:val="1"/>
      <w:marLeft w:val="0"/>
      <w:marRight w:val="0"/>
      <w:marTop w:val="0"/>
      <w:marBottom w:val="0"/>
      <w:divBdr>
        <w:top w:val="none" w:sz="0" w:space="0" w:color="auto"/>
        <w:left w:val="none" w:sz="0" w:space="0" w:color="auto"/>
        <w:bottom w:val="none" w:sz="0" w:space="0" w:color="auto"/>
        <w:right w:val="none" w:sz="0" w:space="0" w:color="auto"/>
      </w:divBdr>
    </w:div>
    <w:div w:id="1644383972">
      <w:bodyDiv w:val="1"/>
      <w:marLeft w:val="0"/>
      <w:marRight w:val="0"/>
      <w:marTop w:val="0"/>
      <w:marBottom w:val="0"/>
      <w:divBdr>
        <w:top w:val="none" w:sz="0" w:space="0" w:color="auto"/>
        <w:left w:val="none" w:sz="0" w:space="0" w:color="auto"/>
        <w:bottom w:val="none" w:sz="0" w:space="0" w:color="auto"/>
        <w:right w:val="none" w:sz="0" w:space="0" w:color="auto"/>
      </w:divBdr>
    </w:div>
    <w:div w:id="1762797315">
      <w:bodyDiv w:val="1"/>
      <w:marLeft w:val="0"/>
      <w:marRight w:val="0"/>
      <w:marTop w:val="0"/>
      <w:marBottom w:val="0"/>
      <w:divBdr>
        <w:top w:val="none" w:sz="0" w:space="0" w:color="auto"/>
        <w:left w:val="none" w:sz="0" w:space="0" w:color="auto"/>
        <w:bottom w:val="none" w:sz="0" w:space="0" w:color="auto"/>
        <w:right w:val="none" w:sz="0" w:space="0" w:color="auto"/>
      </w:divBdr>
    </w:div>
    <w:div w:id="19767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272-024-00766-8" TargetMode="External"/><Relationship Id="rId18" Type="http://schemas.openxmlformats.org/officeDocument/2006/relationships/hyperlink" Target="https://doi.org/10.1016/j.amj.2024.05.016" TargetMode="External"/><Relationship Id="rId26" Type="http://schemas.openxmlformats.org/officeDocument/2006/relationships/hyperlink" Target="https://doi.org/10.3357/AMHP.5038.2018" TargetMode="External"/><Relationship Id="rId39" Type="http://schemas.openxmlformats.org/officeDocument/2006/relationships/header" Target="header3.xml"/><Relationship Id="rId21" Type="http://schemas.openxmlformats.org/officeDocument/2006/relationships/hyperlink" Target="https://doi.org/10.1177/20552076251326666" TargetMode="External"/><Relationship Id="rId34" Type="http://schemas.openxmlformats.org/officeDocument/2006/relationships/hyperlink" Target="https://doi.org/10.1080/2331186X.2023.2282312" TargetMode="External"/><Relationship Id="rId42" Type="http://schemas.openxmlformats.org/officeDocument/2006/relationships/theme" Target="theme/theme1.xml"/><Relationship Id="rId7" Type="http://schemas.openxmlformats.org/officeDocument/2006/relationships/hyperlink" Target="https://srvsop.aero/site/wp-content/uploads/2023/02/2.1-Dr.-Melchor-Antunano_FAA.pdf" TargetMode="External"/><Relationship Id="rId2" Type="http://schemas.openxmlformats.org/officeDocument/2006/relationships/styles" Target="styles.xml"/><Relationship Id="rId16" Type="http://schemas.openxmlformats.org/officeDocument/2006/relationships/hyperlink" Target="https://doi.org/10.1093/jtm/taz042" TargetMode="External"/><Relationship Id="rId20" Type="http://schemas.openxmlformats.org/officeDocument/2006/relationships/hyperlink" Target="https://doi.org/10.1186/s13049-025-01507-y" TargetMode="External"/><Relationship Id="rId29" Type="http://schemas.openxmlformats.org/officeDocument/2006/relationships/hyperlink" Target="https://doi.org/10.1016/j.ajem.2022.07.00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271/ICJEM-0056" TargetMode="External"/><Relationship Id="rId24" Type="http://schemas.openxmlformats.org/officeDocument/2006/relationships/hyperlink" Target="https://doi.org/10.1056/NEJMra1409213" TargetMode="External"/><Relationship Id="rId32" Type="http://schemas.openxmlformats.org/officeDocument/2006/relationships/hyperlink" Target="https://doi.org/10.1016/j.seizure.2006.03.00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ijid.2022.03.024" TargetMode="External"/><Relationship Id="rId23" Type="http://schemas.openxmlformats.org/officeDocument/2006/relationships/hyperlink" Target="https://doi.org/10.1001/jama.2018.19842" TargetMode="External"/><Relationship Id="rId28" Type="http://schemas.openxmlformats.org/officeDocument/2006/relationships/hyperlink" Target="https://doi.org/10.1159/000531466" TargetMode="External"/><Relationship Id="rId36" Type="http://schemas.openxmlformats.org/officeDocument/2006/relationships/header" Target="header2.xml"/><Relationship Id="rId10" Type="http://schemas.openxmlformats.org/officeDocument/2006/relationships/hyperlink" Target="https://doi.org/10.5195/ijms.2021.767" TargetMode="External"/><Relationship Id="rId19" Type="http://schemas.openxmlformats.org/officeDocument/2006/relationships/hyperlink" Target="https://doi.org/10.2147/oaem.s129250" TargetMode="External"/><Relationship Id="rId31" Type="http://schemas.openxmlformats.org/officeDocument/2006/relationships/hyperlink" Target="https://doi.org/10.1016/S0140-6736(09)60209-9" TargetMode="External"/><Relationship Id="rId4" Type="http://schemas.openxmlformats.org/officeDocument/2006/relationships/webSettings" Target="webSettings.xml"/><Relationship Id="rId9" Type="http://schemas.openxmlformats.org/officeDocument/2006/relationships/hyperlink" Target="https://doi.org/10.1001/jamanetworkopen.2025.33940" TargetMode="External"/><Relationship Id="rId14" Type="http://schemas.openxmlformats.org/officeDocument/2006/relationships/hyperlink" Target="https://doi.org/10.1007/s13272-024-00767-1?urlappend=%3Futm_source%3Dresearchgate.net%26utm_medium%3Darticle" TargetMode="External"/><Relationship Id="rId22" Type="http://schemas.openxmlformats.org/officeDocument/2006/relationships/hyperlink" Target="https://doi.org/10.4330/wjc.v12.i3.107" TargetMode="External"/><Relationship Id="rId27" Type="http://schemas.openxmlformats.org/officeDocument/2006/relationships/hyperlink" Target="https://doi.org/10.1016/j.ejogrb.2022.03.047" TargetMode="External"/><Relationship Id="rId30" Type="http://schemas.openxmlformats.org/officeDocument/2006/relationships/hyperlink" Target="https://doi.org/10.1177/014107680609901211" TargetMode="External"/><Relationship Id="rId35" Type="http://schemas.openxmlformats.org/officeDocument/2006/relationships/header" Target="header1.xml"/><Relationship Id="rId8" Type="http://schemas.openxmlformats.org/officeDocument/2006/relationships/hyperlink" Target="https://www.iata.org/contentassets/1a52555accf241e7a12ec53a6b785979/2025-11-28-02-fr.pdf" TargetMode="External"/><Relationship Id="rId3" Type="http://schemas.openxmlformats.org/officeDocument/2006/relationships/settings" Target="settings.xml"/><Relationship Id="rId12" Type="http://schemas.openxmlformats.org/officeDocument/2006/relationships/hyperlink" Target="https://doi.org/10.1136/heartjnl-2013-305030" TargetMode="External"/><Relationship Id="rId17" Type="http://schemas.openxmlformats.org/officeDocument/2006/relationships/hyperlink" Target="https://doi.org/10.1073/pnas.1711611115" TargetMode="External"/><Relationship Id="rId25" Type="http://schemas.openxmlformats.org/officeDocument/2006/relationships/hyperlink" Target="https://doi.org/10.1056/NEJMoa1212052" TargetMode="External"/><Relationship Id="rId33" Type="http://schemas.openxmlformats.org/officeDocument/2006/relationships/hyperlink" Target="https://doi.org/10.1136/oem.60.12.929"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9</Pages>
  <Words>4752</Words>
  <Characters>27091</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1084</cp:lastModifiedBy>
  <cp:revision>36</cp:revision>
  <dcterms:created xsi:type="dcterms:W3CDTF">2026-02-12T15:55:00Z</dcterms:created>
  <dcterms:modified xsi:type="dcterms:W3CDTF">2026-02-19T09:48:00Z</dcterms:modified>
</cp:coreProperties>
</file>