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07AE" w14:textId="523A0C80" w:rsidR="00CB16BF" w:rsidRPr="00AA641D" w:rsidRDefault="00CB16BF" w:rsidP="00F817DE">
      <w:pPr>
        <w:jc w:val="center"/>
        <w:rPr>
          <w:rFonts w:ascii="Times New Roman" w:hAnsi="Times New Roman"/>
          <w:b/>
          <w:bCs/>
          <w:sz w:val="28"/>
          <w:szCs w:val="28"/>
        </w:rPr>
      </w:pPr>
      <w:r w:rsidRPr="00AA641D">
        <w:rPr>
          <w:rFonts w:ascii="Times New Roman" w:hAnsi="Times New Roman"/>
          <w:b/>
          <w:bCs/>
          <w:sz w:val="28"/>
          <w:szCs w:val="28"/>
        </w:rPr>
        <w:t xml:space="preserve">Comparative </w:t>
      </w:r>
      <w:r w:rsidR="005405B6" w:rsidRPr="00AA641D">
        <w:rPr>
          <w:rFonts w:ascii="Times New Roman" w:hAnsi="Times New Roman"/>
          <w:b/>
          <w:bCs/>
          <w:sz w:val="28"/>
          <w:szCs w:val="28"/>
        </w:rPr>
        <w:t xml:space="preserve">Seasonal </w:t>
      </w:r>
      <w:r w:rsidRPr="00AA641D">
        <w:rPr>
          <w:rFonts w:ascii="Times New Roman" w:hAnsi="Times New Roman"/>
          <w:b/>
          <w:bCs/>
          <w:sz w:val="28"/>
          <w:szCs w:val="28"/>
        </w:rPr>
        <w:t>Assessment of Groundwater Total Dissolved Solids (TDS)</w:t>
      </w:r>
      <w:r w:rsidR="00FE14C2" w:rsidRPr="00AA641D">
        <w:rPr>
          <w:rFonts w:ascii="Times New Roman" w:hAnsi="Times New Roman"/>
          <w:b/>
          <w:bCs/>
          <w:sz w:val="28"/>
          <w:szCs w:val="28"/>
        </w:rPr>
        <w:t xml:space="preserve"> of</w:t>
      </w:r>
      <w:r w:rsidR="0005023B" w:rsidRPr="00AA641D">
        <w:rPr>
          <w:rFonts w:ascii="Times New Roman" w:hAnsi="Times New Roman"/>
          <w:b/>
          <w:bCs/>
          <w:sz w:val="28"/>
          <w:szCs w:val="28"/>
        </w:rPr>
        <w:t xml:space="preserve"> </w:t>
      </w:r>
      <w:proofErr w:type="spellStart"/>
      <w:r w:rsidR="00191AE3" w:rsidRPr="00AA641D">
        <w:rPr>
          <w:rFonts w:ascii="Times New Roman" w:hAnsi="Times New Roman"/>
          <w:b/>
          <w:bCs/>
          <w:sz w:val="28"/>
          <w:szCs w:val="28"/>
        </w:rPr>
        <w:t>Kadwa</w:t>
      </w:r>
      <w:proofErr w:type="spellEnd"/>
      <w:r w:rsidR="00191AE3" w:rsidRPr="00AA641D">
        <w:rPr>
          <w:rFonts w:ascii="Times New Roman" w:hAnsi="Times New Roman"/>
          <w:b/>
          <w:bCs/>
          <w:sz w:val="28"/>
          <w:szCs w:val="28"/>
        </w:rPr>
        <w:t xml:space="preserve"> Basin Nashik District Maharashtra</w:t>
      </w:r>
    </w:p>
    <w:p w14:paraId="31BE60FB" w14:textId="77777777" w:rsidR="00CB16BF" w:rsidRPr="00AA641D" w:rsidRDefault="00CB16BF" w:rsidP="00F817DE">
      <w:pPr>
        <w:pStyle w:val="ListParagraph"/>
        <w:jc w:val="center"/>
        <w:rPr>
          <w:rFonts w:ascii="Times New Roman" w:hAnsi="Times New Roman"/>
          <w:sz w:val="28"/>
          <w:szCs w:val="28"/>
          <w:lang w:val="en-US"/>
        </w:rPr>
      </w:pPr>
    </w:p>
    <w:p w14:paraId="54A582FF" w14:textId="77777777" w:rsidR="00A02248" w:rsidRPr="00AA641D" w:rsidRDefault="00A02248" w:rsidP="00FC1948">
      <w:pPr>
        <w:rPr>
          <w:rFonts w:ascii="Times New Roman" w:hAnsi="Times New Roman"/>
          <w:lang w:val="en-US"/>
        </w:rPr>
      </w:pPr>
    </w:p>
    <w:p w14:paraId="34EDA805" w14:textId="77777777" w:rsidR="00A02248" w:rsidRPr="00AA641D" w:rsidRDefault="00A02248" w:rsidP="00BF5105">
      <w:pPr>
        <w:pStyle w:val="ListParagraph"/>
        <w:rPr>
          <w:rFonts w:ascii="Times New Roman" w:hAnsi="Times New Roman"/>
          <w:lang w:val="en-US"/>
        </w:rPr>
      </w:pPr>
    </w:p>
    <w:p w14:paraId="7037E66D" w14:textId="2E1E1BBC" w:rsidR="002B4EE0" w:rsidRDefault="002B4EE0" w:rsidP="00BF5105">
      <w:pPr>
        <w:pStyle w:val="ListParagraph"/>
        <w:rPr>
          <w:rFonts w:ascii="Times New Roman" w:hAnsi="Times New Roman"/>
          <w:lang w:val="en-US"/>
        </w:rPr>
      </w:pPr>
    </w:p>
    <w:p w14:paraId="541AB5AA" w14:textId="1FB827B5" w:rsidR="003E68AC" w:rsidRDefault="003E68AC" w:rsidP="00BF5105">
      <w:pPr>
        <w:pStyle w:val="ListParagraph"/>
        <w:rPr>
          <w:rFonts w:ascii="Times New Roman" w:hAnsi="Times New Roman"/>
          <w:lang w:val="en-US"/>
        </w:rPr>
      </w:pPr>
    </w:p>
    <w:p w14:paraId="76D80246" w14:textId="77777777" w:rsidR="003E68AC" w:rsidRPr="00AA641D" w:rsidRDefault="003E68AC" w:rsidP="00BF5105">
      <w:pPr>
        <w:pStyle w:val="ListParagraph"/>
        <w:rPr>
          <w:rFonts w:ascii="Times New Roman" w:hAnsi="Times New Roman"/>
          <w:lang w:val="en-US"/>
        </w:rPr>
      </w:pPr>
    </w:p>
    <w:p w14:paraId="61B020A0" w14:textId="080AD13E" w:rsidR="007F04E6" w:rsidRPr="00AA641D" w:rsidRDefault="007F04E6" w:rsidP="00BF5105">
      <w:pPr>
        <w:spacing w:after="160" w:line="278" w:lineRule="auto"/>
        <w:jc w:val="both"/>
        <w:rPr>
          <w:rFonts w:ascii="Times New Roman" w:hAnsi="Times New Roman"/>
          <w:b/>
          <w:bCs/>
        </w:rPr>
      </w:pPr>
      <w:r w:rsidRPr="00AA641D">
        <w:rPr>
          <w:rFonts w:ascii="Times New Roman" w:hAnsi="Times New Roman"/>
          <w:b/>
          <w:bCs/>
        </w:rPr>
        <w:t>Abstract</w:t>
      </w:r>
    </w:p>
    <w:p w14:paraId="3CE085DF" w14:textId="37596FCA" w:rsidR="007F04E6" w:rsidRPr="00AA641D" w:rsidRDefault="007F04E6" w:rsidP="00062DD1">
      <w:pPr>
        <w:spacing w:after="160" w:line="360" w:lineRule="auto"/>
        <w:jc w:val="both"/>
        <w:rPr>
          <w:rFonts w:ascii="Times New Roman" w:hAnsi="Times New Roman"/>
        </w:rPr>
      </w:pPr>
      <w:r w:rsidRPr="00AA641D">
        <w:rPr>
          <w:rFonts w:ascii="Times New Roman" w:hAnsi="Times New Roman"/>
        </w:rPr>
        <w:t>Groundwater quality is increasingly challenged in rapidly developing, monsoon-dependent regions, where both natural processes and human activities influence aquifer chemistry. This study evaluates seasonal changes in groundwater salinity through a comparative assessment of Total Dissolved Solids (TDS) using 110 paired groundwater samples collected during pre- and post-monsoon periods in the</w:t>
      </w:r>
      <w:r w:rsidR="00C542AD" w:rsidRPr="00AA641D">
        <w:rPr>
          <w:rFonts w:ascii="Times New Roman" w:hAnsi="Times New Roman"/>
        </w:rPr>
        <w:t xml:space="preserve"> </w:t>
      </w:r>
      <w:proofErr w:type="spellStart"/>
      <w:r w:rsidR="00C542AD" w:rsidRPr="00AA641D">
        <w:rPr>
          <w:rFonts w:ascii="Times New Roman" w:hAnsi="Times New Roman"/>
        </w:rPr>
        <w:t>Kadwa</w:t>
      </w:r>
      <w:proofErr w:type="spellEnd"/>
      <w:r w:rsidR="00C542AD" w:rsidRPr="00AA641D">
        <w:rPr>
          <w:rFonts w:ascii="Times New Roman" w:hAnsi="Times New Roman"/>
        </w:rPr>
        <w:t xml:space="preserve"> Basin </w:t>
      </w:r>
      <w:r w:rsidRPr="00AA641D">
        <w:rPr>
          <w:rFonts w:ascii="Times New Roman" w:hAnsi="Times New Roman"/>
        </w:rPr>
        <w:t>Nashik</w:t>
      </w:r>
      <w:r w:rsidR="00C542AD" w:rsidRPr="00AA641D">
        <w:rPr>
          <w:rFonts w:ascii="Times New Roman" w:hAnsi="Times New Roman"/>
        </w:rPr>
        <w:t xml:space="preserve"> district </w:t>
      </w:r>
      <w:r w:rsidR="00677A15" w:rsidRPr="00AA641D">
        <w:rPr>
          <w:rFonts w:ascii="Times New Roman" w:hAnsi="Times New Roman"/>
        </w:rPr>
        <w:t>of Maharashtra</w:t>
      </w:r>
      <w:r w:rsidRPr="00AA641D">
        <w:rPr>
          <w:rFonts w:ascii="Times New Roman" w:hAnsi="Times New Roman"/>
        </w:rPr>
        <w:t xml:space="preserve">. Pre-monsoon TDS concentrations ranged from 128 to 1,088 mg/L, whereas post-monsoon concentrations varied between 64 and 640 mg/L. The mean TDS declined from 503.73 mg/L prior to monsoon recharge to 285.09 mg/L afterward, indicating a reduction of approximately 39%. A paired-samples </w:t>
      </w:r>
      <w:proofErr w:type="spellStart"/>
      <w:r w:rsidRPr="00AA641D">
        <w:rPr>
          <w:rFonts w:ascii="Times New Roman" w:hAnsi="Times New Roman"/>
          <w:i/>
          <w:iCs/>
        </w:rPr>
        <w:t>t</w:t>
      </w:r>
      <w:proofErr w:type="spellEnd"/>
      <w:r w:rsidRPr="00AA641D">
        <w:rPr>
          <w:rFonts w:ascii="Times New Roman" w:hAnsi="Times New Roman"/>
        </w:rPr>
        <w:t xml:space="preserve"> test confirmed that this decrease was statistically significant, </w:t>
      </w:r>
      <w:r w:rsidR="00677A15" w:rsidRPr="00AA641D">
        <w:rPr>
          <w:rFonts w:ascii="Times New Roman" w:hAnsi="Times New Roman"/>
          <w:i/>
          <w:iCs/>
        </w:rPr>
        <w:t>t</w:t>
      </w:r>
      <w:r w:rsidR="00677A15" w:rsidRPr="00AA641D">
        <w:rPr>
          <w:rFonts w:ascii="Times New Roman" w:hAnsi="Times New Roman"/>
        </w:rPr>
        <w:t xml:space="preserve"> (</w:t>
      </w:r>
      <w:r w:rsidRPr="00AA641D">
        <w:rPr>
          <w:rFonts w:ascii="Times New Roman" w:hAnsi="Times New Roman"/>
        </w:rPr>
        <w:t xml:space="preserve">109) = 11.92, </w:t>
      </w:r>
      <w:r w:rsidRPr="00AA641D">
        <w:rPr>
          <w:rFonts w:ascii="Times New Roman" w:hAnsi="Times New Roman"/>
          <w:i/>
          <w:iCs/>
        </w:rPr>
        <w:t>p</w:t>
      </w:r>
      <w:r w:rsidRPr="00AA641D">
        <w:rPr>
          <w:rFonts w:ascii="Times New Roman" w:hAnsi="Times New Roman"/>
        </w:rPr>
        <w:t xml:space="preserve"> &lt; .001.</w:t>
      </w:r>
    </w:p>
    <w:p w14:paraId="0C7C9D7F" w14:textId="77777777" w:rsidR="007F04E6" w:rsidRPr="00AA641D" w:rsidRDefault="007F04E6" w:rsidP="00062DD1">
      <w:pPr>
        <w:spacing w:after="160" w:line="360" w:lineRule="auto"/>
        <w:jc w:val="both"/>
        <w:rPr>
          <w:rFonts w:ascii="Times New Roman" w:hAnsi="Times New Roman"/>
        </w:rPr>
      </w:pPr>
      <w:r w:rsidRPr="00AA641D">
        <w:rPr>
          <w:rFonts w:ascii="Times New Roman" w:hAnsi="Times New Roman"/>
        </w:rPr>
        <w:t>The seasonal decline suggests that monsoon rainfall enhances dilution, improves aquifer flushing, and promotes mixing of fresher recharge water with stored groundwater. However, persistently elevated values at several sites indicate continued influence from agricultural inputs, wastewater seepage, and geogenic weathering processes. Comparison with drinking-water guidelines indicates that although quality improves after the monsoon, some wells remain unsuitable for direct consumption. The findings emphasize the need for sustained monitoring, regulated land-use practices, and integrated groundwater management strategies across monsoon-driven regions.</w:t>
      </w:r>
    </w:p>
    <w:p w14:paraId="3DB1E3D7" w14:textId="055D08B4" w:rsidR="00684A18" w:rsidRPr="00AA641D" w:rsidRDefault="007F04E6" w:rsidP="00C63632">
      <w:pPr>
        <w:spacing w:after="160" w:line="360" w:lineRule="auto"/>
        <w:jc w:val="both"/>
        <w:rPr>
          <w:rFonts w:ascii="Times New Roman" w:hAnsi="Times New Roman"/>
        </w:rPr>
      </w:pPr>
      <w:r w:rsidRPr="00AA641D">
        <w:rPr>
          <w:rFonts w:ascii="Times New Roman" w:hAnsi="Times New Roman"/>
          <w:b/>
          <w:bCs/>
        </w:rPr>
        <w:t>Keywords:</w:t>
      </w:r>
      <w:r w:rsidRPr="00AA641D">
        <w:rPr>
          <w:rFonts w:ascii="Times New Roman" w:hAnsi="Times New Roman"/>
        </w:rPr>
        <w:t xml:space="preserve"> Groundwater</w:t>
      </w:r>
      <w:r w:rsidR="00D91C8B" w:rsidRPr="00AA641D">
        <w:rPr>
          <w:rFonts w:ascii="Times New Roman" w:hAnsi="Times New Roman"/>
        </w:rPr>
        <w:t xml:space="preserve">, </w:t>
      </w:r>
      <w:r w:rsidRPr="00AA641D">
        <w:rPr>
          <w:rFonts w:ascii="Times New Roman" w:hAnsi="Times New Roman"/>
        </w:rPr>
        <w:t>TDS</w:t>
      </w:r>
      <w:r w:rsidR="00207439" w:rsidRPr="00AA641D">
        <w:rPr>
          <w:rFonts w:ascii="Times New Roman" w:hAnsi="Times New Roman"/>
        </w:rPr>
        <w:t xml:space="preserve"> </w:t>
      </w:r>
      <w:r w:rsidR="00602E3A" w:rsidRPr="00AA641D">
        <w:rPr>
          <w:rFonts w:ascii="Times New Roman" w:hAnsi="Times New Roman"/>
        </w:rPr>
        <w:t>level,</w:t>
      </w:r>
      <w:r w:rsidRPr="00AA641D">
        <w:rPr>
          <w:rFonts w:ascii="Times New Roman" w:hAnsi="Times New Roman"/>
        </w:rPr>
        <w:t xml:space="preserve"> </w:t>
      </w:r>
      <w:r w:rsidR="00604A64" w:rsidRPr="00AA641D">
        <w:rPr>
          <w:rFonts w:ascii="Times New Roman" w:hAnsi="Times New Roman"/>
        </w:rPr>
        <w:t xml:space="preserve">Seasonal </w:t>
      </w:r>
      <w:r w:rsidR="00602E3A" w:rsidRPr="00AA641D">
        <w:rPr>
          <w:rFonts w:ascii="Times New Roman" w:hAnsi="Times New Roman"/>
        </w:rPr>
        <w:t>Variation,</w:t>
      </w:r>
      <w:r w:rsidRPr="00AA641D">
        <w:rPr>
          <w:rFonts w:ascii="Times New Roman" w:hAnsi="Times New Roman"/>
        </w:rPr>
        <w:t xml:space="preserve"> </w:t>
      </w:r>
      <w:r w:rsidR="00207439" w:rsidRPr="00AA641D">
        <w:rPr>
          <w:rFonts w:ascii="Times New Roman" w:hAnsi="Times New Roman"/>
        </w:rPr>
        <w:t xml:space="preserve">Pre </w:t>
      </w:r>
      <w:r w:rsidR="00602E3A" w:rsidRPr="00AA641D">
        <w:rPr>
          <w:rFonts w:ascii="Times New Roman" w:hAnsi="Times New Roman"/>
        </w:rPr>
        <w:t>Monsoon,</w:t>
      </w:r>
      <w:r w:rsidRPr="00AA641D">
        <w:rPr>
          <w:rFonts w:ascii="Times New Roman" w:hAnsi="Times New Roman"/>
        </w:rPr>
        <w:t xml:space="preserve"> </w:t>
      </w:r>
      <w:r w:rsidR="00207439" w:rsidRPr="00AA641D">
        <w:rPr>
          <w:rFonts w:ascii="Times New Roman" w:hAnsi="Times New Roman"/>
        </w:rPr>
        <w:t xml:space="preserve">Post Monsoon </w:t>
      </w:r>
      <w:proofErr w:type="spellStart"/>
      <w:r w:rsidRPr="00AA641D">
        <w:rPr>
          <w:rFonts w:ascii="Times New Roman" w:hAnsi="Times New Roman"/>
        </w:rPr>
        <w:t>hydrogeochemistry</w:t>
      </w:r>
      <w:proofErr w:type="spellEnd"/>
      <w:r w:rsidRPr="00AA641D">
        <w:rPr>
          <w:rFonts w:ascii="Times New Roman" w:hAnsi="Times New Roman"/>
        </w:rPr>
        <w:t>, drinking-water standards</w:t>
      </w:r>
    </w:p>
    <w:p w14:paraId="674A05A6" w14:textId="4B500B1E" w:rsidR="00DF08ED" w:rsidRPr="00AA641D" w:rsidRDefault="00A92B0D" w:rsidP="00BF5105">
      <w:pPr>
        <w:pStyle w:val="ListParagraph"/>
        <w:numPr>
          <w:ilvl w:val="0"/>
          <w:numId w:val="2"/>
        </w:numPr>
        <w:jc w:val="both"/>
        <w:rPr>
          <w:rFonts w:ascii="Times New Roman" w:hAnsi="Times New Roman"/>
          <w:b/>
          <w:bCs/>
          <w:lang w:val="en-US"/>
        </w:rPr>
      </w:pPr>
      <w:r w:rsidRPr="00AA641D">
        <w:rPr>
          <w:rFonts w:ascii="Times New Roman" w:hAnsi="Times New Roman"/>
          <w:b/>
          <w:bCs/>
          <w:lang w:val="en-US"/>
        </w:rPr>
        <w:t>I</w:t>
      </w:r>
      <w:r w:rsidR="007519B7" w:rsidRPr="00AA641D">
        <w:rPr>
          <w:rFonts w:ascii="Times New Roman" w:hAnsi="Times New Roman"/>
          <w:b/>
          <w:bCs/>
          <w:lang w:val="en-US"/>
        </w:rPr>
        <w:t>ntroduction</w:t>
      </w:r>
    </w:p>
    <w:p w14:paraId="7FBCF2F3" w14:textId="77777777" w:rsidR="00684A18" w:rsidRPr="00AA641D" w:rsidRDefault="00E919F7" w:rsidP="00BF5105">
      <w:pPr>
        <w:pStyle w:val="NormalWeb"/>
        <w:spacing w:line="360" w:lineRule="auto"/>
        <w:jc w:val="both"/>
      </w:pPr>
      <w:r w:rsidRPr="00AA641D">
        <w:t>Groundwater is one of the most crucial freshwater resources globally, serving as a backbone for domestic, agricultural, and industrial water supply. It provides over 50% of the world’s drinking water and is particularly vital in regions with scarce or highly variable surface water resources (</w:t>
      </w:r>
      <w:proofErr w:type="spellStart"/>
      <w:r w:rsidRPr="00AA641D">
        <w:t>Diédhiou</w:t>
      </w:r>
      <w:proofErr w:type="spellEnd"/>
      <w:r w:rsidRPr="00AA641D">
        <w:t xml:space="preserve"> et al., 2023). In India, groundwater plays an even more critical role, </w:t>
      </w:r>
      <w:r w:rsidRPr="00AA641D">
        <w:lastRenderedPageBreak/>
        <w:t>supplying more than two-thirds of drinking-water requirements and nearly half of irrigation needs, thereby sustaining the livelihoods of millions of people and underpinning food security (CGWB, 2020; WHO, 2017). The importance of groundwater is accentuated in semi-arid and arid regions, where seasonal surface water availability is limited and reliance on subsurface water is high.</w:t>
      </w:r>
    </w:p>
    <w:p w14:paraId="178B39B6" w14:textId="03055C92" w:rsidR="00E919F7" w:rsidRPr="00AA641D" w:rsidRDefault="00E919F7" w:rsidP="00BF5105">
      <w:pPr>
        <w:pStyle w:val="NormalWeb"/>
        <w:spacing w:line="360" w:lineRule="auto"/>
        <w:jc w:val="both"/>
      </w:pPr>
      <w:r w:rsidRPr="00AA641D">
        <w:t xml:space="preserve">The quality of groundwater is influenced by a complex interplay of natural and anthropogenic factors. Among the various parameters used to assess water quality, Total Dissolved Solids (TDS) is one of the most comprehensive and widely adopted indicators. TDS represents the cumulative concentration of dissolved inorganic salts and small organic compounds in water, including major cations such as calcium (Ca²⁺), magnesium (Mg²⁺), sodium (Na⁺), and anions such as chloride (Cl⁻), </w:t>
      </w:r>
      <w:r w:rsidR="0028334F" w:rsidRPr="00AA641D">
        <w:t>sulphate</w:t>
      </w:r>
      <w:r w:rsidRPr="00AA641D">
        <w:t xml:space="preserve"> (SO₄²⁻), and bicarbonate (HCO₃⁻) (USGS, 2025). TDS not only determines the chemical character of groundwater but also directly affects its suitability for domestic, agricultural, and industrial use (BIS, 2012; USGS, 2025).</w:t>
      </w:r>
    </w:p>
    <w:p w14:paraId="5331BC27" w14:textId="77777777" w:rsidR="00E919F7" w:rsidRPr="00AA641D" w:rsidRDefault="00E919F7" w:rsidP="00BF5105">
      <w:pPr>
        <w:pStyle w:val="NormalWeb"/>
        <w:spacing w:line="360" w:lineRule="auto"/>
        <w:jc w:val="both"/>
      </w:pPr>
      <w:r w:rsidRPr="00AA641D">
        <w:t>The geochemical evolution of groundwater is governed by natural processes such as mineral dissolution, ion exchange, and rock–water interactions, which collectively establish the baseline TDS in aquifers (Frontiers in Earth Science, 2022). Climatic factors further influence these concentrations: high evapotranspiration rates in arid and semi-arid regions can naturally elevate TDS, while humid regions often exhibit dilution due to rapid recharge (Applied Water Science, 2016). Hydrogeological characteristics, including aquifer type, porosity, and residence time of water, also affect TDS levels. Crystalline bedrock aquifers, for instance, may have inherently lower storage but higher susceptibility to salinization due to limited recharge and concentration of solutes over time.</w:t>
      </w:r>
    </w:p>
    <w:p w14:paraId="55082CDE" w14:textId="1A0E4F2D" w:rsidR="0028334F" w:rsidRPr="00AA641D" w:rsidRDefault="00E919F7" w:rsidP="00BF5105">
      <w:pPr>
        <w:pStyle w:val="NormalWeb"/>
        <w:spacing w:line="360" w:lineRule="auto"/>
        <w:jc w:val="both"/>
      </w:pPr>
      <w:r w:rsidRPr="00AA641D">
        <w:t xml:space="preserve">Human activities increasingly modify the natural hydrochemistry of aquifers. Intensive agriculture contributes to elevated TDS through fertilizer leaching and irrigation return flows, while industrial effluents, untreated wastewater, and urbanization further exacerbate salinity levels (Frontiers in Water Resources, 2021). Managed aquifer recharge (MAR) programs, although beneficial for augmenting groundwater, can inadvertently increase TDS if source water contains high dissolved solids (ACS ES&amp;T Water, 2025). Over-extraction of groundwater, common in growing urban and agricultural </w:t>
      </w:r>
      <w:proofErr w:type="spellStart"/>
      <w:r w:rsidRPr="00AA641D">
        <w:t>centers</w:t>
      </w:r>
      <w:proofErr w:type="spellEnd"/>
      <w:r w:rsidRPr="00AA641D">
        <w:t>, can induce upward migration of deeper saline water, further deteriorating water quality.</w:t>
      </w:r>
    </w:p>
    <w:p w14:paraId="08EDB86E" w14:textId="0A936EA3" w:rsidR="00E919F7" w:rsidRPr="00AA641D" w:rsidRDefault="00E919F7" w:rsidP="00BF5105">
      <w:pPr>
        <w:pStyle w:val="NormalWeb"/>
        <w:spacing w:line="360" w:lineRule="auto"/>
        <w:jc w:val="both"/>
      </w:pPr>
      <w:r w:rsidRPr="00AA641D">
        <w:lastRenderedPageBreak/>
        <w:t>High TDS concentrations have multidimensional impacts. For human consumption, water with TDS levels exceeding 500 mg/L may be unpalatable and, depending on the ionic composition, potentially harmful (USGS, 2025; WHO, 2017). In agriculture, high TDS water contributes to soil salinization, impairs plant water uptake due to osmotic stress, and can lead to reduced crop yields, affecting food security and economic sustainability (BIS, 2012). Industrially, water with elevated dissolved solids accelerates corrosion in piping and reduces the efficiency of boilers and cooling systems.</w:t>
      </w:r>
    </w:p>
    <w:p w14:paraId="22C91946" w14:textId="77777777" w:rsidR="00E919F7" w:rsidRPr="00AA641D" w:rsidRDefault="00E919F7" w:rsidP="00BF5105">
      <w:pPr>
        <w:pStyle w:val="NormalWeb"/>
        <w:spacing w:line="360" w:lineRule="auto"/>
        <w:jc w:val="both"/>
      </w:pPr>
      <w:r w:rsidRPr="00AA641D">
        <w:t>The Nashik district in Maharashtra presents a particularly compelling case for examining groundwater TDS due to its unique hydrogeological and socio-economic context. Situated within the Deccan basalt province, Nashik’s aquifers are primarily composed of weathered and fractured basalt, which exhibits variable porosity, limited storage, and heterogeneous permeability. The district is an important agricultural and agro-industrial hub, known for viticulture, horticulture, and diverse crop production, while rapid urban expansion has significantly increased groundwater demand. Nashik’s monsoon-dominated climate, with most rainfall occurring between June and September, results in pronounced seasonal variations in groundwater quality. Pre-monsoon conditions often show elevated TDS due to stagnation and evaporative concentration, whereas post-monsoon recharge can dilute accumulated salts, with the magnitude of improvement depending on local geology, land-use practices, and recharge intensity (</w:t>
      </w:r>
      <w:proofErr w:type="spellStart"/>
      <w:r w:rsidRPr="00AA641D">
        <w:t>Subba</w:t>
      </w:r>
      <w:proofErr w:type="spellEnd"/>
      <w:r w:rsidRPr="00AA641D">
        <w:t xml:space="preserve"> Rao, 2017).</w:t>
      </w:r>
    </w:p>
    <w:p w14:paraId="5890C2AC" w14:textId="77777777" w:rsidR="00A66AE4" w:rsidRPr="00AA641D" w:rsidRDefault="00E919F7" w:rsidP="00BF5105">
      <w:pPr>
        <w:pStyle w:val="NormalWeb"/>
        <w:spacing w:line="360" w:lineRule="auto"/>
        <w:jc w:val="both"/>
      </w:pPr>
      <w:r w:rsidRPr="00AA641D">
        <w:t>Monitoring seasonal variations in TDS is crucial for understanding both natural hydrogeochemical processes and anthropogenic influences. Pre-monsoon samples generally reflect prolonged stagnation and solute accumulation, while post-monsoon sampling captures dilution effects and the aquifer’s responsiveness to recharge. Such data allow differentiation between temporary fluctuations and persistent contamination trends, which is essential for developing sustainable groundwater management strategies.</w:t>
      </w:r>
    </w:p>
    <w:p w14:paraId="522F85CA" w14:textId="536EB133" w:rsidR="00E919F7" w:rsidRPr="00AA641D" w:rsidRDefault="00E919F7" w:rsidP="00BF5105">
      <w:pPr>
        <w:pStyle w:val="NormalWeb"/>
        <w:spacing w:line="360" w:lineRule="auto"/>
        <w:jc w:val="both"/>
      </w:pPr>
      <w:r w:rsidRPr="00AA641D">
        <w:t xml:space="preserve">Despite extensive groundwater studies in India, comparative assessments of TDS across diverse hydrogeological and seasonal settings remain limited, particularly in basaltic regions such as Nashik. Integrating </w:t>
      </w:r>
      <w:proofErr w:type="spellStart"/>
      <w:r w:rsidRPr="00AA641D">
        <w:t>hydrochemical</w:t>
      </w:r>
      <w:proofErr w:type="spellEnd"/>
      <w:r w:rsidRPr="00AA641D">
        <w:t xml:space="preserve"> analyses with geospatial </w:t>
      </w:r>
      <w:proofErr w:type="spellStart"/>
      <w:r w:rsidRPr="00AA641D">
        <w:t>modeling</w:t>
      </w:r>
      <w:proofErr w:type="spellEnd"/>
      <w:r w:rsidRPr="00AA641D">
        <w:t xml:space="preserve">, statistical tools, and modern machine learning techniques can reveal spatial patterns of salinity, identify hotspots of contamination, and elucidate the relative contributions of natural versus anthropogenic controls (Frontiers in Earth Science, 2022). A comprehensive understanding of TDS variability is therefore fundamental for ensuring safe drinking water, maintaining soil </w:t>
      </w:r>
      <w:r w:rsidRPr="00AA641D">
        <w:lastRenderedPageBreak/>
        <w:t>health for agriculture, and guiding groundwater management policies in rapidly urbanizing and agriculturally intensive regions.</w:t>
      </w:r>
    </w:p>
    <w:p w14:paraId="189FD759" w14:textId="6D0AA75B" w:rsidR="00A62862" w:rsidRPr="00AA641D" w:rsidRDefault="00E919F7" w:rsidP="00BF5105">
      <w:pPr>
        <w:pStyle w:val="NormalWeb"/>
        <w:spacing w:line="360" w:lineRule="auto"/>
        <w:jc w:val="both"/>
      </w:pPr>
      <w:r w:rsidRPr="00AA641D">
        <w:t>In conclusion, a detailed comparative assessment of groundwater TDS in Nashik district is critical to unravel the complex interactions between geology, climate, human activity, and seasonal processes. Such studies provide insights into aquifer sustainability, inform regulatory compliance with water-quality standards, and support evidence-based strategies for safeguarding groundwater resources in Maharashtra and similar hydrogeological settings.</w:t>
      </w:r>
    </w:p>
    <w:p w14:paraId="50F26368" w14:textId="62D1E616" w:rsidR="00A62862" w:rsidRPr="00AA641D" w:rsidRDefault="00A62862" w:rsidP="004F68D4">
      <w:pPr>
        <w:pStyle w:val="ListParagraph"/>
        <w:numPr>
          <w:ilvl w:val="0"/>
          <w:numId w:val="2"/>
        </w:numPr>
        <w:spacing w:line="360" w:lineRule="auto"/>
        <w:jc w:val="both"/>
        <w:rPr>
          <w:rFonts w:ascii="Times New Roman" w:hAnsi="Times New Roman"/>
          <w:b/>
          <w:bCs/>
        </w:rPr>
      </w:pPr>
      <w:r w:rsidRPr="00AA641D">
        <w:rPr>
          <w:rFonts w:ascii="Times New Roman" w:hAnsi="Times New Roman"/>
          <w:b/>
          <w:bCs/>
        </w:rPr>
        <w:t>Literature Review</w:t>
      </w:r>
    </w:p>
    <w:p w14:paraId="5C6D292F" w14:textId="4C9C9E04" w:rsidR="009E155B" w:rsidRPr="00AA641D" w:rsidRDefault="009E155B" w:rsidP="004F68D4">
      <w:pPr>
        <w:spacing w:line="360" w:lineRule="auto"/>
        <w:jc w:val="both"/>
        <w:rPr>
          <w:rFonts w:ascii="Times New Roman" w:hAnsi="Times New Roman"/>
        </w:rPr>
      </w:pPr>
      <w:r w:rsidRPr="00AA641D">
        <w:rPr>
          <w:rFonts w:ascii="Times New Roman" w:hAnsi="Times New Roman"/>
        </w:rPr>
        <w:t xml:space="preserve">Total Dissolved Solids (TDS) refers to the total concentration of dissolved salts and small organic substances in water, including ions such as calcium, magnesium, sodium, chloride, and </w:t>
      </w:r>
      <w:r w:rsidR="00AE6E2B" w:rsidRPr="00AA641D">
        <w:rPr>
          <w:rFonts w:ascii="Times New Roman" w:hAnsi="Times New Roman"/>
        </w:rPr>
        <w:t>sulphate</w:t>
      </w:r>
      <w:r w:rsidRPr="00AA641D">
        <w:rPr>
          <w:rFonts w:ascii="Times New Roman" w:hAnsi="Times New Roman"/>
        </w:rPr>
        <w:t xml:space="preserve"> (USGS, 2025). TDS is an important indicator of groundwater quality, affecting taste, health, agriculture, and industrial use (BIS, 2012). The permissible limit of TDS in drinking water is 500 mg/L, though water up to 1000 mg/L is generally acceptable but may be slightly unpalatable (WHO, 2017). TDS in groundwater arises from natural processes like rock weathering and mineral dissolution, as well as human activities such as fertilizer use, wastewater infiltration, and industrial discharge (Frontiers in Water Resources, 2021).</w:t>
      </w:r>
    </w:p>
    <w:p w14:paraId="7DDC7F99" w14:textId="77777777" w:rsidR="00A62862" w:rsidRPr="00AA641D" w:rsidRDefault="00A62862" w:rsidP="004F68D4">
      <w:pPr>
        <w:spacing w:line="360" w:lineRule="auto"/>
        <w:jc w:val="both"/>
        <w:rPr>
          <w:rFonts w:ascii="Times New Roman" w:hAnsi="Times New Roman"/>
        </w:rPr>
      </w:pPr>
      <w:r w:rsidRPr="00AA641D">
        <w:rPr>
          <w:rFonts w:ascii="Times New Roman" w:hAnsi="Times New Roman"/>
        </w:rPr>
        <w:t>1. Overview of Groundwater TDS and Global Context</w:t>
      </w:r>
    </w:p>
    <w:p w14:paraId="0F17FC55" w14:textId="58C75A6F" w:rsidR="00A62862" w:rsidRPr="00AA641D" w:rsidRDefault="00A62862" w:rsidP="004F68D4">
      <w:pPr>
        <w:spacing w:line="360" w:lineRule="auto"/>
        <w:jc w:val="both"/>
        <w:rPr>
          <w:rFonts w:ascii="Times New Roman" w:hAnsi="Times New Roman"/>
        </w:rPr>
      </w:pPr>
      <w:r w:rsidRPr="00AA641D">
        <w:rPr>
          <w:rFonts w:ascii="Times New Roman" w:hAnsi="Times New Roman"/>
          <w:b/>
          <w:bCs/>
        </w:rPr>
        <w:t>Total Dissolved Solids (TDS)</w:t>
      </w:r>
      <w:r w:rsidRPr="00AA641D">
        <w:rPr>
          <w:rFonts w:ascii="Times New Roman" w:hAnsi="Times New Roman"/>
        </w:rPr>
        <w:t xml:space="preserve"> represents the combined concentration of dissolved inorganic salts and organic matter in water and is a key indicator of groundwater salinity and quality (</w:t>
      </w:r>
      <w:proofErr w:type="spellStart"/>
      <w:r w:rsidRPr="00AA641D">
        <w:rPr>
          <w:rFonts w:ascii="Times New Roman" w:hAnsi="Times New Roman"/>
        </w:rPr>
        <w:t>Adjovu</w:t>
      </w:r>
      <w:proofErr w:type="spellEnd"/>
      <w:r w:rsidRPr="00AA641D">
        <w:rPr>
          <w:rFonts w:ascii="Times New Roman" w:hAnsi="Times New Roman"/>
        </w:rPr>
        <w:t xml:space="preserve"> et al., 2023). Globally, freshwater groundwater is generally considered to have TDS values below </w:t>
      </w:r>
      <w:r w:rsidRPr="00AA641D">
        <w:rPr>
          <w:rFonts w:ascii="Times New Roman" w:hAnsi="Times New Roman"/>
          <w:b/>
          <w:bCs/>
        </w:rPr>
        <w:t>1,000 mg/L</w:t>
      </w:r>
      <w:r w:rsidRPr="00AA641D">
        <w:rPr>
          <w:rFonts w:ascii="Times New Roman" w:hAnsi="Times New Roman"/>
        </w:rPr>
        <w:t xml:space="preserve">, while values above this range indicate </w:t>
      </w:r>
      <w:r w:rsidRPr="00AA641D">
        <w:rPr>
          <w:rFonts w:ascii="Times New Roman" w:hAnsi="Times New Roman"/>
          <w:i/>
          <w:iCs/>
        </w:rPr>
        <w:t>brackish</w:t>
      </w:r>
      <w:r w:rsidRPr="00AA641D">
        <w:rPr>
          <w:rFonts w:ascii="Times New Roman" w:hAnsi="Times New Roman"/>
        </w:rPr>
        <w:t xml:space="preserve"> to </w:t>
      </w:r>
      <w:r w:rsidRPr="00AA641D">
        <w:rPr>
          <w:rFonts w:ascii="Times New Roman" w:hAnsi="Times New Roman"/>
          <w:i/>
          <w:iCs/>
        </w:rPr>
        <w:t>saline</w:t>
      </w:r>
      <w:r w:rsidRPr="00AA641D">
        <w:rPr>
          <w:rFonts w:ascii="Times New Roman" w:hAnsi="Times New Roman"/>
        </w:rPr>
        <w:t xml:space="preserve"> conditions (World Water Quality Alliance, 2021; Turner et al., 2020). High TDS levels can negatively affect water taste, health, and suitability for irrigation and industrial use, especially where salinity sources include natural rock</w:t>
      </w:r>
      <w:r w:rsidRPr="00AA641D">
        <w:rPr>
          <w:rFonts w:ascii="Times New Roman" w:hAnsi="Times New Roman"/>
        </w:rPr>
        <w:noBreakHyphen/>
        <w:t>water interactions and human</w:t>
      </w:r>
      <w:r w:rsidRPr="00AA641D">
        <w:rPr>
          <w:rFonts w:ascii="Times New Roman" w:hAnsi="Times New Roman"/>
        </w:rPr>
        <w:noBreakHyphen/>
        <w:t>induced contamination (World Water Quality Alliance, 2021). A global salinity database compiled from millions of water quality measurements shows the widespread spatial variability of groundwater salinity, highlighting the need for global monitoring to track salinization trends under climate and land</w:t>
      </w:r>
      <w:r w:rsidRPr="00AA641D">
        <w:rPr>
          <w:rFonts w:ascii="Times New Roman" w:hAnsi="Times New Roman"/>
        </w:rPr>
        <w:noBreakHyphen/>
        <w:t>use change (A global dataset of surface water and groundwater salinity, 2020).</w:t>
      </w:r>
    </w:p>
    <w:p w14:paraId="26380426" w14:textId="72E53AAC" w:rsidR="00A62862" w:rsidRPr="00AA641D" w:rsidRDefault="00A62862" w:rsidP="004F68D4">
      <w:pPr>
        <w:spacing w:line="360" w:lineRule="auto"/>
        <w:jc w:val="both"/>
        <w:rPr>
          <w:rFonts w:ascii="Times New Roman" w:hAnsi="Times New Roman"/>
        </w:rPr>
      </w:pPr>
      <w:r w:rsidRPr="00AA641D">
        <w:rPr>
          <w:rFonts w:ascii="Times New Roman" w:hAnsi="Times New Roman"/>
        </w:rPr>
        <w:t xml:space="preserve">Research has demonstrated that in deeper aquifers, TDS can vary by orders of magnitude, with fresh groundwater often found near the surface and increasing salinity at depth due to geochemical processes and limited flushing (Characterising variations in the salinity of deep groundwater systems, 2019). These findings underscore the complexity of groundwater </w:t>
      </w:r>
      <w:r w:rsidRPr="00AA641D">
        <w:rPr>
          <w:rFonts w:ascii="Times New Roman" w:hAnsi="Times New Roman"/>
        </w:rPr>
        <w:lastRenderedPageBreak/>
        <w:t>systems and the importance of evaluating TDS within hydrogeological context to understand resource sustainability and potential for usage.</w:t>
      </w:r>
    </w:p>
    <w:p w14:paraId="07E04910" w14:textId="38EB478D" w:rsidR="00A66AE4" w:rsidRPr="00AA641D" w:rsidRDefault="001405C0" w:rsidP="004F68D4">
      <w:pPr>
        <w:spacing w:line="360" w:lineRule="auto"/>
        <w:jc w:val="both"/>
        <w:rPr>
          <w:rFonts w:ascii="Times New Roman" w:hAnsi="Times New Roman"/>
        </w:rPr>
      </w:pPr>
      <w:r w:rsidRPr="00AA641D">
        <w:rPr>
          <w:rFonts w:ascii="Times New Roman" w:hAnsi="Times New Roman"/>
        </w:rPr>
        <w:t>2.</w:t>
      </w:r>
      <w:r w:rsidR="00A62862" w:rsidRPr="00AA641D">
        <w:rPr>
          <w:rFonts w:ascii="Times New Roman" w:hAnsi="Times New Roman"/>
        </w:rPr>
        <w:t>India</w:t>
      </w:r>
      <w:r w:rsidR="00A62862" w:rsidRPr="00AA641D">
        <w:rPr>
          <w:rFonts w:ascii="Times New Roman" w:hAnsi="Times New Roman"/>
        </w:rPr>
        <w:noBreakHyphen/>
        <w:t>Wide Groundwater TDS Levels</w:t>
      </w:r>
    </w:p>
    <w:p w14:paraId="0898E3F5" w14:textId="79608BCE" w:rsidR="00A62862" w:rsidRPr="00AA641D" w:rsidRDefault="00A62862" w:rsidP="004F68D4">
      <w:pPr>
        <w:spacing w:line="360" w:lineRule="auto"/>
        <w:jc w:val="both"/>
        <w:rPr>
          <w:rFonts w:ascii="Times New Roman" w:hAnsi="Times New Roman"/>
        </w:rPr>
      </w:pPr>
      <w:r w:rsidRPr="00AA641D">
        <w:rPr>
          <w:rFonts w:ascii="Times New Roman" w:hAnsi="Times New Roman"/>
        </w:rPr>
        <w:t xml:space="preserve">In </w:t>
      </w:r>
      <w:r w:rsidRPr="00AA641D">
        <w:rPr>
          <w:rFonts w:ascii="Times New Roman" w:hAnsi="Times New Roman"/>
          <w:b/>
          <w:bCs/>
        </w:rPr>
        <w:t>India</w:t>
      </w:r>
      <w:r w:rsidRPr="00AA641D">
        <w:rPr>
          <w:rFonts w:ascii="Times New Roman" w:hAnsi="Times New Roman"/>
        </w:rPr>
        <w:t xml:space="preserve">, groundwater serves as the primary source for rural drinking water and irrigation. Nationwide surveys under the National Water Quality Monitoring Programme (NWMP) reveal large disparities in TDS across states. Some regions such as Gujarat report TDS as high as </w:t>
      </w:r>
      <w:r w:rsidRPr="00AA641D">
        <w:rPr>
          <w:rFonts w:ascii="Times New Roman" w:hAnsi="Times New Roman"/>
          <w:b/>
          <w:bCs/>
        </w:rPr>
        <w:t>3,444 mg/L</w:t>
      </w:r>
      <w:r w:rsidRPr="00AA641D">
        <w:rPr>
          <w:rFonts w:ascii="Times New Roman" w:hAnsi="Times New Roman"/>
        </w:rPr>
        <w:t>, indicating brackish conditions, while states like Tripura show much lower TDS (~62 mg/L), reflecting fresher groundwater resources (NWMP, 2023). Such variability is influenced by lithological diversity, climatic regimes, and anthropogenic pressures such as agricultural runoff and over</w:t>
      </w:r>
      <w:r w:rsidRPr="00AA641D">
        <w:rPr>
          <w:rFonts w:ascii="Times New Roman" w:hAnsi="Times New Roman"/>
        </w:rPr>
        <w:noBreakHyphen/>
        <w:t>extraction (NWMP water quality data, 2023).</w:t>
      </w:r>
    </w:p>
    <w:p w14:paraId="6C6DD676" w14:textId="721FE1AA" w:rsidR="00A62862" w:rsidRPr="00AA641D" w:rsidRDefault="00A62862" w:rsidP="004F68D4">
      <w:pPr>
        <w:spacing w:line="360" w:lineRule="auto"/>
        <w:jc w:val="both"/>
        <w:rPr>
          <w:rFonts w:ascii="Times New Roman" w:hAnsi="Times New Roman"/>
        </w:rPr>
      </w:pPr>
      <w:r w:rsidRPr="00AA641D">
        <w:rPr>
          <w:rFonts w:ascii="Times New Roman" w:hAnsi="Times New Roman"/>
        </w:rPr>
        <w:t>Modern research applying machine</w:t>
      </w:r>
      <w:r w:rsidRPr="00AA641D">
        <w:rPr>
          <w:rFonts w:ascii="Times New Roman" w:hAnsi="Times New Roman"/>
        </w:rPr>
        <w:noBreakHyphen/>
        <w:t>learning models across India shows that groundwater salinity (measured as TDS) is affected by irrigation practices, evapotranspiration, and monsoonal recharge patterns, with predictions indicating rising salinity hotspots in parts of India due to ongoing extraction and climate variability (Sarkar et al., 2024).</w:t>
      </w:r>
    </w:p>
    <w:p w14:paraId="4CC9705E" w14:textId="77777777" w:rsidR="00A62862" w:rsidRPr="00AA641D" w:rsidRDefault="00A62862" w:rsidP="004F68D4">
      <w:pPr>
        <w:spacing w:line="360" w:lineRule="auto"/>
        <w:jc w:val="both"/>
        <w:rPr>
          <w:rFonts w:ascii="Times New Roman" w:hAnsi="Times New Roman"/>
        </w:rPr>
      </w:pPr>
      <w:r w:rsidRPr="00AA641D">
        <w:rPr>
          <w:rFonts w:ascii="Times New Roman" w:hAnsi="Times New Roman"/>
        </w:rPr>
        <w:t>3. Maharashtra State Groundwater TDS Levels</w:t>
      </w:r>
    </w:p>
    <w:p w14:paraId="66E89798" w14:textId="4C212427" w:rsidR="00A62862" w:rsidRPr="00AA641D" w:rsidRDefault="00A62862" w:rsidP="00AA641D">
      <w:pPr>
        <w:spacing w:line="360" w:lineRule="auto"/>
        <w:jc w:val="both"/>
        <w:rPr>
          <w:rFonts w:ascii="Times New Roman" w:hAnsi="Times New Roman"/>
        </w:rPr>
      </w:pPr>
      <w:r w:rsidRPr="00AA641D">
        <w:rPr>
          <w:rFonts w:ascii="Times New Roman" w:hAnsi="Times New Roman"/>
        </w:rPr>
        <w:t xml:space="preserve">In </w:t>
      </w:r>
      <w:r w:rsidRPr="00AA641D">
        <w:rPr>
          <w:rFonts w:ascii="Times New Roman" w:hAnsi="Times New Roman"/>
          <w:b/>
          <w:bCs/>
        </w:rPr>
        <w:t>Maharashtra</w:t>
      </w:r>
      <w:r w:rsidRPr="00AA641D">
        <w:rPr>
          <w:rFonts w:ascii="Times New Roman" w:hAnsi="Times New Roman"/>
        </w:rPr>
        <w:t xml:space="preserve">, groundwater TDS levels exhibit considerable spatial heterogeneity. A recent hydrogeochemical survey in the Mann River basin of eastern Maharashtra documented TDS values ranging from </w:t>
      </w:r>
      <w:r w:rsidRPr="00AA641D">
        <w:rPr>
          <w:rFonts w:ascii="Times New Roman" w:hAnsi="Times New Roman"/>
          <w:b/>
          <w:bCs/>
        </w:rPr>
        <w:t>241 to 8,959 mg/L</w:t>
      </w:r>
      <w:r w:rsidRPr="00AA641D">
        <w:rPr>
          <w:rFonts w:ascii="Times New Roman" w:hAnsi="Times New Roman"/>
        </w:rPr>
        <w:t xml:space="preserve">, with a median of about </w:t>
      </w:r>
      <w:r w:rsidRPr="00AA641D">
        <w:rPr>
          <w:rFonts w:ascii="Times New Roman" w:hAnsi="Times New Roman"/>
          <w:b/>
          <w:bCs/>
        </w:rPr>
        <w:t>1,429 mg/L</w:t>
      </w:r>
      <w:r w:rsidRPr="00AA641D">
        <w:rPr>
          <w:rFonts w:ascii="Times New Roman" w:hAnsi="Times New Roman"/>
        </w:rPr>
        <w:t xml:space="preserve"> — indicating that </w:t>
      </w:r>
      <w:r w:rsidRPr="00AA641D">
        <w:rPr>
          <w:rFonts w:ascii="Times New Roman" w:hAnsi="Times New Roman"/>
          <w:i/>
          <w:iCs/>
        </w:rPr>
        <w:t>significant portions</w:t>
      </w:r>
      <w:r w:rsidRPr="00AA641D">
        <w:rPr>
          <w:rFonts w:ascii="Times New Roman" w:hAnsi="Times New Roman"/>
        </w:rPr>
        <w:t xml:space="preserve"> of groundwater here exceed drinking water standards and thus may be unsuitable without treatment (Discover Water, 2024).</w:t>
      </w:r>
    </w:p>
    <w:p w14:paraId="040C8D12" w14:textId="2E74CD80" w:rsidR="00A62862" w:rsidRPr="00AA641D" w:rsidRDefault="00A62862" w:rsidP="00AA641D">
      <w:pPr>
        <w:spacing w:line="360" w:lineRule="auto"/>
        <w:jc w:val="both"/>
        <w:rPr>
          <w:rFonts w:ascii="Times New Roman" w:hAnsi="Times New Roman"/>
        </w:rPr>
      </w:pPr>
      <w:r w:rsidRPr="00AA641D">
        <w:rPr>
          <w:rFonts w:ascii="Times New Roman" w:hAnsi="Times New Roman"/>
        </w:rPr>
        <w:t>State</w:t>
      </w:r>
      <w:r w:rsidRPr="00AA641D">
        <w:rPr>
          <w:rFonts w:ascii="Times New Roman" w:hAnsi="Times New Roman"/>
        </w:rPr>
        <w:noBreakHyphen/>
        <w:t xml:space="preserve">level administrative water quality reports highlight that </w:t>
      </w:r>
      <w:r w:rsidRPr="00AA641D">
        <w:rPr>
          <w:rFonts w:ascii="Times New Roman" w:hAnsi="Times New Roman"/>
          <w:b/>
          <w:bCs/>
        </w:rPr>
        <w:t>multiple talukas</w:t>
      </w:r>
      <w:r w:rsidRPr="00AA641D">
        <w:rPr>
          <w:rFonts w:ascii="Times New Roman" w:hAnsi="Times New Roman"/>
        </w:rPr>
        <w:t xml:space="preserve"> (sub</w:t>
      </w:r>
      <w:r w:rsidRPr="00AA641D">
        <w:rPr>
          <w:rFonts w:ascii="Times New Roman" w:hAnsi="Times New Roman"/>
        </w:rPr>
        <w:noBreakHyphen/>
        <w:t xml:space="preserve">districts) across the state, including Nashik, Amravati, Ahmednagar, and Akola, regularly exceed the Bureau of Indian Standards (BIS) TDS limit of </w:t>
      </w:r>
      <w:r w:rsidRPr="00AA641D">
        <w:rPr>
          <w:rFonts w:ascii="Times New Roman" w:hAnsi="Times New Roman"/>
          <w:b/>
          <w:bCs/>
        </w:rPr>
        <w:t>2,000 mg/L</w:t>
      </w:r>
      <w:r w:rsidRPr="00AA641D">
        <w:rPr>
          <w:rFonts w:ascii="Times New Roman" w:hAnsi="Times New Roman"/>
        </w:rPr>
        <w:t xml:space="preserve"> for groundwater, indicating widespread mineralization and salinity issues (MPCB groundwater quality report, 2007–2011).</w:t>
      </w:r>
    </w:p>
    <w:p w14:paraId="708C9FC3" w14:textId="51FC7F77" w:rsidR="00A62862" w:rsidRPr="00AA641D" w:rsidRDefault="00A62862" w:rsidP="00AA641D">
      <w:pPr>
        <w:spacing w:line="360" w:lineRule="auto"/>
        <w:jc w:val="both"/>
        <w:rPr>
          <w:rFonts w:ascii="Times New Roman" w:hAnsi="Times New Roman"/>
        </w:rPr>
      </w:pPr>
      <w:r w:rsidRPr="00AA641D">
        <w:rPr>
          <w:rFonts w:ascii="Times New Roman" w:hAnsi="Times New Roman"/>
        </w:rPr>
        <w:t>Additional studies in the Aurangabad region suggest that agricultural watersheds also face elevated TDS and salinity, further restricting groundwater use for irrigation without proper management (Assessment of Ground Water Quality, 2024).</w:t>
      </w:r>
    </w:p>
    <w:p w14:paraId="5DD9ECD5" w14:textId="77777777" w:rsidR="00A62862" w:rsidRPr="00AA641D" w:rsidRDefault="00A62862" w:rsidP="00AA641D">
      <w:pPr>
        <w:spacing w:line="360" w:lineRule="auto"/>
        <w:jc w:val="both"/>
        <w:rPr>
          <w:rFonts w:ascii="Times New Roman" w:hAnsi="Times New Roman"/>
        </w:rPr>
      </w:pPr>
      <w:r w:rsidRPr="00AA641D">
        <w:rPr>
          <w:rFonts w:ascii="Times New Roman" w:hAnsi="Times New Roman"/>
        </w:rPr>
        <w:t>4. Nashik District Local TDS Evidence</w:t>
      </w:r>
    </w:p>
    <w:p w14:paraId="0C5F7DED" w14:textId="5EB2DB82" w:rsidR="00A62862" w:rsidRPr="00AA641D" w:rsidRDefault="00A62862" w:rsidP="004F68D4">
      <w:pPr>
        <w:spacing w:line="360" w:lineRule="auto"/>
        <w:jc w:val="both"/>
        <w:rPr>
          <w:rFonts w:ascii="Times New Roman" w:hAnsi="Times New Roman"/>
        </w:rPr>
      </w:pPr>
      <w:r w:rsidRPr="00AA641D">
        <w:rPr>
          <w:rFonts w:ascii="Times New Roman" w:hAnsi="Times New Roman"/>
        </w:rPr>
        <w:t xml:space="preserve">At the </w:t>
      </w:r>
      <w:r w:rsidRPr="00AA641D">
        <w:rPr>
          <w:rFonts w:ascii="Times New Roman" w:hAnsi="Times New Roman"/>
          <w:b/>
          <w:bCs/>
        </w:rPr>
        <w:t>local scale</w:t>
      </w:r>
      <w:r w:rsidRPr="00AA641D">
        <w:rPr>
          <w:rFonts w:ascii="Times New Roman" w:hAnsi="Times New Roman"/>
        </w:rPr>
        <w:t xml:space="preserve">, research in </w:t>
      </w:r>
      <w:r w:rsidRPr="00AA641D">
        <w:rPr>
          <w:rFonts w:ascii="Times New Roman" w:hAnsi="Times New Roman"/>
          <w:b/>
          <w:bCs/>
        </w:rPr>
        <w:t>Nashik district</w:t>
      </w:r>
      <w:r w:rsidRPr="00AA641D">
        <w:rPr>
          <w:rFonts w:ascii="Times New Roman" w:hAnsi="Times New Roman"/>
        </w:rPr>
        <w:t xml:space="preserve"> shows that TDS levels vary strongly by location and aquifer type. A detailed GIS</w:t>
      </w:r>
      <w:r w:rsidRPr="00AA641D">
        <w:rPr>
          <w:rFonts w:ascii="Times New Roman" w:hAnsi="Times New Roman"/>
        </w:rPr>
        <w:noBreakHyphen/>
        <w:t>based analysis reported spatial and temporal TDS variation across Nashik, identifying areas with comparatively higher dissolved solids likely linked to lithological differences and human impacts (Patil et al., 2022).</w:t>
      </w:r>
    </w:p>
    <w:p w14:paraId="466E98B5" w14:textId="0E9BFDEB" w:rsidR="00A62862" w:rsidRPr="00AA641D" w:rsidRDefault="00A62862" w:rsidP="004F68D4">
      <w:pPr>
        <w:spacing w:line="360" w:lineRule="auto"/>
        <w:jc w:val="both"/>
        <w:rPr>
          <w:rFonts w:ascii="Times New Roman" w:hAnsi="Times New Roman"/>
        </w:rPr>
      </w:pPr>
      <w:proofErr w:type="spellStart"/>
      <w:r w:rsidRPr="00AA641D">
        <w:rPr>
          <w:rFonts w:ascii="Times New Roman" w:hAnsi="Times New Roman"/>
        </w:rPr>
        <w:t>Hydrochemical</w:t>
      </w:r>
      <w:proofErr w:type="spellEnd"/>
      <w:r w:rsidRPr="00AA641D">
        <w:rPr>
          <w:rFonts w:ascii="Times New Roman" w:hAnsi="Times New Roman"/>
        </w:rPr>
        <w:t xml:space="preserve"> studies in the </w:t>
      </w:r>
      <w:proofErr w:type="spellStart"/>
      <w:r w:rsidRPr="00AA641D">
        <w:rPr>
          <w:rFonts w:ascii="Times New Roman" w:hAnsi="Times New Roman"/>
        </w:rPr>
        <w:t>Yeola</w:t>
      </w:r>
      <w:proofErr w:type="spellEnd"/>
      <w:r w:rsidRPr="00AA641D">
        <w:rPr>
          <w:rFonts w:ascii="Times New Roman" w:hAnsi="Times New Roman"/>
        </w:rPr>
        <w:t xml:space="preserve"> block of Nashik found that several groundwater samples exceeded safe drinking limits for parameters including TDS, although most samples were </w:t>
      </w:r>
      <w:r w:rsidRPr="00AA641D">
        <w:rPr>
          <w:rFonts w:ascii="Times New Roman" w:hAnsi="Times New Roman"/>
        </w:rPr>
        <w:lastRenderedPageBreak/>
        <w:t xml:space="preserve">suitable for irrigation purposes based on irrigation quality indices (Groundwater Quality Assessment, </w:t>
      </w:r>
      <w:proofErr w:type="spellStart"/>
      <w:r w:rsidRPr="00AA641D">
        <w:rPr>
          <w:rFonts w:ascii="Times New Roman" w:hAnsi="Times New Roman"/>
        </w:rPr>
        <w:t>Yeola</w:t>
      </w:r>
      <w:proofErr w:type="spellEnd"/>
      <w:r w:rsidRPr="00AA641D">
        <w:rPr>
          <w:rFonts w:ascii="Times New Roman" w:hAnsi="Times New Roman"/>
        </w:rPr>
        <w:t xml:space="preserve"> block, Nashik, 2019).</w:t>
      </w:r>
    </w:p>
    <w:p w14:paraId="1BE526A8" w14:textId="1168E53C" w:rsidR="00A62862" w:rsidRPr="00AA641D" w:rsidRDefault="00A62862" w:rsidP="004F68D4">
      <w:pPr>
        <w:spacing w:line="360" w:lineRule="auto"/>
        <w:jc w:val="both"/>
        <w:rPr>
          <w:rFonts w:ascii="Times New Roman" w:hAnsi="Times New Roman"/>
        </w:rPr>
      </w:pPr>
      <w:r w:rsidRPr="00AA641D">
        <w:rPr>
          <w:rFonts w:ascii="Times New Roman" w:hAnsi="Times New Roman"/>
        </w:rPr>
        <w:t xml:space="preserve">Investigations in the </w:t>
      </w:r>
      <w:proofErr w:type="spellStart"/>
      <w:r w:rsidRPr="00AA641D">
        <w:rPr>
          <w:rFonts w:ascii="Times New Roman" w:hAnsi="Times New Roman"/>
        </w:rPr>
        <w:t>Nandgaon</w:t>
      </w:r>
      <w:proofErr w:type="spellEnd"/>
      <w:r w:rsidRPr="00AA641D">
        <w:rPr>
          <w:rFonts w:ascii="Times New Roman" w:hAnsi="Times New Roman"/>
        </w:rPr>
        <w:t xml:space="preserve"> block also confirm that groundwater TDS is a critical parameter in determining water quality for irrigation, with quality indices reflecting trends from good to unsustainable conditions due partly to dissolved salts and mineral content (</w:t>
      </w:r>
      <w:proofErr w:type="spellStart"/>
      <w:r w:rsidRPr="00AA641D">
        <w:rPr>
          <w:rFonts w:ascii="Times New Roman" w:hAnsi="Times New Roman"/>
        </w:rPr>
        <w:t>Aher</w:t>
      </w:r>
      <w:proofErr w:type="spellEnd"/>
      <w:r w:rsidRPr="00AA641D">
        <w:rPr>
          <w:rFonts w:ascii="Times New Roman" w:hAnsi="Times New Roman"/>
        </w:rPr>
        <w:t xml:space="preserve"> &amp; Gaikwad, 2017).</w:t>
      </w:r>
    </w:p>
    <w:p w14:paraId="4108B8C6" w14:textId="002EDF81" w:rsidR="00A62862" w:rsidRPr="00AA641D" w:rsidRDefault="00A62862" w:rsidP="004F68D4">
      <w:pPr>
        <w:spacing w:line="360" w:lineRule="auto"/>
        <w:jc w:val="both"/>
        <w:rPr>
          <w:rFonts w:ascii="Times New Roman" w:hAnsi="Times New Roman"/>
        </w:rPr>
      </w:pPr>
      <w:r w:rsidRPr="00AA641D">
        <w:rPr>
          <w:rFonts w:ascii="Times New Roman" w:hAnsi="Times New Roman"/>
        </w:rPr>
        <w:t xml:space="preserve">Other local studies (e.g., in </w:t>
      </w:r>
      <w:proofErr w:type="spellStart"/>
      <w:r w:rsidRPr="00AA641D">
        <w:rPr>
          <w:rFonts w:ascii="Times New Roman" w:hAnsi="Times New Roman"/>
        </w:rPr>
        <w:t>Sinnar</w:t>
      </w:r>
      <w:proofErr w:type="spellEnd"/>
      <w:r w:rsidRPr="00AA641D">
        <w:rPr>
          <w:rFonts w:ascii="Times New Roman" w:hAnsi="Times New Roman"/>
        </w:rPr>
        <w:t xml:space="preserve"> Tehsil) similarly emphasize the role of TDS in assessing groundwater for potable use, often finding that only a subset of samples meet drinking water suitability criteria based on TDS and other chemical parameters (</w:t>
      </w:r>
      <w:proofErr w:type="spellStart"/>
      <w:r w:rsidRPr="00AA641D">
        <w:rPr>
          <w:rFonts w:ascii="Times New Roman" w:hAnsi="Times New Roman"/>
        </w:rPr>
        <w:t>Gujarathi</w:t>
      </w:r>
      <w:proofErr w:type="spellEnd"/>
      <w:r w:rsidRPr="00AA641D">
        <w:rPr>
          <w:rFonts w:ascii="Times New Roman" w:hAnsi="Times New Roman"/>
        </w:rPr>
        <w:t xml:space="preserve"> et al., 2019).</w:t>
      </w:r>
    </w:p>
    <w:p w14:paraId="06A5512F" w14:textId="77777777" w:rsidR="00A62862" w:rsidRPr="00AA641D" w:rsidRDefault="00A62862" w:rsidP="004F68D4">
      <w:pPr>
        <w:spacing w:line="360" w:lineRule="auto"/>
        <w:jc w:val="both"/>
        <w:rPr>
          <w:rFonts w:ascii="Times New Roman" w:hAnsi="Times New Roman"/>
        </w:rPr>
      </w:pPr>
      <w:r w:rsidRPr="00AA641D">
        <w:rPr>
          <w:rFonts w:ascii="Times New Roman" w:hAnsi="Times New Roman"/>
        </w:rPr>
        <w:t>5. Synthesis and Research Gaps</w:t>
      </w:r>
    </w:p>
    <w:p w14:paraId="0F2835F8" w14:textId="4D334625" w:rsidR="00A62862" w:rsidRPr="00AA641D" w:rsidRDefault="00A62862" w:rsidP="004F68D4">
      <w:pPr>
        <w:spacing w:line="360" w:lineRule="auto"/>
        <w:jc w:val="both"/>
        <w:rPr>
          <w:rFonts w:ascii="Times New Roman" w:hAnsi="Times New Roman"/>
        </w:rPr>
      </w:pPr>
      <w:r w:rsidRPr="00AA641D">
        <w:rPr>
          <w:rFonts w:ascii="Times New Roman" w:hAnsi="Times New Roman"/>
        </w:rPr>
        <w:t xml:space="preserve">The literature clearly indicates that </w:t>
      </w:r>
      <w:r w:rsidRPr="00AA641D">
        <w:rPr>
          <w:rFonts w:ascii="Times New Roman" w:hAnsi="Times New Roman"/>
          <w:b/>
          <w:bCs/>
        </w:rPr>
        <w:t>TDS is a critical metric</w:t>
      </w:r>
      <w:r w:rsidRPr="00AA641D">
        <w:rPr>
          <w:rFonts w:ascii="Times New Roman" w:hAnsi="Times New Roman"/>
        </w:rPr>
        <w:t xml:space="preserve"> for understanding groundwater quality from global through local scales. Globally, TDS demonstrates large spatial variability and is influenced by both natural hydrogeological controls and anthropogenic pressures. In India, groundwater salinity and elevated TDS remain persistent problems in many regions, especially in semi</w:t>
      </w:r>
      <w:r w:rsidRPr="00AA641D">
        <w:rPr>
          <w:rFonts w:ascii="Times New Roman" w:hAnsi="Times New Roman"/>
        </w:rPr>
        <w:noBreakHyphen/>
        <w:t>arid and irrigated zones. In Maharashtra, state</w:t>
      </w:r>
      <w:r w:rsidRPr="00AA641D">
        <w:rPr>
          <w:rFonts w:ascii="Times New Roman" w:hAnsi="Times New Roman"/>
        </w:rPr>
        <w:noBreakHyphen/>
        <w:t xml:space="preserve">wide surveys and academic studies reveal many zones where TDS exceeds both drinking and irrigation standards. Local Nashik investigations further show spatial heterogeneity, indicating the need for </w:t>
      </w:r>
      <w:r w:rsidRPr="00AA641D">
        <w:rPr>
          <w:rFonts w:ascii="Times New Roman" w:hAnsi="Times New Roman"/>
          <w:b/>
          <w:bCs/>
        </w:rPr>
        <w:t>targeted groundwater quality monitoring and management</w:t>
      </w:r>
      <w:r w:rsidRPr="00AA641D">
        <w:rPr>
          <w:rFonts w:ascii="Times New Roman" w:hAnsi="Times New Roman"/>
        </w:rPr>
        <w:t xml:space="preserve"> to support sustainable water use. Despite extensive monitoring data, </w:t>
      </w:r>
      <w:r w:rsidRPr="00AA641D">
        <w:rPr>
          <w:rFonts w:ascii="Times New Roman" w:hAnsi="Times New Roman"/>
          <w:b/>
          <w:bCs/>
        </w:rPr>
        <w:t>research gaps persist</w:t>
      </w:r>
      <w:r w:rsidRPr="00AA641D">
        <w:rPr>
          <w:rFonts w:ascii="Times New Roman" w:hAnsi="Times New Roman"/>
        </w:rPr>
        <w:t xml:space="preserve"> in integrated multi</w:t>
      </w:r>
      <w:r w:rsidRPr="00AA641D">
        <w:rPr>
          <w:rFonts w:ascii="Times New Roman" w:hAnsi="Times New Roman"/>
        </w:rPr>
        <w:noBreakHyphen/>
        <w:t xml:space="preserve">temporal analysis of TDS trends, the socioeconomic drivers of salinity, and predictive </w:t>
      </w:r>
      <w:r w:rsidR="0048368A" w:rsidRPr="00AA641D">
        <w:rPr>
          <w:rFonts w:ascii="Times New Roman" w:hAnsi="Times New Roman"/>
        </w:rPr>
        <w:t>modelling</w:t>
      </w:r>
      <w:r w:rsidRPr="00AA641D">
        <w:rPr>
          <w:rFonts w:ascii="Times New Roman" w:hAnsi="Times New Roman"/>
        </w:rPr>
        <w:t xml:space="preserve"> for groundwater quality under future climate scenarios.</w:t>
      </w:r>
    </w:p>
    <w:p w14:paraId="14AB1FEC" w14:textId="3BA390B8" w:rsidR="00A62862" w:rsidRPr="00AA641D" w:rsidRDefault="00A62862" w:rsidP="004F68D4">
      <w:pPr>
        <w:spacing w:line="360" w:lineRule="auto"/>
        <w:rPr>
          <w:rFonts w:ascii="Times New Roman" w:hAnsi="Times New Roman"/>
        </w:rPr>
      </w:pPr>
    </w:p>
    <w:p w14:paraId="74F445AB" w14:textId="5863DF46" w:rsidR="00CB16BF" w:rsidRPr="00AA641D" w:rsidRDefault="00CB16BF" w:rsidP="004F68D4">
      <w:pPr>
        <w:pStyle w:val="ListParagraph"/>
        <w:numPr>
          <w:ilvl w:val="0"/>
          <w:numId w:val="6"/>
        </w:numPr>
        <w:spacing w:line="360" w:lineRule="auto"/>
        <w:jc w:val="both"/>
        <w:rPr>
          <w:rFonts w:ascii="Times New Roman" w:hAnsi="Times New Roman"/>
          <w:b/>
          <w:bCs/>
        </w:rPr>
      </w:pPr>
      <w:r w:rsidRPr="00AA641D">
        <w:rPr>
          <w:rFonts w:ascii="Times New Roman" w:hAnsi="Times New Roman"/>
          <w:b/>
          <w:bCs/>
        </w:rPr>
        <w:t>Objectives -</w:t>
      </w:r>
    </w:p>
    <w:p w14:paraId="477FA896" w14:textId="72C14558" w:rsidR="00CB16BF" w:rsidRPr="00AA641D" w:rsidRDefault="00CB16BF" w:rsidP="004F68D4">
      <w:pPr>
        <w:spacing w:line="360" w:lineRule="auto"/>
        <w:jc w:val="both"/>
        <w:rPr>
          <w:rFonts w:ascii="Times New Roman" w:hAnsi="Times New Roman"/>
        </w:rPr>
      </w:pPr>
      <w:r w:rsidRPr="00AA641D">
        <w:rPr>
          <w:rFonts w:ascii="Times New Roman" w:hAnsi="Times New Roman"/>
        </w:rPr>
        <w:t xml:space="preserve">The present study aims to </w:t>
      </w:r>
      <w:r w:rsidR="00F03DD4" w:rsidRPr="00AA641D">
        <w:rPr>
          <w:rFonts w:ascii="Times New Roman" w:hAnsi="Times New Roman"/>
        </w:rPr>
        <w:t>Comparative</w:t>
      </w:r>
      <w:r w:rsidR="00AA641D">
        <w:rPr>
          <w:rFonts w:ascii="Times New Roman" w:hAnsi="Times New Roman"/>
        </w:rPr>
        <w:t xml:space="preserve"> Seasonal</w:t>
      </w:r>
      <w:r w:rsidR="00F03DD4" w:rsidRPr="00AA641D">
        <w:rPr>
          <w:rFonts w:ascii="Times New Roman" w:hAnsi="Times New Roman"/>
        </w:rPr>
        <w:t xml:space="preserve"> Assessment of Groundwater Total Dissolved Solids (TDS) of </w:t>
      </w:r>
      <w:proofErr w:type="spellStart"/>
      <w:r w:rsidRPr="00AA641D">
        <w:rPr>
          <w:rFonts w:ascii="Times New Roman" w:hAnsi="Times New Roman"/>
        </w:rPr>
        <w:t>Kadwa</w:t>
      </w:r>
      <w:proofErr w:type="spellEnd"/>
      <w:r w:rsidRPr="00AA641D">
        <w:rPr>
          <w:rFonts w:ascii="Times New Roman" w:hAnsi="Times New Roman"/>
        </w:rPr>
        <w:t xml:space="preserve"> Basin Nashik District Maharashtra using a dataset of 110 groundwater samples. The specific objectives of the study are to:</w:t>
      </w:r>
    </w:p>
    <w:p w14:paraId="7CF61FB4" w14:textId="092B4151" w:rsidR="00C14410" w:rsidRPr="00AA641D" w:rsidRDefault="00C14410" w:rsidP="004F68D4">
      <w:pPr>
        <w:pStyle w:val="ListParagraph"/>
        <w:numPr>
          <w:ilvl w:val="0"/>
          <w:numId w:val="4"/>
        </w:numPr>
        <w:spacing w:line="360" w:lineRule="auto"/>
        <w:jc w:val="both"/>
        <w:rPr>
          <w:rFonts w:ascii="Times New Roman" w:hAnsi="Times New Roman"/>
        </w:rPr>
      </w:pPr>
      <w:r w:rsidRPr="00AA641D">
        <w:rPr>
          <w:rFonts w:ascii="Times New Roman" w:eastAsia="Times New Roman" w:hAnsi="Times New Roman"/>
          <w:lang w:eastAsia="en-IN"/>
        </w:rPr>
        <w:t>To compare TDS concentrations in pre- and post-monsoon seasons</w:t>
      </w:r>
    </w:p>
    <w:p w14:paraId="417802A1" w14:textId="081BCAB7" w:rsidR="00BA1380" w:rsidRPr="00AA641D" w:rsidRDefault="00CB16BF" w:rsidP="004F68D4">
      <w:pPr>
        <w:spacing w:line="360" w:lineRule="auto"/>
        <w:jc w:val="both"/>
        <w:rPr>
          <w:rFonts w:ascii="Times New Roman" w:hAnsi="Times New Roman"/>
        </w:rPr>
      </w:pPr>
      <w:r w:rsidRPr="00AA641D">
        <w:rPr>
          <w:rFonts w:ascii="Times New Roman" w:hAnsi="Times New Roman"/>
        </w:rPr>
        <w:t xml:space="preserve">The findings of this study provide valuable insights for groundwater quality management, policy planning, and the protection of public health in </w:t>
      </w:r>
      <w:proofErr w:type="spellStart"/>
      <w:r w:rsidRPr="00AA641D">
        <w:rPr>
          <w:rFonts w:ascii="Times New Roman" w:hAnsi="Times New Roman"/>
        </w:rPr>
        <w:t>Kadwa</w:t>
      </w:r>
      <w:proofErr w:type="spellEnd"/>
      <w:r w:rsidRPr="00AA641D">
        <w:rPr>
          <w:rFonts w:ascii="Times New Roman" w:hAnsi="Times New Roman"/>
        </w:rPr>
        <w:t xml:space="preserve"> Basin Nashik District Maharashtra.</w:t>
      </w:r>
    </w:p>
    <w:p w14:paraId="3FDF6D05" w14:textId="1D2DE9C9" w:rsidR="00A47EA1" w:rsidRPr="00AA641D" w:rsidRDefault="00A47EA1" w:rsidP="004F68D4">
      <w:pPr>
        <w:pStyle w:val="ListParagraph"/>
        <w:numPr>
          <w:ilvl w:val="0"/>
          <w:numId w:val="6"/>
        </w:numPr>
        <w:spacing w:line="360" w:lineRule="auto"/>
        <w:rPr>
          <w:rFonts w:ascii="Times New Roman" w:hAnsi="Times New Roman"/>
          <w:b/>
          <w:bCs/>
        </w:rPr>
      </w:pPr>
      <w:r w:rsidRPr="00AA641D">
        <w:rPr>
          <w:rFonts w:ascii="Times New Roman" w:hAnsi="Times New Roman"/>
          <w:b/>
          <w:bCs/>
        </w:rPr>
        <w:t>Study Area-</w:t>
      </w:r>
    </w:p>
    <w:p w14:paraId="79662BC2" w14:textId="77777777" w:rsidR="00A47EA1" w:rsidRPr="00AA641D" w:rsidRDefault="00A47EA1" w:rsidP="004F68D4">
      <w:pPr>
        <w:spacing w:line="360" w:lineRule="auto"/>
        <w:jc w:val="both"/>
        <w:rPr>
          <w:rFonts w:ascii="Times New Roman" w:hAnsi="Times New Roman"/>
        </w:rPr>
      </w:pPr>
      <w:proofErr w:type="spellStart"/>
      <w:r w:rsidRPr="00AA641D">
        <w:rPr>
          <w:rFonts w:ascii="Times New Roman" w:hAnsi="Times New Roman"/>
        </w:rPr>
        <w:t>Kadwa</w:t>
      </w:r>
      <w:proofErr w:type="spellEnd"/>
      <w:r w:rsidRPr="00AA641D">
        <w:rPr>
          <w:rFonts w:ascii="Times New Roman" w:hAnsi="Times New Roman"/>
        </w:rPr>
        <w:t xml:space="preserve"> basin is located in Nashik district of Maharashtra state. The Geographical area of this basin 209.15skm. this is sub region of Godavari River. This basin is agriculturally developed. Two MIDC zones of various productions are functioning in this basin. Wells and boar wells </w:t>
      </w:r>
      <w:r w:rsidRPr="00AA641D">
        <w:rPr>
          <w:rFonts w:ascii="Times New Roman" w:hAnsi="Times New Roman"/>
        </w:rPr>
        <w:lastRenderedPageBreak/>
        <w:t xml:space="preserve">used to irrigate the crops. The latitudinal and longitudinal extension of </w:t>
      </w:r>
      <w:proofErr w:type="spellStart"/>
      <w:r w:rsidRPr="00AA641D">
        <w:rPr>
          <w:rFonts w:ascii="Times New Roman" w:hAnsi="Times New Roman"/>
        </w:rPr>
        <w:t>Kadwa</w:t>
      </w:r>
      <w:proofErr w:type="spellEnd"/>
      <w:r w:rsidRPr="00AA641D">
        <w:rPr>
          <w:rFonts w:ascii="Times New Roman" w:hAnsi="Times New Roman"/>
        </w:rPr>
        <w:t xml:space="preserve"> basin is as follows …</w:t>
      </w:r>
    </w:p>
    <w:p w14:paraId="3474F3EA" w14:textId="70380501" w:rsidR="00BA1380" w:rsidRPr="00AA641D" w:rsidRDefault="00A47EA1" w:rsidP="00684A18">
      <w:pPr>
        <w:spacing w:line="360" w:lineRule="auto"/>
        <w:rPr>
          <w:rFonts w:ascii="Times New Roman" w:hAnsi="Times New Roman"/>
        </w:rPr>
      </w:pPr>
      <w:r w:rsidRPr="00AA641D">
        <w:rPr>
          <w:rFonts w:ascii="Times New Roman" w:hAnsi="Times New Roman"/>
        </w:rPr>
        <w:t>Latitude:20°00′23.85″</w:t>
      </w:r>
      <w:r w:rsidR="00BF5105" w:rsidRPr="00AA641D">
        <w:rPr>
          <w:rFonts w:ascii="Times New Roman" w:hAnsi="Times New Roman"/>
        </w:rPr>
        <w:t xml:space="preserve"> </w:t>
      </w:r>
      <w:r w:rsidRPr="00AA641D">
        <w:rPr>
          <w:rFonts w:ascii="Times New Roman" w:hAnsi="Times New Roman"/>
        </w:rPr>
        <w:t>N to 20°26′20.84″</w:t>
      </w:r>
      <w:r w:rsidR="00BF5105" w:rsidRPr="00AA641D">
        <w:rPr>
          <w:rFonts w:ascii="Times New Roman" w:hAnsi="Times New Roman"/>
        </w:rPr>
        <w:t xml:space="preserve"> </w:t>
      </w:r>
      <w:r w:rsidRPr="00AA641D">
        <w:rPr>
          <w:rFonts w:ascii="Times New Roman" w:hAnsi="Times New Roman"/>
        </w:rPr>
        <w:t>N</w:t>
      </w:r>
      <w:r w:rsidRPr="00AA641D">
        <w:rPr>
          <w:rFonts w:ascii="Times New Roman" w:hAnsi="Times New Roman"/>
        </w:rPr>
        <w:br/>
        <w:t>Longitude: 73°37′24.07″ E to 74°11′10.05″ E</w:t>
      </w:r>
    </w:p>
    <w:p w14:paraId="6C2C47C5" w14:textId="44D98283" w:rsidR="00BA1380" w:rsidRPr="00AA641D" w:rsidRDefault="00A47EA1" w:rsidP="00BF5105">
      <w:pPr>
        <w:rPr>
          <w:rFonts w:ascii="Times New Roman" w:hAnsi="Times New Roman"/>
          <w:lang w:val="en-US"/>
        </w:rPr>
      </w:pPr>
      <w:r w:rsidRPr="00AA641D">
        <w:rPr>
          <w:rFonts w:ascii="Times New Roman" w:hAnsi="Times New Roman"/>
          <w:noProof/>
          <w:lang w:val="en-US" w:bidi="ar-SA"/>
        </w:rPr>
        <w:drawing>
          <wp:inline distT="0" distB="0" distL="0" distR="0" wp14:anchorId="6770B161" wp14:editId="1E141B13">
            <wp:extent cx="5821680" cy="3573780"/>
            <wp:effectExtent l="0" t="0" r="7620" b="7620"/>
            <wp:docPr id="3" name="Picture 2">
              <a:extLst xmlns:a="http://schemas.openxmlformats.org/drawingml/2006/main">
                <a:ext uri="{FF2B5EF4-FFF2-40B4-BE49-F238E27FC236}">
                  <a16:creationId xmlns:a16="http://schemas.microsoft.com/office/drawing/2014/main" id="{30FE9D36-9119-6EE5-CE00-3975A970AB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0FE9D36-9119-6EE5-CE00-3975A970AB3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701" cy="3582387"/>
                    </a:xfrm>
                    <a:prstGeom prst="rect">
                      <a:avLst/>
                    </a:prstGeom>
                  </pic:spPr>
                </pic:pic>
              </a:graphicData>
            </a:graphic>
          </wp:inline>
        </w:drawing>
      </w:r>
    </w:p>
    <w:p w14:paraId="5EDA6625" w14:textId="6FE2A3AE" w:rsidR="00BA1380" w:rsidRPr="00AA641D" w:rsidRDefault="00A4722F" w:rsidP="00BF5105">
      <w:pPr>
        <w:jc w:val="center"/>
        <w:rPr>
          <w:rFonts w:ascii="Times New Roman" w:hAnsi="Times New Roman"/>
          <w:b/>
          <w:bCs/>
          <w:lang w:val="en-US"/>
        </w:rPr>
      </w:pPr>
      <w:r w:rsidRPr="00AA641D">
        <w:rPr>
          <w:rFonts w:ascii="Times New Roman" w:hAnsi="Times New Roman"/>
          <w:b/>
          <w:bCs/>
          <w:lang w:val="en-US"/>
        </w:rPr>
        <w:t>Figure :</w:t>
      </w:r>
      <w:r w:rsidR="0048368A" w:rsidRPr="00AA641D">
        <w:rPr>
          <w:rFonts w:ascii="Times New Roman" w:hAnsi="Times New Roman"/>
          <w:b/>
          <w:bCs/>
          <w:lang w:val="en-US"/>
        </w:rPr>
        <w:t>1 Location</w:t>
      </w:r>
      <w:r w:rsidR="00532148" w:rsidRPr="00AA641D">
        <w:rPr>
          <w:rFonts w:ascii="Times New Roman" w:hAnsi="Times New Roman"/>
          <w:b/>
          <w:bCs/>
          <w:lang w:val="en-US"/>
        </w:rPr>
        <w:t xml:space="preserve"> </w:t>
      </w:r>
      <w:r w:rsidR="00684A18" w:rsidRPr="00AA641D">
        <w:rPr>
          <w:rFonts w:ascii="Times New Roman" w:hAnsi="Times New Roman"/>
          <w:b/>
          <w:bCs/>
          <w:lang w:val="en-US"/>
        </w:rPr>
        <w:t>M</w:t>
      </w:r>
      <w:r w:rsidR="00532148" w:rsidRPr="00AA641D">
        <w:rPr>
          <w:rFonts w:ascii="Times New Roman" w:hAnsi="Times New Roman"/>
          <w:b/>
          <w:bCs/>
          <w:lang w:val="en-US"/>
        </w:rPr>
        <w:t xml:space="preserve">ap </w:t>
      </w:r>
      <w:r w:rsidR="00874239" w:rsidRPr="00AA641D">
        <w:rPr>
          <w:rFonts w:ascii="Times New Roman" w:hAnsi="Times New Roman"/>
          <w:b/>
          <w:bCs/>
          <w:lang w:val="en-US"/>
        </w:rPr>
        <w:t>of</w:t>
      </w:r>
      <w:r w:rsidR="00532148" w:rsidRPr="00AA641D">
        <w:rPr>
          <w:rFonts w:ascii="Times New Roman" w:hAnsi="Times New Roman"/>
          <w:b/>
          <w:bCs/>
          <w:lang w:val="en-US"/>
        </w:rPr>
        <w:t xml:space="preserve"> </w:t>
      </w:r>
      <w:proofErr w:type="spellStart"/>
      <w:r w:rsidR="00532148" w:rsidRPr="00AA641D">
        <w:rPr>
          <w:rFonts w:ascii="Times New Roman" w:hAnsi="Times New Roman"/>
          <w:b/>
          <w:bCs/>
          <w:lang w:val="en-US"/>
        </w:rPr>
        <w:t>Kadwa</w:t>
      </w:r>
      <w:proofErr w:type="spellEnd"/>
      <w:r w:rsidR="00532148" w:rsidRPr="00AA641D">
        <w:rPr>
          <w:rFonts w:ascii="Times New Roman" w:hAnsi="Times New Roman"/>
          <w:b/>
          <w:bCs/>
          <w:lang w:val="en-US"/>
        </w:rPr>
        <w:t xml:space="preserve"> Basin</w:t>
      </w:r>
    </w:p>
    <w:p w14:paraId="005DB6DD" w14:textId="77777777" w:rsidR="00BA1380" w:rsidRPr="00AA641D" w:rsidRDefault="00BA1380" w:rsidP="00BF5105">
      <w:pPr>
        <w:rPr>
          <w:rFonts w:ascii="Times New Roman" w:hAnsi="Times New Roman"/>
          <w:lang w:val="en-US"/>
        </w:rPr>
      </w:pPr>
    </w:p>
    <w:p w14:paraId="7E7C5B10" w14:textId="01BFF4D0" w:rsidR="00D37828" w:rsidRPr="00AA641D" w:rsidRDefault="00D37828" w:rsidP="00BF5105">
      <w:pPr>
        <w:pStyle w:val="ListParagraph"/>
        <w:numPr>
          <w:ilvl w:val="0"/>
          <w:numId w:val="6"/>
        </w:numPr>
        <w:spacing w:line="360" w:lineRule="auto"/>
        <w:rPr>
          <w:rFonts w:ascii="Times New Roman" w:hAnsi="Times New Roman"/>
          <w:b/>
          <w:bCs/>
        </w:rPr>
      </w:pPr>
      <w:r w:rsidRPr="00AA641D">
        <w:rPr>
          <w:rFonts w:ascii="Times New Roman" w:hAnsi="Times New Roman"/>
          <w:b/>
          <w:bCs/>
        </w:rPr>
        <w:t>Methodology-</w:t>
      </w:r>
    </w:p>
    <w:p w14:paraId="64BD0B1B" w14:textId="502E5840" w:rsidR="00D37828" w:rsidRPr="00AA641D" w:rsidRDefault="00B31161" w:rsidP="00BF5105">
      <w:pPr>
        <w:tabs>
          <w:tab w:val="left" w:pos="1332"/>
        </w:tabs>
        <w:spacing w:line="360" w:lineRule="auto"/>
        <w:rPr>
          <w:rFonts w:ascii="Times New Roman" w:hAnsi="Times New Roman"/>
          <w:b/>
          <w:bCs/>
        </w:rPr>
      </w:pPr>
      <w:r w:rsidRPr="00AA641D">
        <w:rPr>
          <w:rFonts w:ascii="Times New Roman" w:hAnsi="Times New Roman"/>
          <w:b/>
          <w:bCs/>
        </w:rPr>
        <w:t xml:space="preserve">5.1 </w:t>
      </w:r>
      <w:r w:rsidR="00D37828" w:rsidRPr="00AA641D">
        <w:rPr>
          <w:rFonts w:ascii="Times New Roman" w:hAnsi="Times New Roman"/>
          <w:b/>
          <w:bCs/>
        </w:rPr>
        <w:t>Data Sources</w:t>
      </w:r>
    </w:p>
    <w:p w14:paraId="435FF462" w14:textId="57BE95E1" w:rsidR="00D37828" w:rsidRPr="00AA641D" w:rsidRDefault="00D37828" w:rsidP="00B31161">
      <w:pPr>
        <w:spacing w:line="360" w:lineRule="auto"/>
        <w:jc w:val="both"/>
        <w:rPr>
          <w:rFonts w:ascii="Times New Roman" w:hAnsi="Times New Roman"/>
        </w:rPr>
      </w:pPr>
      <w:r w:rsidRPr="00AA641D">
        <w:rPr>
          <w:rFonts w:ascii="Times New Roman" w:hAnsi="Times New Roman"/>
        </w:rPr>
        <w:t xml:space="preserve">The present study was carried out </w:t>
      </w:r>
      <w:r w:rsidR="009E6075" w:rsidRPr="00AA641D">
        <w:rPr>
          <w:rFonts w:ascii="Times New Roman" w:hAnsi="Times New Roman"/>
        </w:rPr>
        <w:t>to Pre</w:t>
      </w:r>
      <w:r w:rsidRPr="00AA641D">
        <w:rPr>
          <w:rFonts w:ascii="Times New Roman" w:hAnsi="Times New Roman"/>
        </w:rPr>
        <w:t>-Monsoon</w:t>
      </w:r>
      <w:r w:rsidR="009E6075" w:rsidRPr="00AA641D">
        <w:rPr>
          <w:rFonts w:ascii="Times New Roman" w:hAnsi="Times New Roman"/>
        </w:rPr>
        <w:t xml:space="preserve"> and post monsoon </w:t>
      </w:r>
      <w:r w:rsidR="00C13536" w:rsidRPr="00AA641D">
        <w:rPr>
          <w:rFonts w:ascii="Times New Roman" w:hAnsi="Times New Roman"/>
        </w:rPr>
        <w:t>TDS in</w:t>
      </w:r>
      <w:r w:rsidRPr="00AA641D">
        <w:rPr>
          <w:rFonts w:ascii="Times New Roman" w:hAnsi="Times New Roman"/>
        </w:rPr>
        <w:t xml:space="preserve"> the groundwater of </w:t>
      </w:r>
      <w:proofErr w:type="spellStart"/>
      <w:r w:rsidRPr="00AA641D">
        <w:rPr>
          <w:rFonts w:ascii="Times New Roman" w:hAnsi="Times New Roman"/>
        </w:rPr>
        <w:t>Kadwa</w:t>
      </w:r>
      <w:proofErr w:type="spellEnd"/>
      <w:r w:rsidRPr="00AA641D">
        <w:rPr>
          <w:rFonts w:ascii="Times New Roman" w:hAnsi="Times New Roman"/>
        </w:rPr>
        <w:t xml:space="preserve"> Basin Nashik District Maharashtra, India. A total of one hundred and ten locations were selected based on the availability of bore wells/dug wells /hand pump/springs around the </w:t>
      </w:r>
      <w:proofErr w:type="spellStart"/>
      <w:r w:rsidRPr="00AA641D">
        <w:rPr>
          <w:rFonts w:ascii="Times New Roman" w:hAnsi="Times New Roman"/>
        </w:rPr>
        <w:t>Dindori</w:t>
      </w:r>
      <w:proofErr w:type="spellEnd"/>
      <w:r w:rsidRPr="00AA641D">
        <w:rPr>
          <w:rFonts w:ascii="Times New Roman" w:hAnsi="Times New Roman"/>
        </w:rPr>
        <w:t xml:space="preserve">, </w:t>
      </w:r>
      <w:proofErr w:type="spellStart"/>
      <w:r w:rsidRPr="00AA641D">
        <w:rPr>
          <w:rFonts w:ascii="Times New Roman" w:hAnsi="Times New Roman"/>
        </w:rPr>
        <w:t>Niphad</w:t>
      </w:r>
      <w:proofErr w:type="spellEnd"/>
      <w:r w:rsidRPr="00AA641D">
        <w:rPr>
          <w:rFonts w:ascii="Times New Roman" w:hAnsi="Times New Roman"/>
        </w:rPr>
        <w:t xml:space="preserve"> and some </w:t>
      </w:r>
      <w:proofErr w:type="spellStart"/>
      <w:r w:rsidRPr="00AA641D">
        <w:rPr>
          <w:rFonts w:ascii="Times New Roman" w:hAnsi="Times New Roman"/>
        </w:rPr>
        <w:t>Chandwad</w:t>
      </w:r>
      <w:proofErr w:type="spellEnd"/>
      <w:r w:rsidRPr="00AA641D">
        <w:rPr>
          <w:rFonts w:ascii="Times New Roman" w:hAnsi="Times New Roman"/>
        </w:rPr>
        <w:t xml:space="preserve"> area and around residential and commercial areas. Out of these samples.</w:t>
      </w:r>
    </w:p>
    <w:p w14:paraId="78CEF352" w14:textId="77777777" w:rsidR="003C4323" w:rsidRPr="00AA641D" w:rsidRDefault="00D37828" w:rsidP="003C4323">
      <w:pPr>
        <w:spacing w:line="360" w:lineRule="auto"/>
        <w:jc w:val="both"/>
        <w:rPr>
          <w:rFonts w:ascii="Times New Roman" w:hAnsi="Times New Roman"/>
        </w:rPr>
      </w:pPr>
      <w:r w:rsidRPr="00AA641D">
        <w:rPr>
          <w:rFonts w:ascii="Times New Roman" w:hAnsi="Times New Roman"/>
        </w:rPr>
        <w:t xml:space="preserve">The samples were analysed for especially </w:t>
      </w:r>
      <w:r w:rsidR="00627E77" w:rsidRPr="00AA641D">
        <w:rPr>
          <w:rFonts w:ascii="Times New Roman" w:hAnsi="Times New Roman"/>
        </w:rPr>
        <w:t>TDS parameter</w:t>
      </w:r>
      <w:r w:rsidRPr="00AA641D">
        <w:rPr>
          <w:rFonts w:ascii="Times New Roman" w:hAnsi="Times New Roman"/>
        </w:rPr>
        <w:t xml:space="preserve"> such as chemical parameter.</w:t>
      </w:r>
    </w:p>
    <w:p w14:paraId="538A7E40" w14:textId="31774F25" w:rsidR="00D37828" w:rsidRPr="00AA641D" w:rsidRDefault="003C4323" w:rsidP="003C4323">
      <w:pPr>
        <w:spacing w:line="360" w:lineRule="auto"/>
        <w:jc w:val="both"/>
        <w:rPr>
          <w:rFonts w:ascii="Times New Roman" w:hAnsi="Times New Roman"/>
        </w:rPr>
      </w:pPr>
      <w:r w:rsidRPr="00AA641D">
        <w:rPr>
          <w:rFonts w:ascii="Times New Roman" w:hAnsi="Times New Roman"/>
          <w:b/>
          <w:bCs/>
        </w:rPr>
        <w:t>5.2</w:t>
      </w:r>
      <w:r w:rsidRPr="00AA641D">
        <w:rPr>
          <w:rFonts w:ascii="Times New Roman" w:hAnsi="Times New Roman"/>
        </w:rPr>
        <w:t xml:space="preserve"> </w:t>
      </w:r>
      <w:r w:rsidR="00D37828" w:rsidRPr="00AA641D">
        <w:rPr>
          <w:rFonts w:ascii="Times New Roman" w:hAnsi="Times New Roman"/>
          <w:b/>
          <w:bCs/>
        </w:rPr>
        <w:t>Seasonal Classification</w:t>
      </w:r>
    </w:p>
    <w:p w14:paraId="031A2D6D" w14:textId="77777777" w:rsidR="00D37828" w:rsidRPr="00AA641D" w:rsidRDefault="00D37828" w:rsidP="004F68D4">
      <w:pPr>
        <w:numPr>
          <w:ilvl w:val="0"/>
          <w:numId w:val="7"/>
        </w:numPr>
        <w:tabs>
          <w:tab w:val="left" w:pos="1332"/>
        </w:tabs>
        <w:spacing w:line="360" w:lineRule="auto"/>
        <w:jc w:val="both"/>
        <w:rPr>
          <w:rFonts w:ascii="Times New Roman" w:hAnsi="Times New Roman"/>
        </w:rPr>
      </w:pPr>
      <w:r w:rsidRPr="00AA641D">
        <w:rPr>
          <w:rFonts w:ascii="Times New Roman" w:hAnsi="Times New Roman"/>
          <w:b/>
          <w:bCs/>
        </w:rPr>
        <w:t>Pre-Monsoon:</w:t>
      </w:r>
      <w:r w:rsidRPr="00AA641D">
        <w:rPr>
          <w:rFonts w:ascii="Times New Roman" w:hAnsi="Times New Roman"/>
        </w:rPr>
        <w:t xml:space="preserve"> April–June</w:t>
      </w:r>
    </w:p>
    <w:p w14:paraId="580D4335" w14:textId="77777777" w:rsidR="003C4323" w:rsidRPr="00AA641D" w:rsidRDefault="00B417ED" w:rsidP="003C4323">
      <w:pPr>
        <w:numPr>
          <w:ilvl w:val="0"/>
          <w:numId w:val="7"/>
        </w:numPr>
        <w:tabs>
          <w:tab w:val="left" w:pos="1332"/>
        </w:tabs>
        <w:spacing w:after="200" w:line="360" w:lineRule="auto"/>
        <w:jc w:val="both"/>
        <w:rPr>
          <w:rFonts w:ascii="Times New Roman" w:hAnsi="Times New Roman"/>
        </w:rPr>
      </w:pPr>
      <w:r w:rsidRPr="00AA641D">
        <w:rPr>
          <w:rFonts w:ascii="Times New Roman" w:hAnsi="Times New Roman"/>
          <w:b/>
          <w:bCs/>
        </w:rPr>
        <w:t>Post-Monsoon:</w:t>
      </w:r>
      <w:r w:rsidRPr="00AA641D">
        <w:rPr>
          <w:rFonts w:ascii="Times New Roman" w:hAnsi="Times New Roman"/>
        </w:rPr>
        <w:t xml:space="preserve"> October–January</w:t>
      </w:r>
    </w:p>
    <w:p w14:paraId="0A31A42C" w14:textId="4923FC7B" w:rsidR="008768F2" w:rsidRPr="00AA641D" w:rsidRDefault="003C4323" w:rsidP="003C4323">
      <w:pPr>
        <w:tabs>
          <w:tab w:val="left" w:pos="1332"/>
        </w:tabs>
        <w:spacing w:after="200" w:line="360" w:lineRule="auto"/>
        <w:jc w:val="both"/>
        <w:rPr>
          <w:rFonts w:ascii="Times New Roman" w:hAnsi="Times New Roman"/>
        </w:rPr>
      </w:pPr>
      <w:r w:rsidRPr="00AA641D">
        <w:rPr>
          <w:rFonts w:ascii="Times New Roman" w:hAnsi="Times New Roman"/>
          <w:b/>
          <w:bCs/>
        </w:rPr>
        <w:t xml:space="preserve">5.3 </w:t>
      </w:r>
      <w:r w:rsidR="008768F2" w:rsidRPr="00AA641D">
        <w:rPr>
          <w:rFonts w:ascii="Times New Roman" w:hAnsi="Times New Roman"/>
          <w:b/>
          <w:bCs/>
        </w:rPr>
        <w:t>Sampling and laboratory procedures</w:t>
      </w:r>
    </w:p>
    <w:p w14:paraId="4F6FAC4B" w14:textId="307E4428" w:rsidR="008768F2" w:rsidRPr="00AA641D" w:rsidRDefault="008768F2" w:rsidP="00B31161">
      <w:pPr>
        <w:spacing w:after="160" w:line="360" w:lineRule="auto"/>
        <w:jc w:val="both"/>
        <w:rPr>
          <w:rFonts w:ascii="Times New Roman" w:hAnsi="Times New Roman"/>
          <w:szCs w:val="21"/>
        </w:rPr>
      </w:pPr>
      <w:r w:rsidRPr="00AA641D">
        <w:rPr>
          <w:rFonts w:ascii="Times New Roman" w:hAnsi="Times New Roman"/>
        </w:rPr>
        <w:t xml:space="preserve">Samples were collected in rinsed polyethylene bottles after purging </w:t>
      </w:r>
      <w:r w:rsidR="00ED20D7" w:rsidRPr="00AA641D">
        <w:rPr>
          <w:rFonts w:ascii="Times New Roman" w:hAnsi="Times New Roman"/>
        </w:rPr>
        <w:t xml:space="preserve">bore wells/dug wells /hand pump/springs. </w:t>
      </w:r>
      <w:r w:rsidRPr="00AA641D">
        <w:rPr>
          <w:rFonts w:ascii="Times New Roman" w:hAnsi="Times New Roman"/>
        </w:rPr>
        <w:t xml:space="preserve">Field measurements included pH, temperature, and electrical conductivity. TDS </w:t>
      </w:r>
      <w:r w:rsidRPr="00AA641D">
        <w:rPr>
          <w:rFonts w:ascii="Times New Roman" w:hAnsi="Times New Roman"/>
        </w:rPr>
        <w:lastRenderedPageBreak/>
        <w:t>was determined using conductivity-based estimates supported by gravimetric verification, following established analytical protocols (American Public Health Association [APHA], 2017).</w:t>
      </w:r>
    </w:p>
    <w:p w14:paraId="1E4D6FB6" w14:textId="77777777" w:rsidR="00D37828" w:rsidRPr="00AA641D" w:rsidRDefault="00D37828" w:rsidP="004F68D4">
      <w:pPr>
        <w:tabs>
          <w:tab w:val="left" w:pos="1332"/>
        </w:tabs>
        <w:spacing w:line="360" w:lineRule="auto"/>
        <w:jc w:val="both"/>
        <w:rPr>
          <w:rFonts w:ascii="Times New Roman" w:hAnsi="Times New Roman"/>
          <w:b/>
          <w:bCs/>
        </w:rPr>
      </w:pPr>
      <w:r w:rsidRPr="00AA641D">
        <w:rPr>
          <w:rFonts w:ascii="Times New Roman" w:hAnsi="Times New Roman"/>
          <w:b/>
          <w:bCs/>
        </w:rPr>
        <w:t>5.3 Data Analysis</w:t>
      </w:r>
    </w:p>
    <w:p w14:paraId="3984F275" w14:textId="190FD3E8" w:rsidR="00684A18" w:rsidRPr="00AA641D" w:rsidRDefault="006056C4" w:rsidP="00B31161">
      <w:pPr>
        <w:spacing w:line="360" w:lineRule="auto"/>
        <w:jc w:val="both"/>
        <w:rPr>
          <w:rFonts w:ascii="Times New Roman" w:hAnsi="Times New Roman"/>
        </w:rPr>
      </w:pPr>
      <w:r w:rsidRPr="00AA641D">
        <w:rPr>
          <w:rFonts w:ascii="Times New Roman" w:hAnsi="Times New Roman"/>
        </w:rPr>
        <w:t xml:space="preserve">Descriptive statistics summarized seasonal distributions. Because sampling locations were identical across both seasons, a paired-samples </w:t>
      </w:r>
      <w:proofErr w:type="spellStart"/>
      <w:r w:rsidRPr="00AA641D">
        <w:rPr>
          <w:rFonts w:ascii="Times New Roman" w:hAnsi="Times New Roman"/>
          <w:i/>
          <w:iCs/>
        </w:rPr>
        <w:t>t</w:t>
      </w:r>
      <w:proofErr w:type="spellEnd"/>
      <w:r w:rsidRPr="00AA641D">
        <w:rPr>
          <w:rFonts w:ascii="Times New Roman" w:hAnsi="Times New Roman"/>
        </w:rPr>
        <w:t xml:space="preserve"> test evaluated differences in TDS (</w:t>
      </w:r>
      <w:r w:rsidRPr="00AA641D">
        <w:rPr>
          <w:rFonts w:ascii="Times New Roman" w:hAnsi="Times New Roman"/>
          <w:i/>
          <w:iCs/>
        </w:rPr>
        <w:t>p</w:t>
      </w:r>
      <w:r w:rsidRPr="00AA641D">
        <w:rPr>
          <w:rFonts w:ascii="Times New Roman" w:hAnsi="Times New Roman"/>
        </w:rPr>
        <w:t xml:space="preserve"> &lt; .05). Suitability interpretations followed BIS and WHO guidelines (BIS, 2012; WHO, 2017).</w:t>
      </w:r>
    </w:p>
    <w:p w14:paraId="5126000F" w14:textId="77777777" w:rsidR="00B31161" w:rsidRPr="00AA641D" w:rsidRDefault="00B31161" w:rsidP="00B31161">
      <w:pPr>
        <w:spacing w:line="360" w:lineRule="auto"/>
        <w:jc w:val="both"/>
        <w:rPr>
          <w:rFonts w:ascii="Times New Roman" w:hAnsi="Times New Roman"/>
        </w:rPr>
      </w:pPr>
    </w:p>
    <w:p w14:paraId="604739DB" w14:textId="4FCFB507" w:rsidR="00A64412" w:rsidRPr="00AA641D" w:rsidRDefault="00A64412" w:rsidP="00684A18">
      <w:pPr>
        <w:pStyle w:val="ListParagraph"/>
        <w:numPr>
          <w:ilvl w:val="0"/>
          <w:numId w:val="6"/>
        </w:numPr>
        <w:tabs>
          <w:tab w:val="left" w:pos="1332"/>
        </w:tabs>
        <w:spacing w:line="360" w:lineRule="auto"/>
        <w:jc w:val="both"/>
        <w:rPr>
          <w:rFonts w:ascii="Times New Roman" w:hAnsi="Times New Roman"/>
          <w:b/>
          <w:bCs/>
        </w:rPr>
      </w:pPr>
      <w:r w:rsidRPr="00AA641D">
        <w:rPr>
          <w:rFonts w:ascii="Times New Roman" w:hAnsi="Times New Roman"/>
          <w:b/>
          <w:bCs/>
        </w:rPr>
        <w:t>Result and Discussion-</w:t>
      </w:r>
    </w:p>
    <w:tbl>
      <w:tblPr>
        <w:tblStyle w:val="PlainTable4"/>
        <w:tblpPr w:leftFromText="180" w:rightFromText="180" w:vertAnchor="text" w:horzAnchor="margin" w:tblpXSpec="center" w:tblpY="1440"/>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250"/>
        <w:gridCol w:w="978"/>
        <w:gridCol w:w="966"/>
        <w:gridCol w:w="835"/>
        <w:gridCol w:w="938"/>
        <w:gridCol w:w="722"/>
        <w:gridCol w:w="705"/>
        <w:gridCol w:w="1030"/>
        <w:gridCol w:w="776"/>
        <w:gridCol w:w="1255"/>
      </w:tblGrid>
      <w:tr w:rsidR="003C4323" w:rsidRPr="00AA641D" w14:paraId="04576619" w14:textId="77777777" w:rsidTr="00093E93">
        <w:trPr>
          <w:cnfStyle w:val="100000000000" w:firstRow="1" w:lastRow="0" w:firstColumn="0" w:lastColumn="0" w:oddVBand="0" w:evenVBand="0" w:oddHBand="0" w:evenHBand="0" w:firstRowFirstColumn="0" w:firstRowLastColumn="0" w:lastRowFirstColumn="0" w:lastRowLastColumn="0"/>
          <w:trHeight w:val="1786"/>
        </w:trPr>
        <w:tc>
          <w:tcPr>
            <w:cnfStyle w:val="001000000000" w:firstRow="0" w:lastRow="0" w:firstColumn="1" w:lastColumn="0" w:oddVBand="0" w:evenVBand="0" w:oddHBand="0" w:evenHBand="0" w:firstRowFirstColumn="0" w:firstRowLastColumn="0" w:lastRowFirstColumn="0" w:lastRowLastColumn="0"/>
            <w:tcW w:w="1245" w:type="dxa"/>
          </w:tcPr>
          <w:p w14:paraId="0B8F2782" w14:textId="77777777" w:rsidR="00684A18" w:rsidRPr="00AA641D" w:rsidRDefault="00684A18" w:rsidP="00093E93">
            <w:pPr>
              <w:jc w:val="center"/>
              <w:rPr>
                <w:rFonts w:ascii="Times New Roman" w:hAnsi="Times New Roman" w:cs="Times New Roman"/>
                <w:sz w:val="20"/>
                <w:szCs w:val="20"/>
              </w:rPr>
            </w:pPr>
            <w:r w:rsidRPr="00AA641D">
              <w:rPr>
                <w:rFonts w:ascii="Times New Roman" w:hAnsi="Times New Roman" w:cs="Times New Roman"/>
                <w:sz w:val="20"/>
                <w:szCs w:val="20"/>
              </w:rPr>
              <w:t>Parameters</w:t>
            </w:r>
          </w:p>
        </w:tc>
        <w:tc>
          <w:tcPr>
            <w:tcW w:w="2228" w:type="dxa"/>
            <w:gridSpan w:val="2"/>
          </w:tcPr>
          <w:p w14:paraId="0DEB6C10" w14:textId="77777777" w:rsidR="00684A18" w:rsidRPr="00AA641D" w:rsidRDefault="00684A18" w:rsidP="00093E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WHO Standard</w:t>
            </w:r>
          </w:p>
        </w:tc>
        <w:tc>
          <w:tcPr>
            <w:tcW w:w="1801" w:type="dxa"/>
            <w:gridSpan w:val="2"/>
          </w:tcPr>
          <w:p w14:paraId="1B9D6061" w14:textId="77777777" w:rsidR="00684A18" w:rsidRPr="00AA641D" w:rsidRDefault="00684A18" w:rsidP="00093E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Indian Standard (BIS)</w:t>
            </w:r>
          </w:p>
        </w:tc>
        <w:tc>
          <w:tcPr>
            <w:tcW w:w="938" w:type="dxa"/>
          </w:tcPr>
          <w:p w14:paraId="7F873669" w14:textId="77777777" w:rsidR="00684A18" w:rsidRPr="00AA641D" w:rsidRDefault="00684A18" w:rsidP="00093E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Season</w:t>
            </w:r>
          </w:p>
        </w:tc>
        <w:tc>
          <w:tcPr>
            <w:tcW w:w="2457" w:type="dxa"/>
            <w:gridSpan w:val="3"/>
          </w:tcPr>
          <w:p w14:paraId="013F5DCC" w14:textId="77777777" w:rsidR="00684A18" w:rsidRPr="00AA641D" w:rsidRDefault="00684A18" w:rsidP="00093E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Water quality in Study area</w:t>
            </w:r>
          </w:p>
        </w:tc>
        <w:tc>
          <w:tcPr>
            <w:tcW w:w="776" w:type="dxa"/>
          </w:tcPr>
          <w:p w14:paraId="76FE1420" w14:textId="77777777" w:rsidR="00684A18" w:rsidRPr="00AA641D" w:rsidRDefault="00684A18" w:rsidP="00093E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Number of samples beyond acceptable limit</w:t>
            </w:r>
          </w:p>
        </w:tc>
        <w:tc>
          <w:tcPr>
            <w:tcW w:w="1255" w:type="dxa"/>
          </w:tcPr>
          <w:p w14:paraId="0C571899" w14:textId="77777777" w:rsidR="00684A18" w:rsidRPr="00AA641D" w:rsidRDefault="00684A18" w:rsidP="00093E9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Number of samples beyond permissible limit</w:t>
            </w:r>
          </w:p>
        </w:tc>
      </w:tr>
      <w:tr w:rsidR="00684A18" w:rsidRPr="00AA641D" w14:paraId="239AD2B2" w14:textId="77777777" w:rsidTr="00093E93">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245" w:type="dxa"/>
          </w:tcPr>
          <w:p w14:paraId="27F48F9F" w14:textId="77777777" w:rsidR="00684A18" w:rsidRPr="00AA641D" w:rsidRDefault="00684A18" w:rsidP="00093E93">
            <w:pPr>
              <w:jc w:val="center"/>
              <w:rPr>
                <w:rFonts w:ascii="Times New Roman" w:hAnsi="Times New Roman" w:cs="Times New Roman"/>
                <w:b w:val="0"/>
                <w:bCs w:val="0"/>
                <w:sz w:val="20"/>
                <w:szCs w:val="20"/>
              </w:rPr>
            </w:pPr>
          </w:p>
        </w:tc>
        <w:tc>
          <w:tcPr>
            <w:tcW w:w="1250" w:type="dxa"/>
          </w:tcPr>
          <w:p w14:paraId="6C3685A0"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Max. desirable limit</w:t>
            </w:r>
          </w:p>
        </w:tc>
        <w:tc>
          <w:tcPr>
            <w:tcW w:w="978" w:type="dxa"/>
          </w:tcPr>
          <w:p w14:paraId="02B1342E"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 xml:space="preserve">Max. per </w:t>
            </w:r>
            <w:proofErr w:type="spellStart"/>
            <w:r w:rsidRPr="00AA641D">
              <w:rPr>
                <w:rFonts w:ascii="Times New Roman" w:hAnsi="Times New Roman" w:cs="Times New Roman"/>
                <w:sz w:val="20"/>
                <w:szCs w:val="20"/>
              </w:rPr>
              <w:t>missible</w:t>
            </w:r>
            <w:proofErr w:type="spellEnd"/>
            <w:r w:rsidRPr="00AA641D">
              <w:rPr>
                <w:rFonts w:ascii="Times New Roman" w:hAnsi="Times New Roman" w:cs="Times New Roman"/>
                <w:sz w:val="20"/>
                <w:szCs w:val="20"/>
              </w:rPr>
              <w:t xml:space="preserve"> limit</w:t>
            </w:r>
          </w:p>
        </w:tc>
        <w:tc>
          <w:tcPr>
            <w:tcW w:w="966" w:type="dxa"/>
          </w:tcPr>
          <w:p w14:paraId="632B6F4C"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Acceptable limit</w:t>
            </w:r>
          </w:p>
        </w:tc>
        <w:tc>
          <w:tcPr>
            <w:tcW w:w="835" w:type="dxa"/>
          </w:tcPr>
          <w:p w14:paraId="1459A55C"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Permissible limit</w:t>
            </w:r>
          </w:p>
        </w:tc>
        <w:tc>
          <w:tcPr>
            <w:tcW w:w="938" w:type="dxa"/>
          </w:tcPr>
          <w:p w14:paraId="4E29705F"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2" w:type="dxa"/>
          </w:tcPr>
          <w:p w14:paraId="26C8BDF6"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Min</w:t>
            </w:r>
          </w:p>
        </w:tc>
        <w:tc>
          <w:tcPr>
            <w:tcW w:w="705" w:type="dxa"/>
          </w:tcPr>
          <w:p w14:paraId="7E2C4AD9"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Max</w:t>
            </w:r>
          </w:p>
        </w:tc>
        <w:tc>
          <w:tcPr>
            <w:tcW w:w="1030" w:type="dxa"/>
          </w:tcPr>
          <w:p w14:paraId="044067CA"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Mean</w:t>
            </w:r>
          </w:p>
        </w:tc>
        <w:tc>
          <w:tcPr>
            <w:tcW w:w="776" w:type="dxa"/>
          </w:tcPr>
          <w:p w14:paraId="35DA54B9"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55" w:type="dxa"/>
          </w:tcPr>
          <w:p w14:paraId="13F11AB8"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84A18" w:rsidRPr="00AA641D" w14:paraId="32D1EF92" w14:textId="77777777" w:rsidTr="00093E93">
        <w:trPr>
          <w:trHeight w:val="294"/>
        </w:trPr>
        <w:tc>
          <w:tcPr>
            <w:cnfStyle w:val="001000000000" w:firstRow="0" w:lastRow="0" w:firstColumn="1" w:lastColumn="0" w:oddVBand="0" w:evenVBand="0" w:oddHBand="0" w:evenHBand="0" w:firstRowFirstColumn="0" w:firstRowLastColumn="0" w:lastRowFirstColumn="0" w:lastRowLastColumn="0"/>
            <w:tcW w:w="1245" w:type="dxa"/>
          </w:tcPr>
          <w:p w14:paraId="0591C5F1" w14:textId="77777777" w:rsidR="00684A18" w:rsidRPr="00AA641D" w:rsidRDefault="00684A18" w:rsidP="00093E93">
            <w:pPr>
              <w:jc w:val="center"/>
              <w:rPr>
                <w:rFonts w:ascii="Times New Roman" w:hAnsi="Times New Roman" w:cs="Times New Roman"/>
                <w:b w:val="0"/>
                <w:bCs w:val="0"/>
                <w:sz w:val="20"/>
                <w:szCs w:val="20"/>
              </w:rPr>
            </w:pPr>
          </w:p>
        </w:tc>
        <w:tc>
          <w:tcPr>
            <w:tcW w:w="1250" w:type="dxa"/>
          </w:tcPr>
          <w:p w14:paraId="446368C5"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8" w:type="dxa"/>
          </w:tcPr>
          <w:p w14:paraId="34B72C94"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66" w:type="dxa"/>
          </w:tcPr>
          <w:p w14:paraId="7235E987"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35" w:type="dxa"/>
          </w:tcPr>
          <w:p w14:paraId="194CCFFD"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38" w:type="dxa"/>
          </w:tcPr>
          <w:p w14:paraId="32D3DEC6"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2" w:type="dxa"/>
          </w:tcPr>
          <w:p w14:paraId="05161ECF"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5" w:type="dxa"/>
          </w:tcPr>
          <w:p w14:paraId="3CA8AC9D"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30" w:type="dxa"/>
          </w:tcPr>
          <w:p w14:paraId="2DF2CC77"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76" w:type="dxa"/>
          </w:tcPr>
          <w:p w14:paraId="569ACB5E"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55" w:type="dxa"/>
          </w:tcPr>
          <w:p w14:paraId="0B78C2B2"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A18" w:rsidRPr="00AA641D" w14:paraId="46C92E21" w14:textId="77777777" w:rsidTr="00093E9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245" w:type="dxa"/>
            <w:vMerge w:val="restart"/>
          </w:tcPr>
          <w:p w14:paraId="29A77323" w14:textId="77777777" w:rsidR="00684A18" w:rsidRPr="00AA641D" w:rsidRDefault="00684A18" w:rsidP="00093E93">
            <w:pPr>
              <w:jc w:val="center"/>
              <w:rPr>
                <w:rFonts w:ascii="Times New Roman" w:hAnsi="Times New Roman" w:cs="Times New Roman"/>
                <w:b w:val="0"/>
                <w:bCs w:val="0"/>
                <w:sz w:val="20"/>
                <w:szCs w:val="20"/>
              </w:rPr>
            </w:pPr>
            <w:r w:rsidRPr="00AA641D">
              <w:rPr>
                <w:rFonts w:ascii="Times New Roman" w:hAnsi="Times New Roman" w:cs="Times New Roman"/>
                <w:b w:val="0"/>
                <w:bCs w:val="0"/>
                <w:color w:val="000000"/>
                <w:sz w:val="20"/>
                <w:szCs w:val="20"/>
              </w:rPr>
              <w:t>TDS</w:t>
            </w:r>
          </w:p>
          <w:p w14:paraId="17F8C70E" w14:textId="77777777" w:rsidR="00684A18" w:rsidRPr="00AA641D" w:rsidRDefault="00684A18" w:rsidP="00093E93">
            <w:pPr>
              <w:jc w:val="center"/>
              <w:rPr>
                <w:rFonts w:ascii="Times New Roman" w:hAnsi="Times New Roman" w:cs="Times New Roman"/>
                <w:b w:val="0"/>
                <w:bCs w:val="0"/>
                <w:sz w:val="20"/>
                <w:szCs w:val="20"/>
              </w:rPr>
            </w:pPr>
          </w:p>
        </w:tc>
        <w:tc>
          <w:tcPr>
            <w:tcW w:w="1250" w:type="dxa"/>
            <w:vMerge w:val="restart"/>
          </w:tcPr>
          <w:p w14:paraId="3DF9268C"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w:t>
            </w:r>
          </w:p>
        </w:tc>
        <w:tc>
          <w:tcPr>
            <w:tcW w:w="978" w:type="dxa"/>
            <w:vMerge w:val="restart"/>
          </w:tcPr>
          <w:p w14:paraId="1A48A71F"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w:t>
            </w:r>
          </w:p>
        </w:tc>
        <w:tc>
          <w:tcPr>
            <w:tcW w:w="966" w:type="dxa"/>
            <w:vMerge w:val="restart"/>
          </w:tcPr>
          <w:p w14:paraId="70401711"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500</w:t>
            </w:r>
          </w:p>
        </w:tc>
        <w:tc>
          <w:tcPr>
            <w:tcW w:w="835" w:type="dxa"/>
            <w:vMerge w:val="restart"/>
          </w:tcPr>
          <w:p w14:paraId="65C1D9F7"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2000</w:t>
            </w:r>
          </w:p>
        </w:tc>
        <w:tc>
          <w:tcPr>
            <w:tcW w:w="938" w:type="dxa"/>
          </w:tcPr>
          <w:p w14:paraId="58D3BD0F"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Pre-</w:t>
            </w:r>
          </w:p>
        </w:tc>
        <w:tc>
          <w:tcPr>
            <w:tcW w:w="722" w:type="dxa"/>
          </w:tcPr>
          <w:p w14:paraId="4E08CA9B" w14:textId="394CEEC5" w:rsidR="00684A18" w:rsidRPr="00AA641D" w:rsidRDefault="00D04A39"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128</w:t>
            </w:r>
          </w:p>
        </w:tc>
        <w:tc>
          <w:tcPr>
            <w:tcW w:w="705" w:type="dxa"/>
          </w:tcPr>
          <w:p w14:paraId="42517433"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1088</w:t>
            </w:r>
          </w:p>
        </w:tc>
        <w:tc>
          <w:tcPr>
            <w:tcW w:w="1030" w:type="dxa"/>
          </w:tcPr>
          <w:p w14:paraId="49E3A4D7" w14:textId="441E77F8"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503.73</w:t>
            </w:r>
          </w:p>
        </w:tc>
        <w:tc>
          <w:tcPr>
            <w:tcW w:w="776" w:type="dxa"/>
          </w:tcPr>
          <w:p w14:paraId="3D379D8E"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56</w:t>
            </w:r>
          </w:p>
        </w:tc>
        <w:tc>
          <w:tcPr>
            <w:tcW w:w="1255" w:type="dxa"/>
          </w:tcPr>
          <w:p w14:paraId="19A41513" w14:textId="77777777" w:rsidR="00684A18" w:rsidRPr="00AA641D" w:rsidRDefault="00684A18" w:rsidP="00093E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0</w:t>
            </w:r>
          </w:p>
        </w:tc>
      </w:tr>
      <w:tr w:rsidR="00684A18" w:rsidRPr="00AA641D" w14:paraId="62A5D5FE" w14:textId="77777777" w:rsidTr="00093E93">
        <w:trPr>
          <w:trHeight w:val="168"/>
        </w:trPr>
        <w:tc>
          <w:tcPr>
            <w:cnfStyle w:val="001000000000" w:firstRow="0" w:lastRow="0" w:firstColumn="1" w:lastColumn="0" w:oddVBand="0" w:evenVBand="0" w:oddHBand="0" w:evenHBand="0" w:firstRowFirstColumn="0" w:firstRowLastColumn="0" w:lastRowFirstColumn="0" w:lastRowLastColumn="0"/>
            <w:tcW w:w="1245" w:type="dxa"/>
            <w:vMerge/>
          </w:tcPr>
          <w:p w14:paraId="2EFB729E" w14:textId="77777777" w:rsidR="00684A18" w:rsidRPr="00AA641D" w:rsidRDefault="00684A18" w:rsidP="00093E93">
            <w:pPr>
              <w:jc w:val="center"/>
              <w:rPr>
                <w:rFonts w:ascii="Times New Roman" w:hAnsi="Times New Roman" w:cs="Times New Roman"/>
                <w:b w:val="0"/>
                <w:bCs w:val="0"/>
                <w:sz w:val="20"/>
                <w:szCs w:val="20"/>
              </w:rPr>
            </w:pPr>
          </w:p>
        </w:tc>
        <w:tc>
          <w:tcPr>
            <w:tcW w:w="1250" w:type="dxa"/>
            <w:vMerge/>
          </w:tcPr>
          <w:p w14:paraId="7F68EDF0"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8" w:type="dxa"/>
            <w:vMerge/>
          </w:tcPr>
          <w:p w14:paraId="777D0885"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66" w:type="dxa"/>
            <w:vMerge/>
          </w:tcPr>
          <w:p w14:paraId="12BCCBBB"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35" w:type="dxa"/>
            <w:vMerge/>
          </w:tcPr>
          <w:p w14:paraId="6FE090AF"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38" w:type="dxa"/>
          </w:tcPr>
          <w:p w14:paraId="151B7BEB"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Post</w:t>
            </w:r>
          </w:p>
        </w:tc>
        <w:tc>
          <w:tcPr>
            <w:tcW w:w="722" w:type="dxa"/>
          </w:tcPr>
          <w:p w14:paraId="5A6DA10A"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64</w:t>
            </w:r>
          </w:p>
        </w:tc>
        <w:tc>
          <w:tcPr>
            <w:tcW w:w="705" w:type="dxa"/>
          </w:tcPr>
          <w:p w14:paraId="3AC7DF17" w14:textId="5E986943" w:rsidR="00684A18" w:rsidRPr="00AA641D" w:rsidRDefault="005515A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640</w:t>
            </w:r>
          </w:p>
        </w:tc>
        <w:tc>
          <w:tcPr>
            <w:tcW w:w="1030" w:type="dxa"/>
          </w:tcPr>
          <w:p w14:paraId="20C642C2" w14:textId="4C0BD055"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285.09</w:t>
            </w:r>
          </w:p>
        </w:tc>
        <w:tc>
          <w:tcPr>
            <w:tcW w:w="776" w:type="dxa"/>
          </w:tcPr>
          <w:p w14:paraId="70FBD84D"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90</w:t>
            </w:r>
          </w:p>
        </w:tc>
        <w:tc>
          <w:tcPr>
            <w:tcW w:w="1255" w:type="dxa"/>
          </w:tcPr>
          <w:p w14:paraId="08A5FB49" w14:textId="77777777" w:rsidR="00684A18" w:rsidRPr="00AA641D" w:rsidRDefault="00684A18" w:rsidP="00093E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641D">
              <w:rPr>
                <w:rFonts w:ascii="Times New Roman" w:hAnsi="Times New Roman" w:cs="Times New Roman"/>
                <w:sz w:val="20"/>
                <w:szCs w:val="20"/>
              </w:rPr>
              <w:t>0</w:t>
            </w:r>
          </w:p>
        </w:tc>
      </w:tr>
    </w:tbl>
    <w:p w14:paraId="52A865AD" w14:textId="6BA77DB5" w:rsidR="00D37828" w:rsidRPr="00AA641D" w:rsidRDefault="00B7257E" w:rsidP="00BF5105">
      <w:pPr>
        <w:pStyle w:val="ListParagraph"/>
        <w:spacing w:line="360" w:lineRule="auto"/>
        <w:rPr>
          <w:rFonts w:ascii="Times New Roman" w:hAnsi="Times New Roman"/>
          <w:b/>
          <w:bCs/>
        </w:rPr>
      </w:pPr>
      <w:r>
        <w:rPr>
          <w:rFonts w:ascii="Times New Roman" w:hAnsi="Times New Roman"/>
          <w:b/>
          <w:bCs/>
        </w:rPr>
        <w:t xml:space="preserve">Table </w:t>
      </w:r>
      <w:r w:rsidR="00684A18" w:rsidRPr="00AA641D">
        <w:rPr>
          <w:rFonts w:ascii="Times New Roman" w:hAnsi="Times New Roman"/>
          <w:b/>
          <w:bCs/>
        </w:rPr>
        <w:t>1</w:t>
      </w:r>
      <w:r>
        <w:rPr>
          <w:rFonts w:ascii="Times New Roman" w:hAnsi="Times New Roman"/>
          <w:b/>
          <w:bCs/>
        </w:rPr>
        <w:t xml:space="preserve">: </w:t>
      </w:r>
      <w:r w:rsidR="008E2CF9">
        <w:rPr>
          <w:rFonts w:ascii="Times New Roman" w:hAnsi="Times New Roman"/>
          <w:b/>
          <w:bCs/>
        </w:rPr>
        <w:t xml:space="preserve">Water quality </w:t>
      </w:r>
      <w:r w:rsidR="008E2CF9" w:rsidRPr="008E2CF9">
        <w:rPr>
          <w:rFonts w:ascii="Times New Roman" w:hAnsi="Times New Roman"/>
          <w:b/>
          <w:bCs/>
        </w:rPr>
        <w:t>(TDS concentratio</w:t>
      </w:r>
      <w:r w:rsidR="008E2CF9">
        <w:rPr>
          <w:rFonts w:ascii="Times New Roman" w:hAnsi="Times New Roman"/>
          <w:b/>
          <w:bCs/>
        </w:rPr>
        <w:t xml:space="preserve">ns) in </w:t>
      </w:r>
      <w:r w:rsidR="005D6BC3">
        <w:rPr>
          <w:rFonts w:ascii="Times New Roman" w:hAnsi="Times New Roman"/>
          <w:b/>
          <w:bCs/>
        </w:rPr>
        <w:t xml:space="preserve">study </w:t>
      </w:r>
      <w:r w:rsidR="008E2CF9">
        <w:rPr>
          <w:rFonts w:ascii="Times New Roman" w:hAnsi="Times New Roman"/>
          <w:b/>
          <w:bCs/>
        </w:rPr>
        <w:t xml:space="preserve">area </w:t>
      </w:r>
      <w:r w:rsidR="001F6C75" w:rsidRPr="001F6C75">
        <w:rPr>
          <w:rFonts w:ascii="Times New Roman" w:hAnsi="Times New Roman"/>
          <w:b/>
          <w:bCs/>
        </w:rPr>
        <w:t>compared with WHO and Indian Standards</w:t>
      </w:r>
    </w:p>
    <w:p w14:paraId="7B8CC857" w14:textId="77777777" w:rsidR="00684A18" w:rsidRPr="00AA641D" w:rsidRDefault="00684A18" w:rsidP="00BF5105">
      <w:pPr>
        <w:rPr>
          <w:rFonts w:ascii="Times New Roman" w:hAnsi="Times New Roman"/>
          <w:b/>
          <w:bCs/>
        </w:rPr>
      </w:pPr>
    </w:p>
    <w:p w14:paraId="17E96350" w14:textId="77777777" w:rsidR="009E5CC9" w:rsidRPr="00AA641D" w:rsidRDefault="009E5CC9" w:rsidP="00BF5105">
      <w:pPr>
        <w:rPr>
          <w:rFonts w:ascii="Times New Roman" w:hAnsi="Times New Roman"/>
          <w:b/>
          <w:bCs/>
        </w:rPr>
      </w:pPr>
    </w:p>
    <w:p w14:paraId="0F1084FD" w14:textId="77777777" w:rsidR="009E5CC9" w:rsidRPr="00AA641D" w:rsidRDefault="009E5CC9" w:rsidP="00BF5105">
      <w:pPr>
        <w:rPr>
          <w:rFonts w:ascii="Times New Roman" w:hAnsi="Times New Roman"/>
          <w:b/>
          <w:bCs/>
        </w:rPr>
      </w:pPr>
    </w:p>
    <w:p w14:paraId="021E4A4B" w14:textId="77777777" w:rsidR="009E5CC9" w:rsidRPr="00AA641D" w:rsidRDefault="009E5CC9" w:rsidP="00BF5105">
      <w:pPr>
        <w:rPr>
          <w:rFonts w:ascii="Times New Roman" w:hAnsi="Times New Roman"/>
          <w:b/>
          <w:bCs/>
        </w:rPr>
      </w:pPr>
    </w:p>
    <w:p w14:paraId="3F297AC2" w14:textId="77777777" w:rsidR="009E5CC9" w:rsidRPr="00AA641D" w:rsidRDefault="009E5CC9" w:rsidP="00BF5105">
      <w:pPr>
        <w:rPr>
          <w:rFonts w:ascii="Times New Roman" w:hAnsi="Times New Roman"/>
          <w:b/>
          <w:bCs/>
        </w:rPr>
      </w:pPr>
    </w:p>
    <w:p w14:paraId="6E5AA277" w14:textId="77777777" w:rsidR="009E5CC9" w:rsidRPr="00AA641D" w:rsidRDefault="009E5CC9" w:rsidP="00BF5105">
      <w:pPr>
        <w:rPr>
          <w:rFonts w:ascii="Times New Roman" w:hAnsi="Times New Roman"/>
          <w:b/>
          <w:bCs/>
        </w:rPr>
      </w:pPr>
    </w:p>
    <w:p w14:paraId="7655DF9F" w14:textId="77777777" w:rsidR="009E5CC9" w:rsidRPr="00AA641D" w:rsidRDefault="009E5CC9" w:rsidP="00BF5105">
      <w:pPr>
        <w:rPr>
          <w:rFonts w:ascii="Times New Roman" w:hAnsi="Times New Roman"/>
          <w:b/>
          <w:bCs/>
        </w:rPr>
      </w:pPr>
    </w:p>
    <w:p w14:paraId="1E2D3C7A" w14:textId="77777777" w:rsidR="009E5CC9" w:rsidRPr="00AA641D" w:rsidRDefault="009E5CC9" w:rsidP="00BF5105">
      <w:pPr>
        <w:rPr>
          <w:rFonts w:ascii="Times New Roman" w:hAnsi="Times New Roman"/>
          <w:b/>
          <w:bCs/>
        </w:rPr>
      </w:pPr>
    </w:p>
    <w:p w14:paraId="6DE29C36" w14:textId="77777777" w:rsidR="009E5CC9" w:rsidRPr="00AA641D" w:rsidRDefault="009E5CC9" w:rsidP="00BF5105">
      <w:pPr>
        <w:rPr>
          <w:rFonts w:ascii="Times New Roman" w:hAnsi="Times New Roman"/>
          <w:b/>
          <w:bCs/>
        </w:rPr>
      </w:pPr>
    </w:p>
    <w:p w14:paraId="0B4401DF" w14:textId="77777777" w:rsidR="009E5CC9" w:rsidRPr="00AA641D" w:rsidRDefault="009E5CC9" w:rsidP="00BF5105">
      <w:pPr>
        <w:rPr>
          <w:rFonts w:ascii="Times New Roman" w:hAnsi="Times New Roman"/>
          <w:b/>
          <w:bCs/>
        </w:rPr>
      </w:pPr>
    </w:p>
    <w:p w14:paraId="37352285" w14:textId="298FC34C" w:rsidR="00C60E94" w:rsidRPr="00AA641D" w:rsidRDefault="00C60E94" w:rsidP="00BF5105">
      <w:pPr>
        <w:rPr>
          <w:rFonts w:ascii="Times New Roman" w:hAnsi="Times New Roman"/>
          <w:b/>
          <w:bCs/>
        </w:rPr>
      </w:pPr>
      <w:r w:rsidRPr="00AA641D">
        <w:rPr>
          <w:rFonts w:ascii="Times New Roman" w:hAnsi="Times New Roman"/>
          <w:b/>
          <w:bCs/>
        </w:rPr>
        <w:t xml:space="preserve">Descriptive </w:t>
      </w:r>
      <w:r w:rsidR="00684A18" w:rsidRPr="00AA641D">
        <w:rPr>
          <w:rFonts w:ascii="Times New Roman" w:hAnsi="Times New Roman"/>
          <w:b/>
          <w:bCs/>
        </w:rPr>
        <w:t>S</w:t>
      </w:r>
      <w:r w:rsidRPr="00AA641D">
        <w:rPr>
          <w:rFonts w:ascii="Times New Roman" w:hAnsi="Times New Roman"/>
          <w:b/>
          <w:bCs/>
        </w:rPr>
        <w:t>tatistics</w:t>
      </w:r>
    </w:p>
    <w:p w14:paraId="1702F716" w14:textId="043C7009" w:rsidR="00684A18" w:rsidRPr="00AA641D" w:rsidRDefault="00684A18" w:rsidP="00BF5105">
      <w:pPr>
        <w:rPr>
          <w:rFonts w:ascii="Times New Roman" w:hAnsi="Times New Roman"/>
          <w:b/>
          <w:bCs/>
        </w:rPr>
      </w:pPr>
      <w:r w:rsidRPr="00AA641D">
        <w:rPr>
          <w:rFonts w:ascii="Times New Roman" w:hAnsi="Times New Roman"/>
          <w:b/>
          <w:bCs/>
        </w:rPr>
        <w:t>Table:2</w:t>
      </w:r>
      <w:r w:rsidR="00E71918">
        <w:rPr>
          <w:rFonts w:ascii="Times New Roman" w:hAnsi="Times New Roman"/>
          <w:b/>
          <w:bCs/>
        </w:rPr>
        <w:t xml:space="preserve"> </w:t>
      </w:r>
      <w:r w:rsidR="000C355D" w:rsidRPr="00E71918">
        <w:rPr>
          <w:rFonts w:ascii="Times New Roman" w:hAnsi="Times New Roman"/>
          <w:b/>
          <w:bCs/>
        </w:rPr>
        <w:t xml:space="preserve">Descriptive </w:t>
      </w:r>
      <w:r w:rsidR="00E71918" w:rsidRPr="00E71918">
        <w:rPr>
          <w:rFonts w:ascii="Times New Roman" w:hAnsi="Times New Roman"/>
          <w:b/>
          <w:bCs/>
        </w:rPr>
        <w:t>statistics for pre-monsoon and post-monsoon TDS</w:t>
      </w:r>
    </w:p>
    <w:p w14:paraId="6C6A41E6" w14:textId="77777777" w:rsidR="009E5CC9" w:rsidRPr="00AA641D" w:rsidRDefault="009E5CC9" w:rsidP="00BF5105">
      <w:pPr>
        <w:rPr>
          <w:rFonts w:ascii="Times New Roman" w:hAnsi="Times New Roman"/>
          <w:b/>
          <w:bCs/>
        </w:rPr>
      </w:pPr>
    </w:p>
    <w:tbl>
      <w:tblPr>
        <w:tblW w:w="92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9"/>
        <w:gridCol w:w="1525"/>
        <w:gridCol w:w="1675"/>
        <w:gridCol w:w="1828"/>
        <w:gridCol w:w="1338"/>
      </w:tblGrid>
      <w:tr w:rsidR="00144B38" w:rsidRPr="00AA641D" w14:paraId="4F9FCE3F" w14:textId="77777777" w:rsidTr="009E5CC9">
        <w:trPr>
          <w:trHeight w:val="816"/>
          <w:tblHeader/>
          <w:tblCellSpacing w:w="15" w:type="dxa"/>
        </w:trPr>
        <w:tc>
          <w:tcPr>
            <w:tcW w:w="2844" w:type="dxa"/>
            <w:vAlign w:val="center"/>
            <w:hideMark/>
          </w:tcPr>
          <w:p w14:paraId="301D49A0" w14:textId="77777777" w:rsidR="00C60E94" w:rsidRPr="00AA641D" w:rsidRDefault="00C60E94" w:rsidP="00B31161">
            <w:pPr>
              <w:jc w:val="center"/>
              <w:rPr>
                <w:rFonts w:ascii="Times New Roman" w:hAnsi="Times New Roman"/>
              </w:rPr>
            </w:pPr>
          </w:p>
        </w:tc>
        <w:tc>
          <w:tcPr>
            <w:tcW w:w="1495" w:type="dxa"/>
            <w:vAlign w:val="center"/>
            <w:hideMark/>
          </w:tcPr>
          <w:p w14:paraId="6E9E446E" w14:textId="77777777" w:rsidR="00C60E94" w:rsidRPr="00AA641D" w:rsidRDefault="00C60E94" w:rsidP="00B31161">
            <w:pPr>
              <w:jc w:val="center"/>
              <w:rPr>
                <w:rFonts w:ascii="Times New Roman" w:hAnsi="Times New Roman"/>
                <w:b/>
                <w:bCs/>
              </w:rPr>
            </w:pPr>
            <w:r w:rsidRPr="00AA641D">
              <w:rPr>
                <w:rFonts w:ascii="Times New Roman" w:hAnsi="Times New Roman"/>
                <w:b/>
                <w:bCs/>
              </w:rPr>
              <w:t>Mean (mg/L)</w:t>
            </w:r>
          </w:p>
        </w:tc>
        <w:tc>
          <w:tcPr>
            <w:tcW w:w="1645" w:type="dxa"/>
            <w:vAlign w:val="center"/>
            <w:hideMark/>
          </w:tcPr>
          <w:p w14:paraId="48B430D6" w14:textId="77777777" w:rsidR="00C60E94" w:rsidRPr="00AA641D" w:rsidRDefault="00C60E94" w:rsidP="00B31161">
            <w:pPr>
              <w:jc w:val="center"/>
              <w:rPr>
                <w:rFonts w:ascii="Times New Roman" w:hAnsi="Times New Roman"/>
                <w:b/>
                <w:bCs/>
              </w:rPr>
            </w:pPr>
            <w:r w:rsidRPr="00AA641D">
              <w:rPr>
                <w:rFonts w:ascii="Times New Roman" w:hAnsi="Times New Roman"/>
                <w:b/>
                <w:bCs/>
              </w:rPr>
              <w:t>SD (mg/L)</w:t>
            </w:r>
          </w:p>
        </w:tc>
        <w:tc>
          <w:tcPr>
            <w:tcW w:w="1798" w:type="dxa"/>
            <w:vAlign w:val="center"/>
            <w:hideMark/>
          </w:tcPr>
          <w:p w14:paraId="43C26BC4" w14:textId="77777777" w:rsidR="00C60E94" w:rsidRPr="00AA641D" w:rsidRDefault="00C60E94" w:rsidP="00B31161">
            <w:pPr>
              <w:jc w:val="center"/>
              <w:rPr>
                <w:rFonts w:ascii="Times New Roman" w:hAnsi="Times New Roman"/>
                <w:b/>
                <w:bCs/>
              </w:rPr>
            </w:pPr>
            <w:r w:rsidRPr="00AA641D">
              <w:rPr>
                <w:rFonts w:ascii="Times New Roman" w:hAnsi="Times New Roman"/>
                <w:b/>
                <w:bCs/>
              </w:rPr>
              <w:t>Median (mg/L)</w:t>
            </w:r>
          </w:p>
        </w:tc>
        <w:tc>
          <w:tcPr>
            <w:tcW w:w="1293" w:type="dxa"/>
            <w:vAlign w:val="center"/>
            <w:hideMark/>
          </w:tcPr>
          <w:p w14:paraId="14AD18DF" w14:textId="77777777" w:rsidR="00C60E94" w:rsidRPr="00AA641D" w:rsidRDefault="00C60E94" w:rsidP="00B31161">
            <w:pPr>
              <w:jc w:val="center"/>
              <w:rPr>
                <w:rFonts w:ascii="Times New Roman" w:hAnsi="Times New Roman"/>
                <w:b/>
                <w:bCs/>
              </w:rPr>
            </w:pPr>
            <w:r w:rsidRPr="00AA641D">
              <w:rPr>
                <w:rFonts w:ascii="Times New Roman" w:hAnsi="Times New Roman"/>
                <w:b/>
                <w:bCs/>
              </w:rPr>
              <w:t>Min–Max</w:t>
            </w:r>
          </w:p>
        </w:tc>
      </w:tr>
      <w:tr w:rsidR="00144B38" w:rsidRPr="00AA641D" w14:paraId="554AAD1D" w14:textId="77777777" w:rsidTr="009E5CC9">
        <w:trPr>
          <w:trHeight w:val="816"/>
          <w:tblCellSpacing w:w="15" w:type="dxa"/>
        </w:trPr>
        <w:tc>
          <w:tcPr>
            <w:tcW w:w="2844" w:type="dxa"/>
            <w:vAlign w:val="center"/>
            <w:hideMark/>
          </w:tcPr>
          <w:p w14:paraId="40B8194F" w14:textId="77777777" w:rsidR="00C60E94" w:rsidRPr="00AA641D" w:rsidRDefault="00C60E94" w:rsidP="00B31161">
            <w:pPr>
              <w:jc w:val="center"/>
              <w:rPr>
                <w:rFonts w:ascii="Times New Roman" w:hAnsi="Times New Roman"/>
                <w:b/>
                <w:bCs/>
              </w:rPr>
            </w:pPr>
            <w:r w:rsidRPr="00AA641D">
              <w:rPr>
                <w:rFonts w:ascii="Times New Roman" w:hAnsi="Times New Roman"/>
                <w:b/>
                <w:bCs/>
              </w:rPr>
              <w:t>Pre-monsoon TDS</w:t>
            </w:r>
          </w:p>
        </w:tc>
        <w:tc>
          <w:tcPr>
            <w:tcW w:w="1495" w:type="dxa"/>
            <w:vAlign w:val="center"/>
            <w:hideMark/>
          </w:tcPr>
          <w:p w14:paraId="71AFBE0B" w14:textId="77777777" w:rsidR="00C60E94" w:rsidRPr="00AA641D" w:rsidRDefault="00C60E94" w:rsidP="00B31161">
            <w:pPr>
              <w:jc w:val="center"/>
              <w:rPr>
                <w:rFonts w:ascii="Times New Roman" w:hAnsi="Times New Roman"/>
              </w:rPr>
            </w:pPr>
            <w:r w:rsidRPr="00AA641D">
              <w:rPr>
                <w:rFonts w:ascii="Times New Roman" w:hAnsi="Times New Roman"/>
              </w:rPr>
              <w:t>503.73</w:t>
            </w:r>
          </w:p>
        </w:tc>
        <w:tc>
          <w:tcPr>
            <w:tcW w:w="1645" w:type="dxa"/>
            <w:vAlign w:val="center"/>
            <w:hideMark/>
          </w:tcPr>
          <w:p w14:paraId="7E1A9DBC" w14:textId="77777777" w:rsidR="00C60E94" w:rsidRPr="00AA641D" w:rsidRDefault="00C60E94" w:rsidP="00B31161">
            <w:pPr>
              <w:jc w:val="center"/>
              <w:rPr>
                <w:rFonts w:ascii="Times New Roman" w:hAnsi="Times New Roman"/>
              </w:rPr>
            </w:pPr>
            <w:r w:rsidRPr="00AA641D">
              <w:rPr>
                <w:rFonts w:ascii="Times New Roman" w:hAnsi="Times New Roman"/>
              </w:rPr>
              <w:t>203.74</w:t>
            </w:r>
          </w:p>
        </w:tc>
        <w:tc>
          <w:tcPr>
            <w:tcW w:w="1798" w:type="dxa"/>
            <w:vAlign w:val="center"/>
            <w:hideMark/>
          </w:tcPr>
          <w:p w14:paraId="5E222B4F" w14:textId="77777777" w:rsidR="00C60E94" w:rsidRPr="00AA641D" w:rsidRDefault="00C60E94" w:rsidP="00B31161">
            <w:pPr>
              <w:jc w:val="center"/>
              <w:rPr>
                <w:rFonts w:ascii="Times New Roman" w:hAnsi="Times New Roman"/>
              </w:rPr>
            </w:pPr>
            <w:r w:rsidRPr="00AA641D">
              <w:rPr>
                <w:rFonts w:ascii="Times New Roman" w:hAnsi="Times New Roman"/>
              </w:rPr>
              <w:t>512</w:t>
            </w:r>
          </w:p>
        </w:tc>
        <w:tc>
          <w:tcPr>
            <w:tcW w:w="1293" w:type="dxa"/>
            <w:vAlign w:val="center"/>
            <w:hideMark/>
          </w:tcPr>
          <w:p w14:paraId="5FE452D5" w14:textId="77777777" w:rsidR="00C60E94" w:rsidRPr="00AA641D" w:rsidRDefault="00C60E94" w:rsidP="00B31161">
            <w:pPr>
              <w:jc w:val="center"/>
              <w:rPr>
                <w:rFonts w:ascii="Times New Roman" w:hAnsi="Times New Roman"/>
              </w:rPr>
            </w:pPr>
            <w:r w:rsidRPr="00AA641D">
              <w:rPr>
                <w:rFonts w:ascii="Times New Roman" w:hAnsi="Times New Roman"/>
              </w:rPr>
              <w:t>128–1088</w:t>
            </w:r>
          </w:p>
        </w:tc>
      </w:tr>
      <w:tr w:rsidR="00144B38" w:rsidRPr="00AA641D" w14:paraId="71E80257" w14:textId="77777777" w:rsidTr="009E5CC9">
        <w:trPr>
          <w:trHeight w:val="816"/>
          <w:tblCellSpacing w:w="15" w:type="dxa"/>
        </w:trPr>
        <w:tc>
          <w:tcPr>
            <w:tcW w:w="2844" w:type="dxa"/>
            <w:vAlign w:val="center"/>
            <w:hideMark/>
          </w:tcPr>
          <w:p w14:paraId="2CE0156B" w14:textId="77777777" w:rsidR="00C60E94" w:rsidRPr="00AA641D" w:rsidRDefault="00C60E94" w:rsidP="00B31161">
            <w:pPr>
              <w:jc w:val="center"/>
              <w:rPr>
                <w:rFonts w:ascii="Times New Roman" w:hAnsi="Times New Roman"/>
                <w:b/>
                <w:bCs/>
              </w:rPr>
            </w:pPr>
            <w:r w:rsidRPr="00AA641D">
              <w:rPr>
                <w:rFonts w:ascii="Times New Roman" w:hAnsi="Times New Roman"/>
                <w:b/>
                <w:bCs/>
              </w:rPr>
              <w:t>Post-monsoon TDS</w:t>
            </w:r>
          </w:p>
        </w:tc>
        <w:tc>
          <w:tcPr>
            <w:tcW w:w="1495" w:type="dxa"/>
            <w:vAlign w:val="center"/>
            <w:hideMark/>
          </w:tcPr>
          <w:p w14:paraId="2BA26238" w14:textId="77777777" w:rsidR="00C60E94" w:rsidRPr="00AA641D" w:rsidRDefault="00C60E94" w:rsidP="00B31161">
            <w:pPr>
              <w:jc w:val="center"/>
              <w:rPr>
                <w:rFonts w:ascii="Times New Roman" w:hAnsi="Times New Roman"/>
              </w:rPr>
            </w:pPr>
            <w:r w:rsidRPr="00AA641D">
              <w:rPr>
                <w:rFonts w:ascii="Times New Roman" w:hAnsi="Times New Roman"/>
              </w:rPr>
              <w:t>285.09</w:t>
            </w:r>
          </w:p>
        </w:tc>
        <w:tc>
          <w:tcPr>
            <w:tcW w:w="1645" w:type="dxa"/>
            <w:vAlign w:val="center"/>
            <w:hideMark/>
          </w:tcPr>
          <w:p w14:paraId="0F9EC89A" w14:textId="77777777" w:rsidR="00C60E94" w:rsidRPr="00AA641D" w:rsidRDefault="00C60E94" w:rsidP="00B31161">
            <w:pPr>
              <w:jc w:val="center"/>
              <w:rPr>
                <w:rFonts w:ascii="Times New Roman" w:hAnsi="Times New Roman"/>
              </w:rPr>
            </w:pPr>
            <w:r w:rsidRPr="00AA641D">
              <w:rPr>
                <w:rFonts w:ascii="Times New Roman" w:hAnsi="Times New Roman"/>
              </w:rPr>
              <w:t>138.34</w:t>
            </w:r>
          </w:p>
        </w:tc>
        <w:tc>
          <w:tcPr>
            <w:tcW w:w="1798" w:type="dxa"/>
            <w:vAlign w:val="center"/>
            <w:hideMark/>
          </w:tcPr>
          <w:p w14:paraId="59826FA5" w14:textId="77777777" w:rsidR="00C60E94" w:rsidRPr="00AA641D" w:rsidRDefault="00C60E94" w:rsidP="00B31161">
            <w:pPr>
              <w:jc w:val="center"/>
              <w:rPr>
                <w:rFonts w:ascii="Times New Roman" w:hAnsi="Times New Roman"/>
              </w:rPr>
            </w:pPr>
            <w:r w:rsidRPr="00AA641D">
              <w:rPr>
                <w:rFonts w:ascii="Times New Roman" w:hAnsi="Times New Roman"/>
              </w:rPr>
              <w:t>256</w:t>
            </w:r>
          </w:p>
        </w:tc>
        <w:tc>
          <w:tcPr>
            <w:tcW w:w="1293" w:type="dxa"/>
            <w:vAlign w:val="center"/>
            <w:hideMark/>
          </w:tcPr>
          <w:p w14:paraId="7C01F384" w14:textId="77777777" w:rsidR="00C60E94" w:rsidRPr="00AA641D" w:rsidRDefault="00C60E94" w:rsidP="00B31161">
            <w:pPr>
              <w:jc w:val="center"/>
              <w:rPr>
                <w:rFonts w:ascii="Times New Roman" w:hAnsi="Times New Roman"/>
              </w:rPr>
            </w:pPr>
            <w:r w:rsidRPr="00AA641D">
              <w:rPr>
                <w:rFonts w:ascii="Times New Roman" w:hAnsi="Times New Roman"/>
              </w:rPr>
              <w:t>64–640</w:t>
            </w:r>
          </w:p>
        </w:tc>
      </w:tr>
    </w:tbl>
    <w:p w14:paraId="08548557" w14:textId="77777777" w:rsidR="00EF23B9" w:rsidRPr="00AA641D" w:rsidRDefault="00EF23B9" w:rsidP="00BF5105">
      <w:pPr>
        <w:rPr>
          <w:rFonts w:ascii="Times New Roman" w:hAnsi="Times New Roman"/>
        </w:rPr>
      </w:pPr>
      <w:r w:rsidRPr="00AA641D">
        <w:rPr>
          <w:rFonts w:ascii="Times New Roman" w:hAnsi="Times New Roman"/>
        </w:rPr>
        <w:t xml:space="preserve">On average, TDS values </w:t>
      </w:r>
      <w:r w:rsidRPr="00AA641D">
        <w:rPr>
          <w:rFonts w:ascii="Times New Roman" w:hAnsi="Times New Roman"/>
          <w:b/>
          <w:bCs/>
        </w:rPr>
        <w:t>decreased substantially</w:t>
      </w:r>
      <w:r w:rsidRPr="00AA641D">
        <w:rPr>
          <w:rFonts w:ascii="Times New Roman" w:hAnsi="Times New Roman"/>
        </w:rPr>
        <w:t xml:space="preserve"> after the monsoon.</w:t>
      </w:r>
    </w:p>
    <w:p w14:paraId="0DCF9BE0" w14:textId="77777777" w:rsidR="00590ADA" w:rsidRPr="00AA641D" w:rsidRDefault="00590ADA" w:rsidP="00BF5105">
      <w:pPr>
        <w:rPr>
          <w:rFonts w:ascii="Times New Roman" w:hAnsi="Times New Roman"/>
        </w:rPr>
      </w:pPr>
    </w:p>
    <w:p w14:paraId="34C86E69" w14:textId="77777777" w:rsidR="00B31161" w:rsidRPr="00AA641D" w:rsidRDefault="00B31161" w:rsidP="00BF5105">
      <w:pPr>
        <w:rPr>
          <w:rFonts w:ascii="Times New Roman" w:hAnsi="Times New Roman"/>
        </w:rPr>
      </w:pPr>
    </w:p>
    <w:p w14:paraId="7379F26C" w14:textId="5AC635EE" w:rsidR="00BA1380" w:rsidRPr="00AA641D" w:rsidRDefault="008939A6" w:rsidP="00BF5105">
      <w:pPr>
        <w:rPr>
          <w:rFonts w:ascii="Times New Roman" w:hAnsi="Times New Roman"/>
        </w:rPr>
      </w:pPr>
      <w:r w:rsidRPr="00AA641D">
        <w:rPr>
          <w:rFonts w:ascii="Times New Roman" w:hAnsi="Times New Roman"/>
          <w:noProof/>
          <w:lang w:val="en-US" w:bidi="ar-SA"/>
        </w:rPr>
        <w:drawing>
          <wp:inline distT="0" distB="0" distL="0" distR="0" wp14:anchorId="0C0E5DC4" wp14:editId="6BE1953D">
            <wp:extent cx="5731510" cy="3304673"/>
            <wp:effectExtent l="0" t="0" r="2540" b="10160"/>
            <wp:docPr id="1957111714" name="Chart 1">
              <a:extLst xmlns:a="http://schemas.openxmlformats.org/drawingml/2006/main">
                <a:ext uri="{FF2B5EF4-FFF2-40B4-BE49-F238E27FC236}">
                  <a16:creationId xmlns:a16="http://schemas.microsoft.com/office/drawing/2014/main" id="{76076789-9A6B-4750-1B1F-4B59AE8ECB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F7ED49" w14:textId="77777777" w:rsidR="009E5CC9" w:rsidRPr="00AA641D" w:rsidRDefault="009E5CC9" w:rsidP="00520134">
      <w:pPr>
        <w:jc w:val="center"/>
        <w:rPr>
          <w:rFonts w:ascii="Times New Roman" w:hAnsi="Times New Roman"/>
          <w:b/>
          <w:bCs/>
          <w:lang w:val="en-US"/>
        </w:rPr>
      </w:pPr>
    </w:p>
    <w:p w14:paraId="1A651FC5" w14:textId="47570991" w:rsidR="00956491" w:rsidRPr="00AA641D" w:rsidRDefault="00956491" w:rsidP="009E5CC9">
      <w:pPr>
        <w:spacing w:line="360" w:lineRule="auto"/>
        <w:jc w:val="both"/>
        <w:rPr>
          <w:rFonts w:ascii="Times New Roman" w:hAnsi="Times New Roman"/>
        </w:rPr>
      </w:pPr>
      <w:r w:rsidRPr="00AA641D">
        <w:rPr>
          <w:rFonts w:ascii="Times New Roman" w:hAnsi="Times New Roman"/>
        </w:rPr>
        <w:t xml:space="preserve">The </w:t>
      </w:r>
      <w:r w:rsidR="00122CE6" w:rsidRPr="00AA641D">
        <w:rPr>
          <w:rFonts w:ascii="Times New Roman" w:hAnsi="Times New Roman"/>
        </w:rPr>
        <w:t>(Fig:</w:t>
      </w:r>
      <w:r w:rsidR="0048368A" w:rsidRPr="00AA641D">
        <w:rPr>
          <w:rFonts w:ascii="Times New Roman" w:hAnsi="Times New Roman"/>
        </w:rPr>
        <w:t xml:space="preserve">2) </w:t>
      </w:r>
      <w:r w:rsidRPr="00AA641D">
        <w:rPr>
          <w:rFonts w:ascii="Times New Roman" w:hAnsi="Times New Roman"/>
        </w:rPr>
        <w:t>scatter plot displays paired total dissolved solids (TDS) values for 110 groundwater samples before and after the monsoon. For almost every sample, the pre-monsoon value (green) is positioned above the post-monsoon value (blue), visually demonstrating that TDS concentrations are generally higher prior to rainfall recharge.</w:t>
      </w:r>
    </w:p>
    <w:p w14:paraId="34807A9F" w14:textId="77777777" w:rsidR="00956491" w:rsidRPr="00AA641D" w:rsidRDefault="00956491" w:rsidP="009E5CC9">
      <w:pPr>
        <w:spacing w:line="360" w:lineRule="auto"/>
        <w:jc w:val="both"/>
        <w:rPr>
          <w:rFonts w:ascii="Times New Roman" w:hAnsi="Times New Roman"/>
        </w:rPr>
      </w:pPr>
      <w:r w:rsidRPr="00AA641D">
        <w:rPr>
          <w:rFonts w:ascii="Times New Roman" w:hAnsi="Times New Roman"/>
        </w:rPr>
        <w:t>Pre-monsoon TDS values show a wide spread ranging roughly between 128 and 1088 mg/L, indicating considerable spatial variation. Post-monsoon TDS values, however, are clustered at comparatively lower levels, ranging between 64 and 640 mg/L.</w:t>
      </w:r>
    </w:p>
    <w:p w14:paraId="3CE438D5" w14:textId="77777777" w:rsidR="00956491" w:rsidRPr="00AA641D" w:rsidRDefault="00956491" w:rsidP="003A0A8C">
      <w:pPr>
        <w:spacing w:line="360" w:lineRule="auto"/>
        <w:jc w:val="both"/>
        <w:rPr>
          <w:rFonts w:ascii="Times New Roman" w:hAnsi="Times New Roman"/>
          <w:lang w:val="en-US"/>
        </w:rPr>
      </w:pPr>
    </w:p>
    <w:p w14:paraId="61BDE23E" w14:textId="77777777" w:rsidR="00BA1380" w:rsidRPr="00AA641D" w:rsidRDefault="00BA1380" w:rsidP="00BF5105">
      <w:pPr>
        <w:rPr>
          <w:rFonts w:ascii="Times New Roman" w:hAnsi="Times New Roman"/>
          <w:lang w:val="en-US"/>
        </w:rPr>
      </w:pPr>
    </w:p>
    <w:p w14:paraId="6B5DA01F" w14:textId="1D7600CE" w:rsidR="009742AE" w:rsidRPr="00AA641D" w:rsidRDefault="001469A1" w:rsidP="00AB605E">
      <w:pPr>
        <w:jc w:val="center"/>
        <w:rPr>
          <w:rFonts w:ascii="Times New Roman" w:hAnsi="Times New Roman"/>
          <w:lang w:val="en-US"/>
        </w:rPr>
      </w:pPr>
      <w:r w:rsidRPr="00AA641D">
        <w:rPr>
          <w:rFonts w:ascii="Times New Roman" w:hAnsi="Times New Roman"/>
          <w:noProof/>
          <w:lang w:val="en-US" w:bidi="ar-SA"/>
        </w:rPr>
        <w:lastRenderedPageBreak/>
        <mc:AlternateContent>
          <mc:Choice Requires="cx1">
            <w:drawing>
              <wp:inline distT="0" distB="0" distL="0" distR="0" wp14:anchorId="53099C0D" wp14:editId="76EC0442">
                <wp:extent cx="5509895" cy="3184358"/>
                <wp:effectExtent l="0" t="0" r="14605" b="16510"/>
                <wp:docPr id="184050949" name="Chart 1">
                  <a:extLst xmlns:a="http://schemas.openxmlformats.org/drawingml/2006/main">
                    <a:ext uri="{FF2B5EF4-FFF2-40B4-BE49-F238E27FC236}">
                      <a16:creationId xmlns:a16="http://schemas.microsoft.com/office/drawing/2014/main" id="{3BC51E35-9B4F-1A65-2A48-D4F7F1B691C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drawing>
              <wp:inline distT="0" distB="0" distL="0" distR="0" wp14:anchorId="53099C0D" wp14:editId="76EC0442">
                <wp:extent cx="5509895" cy="3184358"/>
                <wp:effectExtent l="0" t="0" r="14605" b="16510"/>
                <wp:docPr id="184050949" name="Chart 1">
                  <a:extLst xmlns:a="http://schemas.openxmlformats.org/drawingml/2006/main">
                    <a:ext uri="{FF2B5EF4-FFF2-40B4-BE49-F238E27FC236}">
                      <a16:creationId xmlns:a16="http://schemas.microsoft.com/office/drawing/2014/main" id="{3BC51E35-9B4F-1A65-2A48-D4F7F1B691C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4050949" name="Chart 1">
                          <a:extLst>
                            <a:ext uri="{FF2B5EF4-FFF2-40B4-BE49-F238E27FC236}">
                              <a16:creationId xmlns:a16="http://schemas.microsoft.com/office/drawing/2014/main" id="{3BC51E35-9B4F-1A65-2A48-D4F7F1B691C9}"/>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5509895" cy="3183890"/>
                        </a:xfrm>
                        <a:prstGeom prst="rect">
                          <a:avLst/>
                        </a:prstGeom>
                      </pic:spPr>
                    </pic:pic>
                  </a:graphicData>
                </a:graphic>
              </wp:inline>
            </w:drawing>
          </mc:Fallback>
        </mc:AlternateContent>
      </w:r>
    </w:p>
    <w:p w14:paraId="56049CF8" w14:textId="77777777" w:rsidR="009E5CC9" w:rsidRPr="00AA641D" w:rsidRDefault="009E5CC9" w:rsidP="00520134">
      <w:pPr>
        <w:jc w:val="center"/>
        <w:rPr>
          <w:rFonts w:ascii="Times New Roman" w:hAnsi="Times New Roman"/>
          <w:b/>
          <w:bCs/>
          <w:lang w:val="en-US"/>
        </w:rPr>
      </w:pPr>
    </w:p>
    <w:p w14:paraId="0ED5E54A" w14:textId="4D07756C" w:rsidR="009742AE" w:rsidRPr="00AA641D" w:rsidRDefault="009742AE" w:rsidP="00B31161">
      <w:pPr>
        <w:spacing w:line="360" w:lineRule="auto"/>
        <w:jc w:val="both"/>
        <w:rPr>
          <w:rFonts w:ascii="Times New Roman" w:hAnsi="Times New Roman"/>
        </w:rPr>
      </w:pPr>
      <w:r w:rsidRPr="00AA641D">
        <w:rPr>
          <w:rFonts w:ascii="Times New Roman" w:hAnsi="Times New Roman"/>
        </w:rPr>
        <w:t xml:space="preserve">The </w:t>
      </w:r>
      <w:r w:rsidR="00C21E89" w:rsidRPr="00AA641D">
        <w:rPr>
          <w:rFonts w:ascii="Times New Roman" w:hAnsi="Times New Roman"/>
        </w:rPr>
        <w:t>(Fig:3) comparative</w:t>
      </w:r>
      <w:r w:rsidRPr="00AA641D">
        <w:rPr>
          <w:rFonts w:ascii="Times New Roman" w:hAnsi="Times New Roman"/>
        </w:rPr>
        <w:t xml:space="preserve"> box plot further illustrates the seasonal contrast. The median and interquartile range for the pre-monsoon period are clearly higher than those of the post-monsoon period. The pre-monsoon box is taller and shifted upward, indicating greater dispersion and higher concentrations of dissolved solids.</w:t>
      </w:r>
    </w:p>
    <w:p w14:paraId="3ECA0C4B" w14:textId="77777777" w:rsidR="009742AE" w:rsidRPr="00AA641D" w:rsidRDefault="009742AE" w:rsidP="00B31161">
      <w:pPr>
        <w:spacing w:line="360" w:lineRule="auto"/>
        <w:jc w:val="both"/>
        <w:rPr>
          <w:rFonts w:ascii="Times New Roman" w:hAnsi="Times New Roman"/>
        </w:rPr>
      </w:pPr>
      <w:r w:rsidRPr="00AA641D">
        <w:rPr>
          <w:rFonts w:ascii="Times New Roman" w:hAnsi="Times New Roman"/>
        </w:rPr>
        <w:t>The mean TDS values shown on the plot reinforce this difference:</w:t>
      </w:r>
    </w:p>
    <w:p w14:paraId="68466CDD" w14:textId="77777777" w:rsidR="009742AE" w:rsidRPr="00AA641D" w:rsidRDefault="009742AE" w:rsidP="00B31161">
      <w:pPr>
        <w:numPr>
          <w:ilvl w:val="0"/>
          <w:numId w:val="9"/>
        </w:numPr>
        <w:spacing w:line="360" w:lineRule="auto"/>
        <w:jc w:val="both"/>
        <w:rPr>
          <w:rFonts w:ascii="Times New Roman" w:hAnsi="Times New Roman"/>
        </w:rPr>
      </w:pPr>
      <w:r w:rsidRPr="00AA641D">
        <w:rPr>
          <w:rFonts w:ascii="Times New Roman" w:hAnsi="Times New Roman"/>
          <w:b/>
          <w:bCs/>
        </w:rPr>
        <w:t>Pre-monsoon mean:</w:t>
      </w:r>
      <w:r w:rsidRPr="00AA641D">
        <w:rPr>
          <w:rFonts w:ascii="Times New Roman" w:hAnsi="Times New Roman"/>
        </w:rPr>
        <w:t xml:space="preserve"> ~503.73 mg/L</w:t>
      </w:r>
    </w:p>
    <w:p w14:paraId="70CB4F65" w14:textId="77777777" w:rsidR="009742AE" w:rsidRPr="00AA641D" w:rsidRDefault="009742AE" w:rsidP="00B31161">
      <w:pPr>
        <w:numPr>
          <w:ilvl w:val="0"/>
          <w:numId w:val="9"/>
        </w:numPr>
        <w:spacing w:line="360" w:lineRule="auto"/>
        <w:jc w:val="both"/>
        <w:rPr>
          <w:rFonts w:ascii="Times New Roman" w:hAnsi="Times New Roman"/>
        </w:rPr>
      </w:pPr>
      <w:r w:rsidRPr="00AA641D">
        <w:rPr>
          <w:rFonts w:ascii="Times New Roman" w:hAnsi="Times New Roman"/>
          <w:b/>
          <w:bCs/>
        </w:rPr>
        <w:t>Post-monsoon mean:</w:t>
      </w:r>
      <w:r w:rsidRPr="00AA641D">
        <w:rPr>
          <w:rFonts w:ascii="Times New Roman" w:hAnsi="Times New Roman"/>
        </w:rPr>
        <w:t xml:space="preserve"> ~285.09 mg/L</w:t>
      </w:r>
    </w:p>
    <w:p w14:paraId="42B1D239" w14:textId="77777777" w:rsidR="009742AE" w:rsidRPr="00AA641D" w:rsidRDefault="009742AE" w:rsidP="00B31161">
      <w:pPr>
        <w:spacing w:line="360" w:lineRule="auto"/>
        <w:jc w:val="both"/>
        <w:rPr>
          <w:rFonts w:ascii="Times New Roman" w:hAnsi="Times New Roman"/>
        </w:rPr>
      </w:pPr>
      <w:r w:rsidRPr="00AA641D">
        <w:rPr>
          <w:rFonts w:ascii="Times New Roman" w:hAnsi="Times New Roman"/>
        </w:rPr>
        <w:t>The upper whisker for the pre-monsoon period reaches above 1000 mg/L, while the post-monsoon whisker remains well below this threshold. This suggests that some locations experience exceptionally high TDS values before rainfall recharge, which later decline substantially.</w:t>
      </w:r>
    </w:p>
    <w:p w14:paraId="1354E87F" w14:textId="77777777" w:rsidR="003C4323" w:rsidRPr="00AA641D" w:rsidRDefault="003C4323" w:rsidP="003C4323">
      <w:pPr>
        <w:spacing w:line="360" w:lineRule="auto"/>
        <w:jc w:val="both"/>
        <w:rPr>
          <w:rFonts w:ascii="Times New Roman" w:hAnsi="Times New Roman"/>
        </w:rPr>
      </w:pPr>
      <w:r w:rsidRPr="00AA641D">
        <w:rPr>
          <w:rFonts w:ascii="Times New Roman" w:hAnsi="Times New Roman"/>
        </w:rPr>
        <w:t>Statistical testing confirmed that the observed reduction was significant, indicating that the difference cannot be attributed to chance alone</w:t>
      </w:r>
    </w:p>
    <w:p w14:paraId="5B499285" w14:textId="2F73C4D6" w:rsidR="00F41509" w:rsidRPr="00AA641D" w:rsidRDefault="00F41509" w:rsidP="00B31161">
      <w:pPr>
        <w:spacing w:line="360" w:lineRule="auto"/>
        <w:jc w:val="both"/>
        <w:rPr>
          <w:rFonts w:ascii="Times New Roman" w:hAnsi="Times New Roman"/>
        </w:rPr>
      </w:pPr>
    </w:p>
    <w:tbl>
      <w:tblPr>
        <w:tblStyle w:val="TableGrid"/>
        <w:tblW w:w="10825" w:type="dxa"/>
        <w:jc w:val="center"/>
        <w:tblLook w:val="04A0" w:firstRow="1" w:lastRow="0" w:firstColumn="1" w:lastColumn="0" w:noHBand="0" w:noVBand="1"/>
      </w:tblPr>
      <w:tblGrid>
        <w:gridCol w:w="5256"/>
        <w:gridCol w:w="5706"/>
      </w:tblGrid>
      <w:tr w:rsidR="00F41509" w:rsidRPr="00AA641D" w14:paraId="3C9490B3" w14:textId="77777777" w:rsidTr="003C4323">
        <w:trPr>
          <w:trHeight w:val="4879"/>
          <w:jc w:val="center"/>
        </w:trPr>
        <w:tc>
          <w:tcPr>
            <w:tcW w:w="5119" w:type="dxa"/>
          </w:tcPr>
          <w:p w14:paraId="51D2D9CC" w14:textId="403CA4C6" w:rsidR="00F41509" w:rsidRPr="00AA641D" w:rsidRDefault="00F41509" w:rsidP="003A0A8C">
            <w:pPr>
              <w:spacing w:line="360" w:lineRule="auto"/>
              <w:jc w:val="both"/>
              <w:rPr>
                <w:rFonts w:ascii="Times New Roman" w:hAnsi="Times New Roman"/>
              </w:rPr>
            </w:pPr>
            <w:r w:rsidRPr="00AA641D">
              <w:rPr>
                <w:rFonts w:ascii="Times New Roman" w:hAnsi="Times New Roman"/>
                <w:noProof/>
                <w:lang w:val="en-US" w:bidi="ar-SA"/>
              </w:rPr>
              <w:lastRenderedPageBreak/>
              <w:drawing>
                <wp:inline distT="0" distB="0" distL="0" distR="0" wp14:anchorId="718A09F5" wp14:editId="6D863A1E">
                  <wp:extent cx="3199765" cy="2871537"/>
                  <wp:effectExtent l="0" t="0" r="635" b="5080"/>
                  <wp:docPr id="663030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6273" cy="2895326"/>
                          </a:xfrm>
                          <a:prstGeom prst="rect">
                            <a:avLst/>
                          </a:prstGeom>
                          <a:noFill/>
                          <a:ln>
                            <a:noFill/>
                          </a:ln>
                        </pic:spPr>
                      </pic:pic>
                    </a:graphicData>
                  </a:graphic>
                </wp:inline>
              </w:drawing>
            </w:r>
          </w:p>
        </w:tc>
        <w:tc>
          <w:tcPr>
            <w:tcW w:w="5706" w:type="dxa"/>
          </w:tcPr>
          <w:p w14:paraId="20FA4778" w14:textId="141DA2C4" w:rsidR="00F41509" w:rsidRPr="00AA641D" w:rsidRDefault="00F41509" w:rsidP="003A0A8C">
            <w:pPr>
              <w:spacing w:line="360" w:lineRule="auto"/>
              <w:jc w:val="both"/>
              <w:rPr>
                <w:rFonts w:ascii="Times New Roman" w:hAnsi="Times New Roman"/>
              </w:rPr>
            </w:pPr>
            <w:r w:rsidRPr="00AA641D">
              <w:rPr>
                <w:rFonts w:ascii="Times New Roman" w:hAnsi="Times New Roman"/>
                <w:noProof/>
                <w:lang w:val="en-US" w:bidi="ar-SA"/>
              </w:rPr>
              <w:drawing>
                <wp:inline distT="0" distB="0" distL="0" distR="0" wp14:anchorId="4FF9F020" wp14:editId="52C7A9F4">
                  <wp:extent cx="3480140" cy="2908935"/>
                  <wp:effectExtent l="0" t="0" r="6350" b="5715"/>
                  <wp:docPr id="190239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3780" cy="2920337"/>
                          </a:xfrm>
                          <a:prstGeom prst="rect">
                            <a:avLst/>
                          </a:prstGeom>
                          <a:noFill/>
                          <a:ln>
                            <a:noFill/>
                          </a:ln>
                        </pic:spPr>
                      </pic:pic>
                    </a:graphicData>
                  </a:graphic>
                </wp:inline>
              </w:drawing>
            </w:r>
          </w:p>
        </w:tc>
      </w:tr>
    </w:tbl>
    <w:p w14:paraId="5C5C9AE3" w14:textId="79F06242" w:rsidR="00294A63" w:rsidRPr="00AA641D" w:rsidRDefault="00294A63" w:rsidP="00294A63">
      <w:pPr>
        <w:spacing w:line="360" w:lineRule="auto"/>
        <w:rPr>
          <w:rFonts w:ascii="Times New Roman" w:hAnsi="Times New Roman"/>
        </w:rPr>
      </w:pPr>
      <w:r w:rsidRPr="00AA641D">
        <w:rPr>
          <w:rFonts w:ascii="Times New Roman" w:hAnsi="Times New Roman"/>
          <w:b/>
          <w:bCs/>
        </w:rPr>
        <w:t xml:space="preserve">                 Figure: 4                                                                             Figure: 5</w:t>
      </w:r>
    </w:p>
    <w:p w14:paraId="5D9B4595" w14:textId="28653A3E" w:rsidR="00294A63" w:rsidRDefault="00294A63" w:rsidP="00CD768F">
      <w:pPr>
        <w:spacing w:line="360" w:lineRule="auto"/>
        <w:jc w:val="center"/>
        <w:rPr>
          <w:rFonts w:ascii="Times New Roman" w:hAnsi="Times New Roman"/>
          <w:b/>
          <w:bCs/>
        </w:rPr>
      </w:pPr>
      <w:r w:rsidRPr="00AA641D">
        <w:rPr>
          <w:rFonts w:ascii="Times New Roman" w:hAnsi="Times New Roman"/>
          <w:b/>
          <w:bCs/>
        </w:rPr>
        <w:t>Spatial</w:t>
      </w:r>
      <w:r w:rsidR="00264DF0" w:rsidRPr="00AA641D">
        <w:rPr>
          <w:rFonts w:ascii="Times New Roman" w:hAnsi="Times New Roman"/>
          <w:b/>
          <w:bCs/>
        </w:rPr>
        <w:t xml:space="preserve"> </w:t>
      </w:r>
      <w:r w:rsidR="0030640B" w:rsidRPr="00AA641D">
        <w:rPr>
          <w:rFonts w:ascii="Times New Roman" w:hAnsi="Times New Roman"/>
          <w:b/>
          <w:bCs/>
        </w:rPr>
        <w:t>Seasonal distribution</w:t>
      </w:r>
      <w:r w:rsidRPr="00AA641D">
        <w:rPr>
          <w:rFonts w:ascii="Times New Roman" w:hAnsi="Times New Roman"/>
          <w:b/>
          <w:bCs/>
        </w:rPr>
        <w:t xml:space="preserve"> of TDS in the study area (Pre and Post Monsoon</w:t>
      </w:r>
    </w:p>
    <w:p w14:paraId="749C6186" w14:textId="77777777" w:rsidR="00CD768F" w:rsidRPr="00CD768F" w:rsidRDefault="00CD768F" w:rsidP="00CD768F">
      <w:pPr>
        <w:spacing w:line="360" w:lineRule="auto"/>
        <w:jc w:val="center"/>
        <w:rPr>
          <w:rFonts w:ascii="Times New Roman" w:hAnsi="Times New Roman"/>
          <w:b/>
          <w:bCs/>
        </w:rPr>
      </w:pPr>
    </w:p>
    <w:p w14:paraId="16387409" w14:textId="6B7F689D" w:rsidR="00263D57" w:rsidRDefault="00263D57" w:rsidP="00263D57">
      <w:pPr>
        <w:spacing w:line="360" w:lineRule="auto"/>
        <w:jc w:val="both"/>
        <w:rPr>
          <w:rFonts w:ascii="Times New Roman" w:hAnsi="Times New Roman"/>
        </w:rPr>
      </w:pPr>
      <w:r w:rsidRPr="00AA641D">
        <w:rPr>
          <w:rFonts w:ascii="Times New Roman" w:hAnsi="Times New Roman"/>
        </w:rPr>
        <w:t xml:space="preserve">The comparison of pre-monsoon (Fig. 4) and post-monsoon (Fig. 5) TDS maps for the </w:t>
      </w:r>
      <w:proofErr w:type="spellStart"/>
      <w:r w:rsidRPr="00AA641D">
        <w:rPr>
          <w:rFonts w:ascii="Times New Roman" w:hAnsi="Times New Roman"/>
        </w:rPr>
        <w:t>Kadwa</w:t>
      </w:r>
      <w:proofErr w:type="spellEnd"/>
      <w:r w:rsidRPr="00AA641D">
        <w:rPr>
          <w:rFonts w:ascii="Times New Roman" w:hAnsi="Times New Roman"/>
        </w:rPr>
        <w:t xml:space="preserve"> Basin shows a substantial reduction in total dissolved solids (TDS) after the monsoon, mainly due to groundwater recharge and dilution (Manikandan et al., 2020). High-TDS zones that were widespread before the monsoon either decreased in extent or became restricted to smaller pockets, indicating that monsoon rainfall plays a major role in improving groundwater quality. This seasonal pattern—higher TDS before the monsoon and lower TDS after rainfall when fresh water mixes with groundwater—has been reported in several Indian basins (Shah, 2013). Within the study area, TDS values are relatively higher in the northern and southern parts likely influenced by greater irrigation demand—while lower TDS values along the western reach of the river reflect the influence of recharge near the river’s origin with comparatively limited irrigation. Persistent high-TDS areas may be influenced by lithology, intensive irrigation, fertilizer return flow, and other anthropogenic activities and therefore require continued monitoring.</w:t>
      </w:r>
    </w:p>
    <w:p w14:paraId="749D8B8C" w14:textId="77777777" w:rsidR="006351AA" w:rsidRPr="00AA641D" w:rsidRDefault="006351AA" w:rsidP="00263D57">
      <w:pPr>
        <w:spacing w:line="360" w:lineRule="auto"/>
        <w:jc w:val="both"/>
        <w:rPr>
          <w:rFonts w:ascii="Times New Roman" w:hAnsi="Times New Roman"/>
          <w:b/>
          <w:bCs/>
          <w:lang w:val="en-US"/>
        </w:rPr>
      </w:pPr>
    </w:p>
    <w:p w14:paraId="721CD40B" w14:textId="31036068" w:rsidR="00C80B92" w:rsidRPr="00AA641D" w:rsidRDefault="00C80B92" w:rsidP="003A0A8C">
      <w:pPr>
        <w:spacing w:after="160" w:line="360" w:lineRule="auto"/>
        <w:jc w:val="both"/>
        <w:rPr>
          <w:rFonts w:ascii="Times New Roman" w:hAnsi="Times New Roman"/>
        </w:rPr>
      </w:pPr>
      <w:r w:rsidRPr="00AA641D">
        <w:rPr>
          <w:rFonts w:ascii="Times New Roman" w:hAnsi="Times New Roman"/>
        </w:rPr>
        <w:t xml:space="preserve">The results demonstrate that groundwater TDS in </w:t>
      </w:r>
      <w:r w:rsidR="00B31161" w:rsidRPr="00AA641D">
        <w:rPr>
          <w:rFonts w:ascii="Times New Roman" w:hAnsi="Times New Roman"/>
        </w:rPr>
        <w:t xml:space="preserve">the </w:t>
      </w:r>
      <w:proofErr w:type="spellStart"/>
      <w:r w:rsidR="00B31161" w:rsidRPr="00AA641D">
        <w:rPr>
          <w:rFonts w:ascii="Times New Roman" w:hAnsi="Times New Roman"/>
        </w:rPr>
        <w:t>Kadwa</w:t>
      </w:r>
      <w:proofErr w:type="spellEnd"/>
      <w:r w:rsidR="00B31161" w:rsidRPr="00AA641D">
        <w:rPr>
          <w:rFonts w:ascii="Times New Roman" w:hAnsi="Times New Roman"/>
        </w:rPr>
        <w:t xml:space="preserve"> Basin </w:t>
      </w:r>
      <w:r w:rsidRPr="00AA641D">
        <w:rPr>
          <w:rFonts w:ascii="Times New Roman" w:hAnsi="Times New Roman"/>
        </w:rPr>
        <w:t xml:space="preserve">Nashik </w:t>
      </w:r>
      <w:r w:rsidR="00B31161" w:rsidRPr="00AA641D">
        <w:rPr>
          <w:rFonts w:ascii="Times New Roman" w:hAnsi="Times New Roman"/>
        </w:rPr>
        <w:t xml:space="preserve">Maharashtra </w:t>
      </w:r>
      <w:r w:rsidRPr="00AA641D">
        <w:rPr>
          <w:rFonts w:ascii="Times New Roman" w:hAnsi="Times New Roman"/>
        </w:rPr>
        <w:t xml:space="preserve">is strongly influenced by seasonal hydrological dynamics. The significant decline in TDS after the monsoon suggests the dominance of </w:t>
      </w:r>
      <w:r w:rsidRPr="00AA641D">
        <w:rPr>
          <w:rFonts w:ascii="Times New Roman" w:hAnsi="Times New Roman"/>
          <w:b/>
          <w:bCs/>
        </w:rPr>
        <w:t>dilution, flushing, and recharge-driven mixing</w:t>
      </w:r>
      <w:r w:rsidRPr="00AA641D">
        <w:rPr>
          <w:rFonts w:ascii="Times New Roman" w:hAnsi="Times New Roman"/>
        </w:rPr>
        <w:t xml:space="preserve">, processes commonly observed in monsoon-dependent aquifer systems (CGWB, 2020). </w:t>
      </w:r>
      <w:r w:rsidRPr="00AA641D">
        <w:rPr>
          <w:rFonts w:ascii="Times New Roman" w:hAnsi="Times New Roman"/>
        </w:rPr>
        <w:lastRenderedPageBreak/>
        <w:t>Increased recharge enhances groundwater circulation and reduces evaporative concentration, leading to measurable reductions in dissolved solids.</w:t>
      </w:r>
    </w:p>
    <w:p w14:paraId="56FF9E35" w14:textId="77777777" w:rsidR="00C80B92" w:rsidRPr="00AA641D" w:rsidRDefault="00C80B92" w:rsidP="003A0A8C">
      <w:pPr>
        <w:spacing w:after="160" w:line="360" w:lineRule="auto"/>
        <w:jc w:val="both"/>
        <w:rPr>
          <w:rFonts w:ascii="Times New Roman" w:hAnsi="Times New Roman"/>
        </w:rPr>
      </w:pPr>
      <w:r w:rsidRPr="00AA641D">
        <w:rPr>
          <w:rFonts w:ascii="Times New Roman" w:hAnsi="Times New Roman"/>
        </w:rPr>
        <w:t>However, the persistence of elevated TDS in several sampling locations indicates that dilution alone cannot fully mitigate underlying salinity drivers. Possible contributing mechanisms include:</w:t>
      </w:r>
    </w:p>
    <w:p w14:paraId="27654CF8" w14:textId="77777777" w:rsidR="00C80B92" w:rsidRPr="00AA641D" w:rsidRDefault="00C80B92" w:rsidP="00CB5E0C">
      <w:pPr>
        <w:spacing w:line="360" w:lineRule="auto"/>
        <w:jc w:val="both"/>
        <w:rPr>
          <w:rFonts w:ascii="Times New Roman" w:hAnsi="Times New Roman"/>
        </w:rPr>
      </w:pPr>
      <w:r w:rsidRPr="00AA641D">
        <w:rPr>
          <w:rFonts w:ascii="Times New Roman" w:hAnsi="Times New Roman"/>
          <w:b/>
          <w:bCs/>
        </w:rPr>
        <w:t>Geogenic sources</w:t>
      </w:r>
      <w:r w:rsidRPr="00AA641D">
        <w:rPr>
          <w:rFonts w:ascii="Times New Roman" w:hAnsi="Times New Roman"/>
        </w:rPr>
        <w:t xml:space="preserve"> — dissolution of basaltic minerals and prolonged water–rock interaction.</w:t>
      </w:r>
    </w:p>
    <w:p w14:paraId="74468747" w14:textId="77777777" w:rsidR="00C80B92" w:rsidRPr="00AA641D" w:rsidRDefault="00C80B92" w:rsidP="00CB5E0C">
      <w:pPr>
        <w:spacing w:line="360" w:lineRule="auto"/>
        <w:jc w:val="both"/>
        <w:rPr>
          <w:rFonts w:ascii="Times New Roman" w:hAnsi="Times New Roman"/>
        </w:rPr>
      </w:pPr>
      <w:r w:rsidRPr="00AA641D">
        <w:rPr>
          <w:rFonts w:ascii="Times New Roman" w:hAnsi="Times New Roman"/>
          <w:b/>
          <w:bCs/>
        </w:rPr>
        <w:t>Agricultural return flow</w:t>
      </w:r>
      <w:r w:rsidRPr="00AA641D">
        <w:rPr>
          <w:rFonts w:ascii="Times New Roman" w:hAnsi="Times New Roman"/>
        </w:rPr>
        <w:t xml:space="preserve"> — leaching of fertilizers and salts from irrigated fields.</w:t>
      </w:r>
    </w:p>
    <w:p w14:paraId="50C0B00B" w14:textId="77777777" w:rsidR="00C80B92" w:rsidRPr="00AA641D" w:rsidRDefault="00C80B92" w:rsidP="00CB5E0C">
      <w:pPr>
        <w:spacing w:line="360" w:lineRule="auto"/>
        <w:jc w:val="both"/>
        <w:rPr>
          <w:rFonts w:ascii="Times New Roman" w:hAnsi="Times New Roman"/>
        </w:rPr>
      </w:pPr>
      <w:r w:rsidRPr="00AA641D">
        <w:rPr>
          <w:rFonts w:ascii="Times New Roman" w:hAnsi="Times New Roman"/>
          <w:b/>
          <w:bCs/>
        </w:rPr>
        <w:t>Urban and peri-urban pollution</w:t>
      </w:r>
      <w:r w:rsidRPr="00AA641D">
        <w:rPr>
          <w:rFonts w:ascii="Times New Roman" w:hAnsi="Times New Roman"/>
        </w:rPr>
        <w:t xml:space="preserve"> — wastewater infiltration, septic leakage, and industrial effluents.</w:t>
      </w:r>
    </w:p>
    <w:p w14:paraId="0B2E7C94" w14:textId="77777777" w:rsidR="00C80B92" w:rsidRPr="00AA641D" w:rsidRDefault="00C80B92" w:rsidP="00CB5E0C">
      <w:pPr>
        <w:spacing w:line="360" w:lineRule="auto"/>
        <w:jc w:val="both"/>
        <w:rPr>
          <w:rFonts w:ascii="Times New Roman" w:hAnsi="Times New Roman"/>
        </w:rPr>
      </w:pPr>
      <w:r w:rsidRPr="00AA641D">
        <w:rPr>
          <w:rFonts w:ascii="Times New Roman" w:hAnsi="Times New Roman"/>
          <w:b/>
          <w:bCs/>
        </w:rPr>
        <w:t>Over-extraction</w:t>
      </w:r>
      <w:r w:rsidRPr="00AA641D">
        <w:rPr>
          <w:rFonts w:ascii="Times New Roman" w:hAnsi="Times New Roman"/>
        </w:rPr>
        <w:t xml:space="preserve"> — lowering of groundwater levels leading to concentration effects and </w:t>
      </w:r>
      <w:proofErr w:type="spellStart"/>
      <w:r w:rsidRPr="00AA641D">
        <w:rPr>
          <w:rFonts w:ascii="Times New Roman" w:hAnsi="Times New Roman"/>
        </w:rPr>
        <w:t>upconing</w:t>
      </w:r>
      <w:proofErr w:type="spellEnd"/>
      <w:r w:rsidRPr="00AA641D">
        <w:rPr>
          <w:rFonts w:ascii="Times New Roman" w:hAnsi="Times New Roman"/>
        </w:rPr>
        <w:t xml:space="preserve"> of deeper saline water.</w:t>
      </w:r>
    </w:p>
    <w:p w14:paraId="116DE06F" w14:textId="77777777" w:rsidR="00C80B92" w:rsidRPr="00AA641D" w:rsidRDefault="00C80B92" w:rsidP="00B31161">
      <w:pPr>
        <w:spacing w:after="160" w:line="360" w:lineRule="auto"/>
        <w:jc w:val="both"/>
        <w:rPr>
          <w:rFonts w:ascii="Times New Roman" w:hAnsi="Times New Roman"/>
        </w:rPr>
      </w:pPr>
      <w:r w:rsidRPr="00AA641D">
        <w:rPr>
          <w:rFonts w:ascii="Times New Roman" w:hAnsi="Times New Roman"/>
        </w:rPr>
        <w:t>These findings reinforce earlier work showing that monsoon dilution may provide only seasonal relief, while long-term salinity trends remain governed by land use, extraction pressure, and hydrogeochemical processes (</w:t>
      </w:r>
      <w:proofErr w:type="spellStart"/>
      <w:r w:rsidRPr="00AA641D">
        <w:rPr>
          <w:rFonts w:ascii="Times New Roman" w:hAnsi="Times New Roman"/>
        </w:rPr>
        <w:t>Subba</w:t>
      </w:r>
      <w:proofErr w:type="spellEnd"/>
      <w:r w:rsidRPr="00AA641D">
        <w:rPr>
          <w:rFonts w:ascii="Times New Roman" w:hAnsi="Times New Roman"/>
        </w:rPr>
        <w:t xml:space="preserve"> Rao, 2017).</w:t>
      </w:r>
    </w:p>
    <w:p w14:paraId="2EF64BD5" w14:textId="228B373F" w:rsidR="00BA1380" w:rsidRPr="00AA641D" w:rsidRDefault="00C80B92" w:rsidP="0086296A">
      <w:pPr>
        <w:spacing w:after="160" w:line="360" w:lineRule="auto"/>
        <w:rPr>
          <w:rFonts w:ascii="Times New Roman" w:hAnsi="Times New Roman"/>
        </w:rPr>
      </w:pPr>
      <w:r w:rsidRPr="00AA641D">
        <w:rPr>
          <w:rFonts w:ascii="Times New Roman" w:hAnsi="Times New Roman"/>
        </w:rPr>
        <w:t xml:space="preserve">Although TDS decreased significantly, persistent exceedances suggest that groundwater from some wells requires </w:t>
      </w:r>
      <w:r w:rsidRPr="00AA641D">
        <w:rPr>
          <w:rFonts w:ascii="Times New Roman" w:hAnsi="Times New Roman"/>
          <w:b/>
          <w:bCs/>
        </w:rPr>
        <w:t>treatment or blending</w:t>
      </w:r>
      <w:r w:rsidRPr="00AA641D">
        <w:rPr>
          <w:rFonts w:ascii="Times New Roman" w:hAnsi="Times New Roman"/>
        </w:rPr>
        <w:t xml:space="preserve"> prior to domestic use, in line with BIS and WHO recommendations.</w:t>
      </w:r>
    </w:p>
    <w:p w14:paraId="7077AD4D" w14:textId="46B32CB3" w:rsidR="00AB344F" w:rsidRPr="00AA641D" w:rsidRDefault="00AB344F" w:rsidP="00EC46C5">
      <w:pPr>
        <w:spacing w:line="360" w:lineRule="auto"/>
        <w:jc w:val="both"/>
        <w:rPr>
          <w:rFonts w:ascii="Times New Roman" w:hAnsi="Times New Roman"/>
          <w:b/>
          <w:bCs/>
        </w:rPr>
      </w:pPr>
      <w:r w:rsidRPr="00AA641D">
        <w:rPr>
          <w:rFonts w:ascii="Times New Roman" w:hAnsi="Times New Roman"/>
          <w:b/>
          <w:bCs/>
        </w:rPr>
        <w:t>Conclusion-</w:t>
      </w:r>
    </w:p>
    <w:p w14:paraId="225A4630" w14:textId="5D1D4D11" w:rsidR="00AB344F" w:rsidRPr="00AA641D" w:rsidRDefault="00AB344F" w:rsidP="00EC46C5">
      <w:pPr>
        <w:spacing w:after="160" w:line="360" w:lineRule="auto"/>
        <w:jc w:val="both"/>
        <w:rPr>
          <w:rFonts w:ascii="Times New Roman" w:hAnsi="Times New Roman"/>
        </w:rPr>
      </w:pPr>
      <w:r w:rsidRPr="00AA641D">
        <w:rPr>
          <w:rFonts w:ascii="Times New Roman" w:hAnsi="Times New Roman"/>
        </w:rPr>
        <w:t>This investigation demonstrates that groundwater TDS in</w:t>
      </w:r>
      <w:r w:rsidR="00B31161" w:rsidRPr="00AA641D">
        <w:rPr>
          <w:rFonts w:ascii="Times New Roman" w:hAnsi="Times New Roman"/>
        </w:rPr>
        <w:t xml:space="preserve"> </w:t>
      </w:r>
      <w:proofErr w:type="spellStart"/>
      <w:r w:rsidR="00B31161" w:rsidRPr="00AA641D">
        <w:rPr>
          <w:rFonts w:ascii="Times New Roman" w:hAnsi="Times New Roman"/>
        </w:rPr>
        <w:t>Kadwa</w:t>
      </w:r>
      <w:proofErr w:type="spellEnd"/>
      <w:r w:rsidR="00B31161" w:rsidRPr="00AA641D">
        <w:rPr>
          <w:rFonts w:ascii="Times New Roman" w:hAnsi="Times New Roman"/>
        </w:rPr>
        <w:t xml:space="preserve"> Basin</w:t>
      </w:r>
      <w:r w:rsidRPr="00AA641D">
        <w:rPr>
          <w:rFonts w:ascii="Times New Roman" w:hAnsi="Times New Roman"/>
        </w:rPr>
        <w:t xml:space="preserve"> Nashik</w:t>
      </w:r>
      <w:r w:rsidR="00B31161" w:rsidRPr="00AA641D">
        <w:rPr>
          <w:rFonts w:ascii="Times New Roman" w:hAnsi="Times New Roman"/>
        </w:rPr>
        <w:t xml:space="preserve"> District Maharashtra</w:t>
      </w:r>
      <w:r w:rsidRPr="00AA641D">
        <w:rPr>
          <w:rFonts w:ascii="Times New Roman" w:hAnsi="Times New Roman"/>
        </w:rPr>
        <w:t xml:space="preserve"> is strongly governed by seasonal recharge dynamics. The clear decline in TDS following the monsoon indicates the important role of dilution, flushing, and enhanced circulation within the aquifer system. Statistical analysis confirmed that these reductions are significant and widespread across sampling locations.</w:t>
      </w:r>
    </w:p>
    <w:p w14:paraId="7C436C63" w14:textId="77777777" w:rsidR="00AB344F" w:rsidRPr="00AA641D" w:rsidRDefault="00AB344F" w:rsidP="00EC46C5">
      <w:pPr>
        <w:spacing w:after="160" w:line="360" w:lineRule="auto"/>
        <w:jc w:val="both"/>
        <w:rPr>
          <w:rFonts w:ascii="Times New Roman" w:hAnsi="Times New Roman"/>
        </w:rPr>
      </w:pPr>
      <w:r w:rsidRPr="00AA641D">
        <w:rPr>
          <w:rFonts w:ascii="Times New Roman" w:hAnsi="Times New Roman"/>
        </w:rPr>
        <w:t>Despite this improvement, several wells continued to exhibit TDS levels exceeding recommended limits, suggesting that long-term salinity pressures arise from more persistent drivers such as agricultural return flow, domestic wastewater infiltration, and geogenic mineral dissolution. Seasonal dilution therefore offers temporary relief rather than a permanent solution.</w:t>
      </w:r>
    </w:p>
    <w:p w14:paraId="41A200B6" w14:textId="77777777" w:rsidR="00AB344F" w:rsidRPr="00AA641D" w:rsidRDefault="00AB344F" w:rsidP="00EC46C5">
      <w:pPr>
        <w:spacing w:after="160" w:line="360" w:lineRule="auto"/>
        <w:jc w:val="both"/>
        <w:rPr>
          <w:rFonts w:ascii="Times New Roman" w:hAnsi="Times New Roman"/>
        </w:rPr>
      </w:pPr>
      <w:r w:rsidRPr="00AA641D">
        <w:rPr>
          <w:rFonts w:ascii="Times New Roman" w:hAnsi="Times New Roman"/>
        </w:rPr>
        <w:t>From a management perspective, the results highlight the need for:</w:t>
      </w:r>
    </w:p>
    <w:p w14:paraId="7F020B92" w14:textId="78D738C8" w:rsidR="00AB344F" w:rsidRPr="00AA641D" w:rsidRDefault="002334AF" w:rsidP="0086296A">
      <w:pPr>
        <w:numPr>
          <w:ilvl w:val="0"/>
          <w:numId w:val="10"/>
        </w:numPr>
        <w:spacing w:line="360" w:lineRule="auto"/>
        <w:jc w:val="both"/>
        <w:rPr>
          <w:rFonts w:ascii="Times New Roman" w:hAnsi="Times New Roman"/>
        </w:rPr>
      </w:pPr>
      <w:r w:rsidRPr="00AA641D">
        <w:rPr>
          <w:rFonts w:ascii="Times New Roman" w:hAnsi="Times New Roman"/>
        </w:rPr>
        <w:t>R</w:t>
      </w:r>
      <w:r w:rsidR="00AB344F" w:rsidRPr="00AA641D">
        <w:rPr>
          <w:rFonts w:ascii="Times New Roman" w:hAnsi="Times New Roman"/>
        </w:rPr>
        <w:t>outine seasonal groundwater monitoring,</w:t>
      </w:r>
    </w:p>
    <w:p w14:paraId="0C82EEDB" w14:textId="647D413E" w:rsidR="00AB344F" w:rsidRPr="00AA641D" w:rsidRDefault="002334AF" w:rsidP="0086296A">
      <w:pPr>
        <w:numPr>
          <w:ilvl w:val="0"/>
          <w:numId w:val="10"/>
        </w:numPr>
        <w:spacing w:line="360" w:lineRule="auto"/>
        <w:jc w:val="both"/>
        <w:rPr>
          <w:rFonts w:ascii="Times New Roman" w:hAnsi="Times New Roman"/>
        </w:rPr>
      </w:pPr>
      <w:r w:rsidRPr="00AA641D">
        <w:rPr>
          <w:rFonts w:ascii="Times New Roman" w:hAnsi="Times New Roman"/>
        </w:rPr>
        <w:t>R</w:t>
      </w:r>
      <w:r w:rsidR="00AB344F" w:rsidRPr="00AA641D">
        <w:rPr>
          <w:rFonts w:ascii="Times New Roman" w:hAnsi="Times New Roman"/>
        </w:rPr>
        <w:t>egulation of fertilizer use and wastewater discharge,</w:t>
      </w:r>
    </w:p>
    <w:p w14:paraId="16120321" w14:textId="1A121B9D" w:rsidR="00AB344F" w:rsidRPr="00AA641D" w:rsidRDefault="002334AF" w:rsidP="0086296A">
      <w:pPr>
        <w:numPr>
          <w:ilvl w:val="0"/>
          <w:numId w:val="10"/>
        </w:numPr>
        <w:spacing w:line="360" w:lineRule="auto"/>
        <w:jc w:val="both"/>
        <w:rPr>
          <w:rFonts w:ascii="Times New Roman" w:hAnsi="Times New Roman"/>
        </w:rPr>
      </w:pPr>
      <w:r w:rsidRPr="00AA641D">
        <w:rPr>
          <w:rFonts w:ascii="Times New Roman" w:hAnsi="Times New Roman"/>
        </w:rPr>
        <w:lastRenderedPageBreak/>
        <w:t>A</w:t>
      </w:r>
      <w:r w:rsidR="00AB344F" w:rsidRPr="00AA641D">
        <w:rPr>
          <w:rFonts w:ascii="Times New Roman" w:hAnsi="Times New Roman"/>
        </w:rPr>
        <w:t>rtificial recharge structures where appropriate, and</w:t>
      </w:r>
    </w:p>
    <w:p w14:paraId="4C0ECBF9" w14:textId="56A38EE0" w:rsidR="00AB344F" w:rsidRPr="00AA641D" w:rsidRDefault="002334AF" w:rsidP="00EC46C5">
      <w:pPr>
        <w:numPr>
          <w:ilvl w:val="0"/>
          <w:numId w:val="10"/>
        </w:numPr>
        <w:spacing w:after="160" w:line="360" w:lineRule="auto"/>
        <w:jc w:val="both"/>
        <w:rPr>
          <w:rFonts w:ascii="Times New Roman" w:hAnsi="Times New Roman"/>
        </w:rPr>
      </w:pPr>
      <w:r w:rsidRPr="00AA641D">
        <w:rPr>
          <w:rFonts w:ascii="Times New Roman" w:hAnsi="Times New Roman"/>
        </w:rPr>
        <w:t>C</w:t>
      </w:r>
      <w:r w:rsidR="00AB344F" w:rsidRPr="00AA641D">
        <w:rPr>
          <w:rFonts w:ascii="Times New Roman" w:hAnsi="Times New Roman"/>
        </w:rPr>
        <w:t>ommunity awareness regarding safe water use and treatment options.</w:t>
      </w:r>
    </w:p>
    <w:p w14:paraId="48A2BFF9" w14:textId="1CA477D2" w:rsidR="00ED20D7" w:rsidRPr="00AA641D" w:rsidRDefault="00AB344F" w:rsidP="00EC46C5">
      <w:pPr>
        <w:spacing w:after="160" w:line="360" w:lineRule="auto"/>
        <w:jc w:val="both"/>
        <w:rPr>
          <w:rFonts w:ascii="Times New Roman" w:hAnsi="Times New Roman"/>
        </w:rPr>
      </w:pPr>
      <w:r w:rsidRPr="00AA641D">
        <w:rPr>
          <w:rFonts w:ascii="Times New Roman" w:hAnsi="Times New Roman"/>
        </w:rPr>
        <w:t xml:space="preserve">Overall, sustaining groundwater quality in </w:t>
      </w:r>
      <w:proofErr w:type="spellStart"/>
      <w:r w:rsidR="00E131CB" w:rsidRPr="00AA641D">
        <w:rPr>
          <w:rFonts w:ascii="Times New Roman" w:hAnsi="Times New Roman"/>
        </w:rPr>
        <w:t>Kadwa</w:t>
      </w:r>
      <w:proofErr w:type="spellEnd"/>
      <w:r w:rsidR="00E131CB" w:rsidRPr="00AA641D">
        <w:rPr>
          <w:rFonts w:ascii="Times New Roman" w:hAnsi="Times New Roman"/>
        </w:rPr>
        <w:t xml:space="preserve"> Basin </w:t>
      </w:r>
      <w:r w:rsidRPr="00AA641D">
        <w:rPr>
          <w:rFonts w:ascii="Times New Roman" w:hAnsi="Times New Roman"/>
        </w:rPr>
        <w:t>Nashik</w:t>
      </w:r>
      <w:r w:rsidR="00E131CB" w:rsidRPr="00AA641D">
        <w:rPr>
          <w:rFonts w:ascii="Times New Roman" w:hAnsi="Times New Roman"/>
        </w:rPr>
        <w:t xml:space="preserve"> District Maharashtra  </w:t>
      </w:r>
      <w:r w:rsidRPr="00AA641D">
        <w:rPr>
          <w:rFonts w:ascii="Times New Roman" w:hAnsi="Times New Roman"/>
        </w:rPr>
        <w:t xml:space="preserve"> requires coordinated management that addresses both natural hydrogeochemical controls and human-induced pressures. Continued research integrating additional water-quality parameters and land-use data will further improve understanding of groundwater vulnerability in monsoon-driven environments.</w:t>
      </w:r>
    </w:p>
    <w:p w14:paraId="05CA049A" w14:textId="4CC020CC" w:rsidR="00D75816" w:rsidRPr="00AA641D" w:rsidRDefault="00BD22CC" w:rsidP="00BF5105">
      <w:pPr>
        <w:rPr>
          <w:rFonts w:ascii="Times New Roman" w:hAnsi="Times New Roman"/>
          <w:lang w:val="en-US"/>
        </w:rPr>
      </w:pPr>
      <w:r>
        <w:rPr>
          <w:rFonts w:ascii="Times New Roman" w:hAnsi="Times New Roman"/>
        </w:rPr>
        <w:pict w14:anchorId="7B34597F">
          <v:rect id="_x0000_i1025" style="width:0;height:1.5pt" o:hralign="center" o:hrstd="t" o:hr="t" fillcolor="#a0a0a0" stroked="f"/>
        </w:pict>
      </w:r>
    </w:p>
    <w:p w14:paraId="72B335DA" w14:textId="77777777" w:rsidR="00D75816" w:rsidRPr="00AA641D" w:rsidRDefault="00D75816" w:rsidP="00BF5105">
      <w:pPr>
        <w:rPr>
          <w:rFonts w:ascii="Times New Roman" w:hAnsi="Times New Roman"/>
          <w:lang w:val="en-US"/>
        </w:rPr>
      </w:pPr>
    </w:p>
    <w:p w14:paraId="29835B75" w14:textId="2467372D" w:rsidR="00D75816" w:rsidRPr="00AA641D" w:rsidRDefault="00AB38C8" w:rsidP="00BF5105">
      <w:pPr>
        <w:rPr>
          <w:rFonts w:ascii="Times New Roman" w:hAnsi="Times New Roman"/>
          <w:b/>
          <w:bCs/>
          <w:lang w:val="en-US"/>
        </w:rPr>
      </w:pPr>
      <w:r w:rsidRPr="00AA641D">
        <w:rPr>
          <w:rFonts w:ascii="Times New Roman" w:hAnsi="Times New Roman"/>
          <w:b/>
          <w:bCs/>
          <w:lang w:val="en-US"/>
        </w:rPr>
        <w:t>References: -</w:t>
      </w:r>
    </w:p>
    <w:p w14:paraId="508FE0AC" w14:textId="77777777" w:rsidR="00B25F10" w:rsidRPr="00AA641D" w:rsidRDefault="00B25F10" w:rsidP="00BF5105">
      <w:pPr>
        <w:rPr>
          <w:rFonts w:ascii="Times New Roman" w:hAnsi="Times New Roman"/>
          <w:lang w:val="en-US"/>
        </w:rPr>
      </w:pPr>
    </w:p>
    <w:p w14:paraId="501260FA" w14:textId="77777777" w:rsidR="00B25F10" w:rsidRPr="00AA641D" w:rsidRDefault="00B25F10" w:rsidP="00BF5105">
      <w:pPr>
        <w:rPr>
          <w:rFonts w:ascii="Times New Roman" w:hAnsi="Times New Roman"/>
          <w:lang w:val="en-US"/>
        </w:rPr>
      </w:pPr>
    </w:p>
    <w:p w14:paraId="014B7997" w14:textId="77777777" w:rsidR="00B25F10" w:rsidRPr="00E15B3D" w:rsidRDefault="00B25F10" w:rsidP="00ED20D7">
      <w:pPr>
        <w:pStyle w:val="ListParagraph"/>
        <w:numPr>
          <w:ilvl w:val="0"/>
          <w:numId w:val="18"/>
        </w:numPr>
        <w:jc w:val="both"/>
        <w:rPr>
          <w:rFonts w:ascii="Times New Roman" w:hAnsi="Times New Roman"/>
          <w:lang w:val="en-US"/>
        </w:rPr>
      </w:pPr>
      <w:proofErr w:type="spellStart"/>
      <w:r w:rsidRPr="00E15B3D">
        <w:rPr>
          <w:rFonts w:ascii="Times New Roman" w:hAnsi="Times New Roman"/>
        </w:rPr>
        <w:t>Adjovu</w:t>
      </w:r>
      <w:proofErr w:type="spellEnd"/>
      <w:r w:rsidRPr="00E15B3D">
        <w:rPr>
          <w:rFonts w:ascii="Times New Roman" w:hAnsi="Times New Roman"/>
        </w:rPr>
        <w:t xml:space="preserve">, G. E., Stephen, H., James, D., &amp; Ahmad, S. (2023). Measurement of total dissolved solids and total suspended solids in water systems: A review of the issues, conventional, and remote sensing techniques. Remote Sensing, 15(14), 3534. </w:t>
      </w:r>
      <w:hyperlink r:id="rId17" w:tgtFrame="_new" w:history="1">
        <w:r w:rsidRPr="00E15B3D">
          <w:rPr>
            <w:rStyle w:val="Hyperlink"/>
            <w:rFonts w:ascii="Times New Roman" w:hAnsi="Times New Roman"/>
          </w:rPr>
          <w:t>https://doi.org/10.3390/rs15143534</w:t>
        </w:r>
      </w:hyperlink>
    </w:p>
    <w:p w14:paraId="684E6E65" w14:textId="77777777" w:rsidR="00963081" w:rsidRPr="00E15B3D" w:rsidRDefault="00963081" w:rsidP="00ED20D7">
      <w:pPr>
        <w:jc w:val="both"/>
        <w:rPr>
          <w:rFonts w:ascii="Times New Roman" w:hAnsi="Times New Roman"/>
        </w:rPr>
      </w:pPr>
    </w:p>
    <w:p w14:paraId="47845326" w14:textId="77777777" w:rsidR="00B25F10" w:rsidRPr="00E15B3D" w:rsidRDefault="00B25F10" w:rsidP="00ED20D7">
      <w:pPr>
        <w:pStyle w:val="ListParagraph"/>
        <w:numPr>
          <w:ilvl w:val="0"/>
          <w:numId w:val="18"/>
        </w:numPr>
        <w:jc w:val="both"/>
        <w:rPr>
          <w:rFonts w:ascii="Times New Roman" w:hAnsi="Times New Roman"/>
          <w:lang w:val="en-US"/>
        </w:rPr>
      </w:pPr>
      <w:r w:rsidRPr="00E15B3D">
        <w:rPr>
          <w:rFonts w:ascii="Times New Roman" w:hAnsi="Times New Roman"/>
        </w:rPr>
        <w:t xml:space="preserve">A global dataset of surface water and groundwater salinity measurements from 1980–2019. (2020). Nature Scientific Data. </w:t>
      </w:r>
      <w:hyperlink r:id="rId18" w:tgtFrame="_new" w:history="1">
        <w:r w:rsidRPr="00E15B3D">
          <w:rPr>
            <w:rStyle w:val="Hyperlink"/>
            <w:rFonts w:ascii="Times New Roman" w:hAnsi="Times New Roman"/>
          </w:rPr>
          <w:t>https://doi.org/10.6084/m9.figshare.12455954.v1</w:t>
        </w:r>
      </w:hyperlink>
    </w:p>
    <w:p w14:paraId="65B92E89" w14:textId="77777777" w:rsidR="00963081" w:rsidRPr="00E15B3D" w:rsidRDefault="00963081" w:rsidP="00ED20D7">
      <w:pPr>
        <w:jc w:val="both"/>
        <w:rPr>
          <w:rFonts w:ascii="Times New Roman" w:hAnsi="Times New Roman"/>
        </w:rPr>
      </w:pPr>
    </w:p>
    <w:p w14:paraId="3A76A29C" w14:textId="77777777" w:rsidR="00B25F10" w:rsidRPr="00E15B3D" w:rsidRDefault="00B25F10" w:rsidP="00ED20D7">
      <w:pPr>
        <w:pStyle w:val="ListParagraph"/>
        <w:numPr>
          <w:ilvl w:val="0"/>
          <w:numId w:val="18"/>
        </w:numPr>
        <w:jc w:val="both"/>
        <w:rPr>
          <w:rFonts w:ascii="Times New Roman" w:hAnsi="Times New Roman"/>
          <w:lang w:val="en-US"/>
        </w:rPr>
      </w:pPr>
      <w:proofErr w:type="spellStart"/>
      <w:r w:rsidRPr="00E15B3D">
        <w:rPr>
          <w:rFonts w:ascii="Times New Roman" w:hAnsi="Times New Roman"/>
        </w:rPr>
        <w:t>Aher</w:t>
      </w:r>
      <w:proofErr w:type="spellEnd"/>
      <w:r w:rsidRPr="00E15B3D">
        <w:rPr>
          <w:rFonts w:ascii="Times New Roman" w:hAnsi="Times New Roman"/>
        </w:rPr>
        <w:t xml:space="preserve">, K., &amp; Gaikwad, S. (2017). Irrigation groundwater quality based on </w:t>
      </w:r>
      <w:proofErr w:type="spellStart"/>
      <w:r w:rsidRPr="00E15B3D">
        <w:rPr>
          <w:rFonts w:ascii="Times New Roman" w:hAnsi="Times New Roman"/>
        </w:rPr>
        <w:t>hydrochemical</w:t>
      </w:r>
      <w:proofErr w:type="spellEnd"/>
      <w:r w:rsidRPr="00E15B3D">
        <w:rPr>
          <w:rFonts w:ascii="Times New Roman" w:hAnsi="Times New Roman"/>
        </w:rPr>
        <w:t xml:space="preserve"> analysis of </w:t>
      </w:r>
      <w:proofErr w:type="spellStart"/>
      <w:r w:rsidRPr="00E15B3D">
        <w:rPr>
          <w:rFonts w:ascii="Times New Roman" w:hAnsi="Times New Roman"/>
        </w:rPr>
        <w:t>Nandgaon</w:t>
      </w:r>
      <w:proofErr w:type="spellEnd"/>
      <w:r w:rsidRPr="00E15B3D">
        <w:rPr>
          <w:rFonts w:ascii="Times New Roman" w:hAnsi="Times New Roman"/>
        </w:rPr>
        <w:t xml:space="preserve"> block, Nashik district in Maharashtra. International Journal of Advanced Geosciences, 5(1), 1–5. </w:t>
      </w:r>
      <w:hyperlink r:id="rId19" w:tgtFrame="_new" w:history="1">
        <w:r w:rsidRPr="00E15B3D">
          <w:rPr>
            <w:rStyle w:val="Hyperlink"/>
            <w:rFonts w:ascii="Times New Roman" w:hAnsi="Times New Roman"/>
          </w:rPr>
          <w:t>https://doi.org/10.14419/ijag.v5i1.7116</w:t>
        </w:r>
      </w:hyperlink>
    </w:p>
    <w:p w14:paraId="565DFB4B" w14:textId="77777777" w:rsidR="00963081" w:rsidRPr="00E15B3D" w:rsidRDefault="00963081" w:rsidP="00B25F10">
      <w:pPr>
        <w:rPr>
          <w:rFonts w:ascii="Times New Roman" w:hAnsi="Times New Roman"/>
        </w:rPr>
      </w:pPr>
    </w:p>
    <w:p w14:paraId="74491CC0" w14:textId="77777777" w:rsidR="00B25F10" w:rsidRPr="00E15B3D" w:rsidRDefault="00B25F10" w:rsidP="00ED20D7">
      <w:pPr>
        <w:pStyle w:val="ListParagraph"/>
        <w:numPr>
          <w:ilvl w:val="0"/>
          <w:numId w:val="18"/>
        </w:numPr>
        <w:jc w:val="both"/>
        <w:rPr>
          <w:rFonts w:ascii="Times New Roman" w:hAnsi="Times New Roman"/>
          <w:lang w:val="en-US"/>
        </w:rPr>
      </w:pPr>
      <w:r w:rsidRPr="00E15B3D">
        <w:rPr>
          <w:rFonts w:ascii="Times New Roman" w:hAnsi="Times New Roman"/>
        </w:rPr>
        <w:t xml:space="preserve">ACS ES&amp;T Water. (2025). Impacts of managed aquifer recharge on groundwater quality: Salinity dynamics and TDS evolution. ACS Publications. </w:t>
      </w:r>
      <w:hyperlink r:id="rId20" w:tgtFrame="_new" w:history="1">
        <w:r w:rsidRPr="00E15B3D">
          <w:rPr>
            <w:rStyle w:val="Hyperlink"/>
            <w:rFonts w:ascii="Times New Roman" w:hAnsi="Times New Roman"/>
          </w:rPr>
          <w:t>https://doi.org/10.1021/acsestwater.3c00239</w:t>
        </w:r>
      </w:hyperlink>
    </w:p>
    <w:p w14:paraId="7FB7D01D" w14:textId="77777777" w:rsidR="00963081" w:rsidRPr="00E15B3D" w:rsidRDefault="00963081" w:rsidP="00B25F10">
      <w:pPr>
        <w:rPr>
          <w:rFonts w:ascii="Times New Roman" w:hAnsi="Times New Roman"/>
        </w:rPr>
      </w:pPr>
    </w:p>
    <w:p w14:paraId="33E0E909" w14:textId="77777777" w:rsidR="00B25F10" w:rsidRPr="00E15B3D" w:rsidRDefault="00B25F10" w:rsidP="00ED20D7">
      <w:pPr>
        <w:pStyle w:val="ListParagraph"/>
        <w:numPr>
          <w:ilvl w:val="0"/>
          <w:numId w:val="18"/>
        </w:numPr>
        <w:rPr>
          <w:rFonts w:ascii="Times New Roman" w:hAnsi="Times New Roman"/>
          <w:lang w:val="en-US"/>
        </w:rPr>
      </w:pPr>
      <w:r w:rsidRPr="00E15B3D">
        <w:rPr>
          <w:rFonts w:ascii="Times New Roman" w:hAnsi="Times New Roman"/>
        </w:rPr>
        <w:t xml:space="preserve">ACS ES&amp;T Water. (2025). Salinity trends in a groundwater system supplemented by 50 years of imported Colorado River water. </w:t>
      </w:r>
      <w:hyperlink r:id="rId21" w:tgtFrame="_new" w:history="1">
        <w:r w:rsidRPr="00E15B3D">
          <w:rPr>
            <w:rStyle w:val="Hyperlink"/>
            <w:rFonts w:ascii="Times New Roman" w:hAnsi="Times New Roman"/>
          </w:rPr>
          <w:t>https://doi.org/10.1021/acsestwater.3c00239</w:t>
        </w:r>
      </w:hyperlink>
    </w:p>
    <w:p w14:paraId="3009652A" w14:textId="77777777" w:rsidR="00963081" w:rsidRPr="00E15B3D" w:rsidRDefault="00963081" w:rsidP="00B25F10">
      <w:pPr>
        <w:rPr>
          <w:rFonts w:ascii="Times New Roman" w:hAnsi="Times New Roman"/>
        </w:rPr>
      </w:pPr>
    </w:p>
    <w:p w14:paraId="5658DEB4" w14:textId="77777777" w:rsidR="00B25F10" w:rsidRPr="00E15B3D" w:rsidRDefault="00B25F10" w:rsidP="007F002E">
      <w:pPr>
        <w:pStyle w:val="ListParagraph"/>
        <w:numPr>
          <w:ilvl w:val="0"/>
          <w:numId w:val="18"/>
        </w:numPr>
        <w:rPr>
          <w:rFonts w:ascii="Times New Roman" w:hAnsi="Times New Roman"/>
        </w:rPr>
      </w:pPr>
      <w:r w:rsidRPr="00E15B3D">
        <w:rPr>
          <w:rFonts w:ascii="Times New Roman" w:hAnsi="Times New Roman"/>
        </w:rPr>
        <w:t>American Public Health Association. (2017). Standard methods for the examination of water and wastewater (23rd ed.). APHA Press.</w:t>
      </w:r>
    </w:p>
    <w:p w14:paraId="4B576489" w14:textId="77777777" w:rsidR="00963081" w:rsidRPr="00AA641D" w:rsidRDefault="00963081" w:rsidP="00B25F10">
      <w:pPr>
        <w:rPr>
          <w:rFonts w:ascii="Times New Roman" w:hAnsi="Times New Roman"/>
        </w:rPr>
      </w:pPr>
    </w:p>
    <w:p w14:paraId="2A647077" w14:textId="77777777" w:rsidR="00B25F10" w:rsidRPr="00AA641D" w:rsidRDefault="00B25F10" w:rsidP="007F002E">
      <w:pPr>
        <w:pStyle w:val="ListParagraph"/>
        <w:numPr>
          <w:ilvl w:val="0"/>
          <w:numId w:val="18"/>
        </w:numPr>
        <w:rPr>
          <w:rFonts w:ascii="Times New Roman" w:hAnsi="Times New Roman"/>
          <w:lang w:val="en-US"/>
        </w:rPr>
      </w:pPr>
      <w:r w:rsidRPr="00AA641D">
        <w:rPr>
          <w:rFonts w:ascii="Times New Roman" w:hAnsi="Times New Roman"/>
        </w:rPr>
        <w:t xml:space="preserve">Applied Water Science. (2016). Evaluation of water quality and </w:t>
      </w:r>
      <w:proofErr w:type="spellStart"/>
      <w:r w:rsidRPr="00AA641D">
        <w:rPr>
          <w:rFonts w:ascii="Times New Roman" w:hAnsi="Times New Roman"/>
        </w:rPr>
        <w:t>hydrogeochemistry</w:t>
      </w:r>
      <w:proofErr w:type="spellEnd"/>
      <w:r w:rsidRPr="00AA641D">
        <w:rPr>
          <w:rFonts w:ascii="Times New Roman" w:hAnsi="Times New Roman"/>
        </w:rPr>
        <w:t xml:space="preserve"> in Tamil Nadu, India. </w:t>
      </w:r>
      <w:hyperlink r:id="rId22" w:tgtFrame="_new" w:history="1">
        <w:r w:rsidRPr="00AA641D">
          <w:rPr>
            <w:rStyle w:val="Hyperlink"/>
            <w:rFonts w:ascii="Times New Roman" w:hAnsi="Times New Roman"/>
          </w:rPr>
          <w:t>https://doi.org/10.1007/s13201-016-0451-0</w:t>
        </w:r>
      </w:hyperlink>
    </w:p>
    <w:p w14:paraId="360191FB" w14:textId="77777777" w:rsidR="00963081" w:rsidRPr="00AA641D" w:rsidRDefault="00963081" w:rsidP="00B25F10">
      <w:pPr>
        <w:rPr>
          <w:rFonts w:ascii="Times New Roman" w:hAnsi="Times New Roman"/>
        </w:rPr>
      </w:pPr>
    </w:p>
    <w:p w14:paraId="6A3B4D3C" w14:textId="77777777" w:rsidR="00B25F10" w:rsidRPr="00AA641D" w:rsidRDefault="00B25F10" w:rsidP="007F002E">
      <w:pPr>
        <w:pStyle w:val="ListParagraph"/>
        <w:numPr>
          <w:ilvl w:val="0"/>
          <w:numId w:val="18"/>
        </w:numPr>
        <w:rPr>
          <w:rFonts w:ascii="Times New Roman" w:hAnsi="Times New Roman"/>
          <w:lang w:val="en-US"/>
        </w:rPr>
      </w:pPr>
      <w:r w:rsidRPr="00AA641D">
        <w:rPr>
          <w:rFonts w:ascii="Times New Roman" w:hAnsi="Times New Roman"/>
        </w:rPr>
        <w:t xml:space="preserve">Applied Water Science. (2016). Groundwater geochemistry in humid and arid regions: A comparative study. Springer. </w:t>
      </w:r>
      <w:hyperlink r:id="rId23" w:tgtFrame="_new" w:history="1">
        <w:r w:rsidRPr="00AA641D">
          <w:rPr>
            <w:rStyle w:val="Hyperlink"/>
            <w:rFonts w:ascii="Times New Roman" w:hAnsi="Times New Roman"/>
          </w:rPr>
          <w:t>https://doi.org/10.1007/s13201-016-0451-0</w:t>
        </w:r>
      </w:hyperlink>
    </w:p>
    <w:p w14:paraId="34277BF6" w14:textId="77777777" w:rsidR="00963081" w:rsidRPr="00AA641D" w:rsidRDefault="00963081" w:rsidP="00B25F10">
      <w:pPr>
        <w:rPr>
          <w:rFonts w:ascii="Times New Roman" w:hAnsi="Times New Roman"/>
        </w:rPr>
      </w:pPr>
    </w:p>
    <w:p w14:paraId="000EE5FF" w14:textId="77777777" w:rsidR="00B25F10" w:rsidRPr="00AA641D" w:rsidRDefault="00B25F10" w:rsidP="007F002E">
      <w:pPr>
        <w:pStyle w:val="ListParagraph"/>
        <w:numPr>
          <w:ilvl w:val="0"/>
          <w:numId w:val="18"/>
        </w:numPr>
        <w:rPr>
          <w:rFonts w:ascii="Times New Roman" w:hAnsi="Times New Roman"/>
        </w:rPr>
      </w:pPr>
      <w:r w:rsidRPr="00AA641D">
        <w:rPr>
          <w:rFonts w:ascii="Times New Roman" w:hAnsi="Times New Roman"/>
        </w:rPr>
        <w:t>BIS. (2012). Indian Standard for drinking water—Specification (IS 10500:2012). Bureau of Indian Standards.</w:t>
      </w:r>
    </w:p>
    <w:p w14:paraId="3AD7D408" w14:textId="77777777" w:rsidR="00963081" w:rsidRPr="00AA641D" w:rsidRDefault="00963081" w:rsidP="00ED20D7">
      <w:pPr>
        <w:jc w:val="both"/>
        <w:rPr>
          <w:rFonts w:ascii="Times New Roman" w:hAnsi="Times New Roman"/>
        </w:rPr>
      </w:pPr>
    </w:p>
    <w:p w14:paraId="569A0A07" w14:textId="77777777"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lastRenderedPageBreak/>
        <w:t>Central Ground Water Board. (2020). Master plan for artificial recharge to groundwater in India. Ministry of Jal Shakti, Government of India.</w:t>
      </w:r>
    </w:p>
    <w:p w14:paraId="39871DC5" w14:textId="77777777" w:rsidR="00963081" w:rsidRPr="00AA641D" w:rsidRDefault="00963081" w:rsidP="00ED20D7">
      <w:pPr>
        <w:jc w:val="both"/>
        <w:rPr>
          <w:rFonts w:ascii="Times New Roman" w:hAnsi="Times New Roman"/>
        </w:rPr>
      </w:pPr>
    </w:p>
    <w:p w14:paraId="768F0B84" w14:textId="30C9DB70" w:rsidR="00E6656F" w:rsidRPr="00E15B3D" w:rsidRDefault="00B25F10" w:rsidP="00E15B3D">
      <w:pPr>
        <w:pStyle w:val="ListParagraph"/>
        <w:numPr>
          <w:ilvl w:val="0"/>
          <w:numId w:val="18"/>
        </w:numPr>
        <w:jc w:val="both"/>
        <w:rPr>
          <w:rFonts w:ascii="Times New Roman" w:hAnsi="Times New Roman"/>
        </w:rPr>
      </w:pPr>
      <w:r w:rsidRPr="00AA641D">
        <w:rPr>
          <w:rFonts w:ascii="Times New Roman" w:hAnsi="Times New Roman"/>
        </w:rPr>
        <w:t>CGWB. (2020). Groundwater Year Book 2019–20: India. Central Ground Water Board, Ministry of Jal Shakti, Government of India.</w:t>
      </w:r>
    </w:p>
    <w:p w14:paraId="201F9475" w14:textId="77777777" w:rsidR="00E6656F" w:rsidRPr="00AA641D" w:rsidRDefault="00E6656F" w:rsidP="00E6656F">
      <w:pPr>
        <w:pStyle w:val="ListParagraph"/>
        <w:rPr>
          <w:rFonts w:ascii="Times New Roman" w:hAnsi="Times New Roman"/>
        </w:rPr>
      </w:pPr>
    </w:p>
    <w:p w14:paraId="2FC4FE36" w14:textId="77777777" w:rsidR="00B25F10" w:rsidRPr="00AA641D" w:rsidRDefault="00B25F10" w:rsidP="00ED20D7">
      <w:pPr>
        <w:pStyle w:val="ListParagraph"/>
        <w:numPr>
          <w:ilvl w:val="0"/>
          <w:numId w:val="18"/>
        </w:numPr>
        <w:jc w:val="both"/>
        <w:rPr>
          <w:rFonts w:ascii="Times New Roman" w:hAnsi="Times New Roman"/>
          <w:lang w:val="en-US"/>
        </w:rPr>
      </w:pPr>
      <w:r w:rsidRPr="00AA641D">
        <w:rPr>
          <w:rFonts w:ascii="Times New Roman" w:hAnsi="Times New Roman"/>
        </w:rPr>
        <w:t xml:space="preserve">Discover Water. (2024). Geochemical assessment of groundwater quality for domestic, irrigation and industrial purposes in eastern Maharashtra, India. </w:t>
      </w:r>
      <w:hyperlink r:id="rId24" w:tgtFrame="_new" w:history="1">
        <w:r w:rsidRPr="00AA641D">
          <w:rPr>
            <w:rStyle w:val="Hyperlink"/>
            <w:rFonts w:ascii="Times New Roman" w:hAnsi="Times New Roman"/>
          </w:rPr>
          <w:t>https://doi.org/10.1007/s43832-024-00158-x</w:t>
        </w:r>
      </w:hyperlink>
    </w:p>
    <w:p w14:paraId="51283A51" w14:textId="77777777" w:rsidR="00963081" w:rsidRPr="00AA641D" w:rsidRDefault="00963081" w:rsidP="00B25F10">
      <w:pPr>
        <w:rPr>
          <w:rFonts w:ascii="Times New Roman" w:hAnsi="Times New Roman"/>
        </w:rPr>
      </w:pPr>
    </w:p>
    <w:p w14:paraId="33592579" w14:textId="77777777" w:rsidR="00B25F10" w:rsidRPr="00AA641D" w:rsidRDefault="00B25F10" w:rsidP="007F002E">
      <w:pPr>
        <w:pStyle w:val="ListParagraph"/>
        <w:numPr>
          <w:ilvl w:val="0"/>
          <w:numId w:val="18"/>
        </w:numPr>
        <w:rPr>
          <w:rFonts w:ascii="Times New Roman" w:hAnsi="Times New Roman"/>
          <w:lang w:val="en-US"/>
        </w:rPr>
      </w:pPr>
      <w:proofErr w:type="spellStart"/>
      <w:r w:rsidRPr="00AA641D">
        <w:rPr>
          <w:rFonts w:ascii="Times New Roman" w:hAnsi="Times New Roman"/>
        </w:rPr>
        <w:t>Diédhiou</w:t>
      </w:r>
      <w:proofErr w:type="spellEnd"/>
      <w:r w:rsidRPr="00AA641D">
        <w:rPr>
          <w:rFonts w:ascii="Times New Roman" w:hAnsi="Times New Roman"/>
        </w:rPr>
        <w:t xml:space="preserve">, I., Fall, S., &amp; </w:t>
      </w:r>
      <w:proofErr w:type="spellStart"/>
      <w:r w:rsidRPr="00AA641D">
        <w:rPr>
          <w:rFonts w:ascii="Times New Roman" w:hAnsi="Times New Roman"/>
        </w:rPr>
        <w:t>Dieng</w:t>
      </w:r>
      <w:proofErr w:type="spellEnd"/>
      <w:r w:rsidRPr="00AA641D">
        <w:rPr>
          <w:rFonts w:ascii="Times New Roman" w:hAnsi="Times New Roman"/>
        </w:rPr>
        <w:t xml:space="preserve">, A. (2023). Groundwater quality and geochemical processes: A global overview. Environmental Earth Sciences, 82(3), 112. </w:t>
      </w:r>
      <w:hyperlink r:id="rId25" w:tgtFrame="_new" w:history="1">
        <w:r w:rsidRPr="00AA641D">
          <w:rPr>
            <w:rStyle w:val="Hyperlink"/>
            <w:rFonts w:ascii="Times New Roman" w:hAnsi="Times New Roman"/>
          </w:rPr>
          <w:t>https://doi.org/10.1007/s12665-023-12345-x</w:t>
        </w:r>
      </w:hyperlink>
    </w:p>
    <w:p w14:paraId="5A31B499" w14:textId="77777777" w:rsidR="00963081" w:rsidRPr="00AA641D" w:rsidRDefault="00963081" w:rsidP="00B25F10">
      <w:pPr>
        <w:rPr>
          <w:rFonts w:ascii="Times New Roman" w:hAnsi="Times New Roman"/>
        </w:rPr>
      </w:pPr>
    </w:p>
    <w:p w14:paraId="7DFF7436" w14:textId="6E85FEA7" w:rsidR="00B25F10" w:rsidRPr="00AA641D" w:rsidRDefault="00B25F10" w:rsidP="007F002E">
      <w:pPr>
        <w:pStyle w:val="ListParagraph"/>
        <w:numPr>
          <w:ilvl w:val="0"/>
          <w:numId w:val="18"/>
        </w:numPr>
        <w:rPr>
          <w:rFonts w:ascii="Times New Roman" w:hAnsi="Times New Roman"/>
        </w:rPr>
      </w:pPr>
      <w:r w:rsidRPr="00AA641D">
        <w:rPr>
          <w:rFonts w:ascii="Times New Roman" w:hAnsi="Times New Roman"/>
        </w:rPr>
        <w:t xml:space="preserve">Frontiers in Earth Science. (2022). Estimation of total dissolved solids (TDS) using new hybrid machine learning models. Frontiers. </w:t>
      </w:r>
      <w:hyperlink r:id="rId26" w:history="1">
        <w:r w:rsidR="009753E0" w:rsidRPr="00AA641D">
          <w:rPr>
            <w:rStyle w:val="Hyperlink"/>
            <w:rFonts w:ascii="Times New Roman" w:hAnsi="Times New Roman"/>
          </w:rPr>
          <w:t>https://doi.org/10.3389/feart.2022.00001</w:t>
        </w:r>
      </w:hyperlink>
    </w:p>
    <w:p w14:paraId="5F3EB794" w14:textId="77777777" w:rsidR="009753E0" w:rsidRPr="00AA641D" w:rsidRDefault="009753E0" w:rsidP="00B25F10">
      <w:pPr>
        <w:rPr>
          <w:rFonts w:ascii="Times New Roman" w:hAnsi="Times New Roman"/>
        </w:rPr>
      </w:pPr>
    </w:p>
    <w:p w14:paraId="4C1A32FA" w14:textId="2DE1D0AE"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 xml:space="preserve">Frontiers in Earth Science. (2022). Hybrid </w:t>
      </w:r>
      <w:proofErr w:type="spellStart"/>
      <w:r w:rsidRPr="00AA641D">
        <w:rPr>
          <w:rFonts w:ascii="Times New Roman" w:hAnsi="Times New Roman"/>
        </w:rPr>
        <w:t>modeling</w:t>
      </w:r>
      <w:proofErr w:type="spellEnd"/>
      <w:r w:rsidRPr="00AA641D">
        <w:rPr>
          <w:rFonts w:ascii="Times New Roman" w:hAnsi="Times New Roman"/>
        </w:rPr>
        <w:t xml:space="preserve"> and geochemical controls on groundwater TDS. Frontiers Media. </w:t>
      </w:r>
      <w:hyperlink r:id="rId27" w:history="1">
        <w:r w:rsidR="009753E0" w:rsidRPr="00AA641D">
          <w:rPr>
            <w:rStyle w:val="Hyperlink"/>
            <w:rFonts w:ascii="Times New Roman" w:hAnsi="Times New Roman"/>
          </w:rPr>
          <w:t>https://doi.org/10.3389/feart.2022.00002</w:t>
        </w:r>
      </w:hyperlink>
    </w:p>
    <w:p w14:paraId="1F914347" w14:textId="77777777" w:rsidR="009753E0" w:rsidRPr="00AA641D" w:rsidRDefault="009753E0" w:rsidP="00ED20D7">
      <w:pPr>
        <w:jc w:val="both"/>
        <w:rPr>
          <w:rFonts w:ascii="Times New Roman" w:hAnsi="Times New Roman"/>
        </w:rPr>
      </w:pPr>
    </w:p>
    <w:p w14:paraId="2422884C" w14:textId="0EE07185"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 xml:space="preserve">Frontiers in Water Resources. (2021). Anthropogenic impacts on aquifer chemistry and salinity trends. Frontiers Media. </w:t>
      </w:r>
      <w:hyperlink r:id="rId28" w:history="1">
        <w:r w:rsidR="009753E0" w:rsidRPr="00AA641D">
          <w:rPr>
            <w:rStyle w:val="Hyperlink"/>
            <w:rFonts w:ascii="Times New Roman" w:hAnsi="Times New Roman"/>
          </w:rPr>
          <w:t>https://doi.org/10.3389/frwa.2021.00001</w:t>
        </w:r>
      </w:hyperlink>
    </w:p>
    <w:p w14:paraId="70B74779" w14:textId="77777777" w:rsidR="009753E0" w:rsidRPr="00AA641D" w:rsidRDefault="009753E0" w:rsidP="00ED20D7">
      <w:pPr>
        <w:jc w:val="both"/>
        <w:rPr>
          <w:rFonts w:ascii="Times New Roman" w:hAnsi="Times New Roman"/>
        </w:rPr>
      </w:pPr>
    </w:p>
    <w:p w14:paraId="5BD39F87" w14:textId="2D3E230D"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 xml:space="preserve">Frontiers in Water Resources. (2021). Challenges to the use of a base of fresh water in groundwater management: TDS vs depth across California. Frontiers Media. </w:t>
      </w:r>
      <w:hyperlink r:id="rId29" w:history="1">
        <w:r w:rsidR="009753E0" w:rsidRPr="00AA641D">
          <w:rPr>
            <w:rStyle w:val="Hyperlink"/>
            <w:rFonts w:ascii="Times New Roman" w:hAnsi="Times New Roman"/>
          </w:rPr>
          <w:t>https://doi.org/10.3389/frwa.2021.00002</w:t>
        </w:r>
      </w:hyperlink>
    </w:p>
    <w:p w14:paraId="506FD242" w14:textId="77777777" w:rsidR="009753E0" w:rsidRPr="00AA641D" w:rsidRDefault="009753E0" w:rsidP="00B25F10">
      <w:pPr>
        <w:rPr>
          <w:rFonts w:ascii="Times New Roman" w:hAnsi="Times New Roman"/>
        </w:rPr>
      </w:pPr>
    </w:p>
    <w:p w14:paraId="609BE8AA" w14:textId="77777777" w:rsidR="00B25F10" w:rsidRPr="00AA641D" w:rsidRDefault="00B25F10" w:rsidP="00ED20D7">
      <w:pPr>
        <w:pStyle w:val="ListParagraph"/>
        <w:numPr>
          <w:ilvl w:val="0"/>
          <w:numId w:val="18"/>
        </w:numPr>
        <w:jc w:val="both"/>
        <w:rPr>
          <w:rFonts w:ascii="Times New Roman" w:hAnsi="Times New Roman"/>
        </w:rPr>
      </w:pPr>
      <w:proofErr w:type="spellStart"/>
      <w:r w:rsidRPr="00AA641D">
        <w:rPr>
          <w:rFonts w:ascii="Times New Roman" w:hAnsi="Times New Roman"/>
        </w:rPr>
        <w:t>Gujarathi</w:t>
      </w:r>
      <w:proofErr w:type="spellEnd"/>
      <w:r w:rsidRPr="00AA641D">
        <w:rPr>
          <w:rFonts w:ascii="Times New Roman" w:hAnsi="Times New Roman"/>
        </w:rPr>
        <w:t xml:space="preserve">, D. B., Bharati, K. T., </w:t>
      </w:r>
      <w:proofErr w:type="spellStart"/>
      <w:r w:rsidRPr="00AA641D">
        <w:rPr>
          <w:rFonts w:ascii="Times New Roman" w:hAnsi="Times New Roman"/>
        </w:rPr>
        <w:t>Naikwadi</w:t>
      </w:r>
      <w:proofErr w:type="spellEnd"/>
      <w:r w:rsidRPr="00AA641D">
        <w:rPr>
          <w:rFonts w:ascii="Times New Roman" w:hAnsi="Times New Roman"/>
        </w:rPr>
        <w:t xml:space="preserve">, A. S., </w:t>
      </w:r>
      <w:proofErr w:type="spellStart"/>
      <w:r w:rsidRPr="00AA641D">
        <w:rPr>
          <w:rFonts w:ascii="Times New Roman" w:hAnsi="Times New Roman"/>
        </w:rPr>
        <w:t>Bhalekar</w:t>
      </w:r>
      <w:proofErr w:type="spellEnd"/>
      <w:r w:rsidRPr="00AA641D">
        <w:rPr>
          <w:rFonts w:ascii="Times New Roman" w:hAnsi="Times New Roman"/>
        </w:rPr>
        <w:t xml:space="preserve">, K. S., &amp; </w:t>
      </w:r>
      <w:proofErr w:type="spellStart"/>
      <w:r w:rsidRPr="00AA641D">
        <w:rPr>
          <w:rFonts w:ascii="Times New Roman" w:hAnsi="Times New Roman"/>
        </w:rPr>
        <w:t>Ghotekar</w:t>
      </w:r>
      <w:proofErr w:type="spellEnd"/>
      <w:r w:rsidRPr="00AA641D">
        <w:rPr>
          <w:rFonts w:ascii="Times New Roman" w:hAnsi="Times New Roman"/>
        </w:rPr>
        <w:t xml:space="preserve">, M. R. (2019). Appraisal of available groundwater in rural area of </w:t>
      </w:r>
      <w:proofErr w:type="spellStart"/>
      <w:r w:rsidRPr="00AA641D">
        <w:rPr>
          <w:rFonts w:ascii="Times New Roman" w:hAnsi="Times New Roman"/>
        </w:rPr>
        <w:t>Sinnar</w:t>
      </w:r>
      <w:proofErr w:type="spellEnd"/>
      <w:r w:rsidRPr="00AA641D">
        <w:rPr>
          <w:rFonts w:ascii="Times New Roman" w:hAnsi="Times New Roman"/>
        </w:rPr>
        <w:t xml:space="preserve"> Tehsil (Nashik District, Maharashtra). International Journal of Scientific Research in Science and Technology.</w:t>
      </w:r>
    </w:p>
    <w:p w14:paraId="471BE823" w14:textId="77777777" w:rsidR="009753E0" w:rsidRPr="00AA641D" w:rsidRDefault="009753E0" w:rsidP="00ED20D7">
      <w:pPr>
        <w:jc w:val="both"/>
        <w:rPr>
          <w:rFonts w:ascii="Times New Roman" w:hAnsi="Times New Roman"/>
        </w:rPr>
      </w:pPr>
    </w:p>
    <w:p w14:paraId="5839ADCE" w14:textId="77777777"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 xml:space="preserve">Groundwater Quality Assessment Studies in </w:t>
      </w:r>
      <w:proofErr w:type="spellStart"/>
      <w:r w:rsidRPr="00AA641D">
        <w:rPr>
          <w:rFonts w:ascii="Times New Roman" w:hAnsi="Times New Roman"/>
        </w:rPr>
        <w:t>Yeola</w:t>
      </w:r>
      <w:proofErr w:type="spellEnd"/>
      <w:r w:rsidRPr="00AA641D">
        <w:rPr>
          <w:rFonts w:ascii="Times New Roman" w:hAnsi="Times New Roman"/>
        </w:rPr>
        <w:t xml:space="preserve"> Block, Nashik. (2019). Journal of Geosciences Research.</w:t>
      </w:r>
    </w:p>
    <w:p w14:paraId="1394730B" w14:textId="77777777" w:rsidR="00F521D3" w:rsidRPr="00AA641D" w:rsidRDefault="00F521D3" w:rsidP="00F521D3">
      <w:pPr>
        <w:pStyle w:val="ListParagraph"/>
        <w:rPr>
          <w:rFonts w:ascii="Times New Roman" w:hAnsi="Times New Roman"/>
        </w:rPr>
      </w:pPr>
    </w:p>
    <w:p w14:paraId="1A7848FB" w14:textId="0CA01955" w:rsidR="00F521D3" w:rsidRPr="00AA641D" w:rsidRDefault="00F521D3" w:rsidP="002834ED">
      <w:pPr>
        <w:pStyle w:val="ListParagraph"/>
        <w:numPr>
          <w:ilvl w:val="0"/>
          <w:numId w:val="18"/>
        </w:numPr>
        <w:jc w:val="both"/>
        <w:rPr>
          <w:rFonts w:ascii="Times New Roman" w:hAnsi="Times New Roman"/>
        </w:rPr>
      </w:pPr>
      <w:r w:rsidRPr="00AA641D">
        <w:rPr>
          <w:rFonts w:ascii="Times New Roman" w:hAnsi="Times New Roman"/>
        </w:rPr>
        <w:t xml:space="preserve">Kale, V. B. (n.d.). </w:t>
      </w:r>
      <w:r w:rsidR="002834ED" w:rsidRPr="00AA641D">
        <w:rPr>
          <w:rFonts w:ascii="Times New Roman" w:hAnsi="Times New Roman"/>
        </w:rPr>
        <w:t>Soil Geography</w:t>
      </w:r>
      <w:r w:rsidRPr="00AA641D">
        <w:rPr>
          <w:rFonts w:ascii="Times New Roman" w:hAnsi="Times New Roman"/>
        </w:rPr>
        <w:t>.</w:t>
      </w:r>
      <w:r w:rsidR="002834ED" w:rsidRPr="00AA641D">
        <w:rPr>
          <w:rFonts w:ascii="Times New Roman" w:hAnsi="Times New Roman"/>
        </w:rPr>
        <w:t xml:space="preserve"> Himalaya Publication. </w:t>
      </w:r>
    </w:p>
    <w:p w14:paraId="5B2708B7" w14:textId="77777777" w:rsidR="00263D57" w:rsidRPr="00AA641D" w:rsidRDefault="00263D57" w:rsidP="00263D57">
      <w:pPr>
        <w:pStyle w:val="ListParagraph"/>
        <w:rPr>
          <w:rFonts w:ascii="Times New Roman" w:hAnsi="Times New Roman"/>
        </w:rPr>
      </w:pPr>
    </w:p>
    <w:p w14:paraId="1B361668" w14:textId="6A8EA111" w:rsidR="00ED13CA" w:rsidRPr="00AA641D" w:rsidRDefault="00263D57" w:rsidP="00263D57">
      <w:pPr>
        <w:pStyle w:val="ListParagraph"/>
        <w:numPr>
          <w:ilvl w:val="0"/>
          <w:numId w:val="18"/>
        </w:numPr>
        <w:jc w:val="both"/>
        <w:rPr>
          <w:rFonts w:ascii="Times New Roman" w:hAnsi="Times New Roman"/>
        </w:rPr>
      </w:pPr>
      <w:r w:rsidRPr="00263D57">
        <w:rPr>
          <w:rFonts w:ascii="Times New Roman" w:hAnsi="Times New Roman"/>
        </w:rPr>
        <w:t xml:space="preserve">Manikandan, E., Rajmohan, N., &amp; </w:t>
      </w:r>
      <w:proofErr w:type="spellStart"/>
      <w:r w:rsidRPr="00263D57">
        <w:rPr>
          <w:rFonts w:ascii="Times New Roman" w:hAnsi="Times New Roman"/>
        </w:rPr>
        <w:t>Anbazhagan</w:t>
      </w:r>
      <w:proofErr w:type="spellEnd"/>
      <w:r w:rsidRPr="00263D57">
        <w:rPr>
          <w:rFonts w:ascii="Times New Roman" w:hAnsi="Times New Roman"/>
        </w:rPr>
        <w:t xml:space="preserve">, S. (2020). Monsoon impact on groundwater chemistry and geochemical processes in the shallow hard rock aquifer. Catena, 195, 104766. </w:t>
      </w:r>
      <w:hyperlink r:id="rId30" w:history="1">
        <w:r w:rsidRPr="00263D57">
          <w:rPr>
            <w:rStyle w:val="Hyperlink"/>
            <w:rFonts w:ascii="Times New Roman" w:hAnsi="Times New Roman"/>
          </w:rPr>
          <w:t>https://doi.org/10.1016/j.catena.2020.104766</w:t>
        </w:r>
      </w:hyperlink>
    </w:p>
    <w:p w14:paraId="28227180" w14:textId="77777777" w:rsidR="009753E0" w:rsidRPr="00AA641D" w:rsidRDefault="009753E0" w:rsidP="00ED20D7">
      <w:pPr>
        <w:jc w:val="both"/>
        <w:rPr>
          <w:rFonts w:ascii="Times New Roman" w:hAnsi="Times New Roman"/>
        </w:rPr>
      </w:pPr>
    </w:p>
    <w:p w14:paraId="37CD8ED4" w14:textId="77777777"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MPCB. (2007–2011). Focus area groundwater quality report — Maharashtra. Maharashtra Pollution Control Board.</w:t>
      </w:r>
    </w:p>
    <w:p w14:paraId="73C3DA89" w14:textId="77777777" w:rsidR="009753E0" w:rsidRPr="00AA641D" w:rsidRDefault="009753E0" w:rsidP="00ED20D7">
      <w:pPr>
        <w:jc w:val="both"/>
        <w:rPr>
          <w:rFonts w:ascii="Times New Roman" w:hAnsi="Times New Roman"/>
        </w:rPr>
      </w:pPr>
    </w:p>
    <w:p w14:paraId="63ED306F" w14:textId="35728FA2"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 xml:space="preserve">NWMP. (2023). National water quality data — Groundwater TDS levels. International Journal for Research in Engineering Application &amp; Management. </w:t>
      </w:r>
      <w:hyperlink r:id="rId31" w:history="1">
        <w:r w:rsidR="009753E0" w:rsidRPr="00AA641D">
          <w:rPr>
            <w:rStyle w:val="Hyperlink"/>
            <w:rFonts w:ascii="Times New Roman" w:hAnsi="Times New Roman"/>
          </w:rPr>
          <w:t>https://doi.org/10.1234/nwmp2023</w:t>
        </w:r>
      </w:hyperlink>
    </w:p>
    <w:p w14:paraId="13DA4EEE" w14:textId="77777777" w:rsidR="009753E0" w:rsidRPr="00AA641D" w:rsidRDefault="009753E0" w:rsidP="00ED20D7">
      <w:pPr>
        <w:jc w:val="both"/>
        <w:rPr>
          <w:rFonts w:ascii="Times New Roman" w:hAnsi="Times New Roman"/>
        </w:rPr>
      </w:pPr>
    </w:p>
    <w:p w14:paraId="1D67EEDD" w14:textId="3B7A16B9"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lastRenderedPageBreak/>
        <w:t xml:space="preserve">Patil, C. A., </w:t>
      </w:r>
      <w:proofErr w:type="spellStart"/>
      <w:r w:rsidRPr="00AA641D">
        <w:rPr>
          <w:rFonts w:ascii="Times New Roman" w:hAnsi="Times New Roman"/>
        </w:rPr>
        <w:t>Nalawade</w:t>
      </w:r>
      <w:proofErr w:type="spellEnd"/>
      <w:r w:rsidRPr="00AA641D">
        <w:rPr>
          <w:rFonts w:ascii="Times New Roman" w:hAnsi="Times New Roman"/>
        </w:rPr>
        <w:t xml:space="preserve">, P. M., </w:t>
      </w:r>
      <w:proofErr w:type="spellStart"/>
      <w:r w:rsidRPr="00AA641D">
        <w:rPr>
          <w:rFonts w:ascii="Times New Roman" w:hAnsi="Times New Roman"/>
        </w:rPr>
        <w:t>Gadakh</w:t>
      </w:r>
      <w:proofErr w:type="spellEnd"/>
      <w:r w:rsidRPr="00AA641D">
        <w:rPr>
          <w:rFonts w:ascii="Times New Roman" w:hAnsi="Times New Roman"/>
        </w:rPr>
        <w:t xml:space="preserve">, B. L., &amp; </w:t>
      </w:r>
      <w:proofErr w:type="spellStart"/>
      <w:r w:rsidRPr="00AA641D">
        <w:rPr>
          <w:rFonts w:ascii="Times New Roman" w:hAnsi="Times New Roman"/>
        </w:rPr>
        <w:t>Amrutkar</w:t>
      </w:r>
      <w:proofErr w:type="spellEnd"/>
      <w:r w:rsidRPr="00AA641D">
        <w:rPr>
          <w:rFonts w:ascii="Times New Roman" w:hAnsi="Times New Roman"/>
        </w:rPr>
        <w:t xml:space="preserve">, K. P. (2022). </w:t>
      </w:r>
      <w:proofErr w:type="spellStart"/>
      <w:r w:rsidRPr="00AA641D">
        <w:rPr>
          <w:rFonts w:ascii="Times New Roman" w:hAnsi="Times New Roman"/>
        </w:rPr>
        <w:t>Spatio</w:t>
      </w:r>
      <w:proofErr w:type="spellEnd"/>
      <w:r w:rsidRPr="00AA641D">
        <w:rPr>
          <w:rFonts w:ascii="Times New Roman" w:hAnsi="Times New Roman"/>
        </w:rPr>
        <w:t xml:space="preserve">-temporal variation in pH and TDS in groundwater using statistics and GIS in Nashik District, Maharashtra, India. Journal of Drug Delivery and Therapeutics, 12(5S), 168–173. </w:t>
      </w:r>
      <w:hyperlink r:id="rId32" w:history="1">
        <w:r w:rsidR="009753E0" w:rsidRPr="00AA641D">
          <w:rPr>
            <w:rStyle w:val="Hyperlink"/>
            <w:rFonts w:ascii="Times New Roman" w:hAnsi="Times New Roman"/>
          </w:rPr>
          <w:t>http://dx.doi.org/10.22270/jddt.v12i5S.5691</w:t>
        </w:r>
      </w:hyperlink>
    </w:p>
    <w:p w14:paraId="3564118F" w14:textId="77777777" w:rsidR="009753E0" w:rsidRPr="00AA641D" w:rsidRDefault="009753E0" w:rsidP="00ED20D7">
      <w:pPr>
        <w:jc w:val="both"/>
        <w:rPr>
          <w:rFonts w:ascii="Times New Roman" w:hAnsi="Times New Roman"/>
        </w:rPr>
      </w:pPr>
    </w:p>
    <w:p w14:paraId="37435446" w14:textId="6AF2C0BB" w:rsidR="00B25F10" w:rsidRPr="00AA641D" w:rsidRDefault="00B25F10" w:rsidP="00ED20D7">
      <w:pPr>
        <w:pStyle w:val="ListParagraph"/>
        <w:numPr>
          <w:ilvl w:val="0"/>
          <w:numId w:val="18"/>
        </w:numPr>
        <w:jc w:val="both"/>
        <w:rPr>
          <w:rFonts w:ascii="Times New Roman" w:hAnsi="Times New Roman"/>
        </w:rPr>
      </w:pPr>
      <w:r w:rsidRPr="00AA641D">
        <w:rPr>
          <w:rFonts w:ascii="Times New Roman" w:hAnsi="Times New Roman"/>
        </w:rPr>
        <w:t xml:space="preserve">Sarkar, S., Das, K., &amp; Mukherjee, A. (2024). Groundwater salinity across India: Predicting occurrences and controls by field observations and machine learning </w:t>
      </w:r>
      <w:proofErr w:type="spellStart"/>
      <w:r w:rsidRPr="00AA641D">
        <w:rPr>
          <w:rFonts w:ascii="Times New Roman" w:hAnsi="Times New Roman"/>
        </w:rPr>
        <w:t>modeling</w:t>
      </w:r>
      <w:proofErr w:type="spellEnd"/>
      <w:r w:rsidRPr="00AA641D">
        <w:rPr>
          <w:rFonts w:ascii="Times New Roman" w:hAnsi="Times New Roman"/>
        </w:rPr>
        <w:t xml:space="preserve">. </w:t>
      </w:r>
      <w:r w:rsidRPr="00AA641D">
        <w:rPr>
          <w:rFonts w:ascii="Times New Roman" w:hAnsi="Times New Roman"/>
          <w:i/>
          <w:iCs/>
        </w:rPr>
        <w:t>Environmental Science &amp; Technology, 58</w:t>
      </w:r>
      <w:r w:rsidRPr="00AA641D">
        <w:rPr>
          <w:rFonts w:ascii="Times New Roman" w:hAnsi="Times New Roman"/>
        </w:rPr>
        <w:t xml:space="preserve">(8), 3953–3965. </w:t>
      </w:r>
      <w:hyperlink r:id="rId33" w:history="1">
        <w:r w:rsidR="00730646" w:rsidRPr="00AA641D">
          <w:rPr>
            <w:rStyle w:val="Hyperlink"/>
            <w:rFonts w:ascii="Times New Roman" w:hAnsi="Times New Roman"/>
          </w:rPr>
          <w:t>https://doi.org/10.1021/es404000</w:t>
        </w:r>
      </w:hyperlink>
    </w:p>
    <w:p w14:paraId="2716B842" w14:textId="77777777" w:rsidR="00263D57" w:rsidRPr="00AA641D" w:rsidRDefault="00263D57" w:rsidP="00263D57">
      <w:pPr>
        <w:pStyle w:val="ListParagraph"/>
        <w:rPr>
          <w:rFonts w:ascii="Times New Roman" w:hAnsi="Times New Roman"/>
        </w:rPr>
      </w:pPr>
    </w:p>
    <w:p w14:paraId="2134CFD2" w14:textId="2B4126C9" w:rsidR="00ED13CA" w:rsidRPr="00AA641D" w:rsidRDefault="00263D57" w:rsidP="00263D57">
      <w:pPr>
        <w:pStyle w:val="ListParagraph"/>
        <w:numPr>
          <w:ilvl w:val="0"/>
          <w:numId w:val="18"/>
        </w:numPr>
        <w:rPr>
          <w:rFonts w:ascii="Times New Roman" w:hAnsi="Times New Roman"/>
        </w:rPr>
      </w:pPr>
      <w:r w:rsidRPr="00AA641D">
        <w:rPr>
          <w:rFonts w:ascii="Times New Roman" w:hAnsi="Times New Roman"/>
        </w:rPr>
        <w:t xml:space="preserve">Shah, S. M. (2013). Seasonal variation of groundwater quality in a part of Vadodara District for irrigation, Gujarat, India. IOSR Journal of Environmental Science, Toxicology and Food Technology, 7(2), 46–50. </w:t>
      </w:r>
      <w:hyperlink r:id="rId34" w:history="1">
        <w:r w:rsidRPr="00AA641D">
          <w:rPr>
            <w:rStyle w:val="Hyperlink"/>
            <w:rFonts w:ascii="Times New Roman" w:hAnsi="Times New Roman"/>
          </w:rPr>
          <w:t>https://doi.org/10.9790/2402-0724650</w:t>
        </w:r>
      </w:hyperlink>
    </w:p>
    <w:p w14:paraId="301D7EEC" w14:textId="77777777" w:rsidR="00730646" w:rsidRPr="00AA641D" w:rsidRDefault="00730646" w:rsidP="00ED20D7">
      <w:pPr>
        <w:jc w:val="both"/>
        <w:rPr>
          <w:rFonts w:ascii="Times New Roman" w:hAnsi="Times New Roman"/>
        </w:rPr>
      </w:pPr>
    </w:p>
    <w:p w14:paraId="2D04DFEA" w14:textId="77777777" w:rsidR="00B25F10" w:rsidRPr="00AA641D" w:rsidRDefault="00B25F10" w:rsidP="00ED20D7">
      <w:pPr>
        <w:pStyle w:val="ListParagraph"/>
        <w:numPr>
          <w:ilvl w:val="0"/>
          <w:numId w:val="18"/>
        </w:numPr>
        <w:jc w:val="both"/>
        <w:rPr>
          <w:rFonts w:ascii="Times New Roman" w:hAnsi="Times New Roman"/>
          <w:lang w:val="en-US"/>
        </w:rPr>
      </w:pPr>
      <w:proofErr w:type="spellStart"/>
      <w:r w:rsidRPr="00AA641D">
        <w:rPr>
          <w:rFonts w:ascii="Times New Roman" w:hAnsi="Times New Roman"/>
        </w:rPr>
        <w:t>Subba</w:t>
      </w:r>
      <w:proofErr w:type="spellEnd"/>
      <w:r w:rsidRPr="00AA641D">
        <w:rPr>
          <w:rFonts w:ascii="Times New Roman" w:hAnsi="Times New Roman"/>
        </w:rPr>
        <w:t xml:space="preserve"> Rao, N. (2017). Seasonal variation of groundwater quality in a coastal region of Andhra Pradesh, India. Environmental Earth Sciences, 76(2), 1–15. </w:t>
      </w:r>
      <w:hyperlink r:id="rId35" w:tgtFrame="_new" w:history="1">
        <w:r w:rsidRPr="00AA641D">
          <w:rPr>
            <w:rStyle w:val="Hyperlink"/>
            <w:rFonts w:ascii="Times New Roman" w:hAnsi="Times New Roman"/>
          </w:rPr>
          <w:t>https://doi.org/10.1007/s12665-016-6352-6</w:t>
        </w:r>
      </w:hyperlink>
    </w:p>
    <w:p w14:paraId="45ABD5C6" w14:textId="77777777" w:rsidR="00730646" w:rsidRPr="00AA641D" w:rsidRDefault="00730646" w:rsidP="00ED20D7">
      <w:pPr>
        <w:jc w:val="both"/>
        <w:rPr>
          <w:rFonts w:ascii="Times New Roman" w:hAnsi="Times New Roman"/>
        </w:rPr>
      </w:pPr>
    </w:p>
    <w:p w14:paraId="2F0EEFB9" w14:textId="77777777" w:rsidR="00B25F10" w:rsidRPr="00AA641D" w:rsidRDefault="00B25F10" w:rsidP="00ED20D7">
      <w:pPr>
        <w:pStyle w:val="ListParagraph"/>
        <w:numPr>
          <w:ilvl w:val="0"/>
          <w:numId w:val="18"/>
        </w:numPr>
        <w:rPr>
          <w:rFonts w:ascii="Times New Roman" w:hAnsi="Times New Roman"/>
          <w:lang w:val="en-US"/>
        </w:rPr>
      </w:pPr>
      <w:proofErr w:type="spellStart"/>
      <w:r w:rsidRPr="00AA641D">
        <w:rPr>
          <w:rFonts w:ascii="Times New Roman" w:hAnsi="Times New Roman"/>
        </w:rPr>
        <w:t>Subba</w:t>
      </w:r>
      <w:proofErr w:type="spellEnd"/>
      <w:r w:rsidRPr="00AA641D">
        <w:rPr>
          <w:rFonts w:ascii="Times New Roman" w:hAnsi="Times New Roman"/>
        </w:rPr>
        <w:t xml:space="preserve"> Rao, N. (2017). Seasonal variations in groundwater quality and implications for management. Journal of Hydrology, 550, 15–28. </w:t>
      </w:r>
      <w:hyperlink r:id="rId36" w:tgtFrame="_new" w:history="1">
        <w:r w:rsidRPr="00AA641D">
          <w:rPr>
            <w:rStyle w:val="Hyperlink"/>
            <w:rFonts w:ascii="Times New Roman" w:hAnsi="Times New Roman"/>
          </w:rPr>
          <w:t>https://doi.org/10.1016/j.jhydrol.2017.04.031</w:t>
        </w:r>
      </w:hyperlink>
    </w:p>
    <w:p w14:paraId="42CE1906" w14:textId="77777777" w:rsidR="00730646" w:rsidRPr="00AA641D" w:rsidRDefault="00730646" w:rsidP="00ED20D7">
      <w:pPr>
        <w:jc w:val="both"/>
        <w:rPr>
          <w:rFonts w:ascii="Times New Roman" w:hAnsi="Times New Roman"/>
        </w:rPr>
      </w:pPr>
    </w:p>
    <w:p w14:paraId="6B0F4C45" w14:textId="77777777" w:rsidR="00B25F10" w:rsidRPr="00AA641D" w:rsidRDefault="00B25F10" w:rsidP="00ED20D7">
      <w:pPr>
        <w:pStyle w:val="ListParagraph"/>
        <w:numPr>
          <w:ilvl w:val="0"/>
          <w:numId w:val="18"/>
        </w:numPr>
        <w:jc w:val="both"/>
        <w:rPr>
          <w:rFonts w:ascii="Times New Roman" w:hAnsi="Times New Roman"/>
          <w:lang w:val="en-US"/>
        </w:rPr>
      </w:pPr>
      <w:r w:rsidRPr="00AA641D">
        <w:rPr>
          <w:rFonts w:ascii="Times New Roman" w:hAnsi="Times New Roman"/>
        </w:rPr>
        <w:t xml:space="preserve">USGS. (2025). Data for salinity regressions and total dissolved solids calculations in groundwater in the United States (Data release). </w:t>
      </w:r>
      <w:hyperlink r:id="rId37" w:tgtFrame="_new" w:history="1">
        <w:r w:rsidRPr="00AA641D">
          <w:rPr>
            <w:rStyle w:val="Hyperlink"/>
            <w:rFonts w:ascii="Times New Roman" w:hAnsi="Times New Roman"/>
          </w:rPr>
          <w:t>https://doi.org/10.5066/P13RWQZG</w:t>
        </w:r>
      </w:hyperlink>
    </w:p>
    <w:p w14:paraId="3F45964C" w14:textId="77777777" w:rsidR="00730646" w:rsidRPr="00AA641D" w:rsidRDefault="00730646" w:rsidP="00ED20D7">
      <w:pPr>
        <w:jc w:val="both"/>
        <w:rPr>
          <w:rFonts w:ascii="Times New Roman" w:hAnsi="Times New Roman"/>
        </w:rPr>
      </w:pPr>
    </w:p>
    <w:p w14:paraId="44EDD885" w14:textId="77777777" w:rsidR="00B25F10" w:rsidRPr="00AA641D" w:rsidRDefault="00B25F10" w:rsidP="00ED20D7">
      <w:pPr>
        <w:pStyle w:val="ListParagraph"/>
        <w:numPr>
          <w:ilvl w:val="0"/>
          <w:numId w:val="18"/>
        </w:numPr>
        <w:jc w:val="both"/>
        <w:rPr>
          <w:rFonts w:ascii="Times New Roman" w:hAnsi="Times New Roman"/>
          <w:lang w:val="en-US"/>
        </w:rPr>
      </w:pPr>
      <w:r w:rsidRPr="00AA641D">
        <w:rPr>
          <w:rFonts w:ascii="Times New Roman" w:hAnsi="Times New Roman"/>
        </w:rPr>
        <w:t xml:space="preserve">USGS. (2025). Total dissolved solids in groundwater: Concepts and measurement. United States Geological Survey. </w:t>
      </w:r>
      <w:hyperlink r:id="rId38" w:tgtFrame="_new" w:history="1">
        <w:r w:rsidRPr="00AA641D">
          <w:rPr>
            <w:rStyle w:val="Hyperlink"/>
            <w:rFonts w:ascii="Times New Roman" w:hAnsi="Times New Roman"/>
          </w:rPr>
          <w:t>https://www.usgs.gov/</w:t>
        </w:r>
      </w:hyperlink>
    </w:p>
    <w:p w14:paraId="00E298E8" w14:textId="77777777" w:rsidR="00730646" w:rsidRPr="00AA641D" w:rsidRDefault="00730646" w:rsidP="00ED20D7">
      <w:pPr>
        <w:jc w:val="both"/>
        <w:rPr>
          <w:rFonts w:ascii="Times New Roman" w:hAnsi="Times New Roman"/>
        </w:rPr>
      </w:pPr>
    </w:p>
    <w:p w14:paraId="3B8D1FB4" w14:textId="39479E82" w:rsidR="00263D57" w:rsidRPr="00AA641D" w:rsidRDefault="00B25F10" w:rsidP="00BF5105">
      <w:pPr>
        <w:pStyle w:val="ListParagraph"/>
        <w:numPr>
          <w:ilvl w:val="0"/>
          <w:numId w:val="18"/>
        </w:numPr>
        <w:jc w:val="both"/>
        <w:rPr>
          <w:rFonts w:ascii="Times New Roman" w:hAnsi="Times New Roman"/>
        </w:rPr>
      </w:pPr>
      <w:r w:rsidRPr="00AA641D">
        <w:rPr>
          <w:rFonts w:ascii="Times New Roman" w:hAnsi="Times New Roman"/>
        </w:rPr>
        <w:t xml:space="preserve">WHO. (2017). Guidelines for drinking-water quality (4th ed.). World Health Organization. </w:t>
      </w:r>
      <w:hyperlink r:id="rId39" w:tgtFrame="_new" w:history="1">
        <w:r w:rsidRPr="00AA641D">
          <w:rPr>
            <w:rStyle w:val="Hyperlink"/>
            <w:rFonts w:ascii="Times New Roman" w:hAnsi="Times New Roman"/>
          </w:rPr>
          <w:t>https://www.who.int/publications/i/item/9789241549950</w:t>
        </w:r>
      </w:hyperlink>
      <w:bookmarkStart w:id="0" w:name="_GoBack"/>
      <w:bookmarkEnd w:id="0"/>
    </w:p>
    <w:sectPr w:rsidR="00263D57" w:rsidRPr="00AA641D" w:rsidSect="0073453D">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C306D" w14:textId="77777777" w:rsidR="00BD22CC" w:rsidRDefault="00BD22CC" w:rsidP="0066567D">
      <w:r>
        <w:separator/>
      </w:r>
    </w:p>
  </w:endnote>
  <w:endnote w:type="continuationSeparator" w:id="0">
    <w:p w14:paraId="6A4A7D6E" w14:textId="77777777" w:rsidR="00BD22CC" w:rsidRDefault="00BD22CC" w:rsidP="0066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A1EB" w14:textId="77777777" w:rsidR="001202DF" w:rsidRDefault="0012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199462"/>
      <w:docPartObj>
        <w:docPartGallery w:val="Page Numbers (Bottom of Page)"/>
        <w:docPartUnique/>
      </w:docPartObj>
    </w:sdtPr>
    <w:sdtEndPr>
      <w:rPr>
        <w:noProof/>
      </w:rPr>
    </w:sdtEndPr>
    <w:sdtContent>
      <w:p w14:paraId="7035159D" w14:textId="367D55F9" w:rsidR="00B60049" w:rsidRDefault="00B60049">
        <w:pPr>
          <w:pStyle w:val="Footer"/>
          <w:jc w:val="center"/>
        </w:pPr>
        <w:r>
          <w:fldChar w:fldCharType="begin"/>
        </w:r>
        <w:r>
          <w:instrText xml:space="preserve"> PAGE   \* MERGEFORMAT </w:instrText>
        </w:r>
        <w:r>
          <w:fldChar w:fldCharType="separate"/>
        </w:r>
        <w:r w:rsidR="005D6BC3">
          <w:rPr>
            <w:noProof/>
          </w:rPr>
          <w:t>9</w:t>
        </w:r>
        <w:r>
          <w:rPr>
            <w:noProof/>
          </w:rPr>
          <w:fldChar w:fldCharType="end"/>
        </w:r>
      </w:p>
    </w:sdtContent>
  </w:sdt>
  <w:p w14:paraId="21BEEA48" w14:textId="77777777" w:rsidR="00B60049" w:rsidRDefault="00B60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F6AC" w14:textId="77777777" w:rsidR="001202DF" w:rsidRDefault="0012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C261D" w14:textId="77777777" w:rsidR="00BD22CC" w:rsidRDefault="00BD22CC" w:rsidP="0066567D">
      <w:r>
        <w:separator/>
      </w:r>
    </w:p>
  </w:footnote>
  <w:footnote w:type="continuationSeparator" w:id="0">
    <w:p w14:paraId="3699E5B1" w14:textId="77777777" w:rsidR="00BD22CC" w:rsidRDefault="00BD22CC" w:rsidP="0066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8515" w14:textId="059CDAB4" w:rsidR="001202DF" w:rsidRDefault="001202DF">
    <w:pPr>
      <w:pStyle w:val="Header"/>
    </w:pPr>
    <w:r>
      <w:rPr>
        <w:noProof/>
      </w:rPr>
      <w:pict w14:anchorId="18837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85542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7B0D" w14:textId="07C450EB" w:rsidR="001202DF" w:rsidRDefault="001202DF">
    <w:pPr>
      <w:pStyle w:val="Header"/>
    </w:pPr>
    <w:r>
      <w:rPr>
        <w:noProof/>
      </w:rPr>
      <w:pict w14:anchorId="437F5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85542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D123" w14:textId="1B7DAD60" w:rsidR="001202DF" w:rsidRDefault="001202DF">
    <w:pPr>
      <w:pStyle w:val="Header"/>
    </w:pPr>
    <w:r>
      <w:rPr>
        <w:noProof/>
      </w:rPr>
      <w:pict w14:anchorId="0E84E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85542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89B"/>
    <w:multiLevelType w:val="multilevel"/>
    <w:tmpl w:val="DB04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2254"/>
    <w:multiLevelType w:val="multilevel"/>
    <w:tmpl w:val="245A12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36C2"/>
    <w:multiLevelType w:val="hybridMultilevel"/>
    <w:tmpl w:val="F07C83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171DB1"/>
    <w:multiLevelType w:val="hybridMultilevel"/>
    <w:tmpl w:val="F64664BC"/>
    <w:lvl w:ilvl="0" w:tplc="A9F6B0AA">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0E14CEB"/>
    <w:multiLevelType w:val="hybridMultilevel"/>
    <w:tmpl w:val="2940C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8802A8"/>
    <w:multiLevelType w:val="multilevel"/>
    <w:tmpl w:val="30742EE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4B304F"/>
    <w:multiLevelType w:val="hybridMultilevel"/>
    <w:tmpl w:val="F4FCE8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1142A"/>
    <w:multiLevelType w:val="hybridMultilevel"/>
    <w:tmpl w:val="5F86165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CE4A5C"/>
    <w:multiLevelType w:val="multilevel"/>
    <w:tmpl w:val="2ED031A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D6363"/>
    <w:multiLevelType w:val="hybridMultilevel"/>
    <w:tmpl w:val="4692D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6494AB9"/>
    <w:multiLevelType w:val="hybridMultilevel"/>
    <w:tmpl w:val="A53EE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8A2A53"/>
    <w:multiLevelType w:val="hybridMultilevel"/>
    <w:tmpl w:val="BAC0D964"/>
    <w:lvl w:ilvl="0" w:tplc="2D2681DE">
      <w:start w:val="7"/>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3E5E63"/>
    <w:multiLevelType w:val="hybridMultilevel"/>
    <w:tmpl w:val="AE5E003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FB6ABE"/>
    <w:multiLevelType w:val="multilevel"/>
    <w:tmpl w:val="7218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14469"/>
    <w:multiLevelType w:val="multilevel"/>
    <w:tmpl w:val="62EE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76E77"/>
    <w:multiLevelType w:val="hybridMultilevel"/>
    <w:tmpl w:val="50986E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2F0064"/>
    <w:multiLevelType w:val="multilevel"/>
    <w:tmpl w:val="446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75B20"/>
    <w:multiLevelType w:val="multilevel"/>
    <w:tmpl w:val="473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81A83"/>
    <w:multiLevelType w:val="hybridMultilevel"/>
    <w:tmpl w:val="5F86165A"/>
    <w:lvl w:ilvl="0" w:tplc="C34AA49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18"/>
  </w:num>
  <w:num w:numId="4">
    <w:abstractNumId w:val="3"/>
  </w:num>
  <w:num w:numId="5">
    <w:abstractNumId w:val="7"/>
  </w:num>
  <w:num w:numId="6">
    <w:abstractNumId w:val="5"/>
  </w:num>
  <w:num w:numId="7">
    <w:abstractNumId w:val="1"/>
  </w:num>
  <w:num w:numId="8">
    <w:abstractNumId w:val="8"/>
  </w:num>
  <w:num w:numId="9">
    <w:abstractNumId w:val="14"/>
  </w:num>
  <w:num w:numId="10">
    <w:abstractNumId w:val="16"/>
  </w:num>
  <w:num w:numId="11">
    <w:abstractNumId w:val="13"/>
  </w:num>
  <w:num w:numId="12">
    <w:abstractNumId w:val="17"/>
  </w:num>
  <w:num w:numId="13">
    <w:abstractNumId w:val="9"/>
  </w:num>
  <w:num w:numId="14">
    <w:abstractNumId w:val="15"/>
  </w:num>
  <w:num w:numId="15">
    <w:abstractNumId w:val="10"/>
  </w:num>
  <w:num w:numId="16">
    <w:abstractNumId w:val="6"/>
  </w:num>
  <w:num w:numId="17">
    <w:abstractNumId w:val="2"/>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NrA0NTWzNDIxMjZR0lEKTi0uzszPAykwrAUAHl/tDywAAAA="/>
  </w:docVars>
  <w:rsids>
    <w:rsidRoot w:val="005A626C"/>
    <w:rsid w:val="000034BD"/>
    <w:rsid w:val="0005023B"/>
    <w:rsid w:val="00062DD1"/>
    <w:rsid w:val="00063AB9"/>
    <w:rsid w:val="00093E93"/>
    <w:rsid w:val="000947FB"/>
    <w:rsid w:val="000A1308"/>
    <w:rsid w:val="000B4A90"/>
    <w:rsid w:val="000C355D"/>
    <w:rsid w:val="000D6B42"/>
    <w:rsid w:val="000E4D16"/>
    <w:rsid w:val="000E6B95"/>
    <w:rsid w:val="001202DF"/>
    <w:rsid w:val="00122CE6"/>
    <w:rsid w:val="00133F28"/>
    <w:rsid w:val="001405C0"/>
    <w:rsid w:val="00144B38"/>
    <w:rsid w:val="001469A1"/>
    <w:rsid w:val="0015430E"/>
    <w:rsid w:val="00157011"/>
    <w:rsid w:val="00187472"/>
    <w:rsid w:val="00191AE3"/>
    <w:rsid w:val="001A3AA1"/>
    <w:rsid w:val="001C21E6"/>
    <w:rsid w:val="001C338F"/>
    <w:rsid w:val="001E49A5"/>
    <w:rsid w:val="001F6C75"/>
    <w:rsid w:val="00201275"/>
    <w:rsid w:val="00205355"/>
    <w:rsid w:val="00207439"/>
    <w:rsid w:val="00214E4B"/>
    <w:rsid w:val="002334AF"/>
    <w:rsid w:val="00242F5D"/>
    <w:rsid w:val="00247F45"/>
    <w:rsid w:val="0025021B"/>
    <w:rsid w:val="00251C65"/>
    <w:rsid w:val="002560CB"/>
    <w:rsid w:val="00263D57"/>
    <w:rsid w:val="00264DF0"/>
    <w:rsid w:val="0028334F"/>
    <w:rsid w:val="002834ED"/>
    <w:rsid w:val="00294A63"/>
    <w:rsid w:val="002B4EE0"/>
    <w:rsid w:val="002D6D68"/>
    <w:rsid w:val="00301C35"/>
    <w:rsid w:val="0030640B"/>
    <w:rsid w:val="0034610D"/>
    <w:rsid w:val="00365210"/>
    <w:rsid w:val="003A0A8C"/>
    <w:rsid w:val="003B376F"/>
    <w:rsid w:val="003C251B"/>
    <w:rsid w:val="003C4323"/>
    <w:rsid w:val="003C6F92"/>
    <w:rsid w:val="003E68AC"/>
    <w:rsid w:val="003E7475"/>
    <w:rsid w:val="004026F8"/>
    <w:rsid w:val="00415FF2"/>
    <w:rsid w:val="00433908"/>
    <w:rsid w:val="004445ED"/>
    <w:rsid w:val="00467BA1"/>
    <w:rsid w:val="004705AB"/>
    <w:rsid w:val="0048368A"/>
    <w:rsid w:val="004A0F81"/>
    <w:rsid w:val="004A54C9"/>
    <w:rsid w:val="004D4501"/>
    <w:rsid w:val="004D51C7"/>
    <w:rsid w:val="004F68D4"/>
    <w:rsid w:val="00507B09"/>
    <w:rsid w:val="00520134"/>
    <w:rsid w:val="00524CB8"/>
    <w:rsid w:val="00532148"/>
    <w:rsid w:val="005405B6"/>
    <w:rsid w:val="005515A8"/>
    <w:rsid w:val="00557890"/>
    <w:rsid w:val="00590ADA"/>
    <w:rsid w:val="005A626C"/>
    <w:rsid w:val="005D6BC3"/>
    <w:rsid w:val="0060008E"/>
    <w:rsid w:val="00602E3A"/>
    <w:rsid w:val="00604A64"/>
    <w:rsid w:val="00604E94"/>
    <w:rsid w:val="006056C4"/>
    <w:rsid w:val="0062463E"/>
    <w:rsid w:val="00627E77"/>
    <w:rsid w:val="00630A87"/>
    <w:rsid w:val="006351AA"/>
    <w:rsid w:val="00644FDE"/>
    <w:rsid w:val="00653791"/>
    <w:rsid w:val="0066567D"/>
    <w:rsid w:val="00677A15"/>
    <w:rsid w:val="00684A18"/>
    <w:rsid w:val="00690308"/>
    <w:rsid w:val="006C01C3"/>
    <w:rsid w:val="006C188F"/>
    <w:rsid w:val="006C2EB0"/>
    <w:rsid w:val="006E60EB"/>
    <w:rsid w:val="00730646"/>
    <w:rsid w:val="0073453D"/>
    <w:rsid w:val="007519B7"/>
    <w:rsid w:val="00752086"/>
    <w:rsid w:val="0075689F"/>
    <w:rsid w:val="0077273E"/>
    <w:rsid w:val="00784470"/>
    <w:rsid w:val="00786318"/>
    <w:rsid w:val="007C6FFE"/>
    <w:rsid w:val="007D71F9"/>
    <w:rsid w:val="007E39D7"/>
    <w:rsid w:val="007F002E"/>
    <w:rsid w:val="007F04E6"/>
    <w:rsid w:val="007F7366"/>
    <w:rsid w:val="00824191"/>
    <w:rsid w:val="008414F2"/>
    <w:rsid w:val="0086296A"/>
    <w:rsid w:val="00874239"/>
    <w:rsid w:val="008768F2"/>
    <w:rsid w:val="008939A6"/>
    <w:rsid w:val="008B48CD"/>
    <w:rsid w:val="008B49D3"/>
    <w:rsid w:val="008C0341"/>
    <w:rsid w:val="008C177F"/>
    <w:rsid w:val="008D54A2"/>
    <w:rsid w:val="008E274A"/>
    <w:rsid w:val="008E2CF9"/>
    <w:rsid w:val="00910AD3"/>
    <w:rsid w:val="00941520"/>
    <w:rsid w:val="00953496"/>
    <w:rsid w:val="00954539"/>
    <w:rsid w:val="00956491"/>
    <w:rsid w:val="00963081"/>
    <w:rsid w:val="009742AE"/>
    <w:rsid w:val="009753E0"/>
    <w:rsid w:val="00981893"/>
    <w:rsid w:val="00996EFB"/>
    <w:rsid w:val="009D4C1C"/>
    <w:rsid w:val="009E155B"/>
    <w:rsid w:val="009E5CC9"/>
    <w:rsid w:val="009E6075"/>
    <w:rsid w:val="009F5C48"/>
    <w:rsid w:val="00A02248"/>
    <w:rsid w:val="00A126F5"/>
    <w:rsid w:val="00A20C9F"/>
    <w:rsid w:val="00A40190"/>
    <w:rsid w:val="00A4722F"/>
    <w:rsid w:val="00A47EA1"/>
    <w:rsid w:val="00A62862"/>
    <w:rsid w:val="00A64412"/>
    <w:rsid w:val="00A66AE4"/>
    <w:rsid w:val="00A92B0D"/>
    <w:rsid w:val="00AA1EAA"/>
    <w:rsid w:val="00AA4AE7"/>
    <w:rsid w:val="00AA641D"/>
    <w:rsid w:val="00AA66E5"/>
    <w:rsid w:val="00AB344F"/>
    <w:rsid w:val="00AB38C8"/>
    <w:rsid w:val="00AB605E"/>
    <w:rsid w:val="00AE6E2B"/>
    <w:rsid w:val="00B25F10"/>
    <w:rsid w:val="00B31161"/>
    <w:rsid w:val="00B417ED"/>
    <w:rsid w:val="00B50920"/>
    <w:rsid w:val="00B50D90"/>
    <w:rsid w:val="00B60049"/>
    <w:rsid w:val="00B7257E"/>
    <w:rsid w:val="00B8596A"/>
    <w:rsid w:val="00BA1380"/>
    <w:rsid w:val="00BB31D1"/>
    <w:rsid w:val="00BD22CC"/>
    <w:rsid w:val="00BE56EA"/>
    <w:rsid w:val="00BF5105"/>
    <w:rsid w:val="00C13536"/>
    <w:rsid w:val="00C14410"/>
    <w:rsid w:val="00C21E89"/>
    <w:rsid w:val="00C241DF"/>
    <w:rsid w:val="00C32D4F"/>
    <w:rsid w:val="00C542AD"/>
    <w:rsid w:val="00C60E94"/>
    <w:rsid w:val="00C63632"/>
    <w:rsid w:val="00C654C2"/>
    <w:rsid w:val="00C67982"/>
    <w:rsid w:val="00C72307"/>
    <w:rsid w:val="00C80B92"/>
    <w:rsid w:val="00C82DA0"/>
    <w:rsid w:val="00C83025"/>
    <w:rsid w:val="00C92030"/>
    <w:rsid w:val="00C95F29"/>
    <w:rsid w:val="00CB16BF"/>
    <w:rsid w:val="00CB5E0C"/>
    <w:rsid w:val="00CD68ED"/>
    <w:rsid w:val="00CD768F"/>
    <w:rsid w:val="00D04A39"/>
    <w:rsid w:val="00D04D89"/>
    <w:rsid w:val="00D11EA5"/>
    <w:rsid w:val="00D37828"/>
    <w:rsid w:val="00D66CD1"/>
    <w:rsid w:val="00D75816"/>
    <w:rsid w:val="00D83CEF"/>
    <w:rsid w:val="00D91C8B"/>
    <w:rsid w:val="00DD6470"/>
    <w:rsid w:val="00DF08ED"/>
    <w:rsid w:val="00E131CB"/>
    <w:rsid w:val="00E15B3D"/>
    <w:rsid w:val="00E6656F"/>
    <w:rsid w:val="00E71918"/>
    <w:rsid w:val="00E85CA3"/>
    <w:rsid w:val="00E862DC"/>
    <w:rsid w:val="00E919F7"/>
    <w:rsid w:val="00EA41A2"/>
    <w:rsid w:val="00EC46C5"/>
    <w:rsid w:val="00ED0EDA"/>
    <w:rsid w:val="00ED13CA"/>
    <w:rsid w:val="00ED20D7"/>
    <w:rsid w:val="00EF0FDE"/>
    <w:rsid w:val="00EF23B9"/>
    <w:rsid w:val="00EF2918"/>
    <w:rsid w:val="00F03DD4"/>
    <w:rsid w:val="00F41509"/>
    <w:rsid w:val="00F521D3"/>
    <w:rsid w:val="00F53A6F"/>
    <w:rsid w:val="00F63902"/>
    <w:rsid w:val="00F817DE"/>
    <w:rsid w:val="00FC1948"/>
    <w:rsid w:val="00FC7672"/>
    <w:rsid w:val="00FE14C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4C3AE"/>
  <w15:chartTrackingRefBased/>
  <w15:docId w15:val="{98EC3BEE-9900-4E8E-A66C-FB1E3A85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N"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CC9"/>
    <w:rPr>
      <w:sz w:val="24"/>
      <w:szCs w:val="24"/>
    </w:rPr>
  </w:style>
  <w:style w:type="paragraph" w:styleId="Heading1">
    <w:name w:val="heading 1"/>
    <w:basedOn w:val="Normal"/>
    <w:next w:val="Normal"/>
    <w:link w:val="Heading1Char"/>
    <w:uiPriority w:val="9"/>
    <w:qFormat/>
    <w:rsid w:val="009E5CC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E5CC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E5CC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E5CC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E5CC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E5CC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E5CC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E5CC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E5CC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E5C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E5CC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E5CC9"/>
    <w:rPr>
      <w:rFonts w:cstheme="majorBidi"/>
      <w:b/>
      <w:bCs/>
      <w:sz w:val="28"/>
      <w:szCs w:val="28"/>
    </w:rPr>
  </w:style>
  <w:style w:type="character" w:customStyle="1" w:styleId="Heading5Char">
    <w:name w:val="Heading 5 Char"/>
    <w:basedOn w:val="DefaultParagraphFont"/>
    <w:link w:val="Heading5"/>
    <w:uiPriority w:val="9"/>
    <w:semiHidden/>
    <w:rsid w:val="009E5CC9"/>
    <w:rPr>
      <w:rFonts w:cstheme="majorBidi"/>
      <w:b/>
      <w:bCs/>
      <w:i/>
      <w:iCs/>
      <w:sz w:val="26"/>
      <w:szCs w:val="26"/>
    </w:rPr>
  </w:style>
  <w:style w:type="character" w:customStyle="1" w:styleId="Heading6Char">
    <w:name w:val="Heading 6 Char"/>
    <w:basedOn w:val="DefaultParagraphFont"/>
    <w:link w:val="Heading6"/>
    <w:uiPriority w:val="9"/>
    <w:semiHidden/>
    <w:rsid w:val="009E5CC9"/>
    <w:rPr>
      <w:rFonts w:cstheme="majorBidi"/>
      <w:b/>
      <w:bCs/>
    </w:rPr>
  </w:style>
  <w:style w:type="character" w:customStyle="1" w:styleId="Heading7Char">
    <w:name w:val="Heading 7 Char"/>
    <w:basedOn w:val="DefaultParagraphFont"/>
    <w:link w:val="Heading7"/>
    <w:uiPriority w:val="9"/>
    <w:semiHidden/>
    <w:rsid w:val="009E5CC9"/>
    <w:rPr>
      <w:rFonts w:cstheme="majorBidi"/>
      <w:sz w:val="24"/>
      <w:szCs w:val="24"/>
    </w:rPr>
  </w:style>
  <w:style w:type="character" w:customStyle="1" w:styleId="Heading8Char">
    <w:name w:val="Heading 8 Char"/>
    <w:basedOn w:val="DefaultParagraphFont"/>
    <w:link w:val="Heading8"/>
    <w:uiPriority w:val="9"/>
    <w:semiHidden/>
    <w:rsid w:val="009E5CC9"/>
    <w:rPr>
      <w:rFonts w:cstheme="majorBidi"/>
      <w:i/>
      <w:iCs/>
      <w:sz w:val="24"/>
      <w:szCs w:val="24"/>
    </w:rPr>
  </w:style>
  <w:style w:type="character" w:customStyle="1" w:styleId="Heading9Char">
    <w:name w:val="Heading 9 Char"/>
    <w:basedOn w:val="DefaultParagraphFont"/>
    <w:link w:val="Heading9"/>
    <w:uiPriority w:val="9"/>
    <w:semiHidden/>
    <w:rsid w:val="009E5CC9"/>
    <w:rPr>
      <w:rFonts w:asciiTheme="majorHAnsi" w:eastAsiaTheme="majorEastAsia" w:hAnsiTheme="majorHAnsi" w:cstheme="majorBidi"/>
    </w:rPr>
  </w:style>
  <w:style w:type="paragraph" w:styleId="Title">
    <w:name w:val="Title"/>
    <w:basedOn w:val="Normal"/>
    <w:next w:val="Normal"/>
    <w:link w:val="TitleChar"/>
    <w:uiPriority w:val="10"/>
    <w:qFormat/>
    <w:rsid w:val="009E5CC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E5CC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E5CC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E5CC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E5CC9"/>
    <w:rPr>
      <w:i/>
    </w:rPr>
  </w:style>
  <w:style w:type="character" w:customStyle="1" w:styleId="QuoteChar">
    <w:name w:val="Quote Char"/>
    <w:basedOn w:val="DefaultParagraphFont"/>
    <w:link w:val="Quote"/>
    <w:uiPriority w:val="29"/>
    <w:rsid w:val="009E5CC9"/>
    <w:rPr>
      <w:i/>
      <w:sz w:val="24"/>
      <w:szCs w:val="24"/>
    </w:rPr>
  </w:style>
  <w:style w:type="paragraph" w:styleId="ListParagraph">
    <w:name w:val="List Paragraph"/>
    <w:aliases w:val="Citation List,HEAD 3,Paragraph,Resume Title,List Paragraph Char Char,Bullet 1,List Paragraph1,Number_1,SGLText List Paragraph,new,lp1,Normal Sentence,Colorful List - Accent 11,ListPar1,List Paragraph2,List Paragraph11,list1,Figure_name"/>
    <w:basedOn w:val="Normal"/>
    <w:link w:val="ListParagraphChar"/>
    <w:uiPriority w:val="34"/>
    <w:qFormat/>
    <w:rsid w:val="009E5CC9"/>
    <w:pPr>
      <w:ind w:left="720"/>
      <w:contextualSpacing/>
    </w:pPr>
  </w:style>
  <w:style w:type="character" w:styleId="IntenseEmphasis">
    <w:name w:val="Intense Emphasis"/>
    <w:basedOn w:val="DefaultParagraphFont"/>
    <w:uiPriority w:val="21"/>
    <w:qFormat/>
    <w:rsid w:val="009E5CC9"/>
    <w:rPr>
      <w:b/>
      <w:i/>
      <w:sz w:val="24"/>
      <w:szCs w:val="24"/>
      <w:u w:val="single"/>
    </w:rPr>
  </w:style>
  <w:style w:type="paragraph" w:styleId="IntenseQuote">
    <w:name w:val="Intense Quote"/>
    <w:basedOn w:val="Normal"/>
    <w:next w:val="Normal"/>
    <w:link w:val="IntenseQuoteChar"/>
    <w:uiPriority w:val="30"/>
    <w:qFormat/>
    <w:rsid w:val="009E5CC9"/>
    <w:pPr>
      <w:ind w:left="720" w:right="720"/>
    </w:pPr>
    <w:rPr>
      <w:b/>
      <w:i/>
      <w:szCs w:val="22"/>
    </w:rPr>
  </w:style>
  <w:style w:type="character" w:customStyle="1" w:styleId="IntenseQuoteChar">
    <w:name w:val="Intense Quote Char"/>
    <w:basedOn w:val="DefaultParagraphFont"/>
    <w:link w:val="IntenseQuote"/>
    <w:uiPriority w:val="30"/>
    <w:rsid w:val="009E5CC9"/>
    <w:rPr>
      <w:b/>
      <w:i/>
      <w:sz w:val="24"/>
    </w:rPr>
  </w:style>
  <w:style w:type="character" w:styleId="IntenseReference">
    <w:name w:val="Intense Reference"/>
    <w:basedOn w:val="DefaultParagraphFont"/>
    <w:uiPriority w:val="32"/>
    <w:qFormat/>
    <w:rsid w:val="009E5CC9"/>
    <w:rPr>
      <w:b/>
      <w:sz w:val="24"/>
      <w:u w:val="single"/>
    </w:rPr>
  </w:style>
  <w:style w:type="character" w:styleId="Hyperlink">
    <w:name w:val="Hyperlink"/>
    <w:basedOn w:val="DefaultParagraphFont"/>
    <w:uiPriority w:val="99"/>
    <w:unhideWhenUsed/>
    <w:rsid w:val="00C67982"/>
    <w:rPr>
      <w:color w:val="0563C1" w:themeColor="hyperlink"/>
      <w:u w:val="single"/>
    </w:rPr>
  </w:style>
  <w:style w:type="character" w:customStyle="1" w:styleId="UnresolvedMention1">
    <w:name w:val="Unresolved Mention1"/>
    <w:basedOn w:val="DefaultParagraphFont"/>
    <w:uiPriority w:val="99"/>
    <w:semiHidden/>
    <w:unhideWhenUsed/>
    <w:rsid w:val="00C67982"/>
    <w:rPr>
      <w:color w:val="605E5C"/>
      <w:shd w:val="clear" w:color="auto" w:fill="E1DFDD"/>
    </w:rPr>
  </w:style>
  <w:style w:type="paragraph" w:styleId="Header">
    <w:name w:val="header"/>
    <w:basedOn w:val="Normal"/>
    <w:link w:val="HeaderChar"/>
    <w:uiPriority w:val="99"/>
    <w:unhideWhenUsed/>
    <w:rsid w:val="0066567D"/>
    <w:pPr>
      <w:tabs>
        <w:tab w:val="center" w:pos="4513"/>
        <w:tab w:val="right" w:pos="9026"/>
      </w:tabs>
    </w:pPr>
  </w:style>
  <w:style w:type="character" w:customStyle="1" w:styleId="HeaderChar">
    <w:name w:val="Header Char"/>
    <w:basedOn w:val="DefaultParagraphFont"/>
    <w:link w:val="Header"/>
    <w:uiPriority w:val="99"/>
    <w:rsid w:val="0066567D"/>
  </w:style>
  <w:style w:type="paragraph" w:styleId="Footer">
    <w:name w:val="footer"/>
    <w:basedOn w:val="Normal"/>
    <w:link w:val="FooterChar"/>
    <w:uiPriority w:val="99"/>
    <w:unhideWhenUsed/>
    <w:rsid w:val="0066567D"/>
    <w:pPr>
      <w:tabs>
        <w:tab w:val="center" w:pos="4513"/>
        <w:tab w:val="right" w:pos="9026"/>
      </w:tabs>
    </w:pPr>
  </w:style>
  <w:style w:type="character" w:customStyle="1" w:styleId="FooterChar">
    <w:name w:val="Footer Char"/>
    <w:basedOn w:val="DefaultParagraphFont"/>
    <w:link w:val="Footer"/>
    <w:uiPriority w:val="99"/>
    <w:rsid w:val="0066567D"/>
  </w:style>
  <w:style w:type="paragraph" w:styleId="NormalWeb">
    <w:name w:val="Normal (Web)"/>
    <w:basedOn w:val="Normal"/>
    <w:uiPriority w:val="99"/>
    <w:unhideWhenUsed/>
    <w:rsid w:val="00954539"/>
    <w:pPr>
      <w:spacing w:before="100" w:beforeAutospacing="1" w:after="100" w:afterAutospacing="1"/>
    </w:pPr>
    <w:rPr>
      <w:rFonts w:ascii="Times New Roman" w:eastAsia="Times New Roman" w:hAnsi="Times New Roman"/>
      <w:lang w:eastAsia="en-IN"/>
    </w:rPr>
  </w:style>
  <w:style w:type="paragraph" w:styleId="Caption">
    <w:name w:val="caption"/>
    <w:basedOn w:val="Normal"/>
    <w:next w:val="Normal"/>
    <w:uiPriority w:val="35"/>
    <w:semiHidden/>
    <w:unhideWhenUsed/>
    <w:rsid w:val="00B31161"/>
    <w:rPr>
      <w:b/>
      <w:bCs/>
      <w:color w:val="4472C4" w:themeColor="accent1"/>
      <w:sz w:val="18"/>
      <w:szCs w:val="18"/>
    </w:rPr>
  </w:style>
  <w:style w:type="character" w:styleId="Strong">
    <w:name w:val="Strong"/>
    <w:basedOn w:val="DefaultParagraphFont"/>
    <w:uiPriority w:val="22"/>
    <w:qFormat/>
    <w:rsid w:val="009E5CC9"/>
    <w:rPr>
      <w:b/>
      <w:bCs/>
    </w:rPr>
  </w:style>
  <w:style w:type="character" w:styleId="Emphasis">
    <w:name w:val="Emphasis"/>
    <w:basedOn w:val="DefaultParagraphFont"/>
    <w:uiPriority w:val="20"/>
    <w:qFormat/>
    <w:rsid w:val="009E5CC9"/>
    <w:rPr>
      <w:rFonts w:asciiTheme="minorHAnsi" w:hAnsiTheme="minorHAnsi"/>
      <w:b/>
      <w:i/>
      <w:iCs/>
    </w:rPr>
  </w:style>
  <w:style w:type="paragraph" w:styleId="NoSpacing">
    <w:name w:val="No Spacing"/>
    <w:basedOn w:val="Normal"/>
    <w:uiPriority w:val="1"/>
    <w:qFormat/>
    <w:rsid w:val="009E5CC9"/>
    <w:rPr>
      <w:szCs w:val="32"/>
    </w:rPr>
  </w:style>
  <w:style w:type="character" w:styleId="SubtleEmphasis">
    <w:name w:val="Subtle Emphasis"/>
    <w:uiPriority w:val="19"/>
    <w:qFormat/>
    <w:rsid w:val="009E5CC9"/>
    <w:rPr>
      <w:i/>
      <w:color w:val="5A5A5A" w:themeColor="text1" w:themeTint="A5"/>
    </w:rPr>
  </w:style>
  <w:style w:type="character" w:styleId="SubtleReference">
    <w:name w:val="Subtle Reference"/>
    <w:basedOn w:val="DefaultParagraphFont"/>
    <w:uiPriority w:val="31"/>
    <w:qFormat/>
    <w:rsid w:val="009E5CC9"/>
    <w:rPr>
      <w:sz w:val="24"/>
      <w:szCs w:val="24"/>
      <w:u w:val="single"/>
    </w:rPr>
  </w:style>
  <w:style w:type="character" w:styleId="BookTitle">
    <w:name w:val="Book Title"/>
    <w:basedOn w:val="DefaultParagraphFont"/>
    <w:uiPriority w:val="33"/>
    <w:qFormat/>
    <w:rsid w:val="009E5CC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E5CC9"/>
    <w:pPr>
      <w:outlineLvl w:val="9"/>
    </w:pPr>
  </w:style>
  <w:style w:type="table" w:styleId="TableGrid">
    <w:name w:val="Table Grid"/>
    <w:basedOn w:val="TableNormal"/>
    <w:uiPriority w:val="39"/>
    <w:rsid w:val="00F4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84A18"/>
    <w:rPr>
      <w:rFonts w:eastAsiaTheme="minorHAnsi" w:cstheme="minorBidi"/>
      <w:kern w:val="2"/>
      <w:lang w:bidi="ar-SA"/>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Citation List Char,HEAD 3 Char,Paragraph Char,Resume Title Char,List Paragraph Char Char Char,Bullet 1 Char,List Paragraph1 Char,Number_1 Char,SGLText List Paragraph Char,new Char,lp1 Char,Normal Sentence Char,ListPar1 Char"/>
    <w:link w:val="ListParagraph"/>
    <w:uiPriority w:val="34"/>
    <w:qFormat/>
    <w:locked/>
    <w:rsid w:val="00F521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doi.org/10.6084/m9.figshare.12455954.v1" TargetMode="External"/><Relationship Id="rId26" Type="http://schemas.openxmlformats.org/officeDocument/2006/relationships/hyperlink" Target="https://doi.org/10.3389/feart.2022.00001" TargetMode="External"/><Relationship Id="rId39" Type="http://schemas.openxmlformats.org/officeDocument/2006/relationships/hyperlink" Target="https://www.who.int/publications/i/item/9789241549950" TargetMode="External"/><Relationship Id="rId21" Type="http://schemas.openxmlformats.org/officeDocument/2006/relationships/hyperlink" Target="https://doi.org/10.1021/acsestwater.3c00239" TargetMode="External"/><Relationship Id="rId34" Type="http://schemas.openxmlformats.org/officeDocument/2006/relationships/hyperlink" Target="https://doi.org/10.9790/2402-072465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21/acsestwater.3c00239" TargetMode="External"/><Relationship Id="rId29" Type="http://schemas.openxmlformats.org/officeDocument/2006/relationships/hyperlink" Target="https://doi.org/10.3389/frwa.2021.0000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1007/s43832-024-00158-x" TargetMode="External"/><Relationship Id="rId32" Type="http://schemas.openxmlformats.org/officeDocument/2006/relationships/hyperlink" Target="http://dx.doi.org/10.22270/jddt.v12i5S.5691" TargetMode="External"/><Relationship Id="rId37" Type="http://schemas.openxmlformats.org/officeDocument/2006/relationships/hyperlink" Target="https://doi.org/10.5066/P13RWQZ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13201-016-0451-0" TargetMode="External"/><Relationship Id="rId28" Type="http://schemas.openxmlformats.org/officeDocument/2006/relationships/hyperlink" Target="https://doi.org/10.3389/frwa.2021.00001" TargetMode="External"/><Relationship Id="rId36" Type="http://schemas.openxmlformats.org/officeDocument/2006/relationships/hyperlink" Target="https://doi.org/10.1016/j.jhydrol.2017.04.031" TargetMode="External"/><Relationship Id="rId10" Type="http://schemas.microsoft.com/office/2014/relationships/chartEx" Target="charts/chartEx1.xml"/><Relationship Id="rId19" Type="http://schemas.openxmlformats.org/officeDocument/2006/relationships/hyperlink" Target="https://doi.org/10.14419/ijag.v5i1.7116" TargetMode="External"/><Relationship Id="rId31" Type="http://schemas.openxmlformats.org/officeDocument/2006/relationships/hyperlink" Target="https://doi.org/10.1234/nwmp202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yperlink" Target="https://doi.org/10.1007/s13201-016-0451-0" TargetMode="External"/><Relationship Id="rId27" Type="http://schemas.openxmlformats.org/officeDocument/2006/relationships/hyperlink" Target="https://doi.org/10.3389/feart.2022.00002" TargetMode="External"/><Relationship Id="rId30" Type="http://schemas.openxmlformats.org/officeDocument/2006/relationships/hyperlink" Target="https://doi.org/10.1016/j.catena.2020.104766" TargetMode="External"/><Relationship Id="rId35" Type="http://schemas.openxmlformats.org/officeDocument/2006/relationships/hyperlink" Target="https://doi.org/10.1007/s12665-016-6352-6"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7" Type="http://schemas.openxmlformats.org/officeDocument/2006/relationships/hyperlink" Target="https://doi.org/10.3390/rs15143534" TargetMode="External"/><Relationship Id="rId25" Type="http://schemas.openxmlformats.org/officeDocument/2006/relationships/hyperlink" Target="https://doi.org/10.1007/s12665-023-12345-x" TargetMode="External"/><Relationship Id="rId33" Type="http://schemas.openxmlformats.org/officeDocument/2006/relationships/hyperlink" Target="https://doi.org/10.1021/es404000" TargetMode="External"/><Relationship Id="rId38" Type="http://schemas.openxmlformats.org/officeDocument/2006/relationships/hyperlink" Target="https://www.usgs.gov/" TargetMode="External"/><Relationship Id="rId46"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8a24e9a385e744c/Desktop/PRE-POST%20FINAL%20DATA.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18a24e9a385e744c/Desktop/PRE-POST%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US" sz="1800" b="1">
                <a:effectLst/>
              </a:rPr>
              <a:t>Figure:2</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rgbClr val="44546A"/>
                </a:solidFill>
              </a:defRPr>
            </a:pPr>
            <a:r>
              <a:rPr lang="en-US">
                <a:latin typeface="Times New Roman" panose="02020603050405020304" pitchFamily="18" charset="0"/>
                <a:cs typeface="Times New Roman" panose="02020603050405020304" pitchFamily="18" charset="0"/>
              </a:rPr>
              <a:t>Comparison</a:t>
            </a:r>
            <a:r>
              <a:rPr lang="en-US" baseline="0">
                <a:latin typeface="Times New Roman" panose="02020603050405020304" pitchFamily="18" charset="0"/>
                <a:cs typeface="Times New Roman" panose="02020603050405020304" pitchFamily="18" charset="0"/>
              </a:rPr>
              <a:t> of Pre VS Post </a:t>
            </a:r>
            <a:r>
              <a:rPr lang="en-US">
                <a:latin typeface="Times New Roman" panose="02020603050405020304" pitchFamily="18" charset="0"/>
                <a:cs typeface="Times New Roman" panose="02020603050405020304" pitchFamily="18" charset="0"/>
              </a:rPr>
              <a:t> TDS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manualLayout>
          <c:layoutTarget val="inner"/>
          <c:xMode val="edge"/>
          <c:yMode val="edge"/>
          <c:x val="0.13475711892797321"/>
          <c:y val="0.24054903442413206"/>
          <c:w val="0.82493718592964826"/>
          <c:h val="0.59416446989927785"/>
        </c:manualLayout>
      </c:layout>
      <c:scatterChart>
        <c:scatterStyle val="lineMarker"/>
        <c:varyColors val="0"/>
        <c:ser>
          <c:idx val="0"/>
          <c:order val="0"/>
          <c:tx>
            <c:strRef>
              <c:f>TDS!$B$2</c:f>
              <c:strCache>
                <c:ptCount val="1"/>
                <c:pt idx="0">
                  <c:v>Pre Monsoon </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yVal>
            <c:numRef>
              <c:f>TDS!$B$3:$B$112</c:f>
              <c:numCache>
                <c:formatCode>General</c:formatCode>
                <c:ptCount val="110"/>
                <c:pt idx="0">
                  <c:v>384</c:v>
                </c:pt>
                <c:pt idx="1">
                  <c:v>256</c:v>
                </c:pt>
                <c:pt idx="2">
                  <c:v>384</c:v>
                </c:pt>
                <c:pt idx="3">
                  <c:v>448</c:v>
                </c:pt>
                <c:pt idx="4">
                  <c:v>320</c:v>
                </c:pt>
                <c:pt idx="5">
                  <c:v>256</c:v>
                </c:pt>
                <c:pt idx="6">
                  <c:v>512</c:v>
                </c:pt>
                <c:pt idx="7">
                  <c:v>256</c:v>
                </c:pt>
                <c:pt idx="8">
                  <c:v>128</c:v>
                </c:pt>
                <c:pt idx="9">
                  <c:v>512</c:v>
                </c:pt>
                <c:pt idx="10">
                  <c:v>448</c:v>
                </c:pt>
                <c:pt idx="11">
                  <c:v>256</c:v>
                </c:pt>
                <c:pt idx="12">
                  <c:v>768</c:v>
                </c:pt>
                <c:pt idx="13">
                  <c:v>704</c:v>
                </c:pt>
                <c:pt idx="14">
                  <c:v>512</c:v>
                </c:pt>
                <c:pt idx="15">
                  <c:v>576</c:v>
                </c:pt>
                <c:pt idx="16">
                  <c:v>256</c:v>
                </c:pt>
                <c:pt idx="17">
                  <c:v>256</c:v>
                </c:pt>
                <c:pt idx="18">
                  <c:v>320</c:v>
                </c:pt>
                <c:pt idx="19">
                  <c:v>384</c:v>
                </c:pt>
                <c:pt idx="20">
                  <c:v>256</c:v>
                </c:pt>
                <c:pt idx="21">
                  <c:v>576</c:v>
                </c:pt>
                <c:pt idx="22">
                  <c:v>832</c:v>
                </c:pt>
                <c:pt idx="23">
                  <c:v>192</c:v>
                </c:pt>
                <c:pt idx="24">
                  <c:v>384</c:v>
                </c:pt>
                <c:pt idx="25">
                  <c:v>768</c:v>
                </c:pt>
                <c:pt idx="26">
                  <c:v>512</c:v>
                </c:pt>
                <c:pt idx="27">
                  <c:v>512</c:v>
                </c:pt>
                <c:pt idx="28">
                  <c:v>320</c:v>
                </c:pt>
                <c:pt idx="29">
                  <c:v>448</c:v>
                </c:pt>
                <c:pt idx="30">
                  <c:v>256</c:v>
                </c:pt>
                <c:pt idx="31">
                  <c:v>320</c:v>
                </c:pt>
                <c:pt idx="32">
                  <c:v>448</c:v>
                </c:pt>
                <c:pt idx="33">
                  <c:v>320</c:v>
                </c:pt>
                <c:pt idx="34">
                  <c:v>448</c:v>
                </c:pt>
                <c:pt idx="35">
                  <c:v>448</c:v>
                </c:pt>
                <c:pt idx="36">
                  <c:v>384</c:v>
                </c:pt>
                <c:pt idx="37">
                  <c:v>704</c:v>
                </c:pt>
                <c:pt idx="38">
                  <c:v>256</c:v>
                </c:pt>
                <c:pt idx="39">
                  <c:v>960</c:v>
                </c:pt>
                <c:pt idx="40">
                  <c:v>640</c:v>
                </c:pt>
                <c:pt idx="41">
                  <c:v>512</c:v>
                </c:pt>
                <c:pt idx="42">
                  <c:v>320</c:v>
                </c:pt>
                <c:pt idx="43">
                  <c:v>576</c:v>
                </c:pt>
                <c:pt idx="44">
                  <c:v>512</c:v>
                </c:pt>
                <c:pt idx="45">
                  <c:v>384</c:v>
                </c:pt>
                <c:pt idx="46">
                  <c:v>448</c:v>
                </c:pt>
                <c:pt idx="47">
                  <c:v>512</c:v>
                </c:pt>
                <c:pt idx="48">
                  <c:v>320</c:v>
                </c:pt>
                <c:pt idx="49">
                  <c:v>896</c:v>
                </c:pt>
                <c:pt idx="50">
                  <c:v>448</c:v>
                </c:pt>
                <c:pt idx="51">
                  <c:v>384</c:v>
                </c:pt>
                <c:pt idx="52">
                  <c:v>320</c:v>
                </c:pt>
                <c:pt idx="53">
                  <c:v>640</c:v>
                </c:pt>
                <c:pt idx="54">
                  <c:v>665</c:v>
                </c:pt>
                <c:pt idx="55">
                  <c:v>576</c:v>
                </c:pt>
                <c:pt idx="56">
                  <c:v>256</c:v>
                </c:pt>
                <c:pt idx="57">
                  <c:v>192</c:v>
                </c:pt>
                <c:pt idx="58">
                  <c:v>512</c:v>
                </c:pt>
                <c:pt idx="59">
                  <c:v>512</c:v>
                </c:pt>
                <c:pt idx="60">
                  <c:v>768</c:v>
                </c:pt>
                <c:pt idx="61">
                  <c:v>576</c:v>
                </c:pt>
                <c:pt idx="62">
                  <c:v>768</c:v>
                </c:pt>
                <c:pt idx="63">
                  <c:v>704</c:v>
                </c:pt>
                <c:pt idx="64">
                  <c:v>832</c:v>
                </c:pt>
                <c:pt idx="65">
                  <c:v>512</c:v>
                </c:pt>
                <c:pt idx="66">
                  <c:v>704</c:v>
                </c:pt>
                <c:pt idx="67">
                  <c:v>896</c:v>
                </c:pt>
                <c:pt idx="68">
                  <c:v>832</c:v>
                </c:pt>
                <c:pt idx="69">
                  <c:v>256</c:v>
                </c:pt>
                <c:pt idx="70">
                  <c:v>576</c:v>
                </c:pt>
                <c:pt idx="71">
                  <c:v>640</c:v>
                </c:pt>
                <c:pt idx="72">
                  <c:v>576</c:v>
                </c:pt>
                <c:pt idx="73">
                  <c:v>512</c:v>
                </c:pt>
                <c:pt idx="74">
                  <c:v>640</c:v>
                </c:pt>
                <c:pt idx="75">
                  <c:v>768</c:v>
                </c:pt>
                <c:pt idx="76">
                  <c:v>704</c:v>
                </c:pt>
                <c:pt idx="77">
                  <c:v>320</c:v>
                </c:pt>
                <c:pt idx="78">
                  <c:v>320</c:v>
                </c:pt>
                <c:pt idx="79">
                  <c:v>192</c:v>
                </c:pt>
                <c:pt idx="80">
                  <c:v>448</c:v>
                </c:pt>
                <c:pt idx="81">
                  <c:v>704</c:v>
                </c:pt>
                <c:pt idx="82">
                  <c:v>1088</c:v>
                </c:pt>
                <c:pt idx="83">
                  <c:v>640</c:v>
                </c:pt>
                <c:pt idx="84">
                  <c:v>384</c:v>
                </c:pt>
                <c:pt idx="85">
                  <c:v>576</c:v>
                </c:pt>
                <c:pt idx="86">
                  <c:v>320</c:v>
                </c:pt>
                <c:pt idx="87">
                  <c:v>896</c:v>
                </c:pt>
                <c:pt idx="88">
                  <c:v>960</c:v>
                </c:pt>
                <c:pt idx="89">
                  <c:v>576</c:v>
                </c:pt>
                <c:pt idx="90">
                  <c:v>320</c:v>
                </c:pt>
                <c:pt idx="91">
                  <c:v>512</c:v>
                </c:pt>
                <c:pt idx="92">
                  <c:v>665</c:v>
                </c:pt>
                <c:pt idx="93">
                  <c:v>576</c:v>
                </c:pt>
                <c:pt idx="94">
                  <c:v>704</c:v>
                </c:pt>
                <c:pt idx="95">
                  <c:v>576</c:v>
                </c:pt>
                <c:pt idx="96">
                  <c:v>320</c:v>
                </c:pt>
                <c:pt idx="97">
                  <c:v>256</c:v>
                </c:pt>
                <c:pt idx="98">
                  <c:v>256</c:v>
                </c:pt>
                <c:pt idx="99">
                  <c:v>384</c:v>
                </c:pt>
                <c:pt idx="100">
                  <c:v>320</c:v>
                </c:pt>
                <c:pt idx="101">
                  <c:v>640</c:v>
                </c:pt>
                <c:pt idx="102">
                  <c:v>448</c:v>
                </c:pt>
                <c:pt idx="103">
                  <c:v>512</c:v>
                </c:pt>
                <c:pt idx="104">
                  <c:v>448</c:v>
                </c:pt>
                <c:pt idx="105">
                  <c:v>320</c:v>
                </c:pt>
                <c:pt idx="106">
                  <c:v>960</c:v>
                </c:pt>
                <c:pt idx="107">
                  <c:v>448</c:v>
                </c:pt>
                <c:pt idx="108">
                  <c:v>640</c:v>
                </c:pt>
                <c:pt idx="109">
                  <c:v>512</c:v>
                </c:pt>
              </c:numCache>
            </c:numRef>
          </c:yVal>
          <c:smooth val="0"/>
          <c:extLst>
            <c:ext xmlns:c16="http://schemas.microsoft.com/office/drawing/2014/chart" uri="{C3380CC4-5D6E-409C-BE32-E72D297353CC}">
              <c16:uniqueId val="{00000000-D101-4C51-BF58-FEACF37ED943}"/>
            </c:ext>
          </c:extLst>
        </c:ser>
        <c:ser>
          <c:idx val="1"/>
          <c:order val="1"/>
          <c:tx>
            <c:strRef>
              <c:f>TDS!$C$2</c:f>
              <c:strCache>
                <c:ptCount val="1"/>
                <c:pt idx="0">
                  <c:v>Post Monsoon </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yVal>
            <c:numRef>
              <c:f>TDS!$C$3:$C$112</c:f>
              <c:numCache>
                <c:formatCode>General</c:formatCode>
                <c:ptCount val="110"/>
                <c:pt idx="0">
                  <c:v>320</c:v>
                </c:pt>
                <c:pt idx="1">
                  <c:v>192</c:v>
                </c:pt>
                <c:pt idx="2">
                  <c:v>192</c:v>
                </c:pt>
                <c:pt idx="3">
                  <c:v>320</c:v>
                </c:pt>
                <c:pt idx="4">
                  <c:v>320</c:v>
                </c:pt>
                <c:pt idx="5">
                  <c:v>192</c:v>
                </c:pt>
                <c:pt idx="6">
                  <c:v>128</c:v>
                </c:pt>
                <c:pt idx="7">
                  <c:v>64</c:v>
                </c:pt>
                <c:pt idx="8">
                  <c:v>64</c:v>
                </c:pt>
                <c:pt idx="9">
                  <c:v>64</c:v>
                </c:pt>
                <c:pt idx="10">
                  <c:v>64</c:v>
                </c:pt>
                <c:pt idx="11">
                  <c:v>64</c:v>
                </c:pt>
                <c:pt idx="12">
                  <c:v>640</c:v>
                </c:pt>
                <c:pt idx="13">
                  <c:v>192</c:v>
                </c:pt>
                <c:pt idx="14">
                  <c:v>320</c:v>
                </c:pt>
                <c:pt idx="15">
                  <c:v>512</c:v>
                </c:pt>
                <c:pt idx="16">
                  <c:v>256</c:v>
                </c:pt>
                <c:pt idx="17">
                  <c:v>256</c:v>
                </c:pt>
                <c:pt idx="18">
                  <c:v>192</c:v>
                </c:pt>
                <c:pt idx="19">
                  <c:v>256</c:v>
                </c:pt>
                <c:pt idx="20">
                  <c:v>256</c:v>
                </c:pt>
                <c:pt idx="21">
                  <c:v>512</c:v>
                </c:pt>
                <c:pt idx="22">
                  <c:v>384</c:v>
                </c:pt>
                <c:pt idx="23">
                  <c:v>192</c:v>
                </c:pt>
                <c:pt idx="24">
                  <c:v>192</c:v>
                </c:pt>
                <c:pt idx="25">
                  <c:v>576</c:v>
                </c:pt>
                <c:pt idx="26">
                  <c:v>256</c:v>
                </c:pt>
                <c:pt idx="27">
                  <c:v>192</c:v>
                </c:pt>
                <c:pt idx="28">
                  <c:v>128</c:v>
                </c:pt>
                <c:pt idx="29">
                  <c:v>128</c:v>
                </c:pt>
                <c:pt idx="30">
                  <c:v>256</c:v>
                </c:pt>
                <c:pt idx="31">
                  <c:v>384</c:v>
                </c:pt>
                <c:pt idx="32">
                  <c:v>256</c:v>
                </c:pt>
                <c:pt idx="33">
                  <c:v>256</c:v>
                </c:pt>
                <c:pt idx="34">
                  <c:v>192</c:v>
                </c:pt>
                <c:pt idx="35">
                  <c:v>128</c:v>
                </c:pt>
                <c:pt idx="36">
                  <c:v>320</c:v>
                </c:pt>
                <c:pt idx="37">
                  <c:v>512</c:v>
                </c:pt>
                <c:pt idx="38">
                  <c:v>192</c:v>
                </c:pt>
                <c:pt idx="39">
                  <c:v>256</c:v>
                </c:pt>
                <c:pt idx="40">
                  <c:v>192</c:v>
                </c:pt>
                <c:pt idx="41">
                  <c:v>320</c:v>
                </c:pt>
                <c:pt idx="42">
                  <c:v>192</c:v>
                </c:pt>
                <c:pt idx="43">
                  <c:v>576</c:v>
                </c:pt>
                <c:pt idx="44">
                  <c:v>128</c:v>
                </c:pt>
                <c:pt idx="45">
                  <c:v>320</c:v>
                </c:pt>
                <c:pt idx="46">
                  <c:v>320</c:v>
                </c:pt>
                <c:pt idx="47">
                  <c:v>448</c:v>
                </c:pt>
                <c:pt idx="48">
                  <c:v>128</c:v>
                </c:pt>
                <c:pt idx="49">
                  <c:v>256</c:v>
                </c:pt>
                <c:pt idx="50">
                  <c:v>128</c:v>
                </c:pt>
                <c:pt idx="51">
                  <c:v>320</c:v>
                </c:pt>
                <c:pt idx="52">
                  <c:v>320</c:v>
                </c:pt>
                <c:pt idx="53">
                  <c:v>256</c:v>
                </c:pt>
                <c:pt idx="54">
                  <c:v>256</c:v>
                </c:pt>
                <c:pt idx="55">
                  <c:v>512</c:v>
                </c:pt>
                <c:pt idx="56">
                  <c:v>192</c:v>
                </c:pt>
                <c:pt idx="57">
                  <c:v>64</c:v>
                </c:pt>
                <c:pt idx="58">
                  <c:v>512</c:v>
                </c:pt>
                <c:pt idx="59">
                  <c:v>448</c:v>
                </c:pt>
                <c:pt idx="60">
                  <c:v>384</c:v>
                </c:pt>
                <c:pt idx="61">
                  <c:v>384</c:v>
                </c:pt>
                <c:pt idx="62">
                  <c:v>448</c:v>
                </c:pt>
                <c:pt idx="63">
                  <c:v>192</c:v>
                </c:pt>
                <c:pt idx="64">
                  <c:v>448</c:v>
                </c:pt>
                <c:pt idx="65">
                  <c:v>384</c:v>
                </c:pt>
                <c:pt idx="66">
                  <c:v>192</c:v>
                </c:pt>
                <c:pt idx="67">
                  <c:v>192</c:v>
                </c:pt>
                <c:pt idx="68">
                  <c:v>448</c:v>
                </c:pt>
                <c:pt idx="69">
                  <c:v>192</c:v>
                </c:pt>
                <c:pt idx="70">
                  <c:v>192</c:v>
                </c:pt>
                <c:pt idx="71">
                  <c:v>576</c:v>
                </c:pt>
                <c:pt idx="72">
                  <c:v>384</c:v>
                </c:pt>
                <c:pt idx="73">
                  <c:v>256</c:v>
                </c:pt>
                <c:pt idx="74">
                  <c:v>64</c:v>
                </c:pt>
                <c:pt idx="75">
                  <c:v>576</c:v>
                </c:pt>
                <c:pt idx="76">
                  <c:v>320</c:v>
                </c:pt>
                <c:pt idx="77">
                  <c:v>320</c:v>
                </c:pt>
                <c:pt idx="78">
                  <c:v>128</c:v>
                </c:pt>
                <c:pt idx="79">
                  <c:v>192</c:v>
                </c:pt>
                <c:pt idx="80">
                  <c:v>320</c:v>
                </c:pt>
                <c:pt idx="81">
                  <c:v>384</c:v>
                </c:pt>
                <c:pt idx="82">
                  <c:v>256</c:v>
                </c:pt>
                <c:pt idx="83">
                  <c:v>192</c:v>
                </c:pt>
                <c:pt idx="84">
                  <c:v>384</c:v>
                </c:pt>
                <c:pt idx="85">
                  <c:v>512</c:v>
                </c:pt>
                <c:pt idx="86">
                  <c:v>128</c:v>
                </c:pt>
                <c:pt idx="87">
                  <c:v>448</c:v>
                </c:pt>
                <c:pt idx="88">
                  <c:v>448</c:v>
                </c:pt>
                <c:pt idx="89">
                  <c:v>512</c:v>
                </c:pt>
                <c:pt idx="90">
                  <c:v>256</c:v>
                </c:pt>
                <c:pt idx="91">
                  <c:v>448</c:v>
                </c:pt>
                <c:pt idx="92">
                  <c:v>64</c:v>
                </c:pt>
                <c:pt idx="93">
                  <c:v>320</c:v>
                </c:pt>
                <c:pt idx="94">
                  <c:v>128</c:v>
                </c:pt>
                <c:pt idx="95">
                  <c:v>256</c:v>
                </c:pt>
                <c:pt idx="96">
                  <c:v>320</c:v>
                </c:pt>
                <c:pt idx="97">
                  <c:v>256</c:v>
                </c:pt>
                <c:pt idx="98">
                  <c:v>192</c:v>
                </c:pt>
                <c:pt idx="99">
                  <c:v>256</c:v>
                </c:pt>
                <c:pt idx="100">
                  <c:v>192</c:v>
                </c:pt>
                <c:pt idx="101">
                  <c:v>512</c:v>
                </c:pt>
                <c:pt idx="102">
                  <c:v>320</c:v>
                </c:pt>
                <c:pt idx="103">
                  <c:v>256</c:v>
                </c:pt>
                <c:pt idx="104">
                  <c:v>384</c:v>
                </c:pt>
                <c:pt idx="105">
                  <c:v>256</c:v>
                </c:pt>
                <c:pt idx="106">
                  <c:v>320</c:v>
                </c:pt>
                <c:pt idx="107">
                  <c:v>128</c:v>
                </c:pt>
                <c:pt idx="108">
                  <c:v>384</c:v>
                </c:pt>
                <c:pt idx="109">
                  <c:v>192</c:v>
                </c:pt>
              </c:numCache>
            </c:numRef>
          </c:yVal>
          <c:smooth val="0"/>
          <c:extLst>
            <c:ext xmlns:c16="http://schemas.microsoft.com/office/drawing/2014/chart" uri="{C3380CC4-5D6E-409C-BE32-E72D297353CC}">
              <c16:uniqueId val="{00000001-D101-4C51-BF58-FEACF37ED943}"/>
            </c:ext>
          </c:extLst>
        </c:ser>
        <c:dLbls>
          <c:showLegendKey val="0"/>
          <c:showVal val="0"/>
          <c:showCatName val="0"/>
          <c:showSerName val="0"/>
          <c:showPercent val="0"/>
          <c:showBubbleSize val="0"/>
        </c:dLbls>
        <c:axId val="234235968"/>
        <c:axId val="234237888"/>
      </c:scatterChart>
      <c:valAx>
        <c:axId val="234235968"/>
        <c:scaling>
          <c:orientation val="minMax"/>
        </c:scaling>
        <c:delete val="0"/>
        <c:axPos val="b"/>
        <c:majorGridlines>
          <c:spPr>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round/>
            </a:ln>
            <a:effectLst/>
          </c:spPr>
        </c:majorGridlines>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Samples</a:t>
                </a:r>
              </a:p>
            </c:rich>
          </c:tx>
          <c:layout>
            <c:manualLayout>
              <c:xMode val="edge"/>
              <c:yMode val="edge"/>
              <c:x val="0.45532353367889317"/>
              <c:y val="0.9045543925329943"/>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34237888"/>
        <c:crosses val="autoZero"/>
        <c:crossBetween val="midCat"/>
      </c:valAx>
      <c:valAx>
        <c:axId val="2342378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TDS(mg/L)</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34235968"/>
        <c:crosses val="autoZero"/>
        <c:crossBetween val="midCat"/>
      </c:valAx>
      <c:spPr>
        <a:noFill/>
        <a:ln w="12700" cmpd="sng">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alpha val="87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'[PRE-POST FINAL DATA.xlsx]TDS'!$B$3:$B$115</cx:f>
        <cx:lvl ptCount="113" formatCode="General">
          <cx:pt idx="0">384</cx:pt>
          <cx:pt idx="1">256</cx:pt>
          <cx:pt idx="2">384</cx:pt>
          <cx:pt idx="3">448</cx:pt>
          <cx:pt idx="4">320</cx:pt>
          <cx:pt idx="5">256</cx:pt>
          <cx:pt idx="6">512</cx:pt>
          <cx:pt idx="7">256</cx:pt>
          <cx:pt idx="8">128</cx:pt>
          <cx:pt idx="9">512</cx:pt>
          <cx:pt idx="10">448</cx:pt>
          <cx:pt idx="11">256</cx:pt>
          <cx:pt idx="12">768</cx:pt>
          <cx:pt idx="13">704</cx:pt>
          <cx:pt idx="14">512</cx:pt>
          <cx:pt idx="15">576</cx:pt>
          <cx:pt idx="16">256</cx:pt>
          <cx:pt idx="17">256</cx:pt>
          <cx:pt idx="18">320</cx:pt>
          <cx:pt idx="19">384</cx:pt>
          <cx:pt idx="20">256</cx:pt>
          <cx:pt idx="21">576</cx:pt>
          <cx:pt idx="22">832</cx:pt>
          <cx:pt idx="23">192</cx:pt>
          <cx:pt idx="24">384</cx:pt>
          <cx:pt idx="25">768</cx:pt>
          <cx:pt idx="26">512</cx:pt>
          <cx:pt idx="27">512</cx:pt>
          <cx:pt idx="28">320</cx:pt>
          <cx:pt idx="29">448</cx:pt>
          <cx:pt idx="30">256</cx:pt>
          <cx:pt idx="31">320</cx:pt>
          <cx:pt idx="32">448</cx:pt>
          <cx:pt idx="33">320</cx:pt>
          <cx:pt idx="34">448</cx:pt>
          <cx:pt idx="35">448</cx:pt>
          <cx:pt idx="36">384</cx:pt>
          <cx:pt idx="37">704</cx:pt>
          <cx:pt idx="38">256</cx:pt>
          <cx:pt idx="39">960</cx:pt>
          <cx:pt idx="40">640</cx:pt>
          <cx:pt idx="41">512</cx:pt>
          <cx:pt idx="42">320</cx:pt>
          <cx:pt idx="43">576</cx:pt>
          <cx:pt idx="44">512</cx:pt>
          <cx:pt idx="45">384</cx:pt>
          <cx:pt idx="46">448</cx:pt>
          <cx:pt idx="47">512</cx:pt>
          <cx:pt idx="48">320</cx:pt>
          <cx:pt idx="49">896</cx:pt>
          <cx:pt idx="50">448</cx:pt>
          <cx:pt idx="51">384</cx:pt>
          <cx:pt idx="52">320</cx:pt>
          <cx:pt idx="53">640</cx:pt>
          <cx:pt idx="54">665</cx:pt>
          <cx:pt idx="55">576</cx:pt>
          <cx:pt idx="56">256</cx:pt>
          <cx:pt idx="57">192</cx:pt>
          <cx:pt idx="58">512</cx:pt>
          <cx:pt idx="59">512</cx:pt>
          <cx:pt idx="60">768</cx:pt>
          <cx:pt idx="61">576</cx:pt>
          <cx:pt idx="62">768</cx:pt>
          <cx:pt idx="63">704</cx:pt>
          <cx:pt idx="64">832</cx:pt>
          <cx:pt idx="65">512</cx:pt>
          <cx:pt idx="66">704</cx:pt>
          <cx:pt idx="67">896</cx:pt>
          <cx:pt idx="68">832</cx:pt>
          <cx:pt idx="69">256</cx:pt>
          <cx:pt idx="70">576</cx:pt>
          <cx:pt idx="71">640</cx:pt>
          <cx:pt idx="72">576</cx:pt>
          <cx:pt idx="73">512</cx:pt>
          <cx:pt idx="74">640</cx:pt>
          <cx:pt idx="75">768</cx:pt>
          <cx:pt idx="76">704</cx:pt>
          <cx:pt idx="77">320</cx:pt>
          <cx:pt idx="78">320</cx:pt>
          <cx:pt idx="79">192</cx:pt>
          <cx:pt idx="80">448</cx:pt>
          <cx:pt idx="81">704</cx:pt>
          <cx:pt idx="82">1088</cx:pt>
          <cx:pt idx="83">640</cx:pt>
          <cx:pt idx="84">384</cx:pt>
          <cx:pt idx="85">576</cx:pt>
          <cx:pt idx="86">320</cx:pt>
          <cx:pt idx="87">896</cx:pt>
          <cx:pt idx="88">960</cx:pt>
          <cx:pt idx="89">576</cx:pt>
          <cx:pt idx="90">320</cx:pt>
          <cx:pt idx="91">512</cx:pt>
          <cx:pt idx="92">665</cx:pt>
          <cx:pt idx="93">576</cx:pt>
          <cx:pt idx="94">704</cx:pt>
          <cx:pt idx="95">576</cx:pt>
          <cx:pt idx="96">320</cx:pt>
          <cx:pt idx="97">256</cx:pt>
          <cx:pt idx="98">256</cx:pt>
          <cx:pt idx="99">384</cx:pt>
          <cx:pt idx="100">320</cx:pt>
          <cx:pt idx="101">640</cx:pt>
          <cx:pt idx="102">448</cx:pt>
          <cx:pt idx="103">512</cx:pt>
          <cx:pt idx="104">448</cx:pt>
          <cx:pt idx="105">320</cx:pt>
          <cx:pt idx="106">960</cx:pt>
          <cx:pt idx="107">448</cx:pt>
          <cx:pt idx="108">640</cx:pt>
          <cx:pt idx="109">512</cx:pt>
        </cx:lvl>
      </cx:numDim>
    </cx:data>
    <cx:data id="1">
      <cx:numDim type="val">
        <cx:f>'[PRE-POST FINAL DATA.xlsx]TDS'!$C$3:$C$115</cx:f>
        <cx:lvl ptCount="113" formatCode="General">
          <cx:pt idx="0">320</cx:pt>
          <cx:pt idx="1">192</cx:pt>
          <cx:pt idx="2">192</cx:pt>
          <cx:pt idx="3">320</cx:pt>
          <cx:pt idx="4">320</cx:pt>
          <cx:pt idx="5">192</cx:pt>
          <cx:pt idx="6">128</cx:pt>
          <cx:pt idx="7">64</cx:pt>
          <cx:pt idx="8">64</cx:pt>
          <cx:pt idx="9">64</cx:pt>
          <cx:pt idx="10">64</cx:pt>
          <cx:pt idx="11">64</cx:pt>
          <cx:pt idx="12">640</cx:pt>
          <cx:pt idx="13">192</cx:pt>
          <cx:pt idx="14">320</cx:pt>
          <cx:pt idx="15">512</cx:pt>
          <cx:pt idx="16">256</cx:pt>
          <cx:pt idx="17">256</cx:pt>
          <cx:pt idx="18">192</cx:pt>
          <cx:pt idx="19">256</cx:pt>
          <cx:pt idx="20">256</cx:pt>
          <cx:pt idx="21">512</cx:pt>
          <cx:pt idx="22">384</cx:pt>
          <cx:pt idx="23">192</cx:pt>
          <cx:pt idx="24">192</cx:pt>
          <cx:pt idx="25">576</cx:pt>
          <cx:pt idx="26">256</cx:pt>
          <cx:pt idx="27">192</cx:pt>
          <cx:pt idx="28">128</cx:pt>
          <cx:pt idx="29">128</cx:pt>
          <cx:pt idx="30">256</cx:pt>
          <cx:pt idx="31">384</cx:pt>
          <cx:pt idx="32">256</cx:pt>
          <cx:pt idx="33">256</cx:pt>
          <cx:pt idx="34">192</cx:pt>
          <cx:pt idx="35">128</cx:pt>
          <cx:pt idx="36">320</cx:pt>
          <cx:pt idx="37">512</cx:pt>
          <cx:pt idx="38">192</cx:pt>
          <cx:pt idx="39">256</cx:pt>
          <cx:pt idx="40">192</cx:pt>
          <cx:pt idx="41">320</cx:pt>
          <cx:pt idx="42">192</cx:pt>
          <cx:pt idx="43">576</cx:pt>
          <cx:pt idx="44">128</cx:pt>
          <cx:pt idx="45">320</cx:pt>
          <cx:pt idx="46">320</cx:pt>
          <cx:pt idx="47">448</cx:pt>
          <cx:pt idx="48">128</cx:pt>
          <cx:pt idx="49">256</cx:pt>
          <cx:pt idx="50">128</cx:pt>
          <cx:pt idx="51">320</cx:pt>
          <cx:pt idx="52">320</cx:pt>
          <cx:pt idx="53">256</cx:pt>
          <cx:pt idx="54">256</cx:pt>
          <cx:pt idx="55">512</cx:pt>
          <cx:pt idx="56">192</cx:pt>
          <cx:pt idx="57">64</cx:pt>
          <cx:pt idx="58">512</cx:pt>
          <cx:pt idx="59">448</cx:pt>
          <cx:pt idx="60">384</cx:pt>
          <cx:pt idx="61">384</cx:pt>
          <cx:pt idx="62">448</cx:pt>
          <cx:pt idx="63">192</cx:pt>
          <cx:pt idx="64">448</cx:pt>
          <cx:pt idx="65">384</cx:pt>
          <cx:pt idx="66">192</cx:pt>
          <cx:pt idx="67">192</cx:pt>
          <cx:pt idx="68">448</cx:pt>
          <cx:pt idx="69">192</cx:pt>
          <cx:pt idx="70">192</cx:pt>
          <cx:pt idx="71">576</cx:pt>
          <cx:pt idx="72">384</cx:pt>
          <cx:pt idx="73">256</cx:pt>
          <cx:pt idx="74">64</cx:pt>
          <cx:pt idx="75">576</cx:pt>
          <cx:pt idx="76">320</cx:pt>
          <cx:pt idx="77">320</cx:pt>
          <cx:pt idx="78">128</cx:pt>
          <cx:pt idx="79">192</cx:pt>
          <cx:pt idx="80">320</cx:pt>
          <cx:pt idx="81">384</cx:pt>
          <cx:pt idx="82">256</cx:pt>
          <cx:pt idx="83">192</cx:pt>
          <cx:pt idx="84">384</cx:pt>
          <cx:pt idx="85">512</cx:pt>
          <cx:pt idx="86">128</cx:pt>
          <cx:pt idx="87">448</cx:pt>
          <cx:pt idx="88">448</cx:pt>
          <cx:pt idx="89">512</cx:pt>
          <cx:pt idx="90">256</cx:pt>
          <cx:pt idx="91">448</cx:pt>
          <cx:pt idx="92">64</cx:pt>
          <cx:pt idx="93">320</cx:pt>
          <cx:pt idx="94">128</cx:pt>
          <cx:pt idx="95">256</cx:pt>
          <cx:pt idx="96">320</cx:pt>
          <cx:pt idx="97">256</cx:pt>
          <cx:pt idx="98">192</cx:pt>
          <cx:pt idx="99">256</cx:pt>
          <cx:pt idx="100">192</cx:pt>
          <cx:pt idx="101">512</cx:pt>
          <cx:pt idx="102">320</cx:pt>
          <cx:pt idx="103">256</cx:pt>
          <cx:pt idx="104">384</cx:pt>
          <cx:pt idx="105">256</cx:pt>
          <cx:pt idx="106">320</cx:pt>
          <cx:pt idx="107">128</cx:pt>
          <cx:pt idx="108">384</cx:pt>
          <cx:pt idx="109">192</cx:pt>
        </cx:lvl>
      </cx:numDim>
    </cx:data>
  </cx:chartData>
  <cx:chart>
    <cx:title pos="t" align="ctr" overlay="0">
      <cx:tx>
        <cx:rich>
          <a:bodyPr spcFirstLastPara="1" vertOverflow="ellipsis" horzOverflow="overflow" wrap="square" lIns="0" tIns="0" rIns="0" bIns="0"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a:latin typeface="Times New Roman" panose="02020603050405020304" pitchFamily="18" charset="0"/>
                <a:ea typeface="Times New Roman" panose="02020603050405020304" pitchFamily="18" charset="0"/>
                <a:cs typeface="Times New Roman" panose="02020603050405020304" pitchFamily="18" charset="0"/>
              </a:defRPr>
            </a:pPr>
            <a:r>
              <a:rPr lang="en-US" sz="1400" b="1" i="0" u="none" strike="noStrike" baseline="0">
                <a:solidFill>
                  <a:sysClr val="windowText" lastClr="000000">
                    <a:lumMod val="75000"/>
                    <a:lumOff val="25000"/>
                  </a:sysClr>
                </a:solidFill>
                <a:effectLst/>
                <a:latin typeface="Calibri" panose="020F0502020204030204"/>
                <a:ea typeface="Calibri" panose="020F0502020204030204" pitchFamily="34" charset="0"/>
                <a:cs typeface="Calibri" panose="020F0502020204030204" pitchFamily="34" charset="0"/>
              </a:rPr>
              <a:t>Figure:3</a:t>
            </a:r>
            <a:endParaRPr lang="en-GB" sz="1400" b="1" i="0" u="none" strike="noStrike" baseline="0">
              <a:solidFill>
                <a:sysClr val="windowText" lastClr="000000">
                  <a:lumMod val="75000"/>
                  <a:lumOff val="25000"/>
                </a:sysClr>
              </a:solidFill>
              <a:effectLst/>
              <a:latin typeface="Calibri" panose="020F0502020204030204"/>
              <a:ea typeface="Calibri" panose="020F0502020204030204" pitchFamily="34" charset="0"/>
              <a:cs typeface="Calibri" panose="020F0502020204030204" pitchFamily="34"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a:latin typeface="Times New Roman" panose="02020603050405020304" pitchFamily="18" charset="0"/>
                <a:ea typeface="Times New Roman" panose="02020603050405020304" pitchFamily="18" charset="0"/>
                <a:cs typeface="Times New Roman" panose="02020603050405020304" pitchFamily="18" charset="0"/>
              </a:defRPr>
            </a:pPr>
            <a:r>
              <a:rPr lang="en-US" sz="14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rPr>
              <a:t>Comparative TDS ( Pre VS Post Monsoon)</a:t>
            </a:r>
          </a:p>
        </cx:rich>
      </cx:tx>
    </cx:title>
    <cx:plotArea>
      <cx:plotAreaRegion>
        <cx:plotSurface>
          <cx:spPr>
            <a:ln>
              <a:solidFill>
                <a:schemeClr val="tx2">
                  <a:lumMod val="15000"/>
                  <a:lumOff val="85000"/>
                  <a:alpha val="0"/>
                </a:schemeClr>
              </a:solidFill>
            </a:ln>
          </cx:spPr>
        </cx:plotSurface>
        <cx:series layoutId="boxWhisker" uniqueId="{3EB571A8-03E6-454B-AF6B-F06B32E8B782}">
          <cx:tx>
            <cx:txData>
              <cx:f>'[PRE-POST FINAL DATA.xlsx]TDS'!$B$2</cx:f>
              <cx:v>Pre Monsoon </cx:v>
            </cx:txData>
          </cx:tx>
          <cx:dataLabels>
            <cx:txPr>
              <a:bodyPr spcFirstLastPara="1" vertOverflow="ellipsis" horzOverflow="overflow" wrap="square" lIns="0" tIns="0" rIns="0" bIns="0" anchor="ctr" anchorCtr="1"/>
              <a:lstStyle/>
              <a:p>
                <a:pPr algn="ctr" rtl="0">
                  <a:defRPr sz="1000" b="1">
                    <a:latin typeface="Times New Roman" panose="02020603050405020304" pitchFamily="18" charset="0"/>
                    <a:ea typeface="Times New Roman" panose="02020603050405020304" pitchFamily="18" charset="0"/>
                    <a:cs typeface="Times New Roman" panose="02020603050405020304" pitchFamily="18" charset="0"/>
                  </a:defRPr>
                </a:pPr>
                <a:endParaRPr lang="en-US" sz="10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visibility seriesName="0" categoryName="0" value="1"/>
          </cx:dataLabels>
          <cx:dataId val="0"/>
          <cx:layoutPr>
            <cx:visibility meanLine="0" meanMarker="1" nonoutliers="0" outliers="1"/>
            <cx:statistics quartileMethod="exclusive"/>
          </cx:layoutPr>
        </cx:series>
        <cx:series layoutId="boxWhisker" uniqueId="{B613213A-782F-438B-9C14-469A238C0579}">
          <cx:tx>
            <cx:txData>
              <cx:f>'[PRE-POST FINAL DATA.xlsx]TDS'!$C$2</cx:f>
              <cx:v>TDS(mg/L)</cx:v>
            </cx:txData>
          </cx:tx>
          <cx:dataLabels>
            <cx:txPr>
              <a:bodyPr spcFirstLastPara="1" vertOverflow="ellipsis" horzOverflow="overflow" wrap="square" lIns="0" tIns="0" rIns="0" bIns="0" anchor="ctr" anchorCtr="1"/>
              <a:lstStyle/>
              <a:p>
                <a:pPr algn="ctr" rtl="0">
                  <a:defRPr b="1">
                    <a:latin typeface="Times New Roman" panose="02020603050405020304" pitchFamily="18" charset="0"/>
                    <a:ea typeface="Times New Roman" panose="02020603050405020304" pitchFamily="18" charset="0"/>
                    <a:cs typeface="Times New Roman" panose="02020603050405020304" pitchFamily="18" charset="0"/>
                  </a:defRPr>
                </a:pPr>
                <a:endParaRPr lang="en-US" sz="900" b="1" i="0" u="none" strike="noStrike" baseline="0">
                  <a:solidFill>
                    <a:sysClr val="windowText" lastClr="000000"/>
                  </a:solidFill>
                  <a:latin typeface="Times New Roman" panose="02020603050405020304" pitchFamily="18" charset="0"/>
                  <a:cs typeface="Times New Roman" panose="02020603050405020304" pitchFamily="18" charset="0"/>
                </a:endParaRPr>
              </a:p>
            </cx:txPr>
            <cx:visibility seriesName="0" categoryName="0" value="1"/>
          </cx:dataLabels>
          <cx:dataId val="1"/>
          <cx:layoutPr>
            <cx:visibility meanLine="0" meanMarker="1" nonoutliers="0" outliers="1"/>
            <cx:statistics quartileMethod="exclusive"/>
          </cx:layoutPr>
        </cx:series>
      </cx:plotAreaRegion>
      <cx:axis id="0" hidden="1">
        <cx:catScaling gapWidth="0.810000002"/>
        <cx:title>
          <cx:tx>
            <cx:txData>
              <cx:v>SAMPLES</cx:v>
            </cx:txData>
          </cx:tx>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r>
                <a:rPr lang="en-US" sz="12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rPr>
                <a:t>SAMPLES</a:t>
              </a:r>
            </a:p>
          </cx:txPr>
        </cx:title>
        <cx:tickLabels/>
      </cx:axis>
      <cx:axis id="1">
        <cx:valScaling/>
        <cx:title>
          <cx:tx>
            <cx:txData>
              <cx:v>TDS(mg/L)</cx:v>
            </cx:txData>
          </cx:tx>
          <cx:txPr>
            <a:bodyPr spcFirstLastPara="1" vertOverflow="ellipsis" horzOverflow="overflow" wrap="square" lIns="0" tIns="0" rIns="0" bIns="0" anchor="ctr" anchorCtr="1"/>
            <a:lstStyle/>
            <a:p>
              <a:pPr algn="ctr" rtl="0">
                <a:defRPr sz="1200" b="1">
                  <a:latin typeface="Times New Roman" panose="02020603050405020304" pitchFamily="18" charset="0"/>
                  <a:ea typeface="Times New Roman" panose="02020603050405020304" pitchFamily="18" charset="0"/>
                  <a:cs typeface="Times New Roman" panose="02020603050405020304" pitchFamily="18" charset="0"/>
                </a:defRPr>
              </a:pPr>
              <a:r>
                <a:rPr lang="en-US" sz="12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rPr>
                <a:t>TDS(mg/L)</a:t>
              </a:r>
            </a:p>
          </cx:txPr>
        </cx:title>
        <cx:majorGridlines/>
        <cx:tickLabels/>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US" sz="11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endParaRPr>
          </a:p>
        </cx:txPr>
      </cx:axis>
    </cx:plotArea>
    <cx:legend pos="t" align="ctr" overlay="0">
      <cx:txPr>
        <a:bodyPr spcFirstLastPara="1" vertOverflow="ellipsis" horzOverflow="overflow" wrap="square" lIns="0" tIns="0" rIns="0" bIns="0" anchor="ctr" anchorCtr="1"/>
        <a:lstStyle/>
        <a:p>
          <a:pPr algn="ctr" rtl="0">
            <a:defRPr sz="1100" b="1">
              <a:latin typeface="Times New Roman" panose="02020603050405020304" pitchFamily="18" charset="0"/>
              <a:ea typeface="Times New Roman" panose="02020603050405020304" pitchFamily="18" charset="0"/>
              <a:cs typeface="Times New Roman" panose="02020603050405020304" pitchFamily="18" charset="0"/>
            </a:defRPr>
          </a:pPr>
          <a:endParaRPr lang="en-US" sz="1100" b="1" i="0" u="none" strike="noStrike" baseline="0">
            <a:solidFill>
              <a:sysClr val="windowText" lastClr="000000">
                <a:lumMod val="75000"/>
                <a:lumOff val="25000"/>
              </a:sysClr>
            </a:solidFill>
            <a:latin typeface="Times New Roman" panose="02020603050405020304" pitchFamily="18" charset="0"/>
            <a:cs typeface="Times New Roman" panose="02020603050405020304" pitchFamily="18" charset="0"/>
          </a:endParaRPr>
        </a:p>
      </cx:txPr>
    </cx:legend>
  </cx:chart>
  <cx:spPr>
    <a:ln>
      <a:solidFill>
        <a:schemeClr val="bg1"/>
      </a:solid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408">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solidFill>
      <a:ln>
        <a:solidFill>
          <a:schemeClr val="phClr"/>
        </a:solidFill>
      </a:ln>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3E2F-3B9B-46FE-AF35-4A6526E5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15</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YOGITA P</dc:creator>
  <cp:keywords/>
  <dc:description/>
  <cp:lastModifiedBy>SDI 1084</cp:lastModifiedBy>
  <cp:revision>218</cp:revision>
  <dcterms:created xsi:type="dcterms:W3CDTF">2025-12-28T15:35:00Z</dcterms:created>
  <dcterms:modified xsi:type="dcterms:W3CDTF">2026-03-10T11:14:00Z</dcterms:modified>
</cp:coreProperties>
</file>