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330" w:rsidRPr="00DB535E" w:rsidRDefault="00DB535E" w:rsidP="003033F8">
      <w:pPr>
        <w:pStyle w:val="Heading1"/>
        <w:spacing w:before="100" w:beforeAutospacing="1" w:after="100" w:afterAutospacing="1" w:line="240" w:lineRule="auto"/>
        <w:rPr>
          <w:sz w:val="48"/>
        </w:rPr>
      </w:pPr>
      <w:bookmarkStart w:id="0" w:name="_GoBack"/>
      <w:bookmarkEnd w:id="0"/>
      <w:r w:rsidRPr="00DB535E">
        <w:rPr>
          <w:sz w:val="48"/>
        </w:rPr>
        <w:t>Advances and Challenges in the Use of Artificial Intelligence in Intellectual Disability in India: A Comprehensive Review and Recent Trends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ABSTRACT</w:t>
      </w:r>
    </w:p>
    <w:p w:rsidR="00A16330" w:rsidRDefault="00DB535E" w:rsidP="003033F8">
      <w:pPr>
        <w:spacing w:before="100" w:beforeAutospacing="1" w:after="100" w:afterAutospacing="1"/>
        <w:jc w:val="both"/>
      </w:pPr>
      <w:r>
        <w:t xml:space="preserve">Intellectual disability (ID), </w:t>
      </w:r>
      <w:proofErr w:type="spellStart"/>
      <w:r>
        <w:t>characterised</w:t>
      </w:r>
      <w:proofErr w:type="spellEnd"/>
      <w:r>
        <w:t xml:space="preserve"> by significant limitations in both intellectual functioning and adaptive </w:t>
      </w:r>
      <w:proofErr w:type="spellStart"/>
      <w:r>
        <w:t>behaviour</w:t>
      </w:r>
      <w:proofErr w:type="spellEnd"/>
      <w:r>
        <w:t xml:space="preserve">, constitutes one of the most prevalent and consequential neurodevelopmental conditions worldwide. In India, the burden of intellectual disability is substantial, with millions of individuals affected, yet services remain markedly inadequate. Artificial intelligence (AI), encompassing machine learning, deep learning, natural language processing, and computer vision, has in recent years emerged as a transformative force in healthcare and disability services, offering unprecedented potential to address longstanding gaps in detection, assessment, intervention, and education. This comprehensive review systematically examines the advances and challenges associated with the application of AI technologies in the domain of intellectual disability, with a particular focus on the Indian context. The review traces the evolution of AI-based screening and diagnostic tools, machine learning-driven adaptive assessment systems, augmentative and alternative communication technologies, assistive robotics, and </w:t>
      </w:r>
      <w:proofErr w:type="spellStart"/>
      <w:r>
        <w:t>personalised</w:t>
      </w:r>
      <w:proofErr w:type="spellEnd"/>
      <w:r>
        <w:t xml:space="preserve"> learning platforms. It further analyses the Indian policy and regulatory landscape, indigenous research contributions, and the distinctive socio-technical challenges—including data scarcity, the digital divide, linguistic heterogeneity, ethical considerations, and professional capacity deficits—that complicate the translation of global AI advances into workable solutions for Indian populations. Recent trends, including federated learning, explainable AI, and multimodal systems, are discussed alongside future directions. The review concludes that whilst AI holds considerable promise for transforming intellectual disability services in India, </w:t>
      </w:r>
      <w:proofErr w:type="spellStart"/>
      <w:r>
        <w:t>realising</w:t>
      </w:r>
      <w:proofErr w:type="spellEnd"/>
      <w:r>
        <w:t xml:space="preserve"> this promise demands concerted investment in culturally adapted datasets, equitable digital infrastructure, robust ethical governance, and interdisciplinary collaboration.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rPr>
          <w:b/>
          <w:bCs/>
        </w:rPr>
        <w:t xml:space="preserve">Keywords: </w:t>
      </w:r>
      <w:r>
        <w:t>Artificial intelligence; Intellectual disability; India; Machine learning; Augmentative and alternative communication; Assistive technology; Special education; Digital health; Neurodevelopmental disorders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1. INTRODUCTION</w:t>
      </w:r>
    </w:p>
    <w:p w:rsidR="00A16330" w:rsidRDefault="00DB535E" w:rsidP="003033F8">
      <w:pPr>
        <w:spacing w:before="100" w:beforeAutospacing="1" w:after="100" w:afterAutospacing="1"/>
        <w:jc w:val="both"/>
      </w:pPr>
      <w:r>
        <w:lastRenderedPageBreak/>
        <w:t xml:space="preserve">Intellectual disability (ID) is a neurodevelopmental condition defined by significant limitations in both intellectual functioning and adaptive </w:t>
      </w:r>
      <w:proofErr w:type="spellStart"/>
      <w:r>
        <w:t>behaviour</w:t>
      </w:r>
      <w:proofErr w:type="spellEnd"/>
      <w:r>
        <w:t>, encompassing conceptual, social, and practical skills, with onset during the developmental period (</w:t>
      </w:r>
      <w:proofErr w:type="spellStart"/>
      <w:r>
        <w:t>Schalock</w:t>
      </w:r>
      <w:proofErr w:type="spellEnd"/>
      <w:r>
        <w:t xml:space="preserve"> et al., 2021). As one of the most common disabilities worldwide, ID affects approximately one to three percent of the global population, translating to tens of millions of individuals and their families (</w:t>
      </w:r>
      <w:proofErr w:type="spellStart"/>
      <w:r>
        <w:t>Maulik</w:t>
      </w:r>
      <w:proofErr w:type="spellEnd"/>
      <w:r>
        <w:t xml:space="preserve"> et al., 2011). The condition is associated with a wide spectrum of functional limitations, diverse </w:t>
      </w:r>
      <w:proofErr w:type="spellStart"/>
      <w:r>
        <w:t>aetiological</w:t>
      </w:r>
      <w:proofErr w:type="spellEnd"/>
      <w:r>
        <w:t xml:space="preserve"> pathways, and substantial comorbid psychiatric and medical conditions, rendering it a complex challenge for healthcare systems, educational institutions, and social support structures alike (Srivastava &amp; Schwartz, 2014).</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In India, the challenge is particularly acute. The Census of India (2011) documented approximately 2.21 million individuals with intellectual disabilities, though this figure is widely regarded as a significant underestimate given the persistent stigma, lack of awareness, and inadequate diagnostic infrastructure that </w:t>
      </w:r>
      <w:proofErr w:type="spellStart"/>
      <w:r>
        <w:t>characterise</w:t>
      </w:r>
      <w:proofErr w:type="spellEnd"/>
      <w:r>
        <w:t xml:space="preserve"> much of the country. Estimates that account for undiagnosed and unreported cases suggest that the true prevalence may be considerably higher, particularly in rural and tribal populations (Lakhan, 2015). Service availability is woefully inadequate relative to need: there is a severe shortage of trained specialists, the mental health treatment gap in India exceeds 80%, and the geographical maldistribution of services means that the vast majority of individuals with intellectual disability have little or no access to professional support (Patel et al., 2016; Rao et al., 2011).</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Against this backdrop, artificial intelligence (AI) has emerged as a potentially transformative set of technologies for disability services. Over the past two decades, rapid advances in machine learning (ML), deep learning (DL), natural language processing (NLP), computer vision, and related computational methods have begun to reshape clinical diagnosis, population screening, therapeutic intervention, communication support, and educational delivery (Bone et al., 2016; </w:t>
      </w:r>
      <w:proofErr w:type="spellStart"/>
      <w:r>
        <w:t>Thabtah</w:t>
      </w:r>
      <w:proofErr w:type="spellEnd"/>
      <w:r>
        <w:t>, 2019; Washington et al., 2020). The application of AI to intellectual disability is still relatively nascent but is growing swiftly, offering prospects that are particularly compelling in resource-constrained settings where human specialist capacity is limited and where digital platforms may offer scalable, cost-effective alternatives or supplements to conventional service delivery.</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However, the translation of AI from research into practice—especially in the complex, heterogeneous, and resource-limited Indian context—is neither straightforward nor guaranteed. Significant barriers exist at the levels of data quality and availability, technological infrastructure, cultural and linguistic adaptation, regulatory governance, ethical oversight, and professional training. A nuanced, evidence-based understanding of both the opportunities and the obstacles is therefore essential to inform policy, guide investment, and direct research priorities. Despite the growing global literature on AI and intellectual disability, there is a striking absence of comprehensive reviews that situate these developments specifically within the Indian context, </w:t>
      </w:r>
      <w:r>
        <w:lastRenderedPageBreak/>
        <w:t>attending to the distinctive epidemiological, policy, and socio-technical realities of the country. This review addresses that gap by integrating international evidence with India-specific data and perspectives.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1.1 Scope and Objectives</w:t>
      </w:r>
    </w:p>
    <w:p w:rsidR="00A16330" w:rsidRDefault="00DB535E" w:rsidP="003033F8">
      <w:pPr>
        <w:spacing w:before="100" w:beforeAutospacing="1" w:after="100" w:afterAutospacing="1"/>
        <w:jc w:val="both"/>
      </w:pPr>
      <w:r>
        <w:t xml:space="preserve">This review aims to provide a comprehensive, critical synthesis of advances and challenges in the application of AI to intellectual disability, with particular emphasis on the Indian context. The specific objectives are: (a) to describe the epidemiology and policy landscape of intellectual disability in India; (b) to review the major domains of AI application relevant to intellectual disability, including screening and diagnosis, cognitive assessment, communication support, assistive technology, and education; (c) to </w:t>
      </w:r>
      <w:proofErr w:type="spellStart"/>
      <w:r>
        <w:t>characterise</w:t>
      </w:r>
      <w:proofErr w:type="spellEnd"/>
      <w:r>
        <w:t xml:space="preserve"> the current state of AI adoption and research activity in India in relation to intellectual disability and related neurodevelopmental conditions; (d) to </w:t>
      </w:r>
      <w:proofErr w:type="spellStart"/>
      <w:r>
        <w:t>analyse</w:t>
      </w:r>
      <w:proofErr w:type="spellEnd"/>
      <w:r>
        <w:t xml:space="preserve"> the principal challenges—technical, socio-cultural, ethical, and policy-related—that impede effective AI implementation in India; and (e) to outline recent trends and future directions that may inform a more equitable and effective AI-enabled approach to intellectual disability services across the country. This review is intended to serve researchers, clinicians, educators, technology developers, and policymakers working at the intersection of artificial intelligence and disability in India.</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2. METHODS FOR LITERATURE SELECTION</w:t>
      </w:r>
    </w:p>
    <w:p w:rsidR="00A16330" w:rsidRDefault="00DB535E" w:rsidP="003033F8">
      <w:pPr>
        <w:spacing w:before="100" w:beforeAutospacing="1" w:after="100" w:afterAutospacing="1"/>
        <w:jc w:val="both"/>
      </w:pPr>
      <w:r>
        <w:t>This review was conducted through a systematic search of the electronic academic databases PubMed, Web of Science, Scopus, and Google Scholar. The search was performed in January 2026, covering literature published from January 2005 to January 2026 to capture recent developments, alongside seminal older works included on methodological grounds. The following Boolean search strings were employed, individually and in combination: "artificial intelligence AND intellectual disability"; "machine learning AND developmental disability"; "deep learning AND autism spectrum disorder"; "natural language processing AND disability"; "AI AND special education India"; "AI AND intellectual disability India"; "assistive technology AND intellectual disability"; "computer vision AND autism screening"; "robotic intervention AND intellectual disability"; "augmentative and alternative communication AND machine learning"; and "digital health AND neurodevelopmental disorder India". Secondary searches were conducted on sub-topics, including federated learning, explainable AI, wearable technology for disability, and India-specific developmental assessment.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Inclusion criteria comprised: peer-reviewed journal articles reporting primary research, systematic reviews, or narrative reviews relevant to the application of AI or digital technology to the assessment, diagnosis, intervention, communication support, or education of individuals with intellectual disability or closely related neurodevelopmental conditions, including autism </w:t>
      </w:r>
      <w:r>
        <w:lastRenderedPageBreak/>
        <w:t xml:space="preserve">spectrum disorder (ASD), Down syndrome, and cerebral palsy. Reports from governmental and international </w:t>
      </w:r>
      <w:proofErr w:type="spellStart"/>
      <w:r>
        <w:t>organisations</w:t>
      </w:r>
      <w:proofErr w:type="spellEnd"/>
      <w:r>
        <w:t>—including the World Health Organization (WHO), the Government of India, and United Nations bodies—were included where directly relevant. Exclusion criteria comprised book chapters, conference abstracts without accompanying full-text publications, grey literature reports without transparent methodology, and publications in languages other than English. Studies were assessed for relevance through title and abstract screening, followed by full-text review for potentially eligible sources. Reference lists of included studies were also hand-searched for additional relevant works.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3. UNDERSTANDING INTELLECTUAL DISABILITY: DEFINITIONS, CLASSIFICATION, AND EPIDEMIOLOGY IN INDIA</w:t>
      </w:r>
    </w:p>
    <w:p w:rsidR="00A16330" w:rsidRDefault="00DB535E" w:rsidP="003033F8">
      <w:pPr>
        <w:spacing w:before="100" w:beforeAutospacing="1" w:after="100" w:afterAutospacing="1"/>
        <w:jc w:val="both"/>
      </w:pPr>
      <w:r>
        <w:t xml:space="preserve">Intellectual disability is </w:t>
      </w:r>
      <w:proofErr w:type="spellStart"/>
      <w:r>
        <w:t>characterised</w:t>
      </w:r>
      <w:proofErr w:type="spellEnd"/>
      <w:r>
        <w:t xml:space="preserve"> by the American Association on Intellectual and Developmental Disabilities (AAIDD) as involving significant limitations in both intellectual functioning—reflected in intelligence quotient (IQ) scores approximately two or more standard deviations below the population mean, generally below 70 to 75—and in adaptive </w:t>
      </w:r>
      <w:proofErr w:type="spellStart"/>
      <w:r>
        <w:t>behaviour</w:t>
      </w:r>
      <w:proofErr w:type="spellEnd"/>
      <w:r>
        <w:t>, with onset prior to age 18 (</w:t>
      </w:r>
      <w:proofErr w:type="spellStart"/>
      <w:r>
        <w:t>Schalock</w:t>
      </w:r>
      <w:proofErr w:type="spellEnd"/>
      <w:r>
        <w:t xml:space="preserve"> et al., 2021). The condition is classified by severity—mild, moderate, severe, and profound—based on the degree of support required across intellectual and adaptive domains, rather than solely on IQ score. This shift reflects a more functional and person-</w:t>
      </w:r>
      <w:proofErr w:type="spellStart"/>
      <w:r>
        <w:t>centred</w:t>
      </w:r>
      <w:proofErr w:type="spellEnd"/>
      <w:r>
        <w:t xml:space="preserve"> </w:t>
      </w:r>
      <w:proofErr w:type="spellStart"/>
      <w:r>
        <w:t>conceptualisation</w:t>
      </w:r>
      <w:proofErr w:type="spellEnd"/>
      <w:r>
        <w:t xml:space="preserve"> of disability that has progressively informed both clinical practice and legal frameworks. The eleventh revision of the International Classification of Diseases (ICD-11) similarly defines intellectual developmental disorder as a condition of uneven development across intellectual and adaptive domains, </w:t>
      </w:r>
      <w:proofErr w:type="spellStart"/>
      <w:r>
        <w:t>emphasising</w:t>
      </w:r>
      <w:proofErr w:type="spellEnd"/>
      <w:r>
        <w:t xml:space="preserve"> the role of environmental supports in shaping functional outcomes.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w:t>
      </w:r>
      <w:proofErr w:type="spellStart"/>
      <w:r>
        <w:t>aetiological</w:t>
      </w:r>
      <w:proofErr w:type="spellEnd"/>
      <w:r>
        <w:t xml:space="preserve"> landscape of intellectual disability is highly heterogeneous, encompassing genetic and chromosomal causes such as Down syndrome, Fragile X syndrome, and phenylketonuria; prenatal and perinatal risk factors including perinatal hypoxia, prematurity, congenital infections, and teratogen exposure; and postnatal causes such as traumatic brain injury, malnutrition, and environmental toxin exposure (Srivastava &amp; Schwartz, 2014). In low- and middle-income countries (LMICs), preventable causes—particularly perinatal asphyxia, iodine deficiency, and consanguineous marriage—are disproportionately represented. Intellectual disability frequently co-occurs with other conditions including autism spectrum disorder, epilepsy, cerebral palsy, sensory impairments, and psychiatric disorders, significantly compounding care complexity and the demands placed upon families and services (</w:t>
      </w:r>
      <w:proofErr w:type="spellStart"/>
      <w:r>
        <w:t>Bhaumik</w:t>
      </w:r>
      <w:proofErr w:type="spellEnd"/>
      <w:r>
        <w:t xml:space="preserve"> et al., 2008). The co-occurrence of ASD and intellectual disability is estimated at between 30% and 70%, depending on diagnostic criteria and study population, and the overlap between these conditions has important implications for AI applications designed to address either condition (Lord et al., 2018).</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lastRenderedPageBreak/>
        <w:t>In the Indian context, the epidemiological picture is shaped by a complex interplay of biological, social, and structural determinants. The Census of India (2011) recorded approximately 2.21 million persons with intellectual or learning disabilities, a figure that represents a fraction of the estimated true prevalence. Systematic community-based studies and meta-analytic estimates suggest a prevalence of approximately one to three percent in the Indian population, consistent with global estimates, with rates potentially higher in rural, lower-income, and educationally underserved communities (</w:t>
      </w:r>
      <w:proofErr w:type="spellStart"/>
      <w:r>
        <w:t>Maulik</w:t>
      </w:r>
      <w:proofErr w:type="spellEnd"/>
      <w:r>
        <w:t xml:space="preserve"> et al., 2011; Lakhan, 2015). The elevated prevalence in low-income settings is partly attributable to greater exposure to preventable risk factors including malnutrition, consanguineous marriage, inadequate antenatal care, and infectious diseases, and is compounded by limited access to early intervention and developmental support (Emerson, 2012). The global prevalence of ASD—which frequently co-occurs with intellectual disability—is estimated at approximately one to two percent and is rising with improved recognition worldwide (</w:t>
      </w:r>
      <w:proofErr w:type="spellStart"/>
      <w:r>
        <w:t>Elsabbagh</w:t>
      </w:r>
      <w:proofErr w:type="spellEnd"/>
      <w:r>
        <w:t xml:space="preserve"> et al., 2012; Rutter, 2005).</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The policy response in India has evolved significantly over recent decades. The Rights of Persons with Disabilities Act (RPWD Act), enacted in 2016, expanded the legal definition of disability to include twenty-one categories—encompassing intellectual disability, specific learning disability, and autism spectrum disorder—and mandated equal opportunities, accessibility, and a range of social protections for persons with disabilities (Ministry of Law and Justice, 2016). The Act's provisions create a legal foundation for disability-inclusive technology development and deployment. The National Mental Health Policy of 2014 and the National Health Mission's emphasis on early child development have incrementally broadened the scope of public provision. Nevertheless, implementation of these policies remains uneven, with substantial shortfalls in trained human resources and physical infrastructure, particularly outside major metropolitan areas (Krishnamurthy, 2008; Rao et al., 2011). Audit studies of care provision have consistently documented critical gaps in diagnostic services, specialist availability, and community-based support, particularly for those with severe and multiple disabilities.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4. ARTIFICIAL INTELLIGENCE: FOUNDATIONAL CONCEPTS AND RELEVANCE TO INTELLECTUAL DISABILITY</w:t>
      </w:r>
    </w:p>
    <w:p w:rsidR="00A16330" w:rsidRDefault="00DB535E" w:rsidP="003033F8">
      <w:pPr>
        <w:spacing w:before="100" w:beforeAutospacing="1" w:after="100" w:afterAutospacing="1"/>
        <w:jc w:val="both"/>
      </w:pPr>
      <w:r>
        <w:t xml:space="preserve">Artificial intelligence refers broadly to the development of computational systems capable of performing tasks that typically require human intelligence, including perception, reasoning, learning, and decision-making. For the purposes of the present review, AI encompasses several interconnected subfields. Machine learning (ML) involves algorithms that learn from data to make predictions or decisions without explicit rule programming, encompassing classical supervised, unsupervised, and semi-supervised approaches. Deep learning (DL) is a subset of ML employing multi-layered artificial neural networks capable of extracting hierarchical feature representations from large, complex datasets—most notably achieving state-of-the-art performance in image recognition, speech processing, and natural language understanding. Natural language processing (NLP) enables computers to interpret, </w:t>
      </w:r>
      <w:proofErr w:type="spellStart"/>
      <w:r>
        <w:t>analyse</w:t>
      </w:r>
      <w:proofErr w:type="spellEnd"/>
      <w:r>
        <w:t xml:space="preserve">, and generate human </w:t>
      </w:r>
      <w:r>
        <w:lastRenderedPageBreak/>
        <w:t xml:space="preserve">language, underpinning applications ranging from automated speech recognition to conversational agents and clinical text mining. Computer vision allows machines to interpret and </w:t>
      </w:r>
      <w:proofErr w:type="spellStart"/>
      <w:r>
        <w:t>analyse</w:t>
      </w:r>
      <w:proofErr w:type="spellEnd"/>
      <w:r>
        <w:t xml:space="preserve"> visual information from images and video, enabling applications such as facial expression recognition, gaze tracking, and gesture-based interaction. Reinforcement learning, wherein computational agents learn optimal </w:t>
      </w:r>
      <w:proofErr w:type="spellStart"/>
      <w:r>
        <w:t>behavioural</w:t>
      </w:r>
      <w:proofErr w:type="spellEnd"/>
      <w:r>
        <w:t xml:space="preserve"> policies through interaction with an environment, and multimodal AI systems that integrate information across sensory and data modalities, are additional paradigms of growing relevance to disability applications.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relevance of these technologies to intellectual disability arises from several distinctive features of the condition and its associated service challenges. First, the early and accurate identification of intellectual disability depends on the interpretation of complex, multivariate </w:t>
      </w:r>
      <w:proofErr w:type="spellStart"/>
      <w:r>
        <w:t>behavioural</w:t>
      </w:r>
      <w:proofErr w:type="spellEnd"/>
      <w:r>
        <w:t xml:space="preserve">, developmental, and biological data—precisely the domain in which AI systems have demonstrated superior pattern recognition capacity relative to unaided clinical heuristics (Bone et al., 2016). Second, the marked shortage of trained specialists in many countries, and particularly in India, creates a structural need for scalable, AI-assisted tools that can extend diagnostic and intervention capacity beyond specialist </w:t>
      </w:r>
      <w:proofErr w:type="spellStart"/>
      <w:r>
        <w:t>centres</w:t>
      </w:r>
      <w:proofErr w:type="spellEnd"/>
      <w:r>
        <w:t xml:space="preserve"> into primary healthcare and community settings. Third, the heterogeneity of intellectual disability—in terms of both </w:t>
      </w:r>
      <w:proofErr w:type="spellStart"/>
      <w:r>
        <w:t>aetiology</w:t>
      </w:r>
      <w:proofErr w:type="spellEnd"/>
      <w:r>
        <w:t xml:space="preserve"> and functional presentation—calls for </w:t>
      </w:r>
      <w:proofErr w:type="spellStart"/>
      <w:r>
        <w:t>personalised</w:t>
      </w:r>
      <w:proofErr w:type="spellEnd"/>
      <w:r>
        <w:t xml:space="preserve">, adaptive approaches to assessment, communication support, and education that AI systems can, in principle, facilitate more effectively than fixed, </w:t>
      </w:r>
      <w:proofErr w:type="spellStart"/>
      <w:r>
        <w:t>standardised</w:t>
      </w:r>
      <w:proofErr w:type="spellEnd"/>
      <w:r>
        <w:t xml:space="preserve"> methods. Fourth, the growing ubiquity of mobile devices, wearables, and cloud computing platforms in India creates an infrastructural basis, however uneven, upon which AI-powered services might be delivered to previously unreachable populations.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5. ADVANCES IN AI FOR INTELLECTUAL DISABILITY</w:t>
      </w:r>
    </w:p>
    <w:p w:rsidR="00A16330" w:rsidRDefault="00DB535E" w:rsidP="003033F8">
      <w:pPr>
        <w:spacing w:before="100" w:beforeAutospacing="1" w:after="100" w:afterAutospacing="1"/>
      </w:pPr>
      <w:r>
        <w:rPr>
          <w:b/>
          <w:bCs/>
        </w:rPr>
        <w:t>5.1 Early Screening and Diagnostic Support</w:t>
      </w:r>
    </w:p>
    <w:p w:rsidR="00A16330" w:rsidRDefault="00DB535E" w:rsidP="003033F8">
      <w:pPr>
        <w:spacing w:before="100" w:beforeAutospacing="1" w:after="100" w:afterAutospacing="1"/>
        <w:jc w:val="both"/>
      </w:pPr>
      <w:r>
        <w:t>Perhaps the most intensively investigated application of AI in neurodevelopmental disability is the development of automated or semi-automated screening and diagnostic tools. Given the well-established evidence that early identification and intervention substantially improves developmental outcomes, but that diagnostic delays of several years remain common globally, the potential of AI to accelerate and widen access to screening carries considerable clinical and public health significance (</w:t>
      </w:r>
      <w:proofErr w:type="spellStart"/>
      <w:r>
        <w:t>Bölte</w:t>
      </w:r>
      <w:proofErr w:type="spellEnd"/>
      <w:r>
        <w:t xml:space="preserve"> et al., 2016; Rutter, 2005). The global scale of unmet diagnostic need—arising from a population prevalence of ASD that is estimated at approximately one to two percent and intellectual disability at one to three percent—underscores the imperative for scalable solutions (</w:t>
      </w:r>
      <w:proofErr w:type="spellStart"/>
      <w:r>
        <w:t>Elsabbagh</w:t>
      </w:r>
      <w:proofErr w:type="spellEnd"/>
      <w:r>
        <w:t xml:space="preserve"> et al., 2012; </w:t>
      </w:r>
      <w:proofErr w:type="spellStart"/>
      <w:r>
        <w:t>Maulik</w:t>
      </w:r>
      <w:proofErr w:type="spellEnd"/>
      <w:r>
        <w:t xml:space="preserve"> et al., 2011).</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most extensive body of AI work has focused on ASD, which frequently co-occurs with intellectual disability and shares overlapping diagnostic features. Early AI applications in this </w:t>
      </w:r>
      <w:r>
        <w:lastRenderedPageBreak/>
        <w:t xml:space="preserve">domain employed traditional ML algorithms—including decision trees, support vector machines, and random forests—trained on </w:t>
      </w:r>
      <w:proofErr w:type="spellStart"/>
      <w:r>
        <w:t>behavioural</w:t>
      </w:r>
      <w:proofErr w:type="spellEnd"/>
      <w:r>
        <w:t xml:space="preserve"> checklist data, developmental milestone records, and caregiver-reported questionnaire responses, to distinguish children with ASD and ID from typically developing peers or from children with other developmental disorders. Bone et al. (2016) demonstrated that ML models applied to data derived from </w:t>
      </w:r>
      <w:proofErr w:type="spellStart"/>
      <w:r>
        <w:t>standardised</w:t>
      </w:r>
      <w:proofErr w:type="spellEnd"/>
      <w:r>
        <w:t xml:space="preserve"> instruments such as the Autism Diagnostic Observation Schedule could achieve clinician-comparable classification accuracy whilst substantially reducing the time and specialist expertise required for assessment. Crucially, this study showed that ensemble approaches combining information from multiple diagnostic instruments achieved superior accuracy relative to any single instrument used alone, illustrating the potential of data fusion strategies for enhancing diagnostic precision.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Deep learning approaches have further expanded the repertoire of AI diagnostic methods. Convolutional neural networks trained on facial video data have been shown capable of detecting atypical gaze patterns, facial affect, and social engagement </w:t>
      </w:r>
      <w:proofErr w:type="spellStart"/>
      <w:r>
        <w:t>behaviours</w:t>
      </w:r>
      <w:proofErr w:type="spellEnd"/>
      <w:r>
        <w:t xml:space="preserve"> characteristic of ASD, enabling unobtrusive, naturalistic assessment using standard smartphone cameras (Washington et al., 2020). These approaches are particularly promising for resource-limited settings, as they require only consumer-grade devices and can be delivered remotely or in community settings without specialist infrastructure. Electroencephalography (EEG)-based deep learning models have been explored as a means of identifying neurophysiological signatures of intellectual disability and ASD, with preliminary results demonstrating the capacity to discriminate diagnostic groups with moderate accuracy, although clinical translation remains at an early stage. Studies </w:t>
      </w:r>
      <w:proofErr w:type="spellStart"/>
      <w:r>
        <w:t>utilising</w:t>
      </w:r>
      <w:proofErr w:type="spellEnd"/>
      <w:r>
        <w:t xml:space="preserve"> population-level administrative data to train AI risk-stratification models have also demonstrated that infants and young children at elevated risk of intellectual disability can be identified before formal developmental evaluation, enabling more efficient targeting of limited specialist resources.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5.2 Machine Learning in Cognitive and Adaptive </w:t>
      </w:r>
      <w:proofErr w:type="spellStart"/>
      <w:r>
        <w:rPr>
          <w:b/>
          <w:bCs/>
        </w:rPr>
        <w:t>Behaviour</w:t>
      </w:r>
      <w:proofErr w:type="spellEnd"/>
      <w:r>
        <w:rPr>
          <w:b/>
          <w:bCs/>
        </w:rPr>
        <w:t xml:space="preserve"> Assessment</w:t>
      </w:r>
    </w:p>
    <w:p w:rsidR="00A16330" w:rsidRDefault="00DB535E" w:rsidP="003033F8">
      <w:pPr>
        <w:spacing w:before="100" w:beforeAutospacing="1" w:after="100" w:afterAutospacing="1"/>
        <w:jc w:val="both"/>
      </w:pPr>
      <w:r>
        <w:t xml:space="preserve">Beyond initial screening, AI has been applied to the detailed assessment of cognitive functioning and adaptive </w:t>
      </w:r>
      <w:proofErr w:type="spellStart"/>
      <w:r>
        <w:t>behaviour</w:t>
      </w:r>
      <w:proofErr w:type="spellEnd"/>
      <w:r>
        <w:t xml:space="preserve"> in individuals with intellectual disability. Traditional </w:t>
      </w:r>
      <w:proofErr w:type="spellStart"/>
      <w:r>
        <w:t>standardised</w:t>
      </w:r>
      <w:proofErr w:type="spellEnd"/>
      <w:r>
        <w:t xml:space="preserve"> neuropsychological assessments are time-consuming, require trained examiners, and may be poorly suited to individuals with severe communication impairments or very limited cognitive ability. ML-driven adaptive assessment platforms offer the prospect of more efficient, </w:t>
      </w:r>
      <w:proofErr w:type="spellStart"/>
      <w:r>
        <w:t>individualised</w:t>
      </w:r>
      <w:proofErr w:type="spellEnd"/>
      <w:r>
        <w:t>, and ecologically valid evaluation. Computer-adaptive testing algorithms, which dynamically adjust item difficulty in real time based on a respondent's prior responses, have been applied to cognitive and developmental assessment batteries, substantially reducing testing duration whilst maintaining psychometric precision. Bayesian ML approaches enable continuous updating of ability estimates as assessment data accumulate, providing more accurate profiling than fixed-format tests of comparable length.</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proofErr w:type="spellStart"/>
      <w:r>
        <w:lastRenderedPageBreak/>
        <w:t>Thabtah</w:t>
      </w:r>
      <w:proofErr w:type="spellEnd"/>
      <w:r>
        <w:t xml:space="preserve"> (2019) conducted an extensive review of ML approaches applied to ASD </w:t>
      </w:r>
      <w:proofErr w:type="spellStart"/>
      <w:r>
        <w:t>behavioural</w:t>
      </w:r>
      <w:proofErr w:type="spellEnd"/>
      <w:r>
        <w:t xml:space="preserve"> research, identifying a diverse range of algorithms—including artificial neural networks, Bayesian classifiers, and decision trees—that achieved superior performance to conventional screening instruments when applied to </w:t>
      </w:r>
      <w:proofErr w:type="spellStart"/>
      <w:r>
        <w:t>behavioural</w:t>
      </w:r>
      <w:proofErr w:type="spellEnd"/>
      <w:r>
        <w:t xml:space="preserve"> symptom data. The review also identified persistent limitations in existing datasets, particularly small sample sizes, demographic homogeneity, and lack of ecological validity, that curtail the </w:t>
      </w:r>
      <w:proofErr w:type="spellStart"/>
      <w:r>
        <w:t>generalisability</w:t>
      </w:r>
      <w:proofErr w:type="spellEnd"/>
      <w:r>
        <w:t xml:space="preserve"> of current models to wider populations. Wearable sensor technologies—including accelerometers, gyroscopes, eye-trackers, and physiological monitors—have been integrated with ML algorithms to provide continuous, objective </w:t>
      </w:r>
      <w:proofErr w:type="spellStart"/>
      <w:r>
        <w:t>behavioural</w:t>
      </w:r>
      <w:proofErr w:type="spellEnd"/>
      <w:r>
        <w:t xml:space="preserve"> assessment outside clinical settings. These systems can detect stereotyped motor </w:t>
      </w:r>
      <w:proofErr w:type="spellStart"/>
      <w:r>
        <w:t>behaviours</w:t>
      </w:r>
      <w:proofErr w:type="spellEnd"/>
      <w:r>
        <w:t xml:space="preserve">, sleep disturbances, and emotional dysregulation—all clinically relevant in intellectual disability—with reasonable accuracy, offering possibilities for ecological momentary assessment that transcend the limitations of clinic-based evaluation. Raj and Masood (2020) explored the application of multiple ML classification algorithms—including Naïve Bayes, support vector machines, logistic regression, and neural networks—to </w:t>
      </w:r>
      <w:proofErr w:type="spellStart"/>
      <w:r>
        <w:t>behavioural</w:t>
      </w:r>
      <w:proofErr w:type="spellEnd"/>
      <w:r>
        <w:t xml:space="preserve"> screening datasets for ASD, demonstrating that classifier ensembles could substantially improve detection accuracy relative to single-algorithm approaches, illustrating the potential of ML methods for more objective and efficient neurodevelopmental screening.</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5.3 Natural Language Processing and Augmentative and Alternative Communication</w:t>
      </w:r>
    </w:p>
    <w:p w:rsidR="00A16330" w:rsidRDefault="00DB535E" w:rsidP="003033F8">
      <w:pPr>
        <w:spacing w:before="100" w:beforeAutospacing="1" w:after="100" w:afterAutospacing="1"/>
        <w:jc w:val="both"/>
      </w:pPr>
      <w:r>
        <w:t xml:space="preserve">Communication impairment is among the most consequential challenges facing individuals with intellectual disability, with a significant proportion of affected individuals experiencing severe limitations in expressive language that markedly restrict independence, social participation, and quality of life. Augmentative and alternative communication (AAC) systems—ranging from low-technology picture boards to sophisticated electronic devices—have long been used to support communication in this population. AI, and NLP in particular, has begun to transform the capabilities of these systems, enabling more efficient, </w:t>
      </w:r>
      <w:proofErr w:type="spellStart"/>
      <w:r>
        <w:t>personalised</w:t>
      </w:r>
      <w:proofErr w:type="spellEnd"/>
      <w:r>
        <w:t>, and contextually appropriate communication support.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Modern AAC applications leverage NLP to predict likely next words or symbols based on context, prior usage patterns, and large-scale linguistic models, dramatically increasing the speed and efficiency of communication for individuals with limited motor control or cognitive capacity. Deep learning language models can be </w:t>
      </w:r>
      <w:proofErr w:type="spellStart"/>
      <w:r>
        <w:t>personalised</w:t>
      </w:r>
      <w:proofErr w:type="spellEnd"/>
      <w:r>
        <w:t xml:space="preserve"> to the vocabulary, syntactic patterns, and topic preferences of individual users, enabling more natural communication support than prior rule-based systems. Voice-to-text and text-to-speech technologies powered by neural networks have achieved levels of accuracy and naturalness that render them practically viable for communication support, even for users with atypical speech characteristics. AI-powered conversational agents and chatbots have been explored as tools for structured communication practice, social skills rehearsal, and daily living support for individuals with mild-to-moderate intellectual disability. The non-judgmental, infinitely patient, and fully controllable nature of AI interlocutors offers distinct advantages over human interaction partners for rehearsal activities and skill </w:t>
      </w:r>
      <w:proofErr w:type="spellStart"/>
      <w:r>
        <w:t>generalisation</w:t>
      </w:r>
      <w:proofErr w:type="spellEnd"/>
      <w:r>
        <w:t xml:space="preserve">. Speech recognition systems trained on atypical speech corpora have </w:t>
      </w:r>
      <w:r>
        <w:lastRenderedPageBreak/>
        <w:t>shown improved accuracy for individuals with dysarthria and other speech disorders commonly associated with intellectual disability, although significant challenges remain in achieving robust performance across the full range of speech profiles encountered clinically.</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5.4 AI-Driven Assistive Technologies and Robotics</w:t>
      </w:r>
    </w:p>
    <w:p w:rsidR="00A16330" w:rsidRDefault="00DB535E" w:rsidP="003033F8">
      <w:pPr>
        <w:spacing w:before="100" w:beforeAutospacing="1" w:after="100" w:afterAutospacing="1"/>
        <w:jc w:val="both"/>
      </w:pPr>
      <w:r>
        <w:t xml:space="preserve">The intersection of AI with assistive technologies and robotics has opened further avenues for supporting the independence, social engagement, and skill development of individuals with intellectual disability. Socially assistive robots (SARs) equipped with facial recognition, emotion detection, speech processing, and social interaction capabilities have been deployed in therapeutic contexts to support social skills development, emotional regulation, and structured play in children with ASD and intellectual disability. Voss et al. (2019) conducted a </w:t>
      </w:r>
      <w:proofErr w:type="spellStart"/>
      <w:r>
        <w:t>randomised</w:t>
      </w:r>
      <w:proofErr w:type="spellEnd"/>
      <w:r>
        <w:t xml:space="preserve"> clinical trial demonstrating that a wearable AI-driven intervention employing computer vision-based facial expression analysis could significantly improve </w:t>
      </w:r>
      <w:proofErr w:type="spellStart"/>
      <w:r>
        <w:t>socialisation</w:t>
      </w:r>
      <w:proofErr w:type="spellEnd"/>
      <w:r>
        <w:t xml:space="preserve"> outcomes in children with ASD, with benefits that were maintained at follow-up assessment. This study represented a landmark in illustrating the potential of AI-embedded wearable devices to extend therapeutic support into the home and community environment, beyond the confines of specialist clinical settings.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Smart home technologies incorporating AI—including voice-activated assistants, sensor networks, and AI-driven environmental controls—can substantially enhance the independence of adults with intellectual disability in domestic settings, supporting activities of daily living such as meal preparation, medication management, wayfinding, and communication. Computer vision-based systems that detect gestures, facial expressions, or eye movements can serve as access interfaces for individuals with severe motor impairments, enabling control of communication devices, computers, and environmental systems without requiring physical contact. </w:t>
      </w:r>
      <w:proofErr w:type="spellStart"/>
      <w:r>
        <w:t>Stasolla</w:t>
      </w:r>
      <w:proofErr w:type="spellEnd"/>
      <w:r>
        <w:t xml:space="preserve"> et al. (2015) demonstrated that assistive technology systems employing choice-making interfaces could promote autonomous, goal-directed </w:t>
      </w:r>
      <w:proofErr w:type="spellStart"/>
      <w:r>
        <w:t>behaviour</w:t>
      </w:r>
      <w:proofErr w:type="spellEnd"/>
      <w:r>
        <w:t xml:space="preserve"> in individuals with severe intellectual disability and cerebral palsy, illustrating the broader potential of AI-mediated assistive devices. Novak et al. (2020) have further outlined the state of evidence for technology-assisted interventions in children with cerebral palsy, noting that technology-mediated approaches are among the interventions with the strongest evidence base, creating a foundation upon which AI enhancement may build.</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5.5 AI in Special Education and </w:t>
      </w:r>
      <w:proofErr w:type="spellStart"/>
      <w:r>
        <w:rPr>
          <w:b/>
          <w:bCs/>
        </w:rPr>
        <w:t>Personalised</w:t>
      </w:r>
      <w:proofErr w:type="spellEnd"/>
      <w:r>
        <w:rPr>
          <w:b/>
          <w:bCs/>
        </w:rPr>
        <w:t xml:space="preserve"> Learning</w:t>
      </w:r>
    </w:p>
    <w:p w:rsidR="00A16330" w:rsidRDefault="00DB535E" w:rsidP="003033F8">
      <w:pPr>
        <w:spacing w:before="100" w:beforeAutospacing="1" w:after="100" w:afterAutospacing="1"/>
        <w:jc w:val="both"/>
      </w:pPr>
      <w:r>
        <w:t xml:space="preserve">Education is a fundamental right and a major site of intervention for individuals with intellectual disability, yet the provision of genuinely </w:t>
      </w:r>
      <w:proofErr w:type="spellStart"/>
      <w:r>
        <w:t>individualised</w:t>
      </w:r>
      <w:proofErr w:type="spellEnd"/>
      <w:r>
        <w:t xml:space="preserve">, evidence-based instruction is persistently constrained by teacher capacity, resource availability, and class size. AI-powered learning platforms offer the prospect of adaptive, </w:t>
      </w:r>
      <w:proofErr w:type="spellStart"/>
      <w:r>
        <w:t>personalised</w:t>
      </w:r>
      <w:proofErr w:type="spellEnd"/>
      <w:r>
        <w:t xml:space="preserve"> instruction at scale, with the </w:t>
      </w:r>
      <w:r>
        <w:lastRenderedPageBreak/>
        <w:t>capacity to adjust content difficulty, modality, pacing, and reinforcement contingencies to the individual learner's profile and real-time performance. Intelligent tutoring systems (ITS) built on ML algorithms can continuously assess learner performance, identify areas of difficulty, and adapt the sequence and format of instructional content accordingly. When integrated with multi-sensory content—combining visual, auditory, and tactile modalities—these systems can more effectively address the diverse learning profiles and sensory processing characteristics common in individuals with intellectual disability.</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AI-driven game-based learning environments have shown promise in engaging children with ID and ASD in structured skill-building activities related to literacy, numeracy, social cognition, and adaptive </w:t>
      </w:r>
      <w:proofErr w:type="spellStart"/>
      <w:r>
        <w:t>behaviour</w:t>
      </w:r>
      <w:proofErr w:type="spellEnd"/>
      <w:r>
        <w:t xml:space="preserve">, with several studies reporting improved engagement and skill acquisition relative to conventional instruction. Emotion recognition systems embedded in learning platforms can detect real-time indicators of frustration, disengagement, or confusion, enabling dynamic adjustment of content or the provision of supportive prompts—functions that replicate sensitive teacher </w:t>
      </w:r>
      <w:proofErr w:type="spellStart"/>
      <w:r>
        <w:t>behaviours</w:t>
      </w:r>
      <w:proofErr w:type="spellEnd"/>
      <w:r>
        <w:t xml:space="preserve"> at a scale otherwise unachievable. The application of reinforcement learning to educational adaptive systems enables platforms to discover novel instructional strategies through interaction with learners over time, potentially identifying effective approaches that human instructors or fixed curricula would not generate. The integration of AI-based learning tools with </w:t>
      </w:r>
      <w:proofErr w:type="spellStart"/>
      <w:r>
        <w:t>standardised</w:t>
      </w:r>
      <w:proofErr w:type="spellEnd"/>
      <w:r>
        <w:t xml:space="preserve"> special education curricula, and their systematic evaluation using rigorous research designs, remain priority areas for future development.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6. AI IN THE INDIAN CONTEXT: CURRENT LANDSCAPE AND APPLICATIONS</w:t>
      </w:r>
    </w:p>
    <w:p w:rsidR="00A16330" w:rsidRDefault="00DB535E" w:rsidP="003033F8">
      <w:pPr>
        <w:spacing w:before="100" w:beforeAutospacing="1" w:after="100" w:afterAutospacing="1"/>
      </w:pPr>
      <w:r>
        <w:rPr>
          <w:b/>
          <w:bCs/>
        </w:rPr>
        <w:t>6.1 Policy and Regulatory Framework</w:t>
      </w:r>
    </w:p>
    <w:p w:rsidR="00A16330" w:rsidRDefault="00DB535E" w:rsidP="003033F8">
      <w:pPr>
        <w:spacing w:before="100" w:beforeAutospacing="1" w:after="100" w:afterAutospacing="1"/>
        <w:jc w:val="both"/>
      </w:pPr>
      <w:r>
        <w:t>The Indian government has, in recent years, articulated a series of policy commitments that create a broad supportive framework for AI in healthcare and education, even if these commitments have not yet specifically addressed intellectual disability in any systematic detail. The National Strategy for Artificial Intelligence, released by NITI Aayog in 2018, identified healthcare and education as priority sectors for AI deployment and outlined aspirations for India to become a global AI leader, with an emphasis on developing inclusive, equitable AI solutions adapted to Indian conditions. The Digital India initiative, launched in 2015, aims to expand digital infrastructure across the country and promote e-governance, digital literacy, and online service delivery—all prerequisites for AI-enabled disability services.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Rights of Persons with Disabilities Act (RPWD Act, 2016) provides the legislative foundation for disability-inclusive services and mandates accessibility, reasonable accommodation, and equal participation across health, education, employment, and social domains for individuals with the twenty-one </w:t>
      </w:r>
      <w:proofErr w:type="spellStart"/>
      <w:r>
        <w:t>recognised</w:t>
      </w:r>
      <w:proofErr w:type="spellEnd"/>
      <w:r>
        <w:t xml:space="preserve"> categories of disability (Ministry of Law </w:t>
      </w:r>
      <w:r>
        <w:lastRenderedPageBreak/>
        <w:t xml:space="preserve">and Justice, 2016). The Act's provisions create legal obligations for AI-enabled systems used in disability-related services to be accessible and non-discriminatory, although enforcement mechanisms remain underdeveloped and there is no specific guidance on AI applications in disability services as yet. The National Trust for Welfare of Persons with Autism, Cerebral Palsy, Mental Retardation, and Multiple Disabilities manages a network of registered </w:t>
      </w:r>
      <w:proofErr w:type="spellStart"/>
      <w:r>
        <w:t>organisations</w:t>
      </w:r>
      <w:proofErr w:type="spellEnd"/>
      <w:r>
        <w:t xml:space="preserve"> and provides grants for assistive technology and special education, constituting a modest but significant infrastructure through which AI-enabled tools might be deployed.</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6.2 Technology Adoption and Telehealth Initiatives</w:t>
      </w:r>
    </w:p>
    <w:p w:rsidR="00A16330" w:rsidRDefault="00DB535E" w:rsidP="003033F8">
      <w:pPr>
        <w:spacing w:before="100" w:beforeAutospacing="1" w:after="100" w:afterAutospacing="1"/>
        <w:jc w:val="both"/>
      </w:pPr>
      <w:r>
        <w:t xml:space="preserve">India's healthcare system has witnessed a substantial expansion of digital health initiatives, accelerated by the COVID-19 pandemic, which drove a rapid shift towards telemedicine and remote service delivery across all clinical domains. The </w:t>
      </w:r>
      <w:proofErr w:type="spellStart"/>
      <w:r>
        <w:t>Ayushman</w:t>
      </w:r>
      <w:proofErr w:type="spellEnd"/>
      <w:r>
        <w:t xml:space="preserve"> Bharat Digital Mission, launched in 2021, aims to create a unified digital health ecosystem encompassing electronic health records, telemedicine platforms, and digital health identification for all citizens. This provides a potential infrastructure within which AI-based disability assessment and monitoring tools could eventually be integrated at population scale. The expansion of telemedicine has been particularly significant for mental health and developmental disability services, as it reduces the geographical barriers that prevent families in rural and peri-urban areas from accessing specialist care (Rathod et al., 2017).</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However, the capacity of India's healthcare system to absorb AI innovations in disability care is constrained by persistent structural deficits. Rao et al. (2011) documented a severe shortage of trained health professionals at all levels in India, with a particularly acute deficit of specialists in mental health, </w:t>
      </w:r>
      <w:proofErr w:type="spellStart"/>
      <w:r>
        <w:t>paediatric</w:t>
      </w:r>
      <w:proofErr w:type="spellEnd"/>
      <w:r>
        <w:t xml:space="preserve"> neurology, and developmental disability. This means that even where AI diagnostic or monitoring tools are developed, there may be insufficient trained personnel to deploy, interpret, and act upon their outputs in clinically meaningful ways. The mental health treatment gap in India—estimated at over 80% even for severe mental disorders—means that the majority of individuals with intellectual disability receive no specialist intervention at all, let alone AI-enhanced care (Patel et al., 2016). AI cannot substitute for the minimum human capital required to anchor a functional service system, and investments in AI tools must be paralleled by substantial investments in professional training, workforce development, and service infrastructure.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6.3 Indigenous Research Contributions</w:t>
      </w:r>
    </w:p>
    <w:p w:rsidR="00A16330" w:rsidRDefault="00DB535E" w:rsidP="003033F8">
      <w:pPr>
        <w:spacing w:before="100" w:beforeAutospacing="1" w:after="100" w:afterAutospacing="1"/>
        <w:jc w:val="both"/>
      </w:pPr>
      <w:r>
        <w:t xml:space="preserve">Whilst the global literature on AI and intellectual disability is dominated by research from high-income countries—principally the United States, the United Kingdom, Australia, and Western Europe—there is a nascent but growing body of India-based research that is beginning to address the distinctive needs and contexts of Indian populations. Work by Mukherjee (2017) on ASD </w:t>
      </w:r>
      <w:r>
        <w:lastRenderedPageBreak/>
        <w:t xml:space="preserve">diagnosis and management in the Indian context highlighted the challenges of applying internationally </w:t>
      </w:r>
      <w:proofErr w:type="spellStart"/>
      <w:r>
        <w:t>standardised</w:t>
      </w:r>
      <w:proofErr w:type="spellEnd"/>
      <w:r>
        <w:t xml:space="preserve"> diagnostic instruments to Indian populations, owing to differences in developmental norms, socio-cultural expectations, language of administration, and linguistic diversity. The study advocated for the adaptation and systematic validation of assessment tools to the Indian context—a prerequisite for any AI training data derived from these instruments to be culturally and psychometrically valid.</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Research by Divan et al. (2012) examining the experiences of families of children with ASD in Goa, India, documented the profound unmet needs for diagnostic and support services, the pervasive stigma surrounding neurodevelopmental conditions, and the central role of the family in providing care in the absence of formal services. These findings underscore the importance of designing AI tools that are not only technically effective but also culturally consonant with Indian family structures, values, and coping strategies, and that support rather than supplant the family as the primary care resource. Lakhan and Kishore (2018) highlighted the limitations of existing developmental assessment tools for Down syndrome in India, demonstrating floor effects that rendered internationally </w:t>
      </w:r>
      <w:proofErr w:type="spellStart"/>
      <w:r>
        <w:t>standardised</w:t>
      </w:r>
      <w:proofErr w:type="spellEnd"/>
      <w:r>
        <w:t xml:space="preserve"> instruments insensitive for Indian children under the age of six, and argued for the development of India-specific normative data. This evidence underscores a critical prerequisite for the development of AI models trained on locally validated assessments. Krishnamurthy (2008) conducted a systematic audit of care provision for individuals with intellectual disability in the Indian context, revealing critical gaps in diagnostic services, specialist availability, and community support that delineate the systemic challenges that AI must complement rather than circumvent.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7. CHALLENGES IN IMPLEMENTING AI FOR INTELLECTUAL DISABILITY IN INDIA</w:t>
      </w:r>
    </w:p>
    <w:p w:rsidR="00A16330" w:rsidRDefault="00DB535E" w:rsidP="003033F8">
      <w:pPr>
        <w:spacing w:before="100" w:beforeAutospacing="1" w:after="100" w:afterAutospacing="1"/>
      </w:pPr>
      <w:r>
        <w:rPr>
          <w:b/>
          <w:bCs/>
        </w:rPr>
        <w:t>7.1 Data Scarcity and Representational Bias</w:t>
      </w:r>
    </w:p>
    <w:p w:rsidR="00A16330" w:rsidRDefault="00DB535E" w:rsidP="003033F8">
      <w:pPr>
        <w:spacing w:before="100" w:beforeAutospacing="1" w:after="100" w:afterAutospacing="1"/>
        <w:jc w:val="both"/>
      </w:pPr>
      <w:r>
        <w:t xml:space="preserve">The development of robust, </w:t>
      </w:r>
      <w:proofErr w:type="spellStart"/>
      <w:r>
        <w:t>generalisable</w:t>
      </w:r>
      <w:proofErr w:type="spellEnd"/>
      <w:r>
        <w:t xml:space="preserve"> AI models depends fundamentally on access to large, high-quality, representative datasets. In the domain of intellectual disability in India, such datasets are conspicuously absent. Clinical data from individuals with intellectual disability are fragmented across disconnected and often paper-based health information systems, rarely </w:t>
      </w:r>
      <w:proofErr w:type="spellStart"/>
      <w:r>
        <w:t>digitised</w:t>
      </w:r>
      <w:proofErr w:type="spellEnd"/>
      <w:r>
        <w:t>, and seldom available for research purposes. Community-based epidemiological studies are sparse, and the data that do exist are often collected using varied methodologies, inconsistent diagnostic criteria, and non-</w:t>
      </w:r>
      <w:proofErr w:type="spellStart"/>
      <w:r>
        <w:t>standardised</w:t>
      </w:r>
      <w:proofErr w:type="spellEnd"/>
      <w:r>
        <w:t xml:space="preserve"> outcome measures, rendering meta-analysis and pooled modelling difficult. The World Health Organization (2011) identified data scarcity as a global challenge but noted it was disproportionately severe in low- and middle-income countries, where disability surveillance systems are weakest.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lastRenderedPageBreak/>
        <w:t xml:space="preserve">Even where datasets exist, they typically reflect populations served by specialist urban hospitals, which are unrepresentative of the broader Indian population in terms of socioeconomic status, geographical location, linguistic background, and educational attainment. AI models trained on such data are likely to perform poorly when deployed in the rural and peri-urban settings where the majority of individuals with intellectual disability in India reside. Algorithmic bias—the systematic misclassification or underperformance of AI systems for under-represented groups—is a well-documented concern in AI healthcare applications, and in India's context of extreme socio-cultural and linguistic diversity, the risk of such bias is particularly acute. Addressing data scarcity will require sustained, coordinated investment in community-based data collection, the </w:t>
      </w:r>
      <w:proofErr w:type="spellStart"/>
      <w:r>
        <w:t>standardisation</w:t>
      </w:r>
      <w:proofErr w:type="spellEnd"/>
      <w:r>
        <w:t xml:space="preserve"> of data formats and diagnostic criteria, and the establishment of shared research data repositories with appropriate governance frameworks.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7.2 Digital Divide and Infrastructure Limitations</w:t>
      </w:r>
    </w:p>
    <w:p w:rsidR="00A16330" w:rsidRDefault="00DB535E" w:rsidP="003033F8">
      <w:pPr>
        <w:spacing w:before="100" w:beforeAutospacing="1" w:after="100" w:afterAutospacing="1"/>
        <w:jc w:val="both"/>
      </w:pPr>
      <w:r>
        <w:t xml:space="preserve">India's digital landscape is </w:t>
      </w:r>
      <w:proofErr w:type="spellStart"/>
      <w:r>
        <w:t>characterised</w:t>
      </w:r>
      <w:proofErr w:type="spellEnd"/>
      <w:r>
        <w:t xml:space="preserve"> by marked inequities in access to digital infrastructure. Despite rapid progress in mobile connectivity and internet penetration over the past decade, significant portions of the rural population—where intellectual disability prevalence may be highest—lack reliable internet access, affordable smartphones, or consistent electricity supply. The digital divide thus risks creating a paradox whereby AI-enabled disability services are most accessible to those who already enjoy the greatest access to other forms of support, whilst those with the most acute need remain excluded (Emerson, 2012). For individuals with intellectual disability in low-income households, the affordability of devices, data plans, and assistive technology constitutes an additional and often insurmountable barrier.</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Infrastructure challenges extend beyond household-level connectivity. Healthcare facilities in rural India often lack the hardware, software, and information technology support required to deploy and maintain AI systems. Electronic health records are far from universal even in urban settings, and the data interoperability required for integrated, AI-based care management systems is largely absent. The lack of reliable cloud computing infrastructure in many regions necessitates on-device or offline AI applications, imposing constraints on model complexity, update frequency, and the breadth of features that can be delivered. Addressing these infrastructure challenges requires investment not only in technology hardware but in the human and institutional capacity to manage, maintain, and adapt digital systems over time.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7.3 Linguistic and Cultural Diversity</w:t>
      </w:r>
    </w:p>
    <w:p w:rsidR="00A16330" w:rsidRDefault="00DB535E" w:rsidP="003033F8">
      <w:pPr>
        <w:spacing w:before="100" w:beforeAutospacing="1" w:after="100" w:afterAutospacing="1"/>
        <w:jc w:val="both"/>
      </w:pPr>
      <w:r>
        <w:t xml:space="preserve">India's extraordinary linguistic diversity—with twenty-two officially </w:t>
      </w:r>
      <w:proofErr w:type="spellStart"/>
      <w:r>
        <w:t>recognised</w:t>
      </w:r>
      <w:proofErr w:type="spellEnd"/>
      <w:r>
        <w:t xml:space="preserve"> languages, hundreds of dialects, and multiple distinct script systems—presents formidable challenges for AI systems that depend on natural language processing, speech recognition, or text-based communication. The dominant AI language models have been trained overwhelmingly on </w:t>
      </w:r>
      <w:r>
        <w:lastRenderedPageBreak/>
        <w:t>English-language data, and their performance degrades substantially when applied to Indian languages, particularly those with smaller digital footprints such as Odia, Assamese, Manipuri, or Bodo. Even for major Indian languages such as Hindi, Tamil, Telugu, and Bengali, the availability of high-quality labelled datasets for clinical NLP and communication support applications is very limited, restricting the development of effective AI tools for the majority of the Indian population.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Cultural diversity compounds linguistic challenges. The </w:t>
      </w:r>
      <w:proofErr w:type="spellStart"/>
      <w:r>
        <w:t>behavioural</w:t>
      </w:r>
      <w:proofErr w:type="spellEnd"/>
      <w:r>
        <w:t xml:space="preserve"> and developmental norms that underpin diagnostic criteria for intellectual disability have been largely derived from Western, educated, </w:t>
      </w:r>
      <w:proofErr w:type="spellStart"/>
      <w:r>
        <w:t>industrialised</w:t>
      </w:r>
      <w:proofErr w:type="spellEnd"/>
      <w:r>
        <w:t xml:space="preserve">, rich, and democratic populations. The social, communicative, and adaptive </w:t>
      </w:r>
      <w:proofErr w:type="spellStart"/>
      <w:r>
        <w:t>behaviours</w:t>
      </w:r>
      <w:proofErr w:type="spellEnd"/>
      <w:r>
        <w:t xml:space="preserve"> expected of children at specific developmental stages vary substantially across Indian cultural contexts, reflecting differences in caregiving practices, joint family structures, language </w:t>
      </w:r>
      <w:proofErr w:type="spellStart"/>
      <w:r>
        <w:t>socialisation</w:t>
      </w:r>
      <w:proofErr w:type="spellEnd"/>
      <w:r>
        <w:t xml:space="preserve">, and educational expectations. AI diagnostic models trained on internationally </w:t>
      </w:r>
      <w:proofErr w:type="spellStart"/>
      <w:r>
        <w:t>standardised</w:t>
      </w:r>
      <w:proofErr w:type="spellEnd"/>
      <w:r>
        <w:t xml:space="preserve"> data may thus misclassify culturally variant </w:t>
      </w:r>
      <w:proofErr w:type="spellStart"/>
      <w:r>
        <w:t>behaviours</w:t>
      </w:r>
      <w:proofErr w:type="spellEnd"/>
      <w:r>
        <w:t xml:space="preserve"> as evidence of developmental abnormality, or conversely fail to detect genuine impairments in children whose cultural environment obscures symptomatic expression. The development of culturally and linguistically adapted AI tools, trained on locally collected data and validated against Indian developmental norms, is therefore a fundamental prerequisite for equitable and effective AI in disability services in India.</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7.4 Ethical, Privacy, and Consent Issues</w:t>
      </w:r>
    </w:p>
    <w:p w:rsidR="00A16330" w:rsidRDefault="00DB535E" w:rsidP="003033F8">
      <w:pPr>
        <w:spacing w:before="100" w:beforeAutospacing="1" w:after="100" w:afterAutospacing="1"/>
        <w:jc w:val="both"/>
      </w:pPr>
      <w:r>
        <w:t xml:space="preserve">The deployment of AI systems for the assessment and monitoring of individuals with intellectual disability raises profound ethical questions that have received insufficient attention in the Indian policy context. Individuals with intellectual disability may have limited capacity to provide fully informed consent to the use of AI tools, the collection of their personal data, or the retention and sharing of their health information. Proxy consent from caregivers is common in practice but does not fully resolve concerns about autonomy and self-determination, particularly for individuals with mild intellectual disability who retain significant capacity to express preferences about their own care. Legal frameworks governing data protection, including the Digital Personal Data Protection Act (2023) in India, are evolving but remain incompletely </w:t>
      </w:r>
      <w:proofErr w:type="spellStart"/>
      <w:r>
        <w:t>operationalised</w:t>
      </w:r>
      <w:proofErr w:type="spellEnd"/>
      <w:r>
        <w:t xml:space="preserve"> in the disability care context.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Privacy concerns are especially acute for data derived from continuous monitoring technologies—wearables, smart home sensors, and video-based systems—that capture detailed </w:t>
      </w:r>
      <w:proofErr w:type="spellStart"/>
      <w:r>
        <w:t>behavioural</w:t>
      </w:r>
      <w:proofErr w:type="spellEnd"/>
      <w:r>
        <w:t xml:space="preserve"> data in intimate domestic settings. The aggregation of such data creates risks of </w:t>
      </w:r>
      <w:proofErr w:type="spellStart"/>
      <w:r>
        <w:t>unauthorised</w:t>
      </w:r>
      <w:proofErr w:type="spellEnd"/>
      <w:r>
        <w:t xml:space="preserve"> surveillance, commercial exploitation, or discriminatory use by employers, insurers, or social services. The opacity of deep learning models—their status as computational "black boxes" that cannot easily explain the bases of their predictions—creates accountability challenges in clinical and educational settings where individuals and families have a legitimate </w:t>
      </w:r>
      <w:r>
        <w:lastRenderedPageBreak/>
        <w:t xml:space="preserve">right to understand how consequential decisions about their care or education are made. Explainable AI (XAI) methods, which aim to render decision-making processes of complex models interpretable and accountable, are increasingly </w:t>
      </w:r>
      <w:proofErr w:type="spellStart"/>
      <w:r>
        <w:t>recognised</w:t>
      </w:r>
      <w:proofErr w:type="spellEnd"/>
      <w:r>
        <w:t xml:space="preserve"> as an ethical imperative but are not yet standard practice in disability AI applications.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7.5 Gaps in Policy, Regulation, and </w:t>
      </w:r>
      <w:proofErr w:type="spellStart"/>
      <w:r>
        <w:rPr>
          <w:b/>
          <w:bCs/>
        </w:rPr>
        <w:t>Professionalisation</w:t>
      </w:r>
      <w:proofErr w:type="spellEnd"/>
    </w:p>
    <w:p w:rsidR="00A16330" w:rsidRDefault="00DB535E" w:rsidP="003033F8">
      <w:pPr>
        <w:spacing w:before="100" w:beforeAutospacing="1" w:after="100" w:afterAutospacing="1"/>
        <w:jc w:val="both"/>
      </w:pPr>
      <w:r>
        <w:t xml:space="preserve">The regulatory framework governing AI in healthcare is substantially underdeveloped in India relative to the pace of technological innovation. Whilst the Central Drugs Standard Control </w:t>
      </w:r>
      <w:proofErr w:type="spellStart"/>
      <w:r>
        <w:t>Organisation</w:t>
      </w:r>
      <w:proofErr w:type="spellEnd"/>
      <w:r>
        <w:t xml:space="preserve"> has begun to address the regulation of AI and ML-based medical devices, comprehensive guidelines specific to AI tools used in disability assessment, communication support, and education are absent. This regulatory vacuum creates risks of premature deployment of untested or insufficiently validated AI products in settings serving vulnerable individuals with intellectual disability, with potentially serious consequences for safety and wellbeing. There is also a significant gap in the professional capacity required to critically evaluate, deploy, </w:t>
      </w:r>
      <w:proofErr w:type="spellStart"/>
      <w:r>
        <w:t>contextualise</w:t>
      </w:r>
      <w:proofErr w:type="spellEnd"/>
      <w:r>
        <w:t>, and monitor AI-based tools: the interdisciplinary training required to bridge clinical disability expertise with AI literacy is rare in India's professional education system.</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The absence of systematic integration between disability services, health systems, education departments, and technology policy further impedes the coherent development of an AI-enabled disability ecosystem. Siloed governmental ministries—including Health, Education, Social Justice and Empowerment, and Electronics and Information Technology—each with partially overlapping mandates for disability and technology, create fragmented governance that militates against the coordinated, long-term investment required to translate AI potential into equitable practice (Rathod et al., 2017). Cross-ministerial coordination mechanisms and dedicated disability technology policy, informed by evidence and co-designed with disability communities, are needed to create a coherent enabling environment.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8. RECENT TRENDS AND FUTURE DIRECTIONS</w:t>
      </w:r>
    </w:p>
    <w:p w:rsidR="00A16330" w:rsidRDefault="00DB535E" w:rsidP="003033F8">
      <w:pPr>
        <w:spacing w:before="100" w:beforeAutospacing="1" w:after="100" w:afterAutospacing="1"/>
        <w:jc w:val="both"/>
      </w:pPr>
      <w:r>
        <w:t xml:space="preserve">The landscape of AI in intellectual disability is evolving rapidly, and several emerging technical and methodological trends hold particular promise for the Indian context. Federated learning—a distributed ML paradigm in which model training occurs across multiple devices or institutions without requiring the </w:t>
      </w:r>
      <w:proofErr w:type="spellStart"/>
      <w:r>
        <w:t>centralisation</w:t>
      </w:r>
      <w:proofErr w:type="spellEnd"/>
      <w:r>
        <w:t xml:space="preserve"> of raw sensitive data—offers a promising approach to the twin challenges of data scarcity and privacy simultaneously. By enabling AI models to learn from datasets distributed across hospitals, schools, and community health </w:t>
      </w:r>
      <w:proofErr w:type="spellStart"/>
      <w:r>
        <w:t>centres</w:t>
      </w:r>
      <w:proofErr w:type="spellEnd"/>
      <w:r>
        <w:t xml:space="preserve"> without pooling sensitive patient data at a central repository, federated learning could accelerate the development of India-specific models that reflect the diversity of the national population whilst complying with evolving data protection requirements.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Large language models (LLMs) and multimodal foundation models have demonstrated remarkable capabilities in understanding and generating human language and in integrating information across text, image, audio, and video modalities. Their adaptation to support communication, education, and clinical documentation in Indian languages is an active and rapidly evolving area, with several research groups and technology companies investing in the development of multilingual models trained on Indian language corpora. For individuals with intellectual disability, LLMs may eventually enable highly </w:t>
      </w:r>
      <w:proofErr w:type="spellStart"/>
      <w:r>
        <w:t>personalised</w:t>
      </w:r>
      <w:proofErr w:type="spellEnd"/>
      <w:r>
        <w:t>, responsive AAC systems that generate contextually appropriate communication content in real time, adapting to the user's linguistic repertoire and environmental context with minimal expert configuration.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Multimodal AI systems that integrate information from multiple sources—video, audio, physiological signals, electronic health records, and caregiver-reported questionnaire data—are increasingly demonstrating superior diagnostic and monitoring performance relative to unimodal approaches, and their application to the complex, heterogeneous clinical presentations of intellectual disability is a compelling research direction. The development of India-specific normative databases for developmental assessment—a prerequisite for valid AI model training in the Indian context, as argued by Lakhan and Kishore (2018)—represents an urgent research priority. Explainable AI methods, including attention mechanisms, saliency maps, and rule-based explanatory systems, are increasingly incorporated into AI tools for clinical decision support, addressing the ethical and accountability requirements of high-stakes disability assessment (Novak et al., 2020).</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growing emphasis on participatory design—involving individuals with intellectual disability, their families, frontline practitioners, and community members in the co-design of AI tools and services—is an important corrective to the historically technology-driven, top-down approach to assistive technology development. Evidence from participatory design studies consistently demonstrates that tools developed with the active involvement of end users are more likely to be accepted, used effectively, fit for purpose, and ethically designed. In India, public-private partnership models that </w:t>
      </w:r>
      <w:proofErr w:type="spellStart"/>
      <w:r>
        <w:t>mobilise</w:t>
      </w:r>
      <w:proofErr w:type="spellEnd"/>
      <w:r>
        <w:t xml:space="preserve"> the country's substantial technology and software industry alongside government health and education systems offer a structural mechanism for scaling AI-enabled disability services. Initiatives linking Indian Institutes of Technology and National Institutes of Mental Health and Neurosciences with medical colleges, rehabilitation councils, and disability </w:t>
      </w:r>
      <w:proofErr w:type="spellStart"/>
      <w:r>
        <w:t>organisations</w:t>
      </w:r>
      <w:proofErr w:type="spellEnd"/>
      <w:r>
        <w:t xml:space="preserve"> represent nascent but meaningful collaborative infrastructure upon which AI-enabled intellectual disability services could be built over the coming decade.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9. CONCLUSIONS</w:t>
      </w:r>
    </w:p>
    <w:p w:rsidR="00A16330" w:rsidRDefault="00DB535E" w:rsidP="003033F8">
      <w:pPr>
        <w:spacing w:before="100" w:beforeAutospacing="1" w:after="100" w:afterAutospacing="1"/>
        <w:jc w:val="both"/>
      </w:pPr>
      <w:r>
        <w:lastRenderedPageBreak/>
        <w:t xml:space="preserve">Artificial intelligence represents a genuinely transformative set of technologies for intellectual disability services, with demonstrated potential across the domains of early screening and diagnosis, cognitive assessment, communication support, assistive technology, and </w:t>
      </w:r>
      <w:proofErr w:type="spellStart"/>
      <w:r>
        <w:t>personalised</w:t>
      </w:r>
      <w:proofErr w:type="spellEnd"/>
      <w:r>
        <w:t xml:space="preserve"> education. In India, where the burden of intellectual disability is substantial, formal services are severely inadequate relative to need, and human specialist capacity is critically limited, AI offers possibilities for extending the reach, improving the quality, and reducing the cost of essential support. The country's growing digital infrastructure, large and technically skilled technology sector, and demographically young research community provide a foundation upon which AI-enabled disability services could, in principle, be developed and deployed at scale.</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However, the path from promise to practice is neither automatic nor straightforward. Robust, </w:t>
      </w:r>
      <w:proofErr w:type="spellStart"/>
      <w:r>
        <w:t>generalisable</w:t>
      </w:r>
      <w:proofErr w:type="spellEnd"/>
      <w:r>
        <w:t xml:space="preserve"> AI models for intellectual disability cannot be developed without large, representative, culturally adapted, and linguistically diverse datasets that genuinely reflect India's extraordinary diversity. The digital divide means that equitable access to AI-enabled tools requires parallel investment in affordable devices, reliable connectivity, and digital literacy, not merely the development of sophisticated algorithms. The ethical deployment of AI in this particularly vulnerable population demands transparent, explainable systems, robust consent frameworks adapted to the needs and capacities of individuals with intellectual disability, and strong data protection governance. Policy coherence across health, education, technology, and social justice portfolios is essential if AI is to be integrated into a functioning, equitable service system rather than remaining a collection of disconnected pilot projects.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What emerges from this comprehensive review is a clear imperative for concerted, interdisciplinary, and participatory action: rigorous scientific research to develop and validate India-specific AI tools; inclusive design processes that centre the voices and needs of individuals with intellectual disability and their families; sustained investment in professional training to build the human capital required to deploy and oversee AI systems responsibly; and evidence-based policy development that creates the regulatory, governance, and financing frameworks within which AI can operate safely and equitably. Artificial intelligence, wisely developed and responsibly deployed, has the potential to meaningfully improve the lives of millions of individuals with intellectual disability in India and to contribute to a more inclusive society. </w:t>
      </w:r>
      <w:proofErr w:type="spellStart"/>
      <w:r>
        <w:t>Realising</w:t>
      </w:r>
      <w:proofErr w:type="spellEnd"/>
      <w:r>
        <w:t xml:space="preserve"> that transformative potential demands an integration of technological ambition with deep social commitment and principled ethical governance.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10. LIMITATIONS</w:t>
      </w:r>
    </w:p>
    <w:p w:rsidR="00A16330" w:rsidRDefault="00DB535E" w:rsidP="003033F8">
      <w:pPr>
        <w:spacing w:before="100" w:beforeAutospacing="1" w:after="100" w:afterAutospacing="1"/>
        <w:jc w:val="both"/>
      </w:pPr>
      <w:r>
        <w:t xml:space="preserve">This review is subject to several limitations that should be considered when interpreting its findings. First, the peer-reviewed literature on AI and intellectual disability in India specifically is sparse, and this review draws substantially on international evidence from high-income countries whose direct transferability to the Indian context may not always be warranted. </w:t>
      </w:r>
      <w:r>
        <w:lastRenderedPageBreak/>
        <w:t>Second, the rapid pace of development in AI means that some advances occurring in the final months before the literature search cut-off may not be fully captured. Third, the quality and depth of reporting in studies conducted in the Indian context is variable, and the evidence base for many of the applications discussed remains at a pilot or proof-of-concept stage, limiting the conclusions that can be drawn about effectiveness, scalability, or cost-effectiveness. Fourth, despite efforts to be comprehensive, the search strategy may not have captured all relevant literature, particularly reports from state health departments or rehabilitation councils that are not indexed in major international academic databases, or literature published in Indian languages other than English. Fifth, this review does not include a formal quantitative synthesis: the heterogeneity of study designs, outcome measures, populations, and AI methodologies precluded meta-analytic pooling. Future systematic reviews with quantitative synthesis, as the AI evidence base in intellectual disability matures, will be essential to provide stronger and more precise guidance for policy and practice.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REFERENCES</w:t>
      </w:r>
    </w:p>
    <w:p w:rsidR="00A16330" w:rsidRDefault="00DB535E" w:rsidP="003033F8">
      <w:pPr>
        <w:spacing w:before="100" w:beforeAutospacing="1" w:after="100" w:afterAutospacing="1"/>
        <w:jc w:val="both"/>
      </w:pPr>
      <w:proofErr w:type="spellStart"/>
      <w:r>
        <w:t>Bhaumik</w:t>
      </w:r>
      <w:proofErr w:type="spellEnd"/>
      <w:r>
        <w:t xml:space="preserve">, S., </w:t>
      </w:r>
      <w:proofErr w:type="spellStart"/>
      <w:r>
        <w:t>Tyrer</w:t>
      </w:r>
      <w:proofErr w:type="spellEnd"/>
      <w:r>
        <w:t xml:space="preserve">, F. C., </w:t>
      </w:r>
      <w:proofErr w:type="spellStart"/>
      <w:r>
        <w:t>McGrother</w:t>
      </w:r>
      <w:proofErr w:type="spellEnd"/>
      <w:r>
        <w:t xml:space="preserve">, C., &amp; </w:t>
      </w:r>
      <w:proofErr w:type="spellStart"/>
      <w:r>
        <w:t>Ganghadaran</w:t>
      </w:r>
      <w:proofErr w:type="spellEnd"/>
      <w:r>
        <w:t xml:space="preserve">, S. K. (2008). Psychiatric service use and psychiatric disorders in adults with intellectual disability. Journal of Intellectual Disability Research, 52(11), 986–995. </w:t>
      </w:r>
      <w:hyperlink r:id="rId7" w:history="1">
        <w:r w:rsidRPr="003033F8">
          <w:rPr>
            <w:color w:val="1155CC"/>
            <w:u w:val="single"/>
          </w:rPr>
          <w:t>https://doi.org/10.1111/j.1365-2788.2008.01124.x</w:t>
        </w:r>
      </w:hyperlink>
    </w:p>
    <w:p w:rsidR="00A16330" w:rsidRDefault="00DB535E" w:rsidP="003033F8">
      <w:pPr>
        <w:spacing w:before="100" w:beforeAutospacing="1" w:after="100" w:afterAutospacing="1"/>
        <w:jc w:val="both"/>
      </w:pPr>
      <w:proofErr w:type="spellStart"/>
      <w:r>
        <w:t>Bölte</w:t>
      </w:r>
      <w:proofErr w:type="spellEnd"/>
      <w:r>
        <w:t xml:space="preserve">, S., </w:t>
      </w:r>
      <w:proofErr w:type="spellStart"/>
      <w:r>
        <w:t>Bartl</w:t>
      </w:r>
      <w:proofErr w:type="spellEnd"/>
      <w:r>
        <w:t xml:space="preserve">-Pokorny, K. D., Jonsson, U., Berggren, S., Zhang, D., </w:t>
      </w:r>
      <w:proofErr w:type="spellStart"/>
      <w:r>
        <w:t>Kostrzewa</w:t>
      </w:r>
      <w:proofErr w:type="spellEnd"/>
      <w:r>
        <w:t>, E., Falck-</w:t>
      </w:r>
      <w:proofErr w:type="spellStart"/>
      <w:r>
        <w:t>Ytter</w:t>
      </w:r>
      <w:proofErr w:type="spellEnd"/>
      <w:r>
        <w:t xml:space="preserve">, T., </w:t>
      </w:r>
      <w:proofErr w:type="spellStart"/>
      <w:r>
        <w:t>Einspieler</w:t>
      </w:r>
      <w:proofErr w:type="spellEnd"/>
      <w:r>
        <w:t xml:space="preserve">, C., Pokorny, F. B., Jones, E. J. H., </w:t>
      </w:r>
      <w:proofErr w:type="spellStart"/>
      <w:r>
        <w:t>Roeyers</w:t>
      </w:r>
      <w:proofErr w:type="spellEnd"/>
      <w:r>
        <w:t xml:space="preserve">, H., </w:t>
      </w:r>
      <w:proofErr w:type="spellStart"/>
      <w:r>
        <w:t>Charman</w:t>
      </w:r>
      <w:proofErr w:type="spellEnd"/>
      <w:r>
        <w:t xml:space="preserve">, T., &amp; </w:t>
      </w:r>
      <w:proofErr w:type="spellStart"/>
      <w:r>
        <w:t>Marschik</w:t>
      </w:r>
      <w:proofErr w:type="spellEnd"/>
      <w:r>
        <w:t xml:space="preserve">, P. B. (2016). How can clinicians detect and treat autism early? Methodological trends of technology use in research. Acta </w:t>
      </w:r>
      <w:proofErr w:type="spellStart"/>
      <w:r>
        <w:t>Paediatrica</w:t>
      </w:r>
      <w:proofErr w:type="spellEnd"/>
      <w:r>
        <w:t xml:space="preserve">, 105(2), 137–144. </w:t>
      </w:r>
      <w:hyperlink r:id="rId8" w:history="1">
        <w:r w:rsidRPr="003033F8">
          <w:rPr>
            <w:color w:val="1155CC"/>
            <w:u w:val="single"/>
          </w:rPr>
          <w:t>https://doi.org/10.1111/apa.13243</w:t>
        </w:r>
      </w:hyperlink>
    </w:p>
    <w:p w:rsidR="00A16330" w:rsidRDefault="00DB535E" w:rsidP="003033F8">
      <w:pPr>
        <w:spacing w:before="100" w:beforeAutospacing="1" w:after="100" w:afterAutospacing="1"/>
        <w:jc w:val="both"/>
      </w:pPr>
      <w:r>
        <w:t xml:space="preserve">Bone, D., Bishop, S. L., Black, M. P., Goodwin, M. S., Lord, C., &amp; Narayanan, S. S. (2016). Use of machine learning to improve autism screening and diagnostic instruments: Effectiveness, efficiency, and multi-instrument fusion. Journal of Child Psychology and Psychiatry, 57(8), 927–937. </w:t>
      </w:r>
      <w:hyperlink r:id="rId9" w:history="1">
        <w:r w:rsidRPr="003033F8">
          <w:rPr>
            <w:color w:val="1155CC"/>
            <w:u w:val="single"/>
          </w:rPr>
          <w:t>https://doi.org/10.1111/jcpp.12559</w:t>
        </w:r>
      </w:hyperlink>
    </w:p>
    <w:p w:rsidR="00A16330" w:rsidRDefault="00DB535E" w:rsidP="003033F8">
      <w:pPr>
        <w:spacing w:before="100" w:beforeAutospacing="1" w:after="100" w:afterAutospacing="1"/>
        <w:jc w:val="both"/>
      </w:pPr>
      <w:r>
        <w:t xml:space="preserve">Census of India. (2011). Disability in India: A statistical profile 2011. Office of the Registrar General &amp; Census Commissioner, Government of India. </w:t>
      </w:r>
      <w:hyperlink r:id="rId10" w:history="1">
        <w:r w:rsidRPr="009D641D">
          <w:rPr>
            <w:rStyle w:val="Hyperlink"/>
          </w:rPr>
          <w:t>https://unstats.un.org/unsd/demographic-social/meetings/2016/bangkok--disability-measurement-and-statistics/Session-6/India.pdf</w:t>
        </w:r>
      </w:hyperlink>
      <w:r>
        <w:t xml:space="preserve"> </w:t>
      </w:r>
    </w:p>
    <w:p w:rsidR="00A16330" w:rsidRDefault="00DB535E" w:rsidP="003033F8">
      <w:pPr>
        <w:spacing w:before="100" w:beforeAutospacing="1" w:after="100" w:afterAutospacing="1"/>
        <w:jc w:val="both"/>
      </w:pPr>
      <w:r>
        <w:t xml:space="preserve">Divan, G., </w:t>
      </w:r>
      <w:proofErr w:type="spellStart"/>
      <w:r>
        <w:t>Vajaratkar</w:t>
      </w:r>
      <w:proofErr w:type="spellEnd"/>
      <w:r>
        <w:t xml:space="preserve">, V., Desai, M. U., </w:t>
      </w:r>
      <w:proofErr w:type="spellStart"/>
      <w:r>
        <w:t>Strik-Lievers</w:t>
      </w:r>
      <w:proofErr w:type="spellEnd"/>
      <w:r>
        <w:t xml:space="preserve">, L., &amp; Patel, V. (2012). Challenges, coping strategies, and unmet needs of families with a child with autism spectrum disorder in Goa, India. Autism Research, 5(3), 190–200. </w:t>
      </w:r>
      <w:hyperlink r:id="rId11" w:history="1">
        <w:r w:rsidRPr="003033F8">
          <w:rPr>
            <w:color w:val="1155CC"/>
            <w:u w:val="single"/>
          </w:rPr>
          <w:t>https://doi.org/10.1002/aur.1225</w:t>
        </w:r>
      </w:hyperlink>
    </w:p>
    <w:p w:rsidR="00A16330" w:rsidRDefault="00DB535E" w:rsidP="003033F8">
      <w:pPr>
        <w:spacing w:before="100" w:beforeAutospacing="1" w:after="100" w:afterAutospacing="1"/>
        <w:jc w:val="both"/>
      </w:pPr>
      <w:proofErr w:type="spellStart"/>
      <w:r>
        <w:t>Elsabbagh</w:t>
      </w:r>
      <w:proofErr w:type="spellEnd"/>
      <w:r>
        <w:t xml:space="preserve">, M., Divan, G., Koh, Y. J., Kim, Y. S., </w:t>
      </w:r>
      <w:proofErr w:type="spellStart"/>
      <w:r>
        <w:t>Kauchali</w:t>
      </w:r>
      <w:proofErr w:type="spellEnd"/>
      <w:r>
        <w:t xml:space="preserve">, S., </w:t>
      </w:r>
      <w:proofErr w:type="spellStart"/>
      <w:r>
        <w:t>Marcín</w:t>
      </w:r>
      <w:proofErr w:type="spellEnd"/>
      <w:r>
        <w:t xml:space="preserve">, C., Montiel-Nava, C., Patel, V., Paula, C. S., Wang, C., </w:t>
      </w:r>
      <w:proofErr w:type="spellStart"/>
      <w:r>
        <w:t>Yasamy</w:t>
      </w:r>
      <w:proofErr w:type="spellEnd"/>
      <w:r>
        <w:t xml:space="preserve">, M. T., &amp; </w:t>
      </w:r>
      <w:proofErr w:type="spellStart"/>
      <w:r>
        <w:t>Fombonne</w:t>
      </w:r>
      <w:proofErr w:type="spellEnd"/>
      <w:r>
        <w:t xml:space="preserve">, E. (2012). Global prevalence of autism and other pervasive developmental disorders. Autism Research, 5(3), 160–179. </w:t>
      </w:r>
      <w:hyperlink r:id="rId12" w:history="1">
        <w:r w:rsidRPr="003033F8">
          <w:rPr>
            <w:color w:val="1155CC"/>
            <w:u w:val="single"/>
          </w:rPr>
          <w:t>https://doi.org/10.1002/aur.239</w:t>
        </w:r>
      </w:hyperlink>
    </w:p>
    <w:p w:rsidR="00A16330" w:rsidRDefault="00DB535E" w:rsidP="003033F8">
      <w:pPr>
        <w:spacing w:before="100" w:beforeAutospacing="1" w:after="100" w:afterAutospacing="1"/>
        <w:jc w:val="both"/>
      </w:pPr>
      <w:r>
        <w:lastRenderedPageBreak/>
        <w:t xml:space="preserve">Emerson, E. (2012). Deprivation, ethnicity and the prevalence of intellectual and developmental disabilities. Journal of Epidemiology and Community Health, 66(3), 218–224. </w:t>
      </w:r>
      <w:hyperlink r:id="rId13" w:history="1">
        <w:r w:rsidRPr="003033F8">
          <w:rPr>
            <w:color w:val="1155CC"/>
            <w:u w:val="single"/>
          </w:rPr>
          <w:t>https://doi.org/10.1136/jech.2010.111773</w:t>
        </w:r>
      </w:hyperlink>
    </w:p>
    <w:p w:rsidR="00A16330" w:rsidRDefault="00DB535E" w:rsidP="003033F8">
      <w:pPr>
        <w:spacing w:before="100" w:beforeAutospacing="1" w:after="100" w:afterAutospacing="1"/>
        <w:jc w:val="both"/>
      </w:pPr>
      <w:r>
        <w:t xml:space="preserve">Krishnamurthy, V. (2008). An audit of care for people with intellectual disability in the Indian context. Journal of Intellectual Disabilities, 12(1), 5–15. </w:t>
      </w:r>
      <w:hyperlink r:id="rId14" w:history="1">
        <w:r w:rsidRPr="003033F8">
          <w:rPr>
            <w:color w:val="1155CC"/>
            <w:u w:val="single"/>
          </w:rPr>
          <w:t>https://doi.org/10.1177/1744629507086604</w:t>
        </w:r>
      </w:hyperlink>
    </w:p>
    <w:p w:rsidR="00A16330" w:rsidRDefault="00DB535E" w:rsidP="003033F8">
      <w:pPr>
        <w:spacing w:before="100" w:beforeAutospacing="1" w:after="100" w:afterAutospacing="1"/>
        <w:jc w:val="both"/>
      </w:pPr>
      <w:r>
        <w:t xml:space="preserve">Lakhan, R. (2015). Intellectual and developmental disabilities in India: SAARC context. International Journal of Community Medicine and Public Health, 2(2), 57–63. </w:t>
      </w:r>
      <w:hyperlink r:id="rId15" w:history="1">
        <w:r w:rsidRPr="003033F8">
          <w:rPr>
            <w:color w:val="1155CC"/>
            <w:u w:val="single"/>
          </w:rPr>
          <w:t>https://doi.org/10.18203/2394-6040.ijcmph20150257</w:t>
        </w:r>
      </w:hyperlink>
    </w:p>
    <w:p w:rsidR="00A16330" w:rsidRDefault="00DB535E" w:rsidP="003033F8">
      <w:pPr>
        <w:spacing w:before="100" w:beforeAutospacing="1" w:after="100" w:afterAutospacing="1"/>
        <w:jc w:val="both"/>
      </w:pPr>
      <w:r>
        <w:t xml:space="preserve">Lakhan, R., &amp; Kishore, M. T. (2018). Floor effects on developmental assessment in Down syndrome under 6 years of age in India: Do we need India-specific tools? Journal of Neurosciences in Rural Practice, 9(4), 490–495. </w:t>
      </w:r>
      <w:hyperlink r:id="rId16" w:history="1">
        <w:r w:rsidRPr="003033F8">
          <w:rPr>
            <w:color w:val="1155CC"/>
            <w:u w:val="single"/>
          </w:rPr>
          <w:t>https://doi.org/10.4103/jnrp.jnrp_468_17</w:t>
        </w:r>
      </w:hyperlink>
    </w:p>
    <w:p w:rsidR="00A16330" w:rsidRDefault="00DB535E" w:rsidP="003033F8">
      <w:pPr>
        <w:spacing w:before="100" w:beforeAutospacing="1" w:after="100" w:afterAutospacing="1"/>
        <w:jc w:val="both"/>
      </w:pPr>
      <w:r>
        <w:t xml:space="preserve">Lord, C., </w:t>
      </w:r>
      <w:proofErr w:type="spellStart"/>
      <w:r>
        <w:t>Elsabbagh</w:t>
      </w:r>
      <w:proofErr w:type="spellEnd"/>
      <w:r>
        <w:t xml:space="preserve">, M., Baird, G., &amp; </w:t>
      </w:r>
      <w:proofErr w:type="spellStart"/>
      <w:r>
        <w:t>Veenstra-Vanderweele</w:t>
      </w:r>
      <w:proofErr w:type="spellEnd"/>
      <w:r>
        <w:t xml:space="preserve">, J. (2018). Autism spectrum disorder. The Lancet, 392(10146), 508–520. </w:t>
      </w:r>
      <w:hyperlink r:id="rId17" w:history="1">
        <w:r w:rsidRPr="003033F8">
          <w:rPr>
            <w:color w:val="1155CC"/>
            <w:u w:val="single"/>
          </w:rPr>
          <w:t>https://doi.org/10.1016/S0140-6736(18)31129-2</w:t>
        </w:r>
      </w:hyperlink>
    </w:p>
    <w:p w:rsidR="00A16330" w:rsidRDefault="00DB535E" w:rsidP="003033F8">
      <w:pPr>
        <w:spacing w:before="100" w:beforeAutospacing="1" w:after="100" w:afterAutospacing="1"/>
        <w:jc w:val="both"/>
      </w:pPr>
      <w:proofErr w:type="spellStart"/>
      <w:r>
        <w:t>Maulik</w:t>
      </w:r>
      <w:proofErr w:type="spellEnd"/>
      <w:r>
        <w:t xml:space="preserve">, P. K., </w:t>
      </w:r>
      <w:proofErr w:type="spellStart"/>
      <w:r>
        <w:t>Mascarenhas</w:t>
      </w:r>
      <w:proofErr w:type="spellEnd"/>
      <w:r>
        <w:t xml:space="preserve">, M. N., Mathers, C. D., </w:t>
      </w:r>
      <w:proofErr w:type="spellStart"/>
      <w:r>
        <w:t>Dua</w:t>
      </w:r>
      <w:proofErr w:type="spellEnd"/>
      <w:r>
        <w:t xml:space="preserve">, T., &amp; Saxena, S. (2011). Prevalence of intellectual disability: A meta-analysis of population-based studies. Research in Developmental Disabilities, 32(2), 419–436. </w:t>
      </w:r>
      <w:hyperlink r:id="rId18" w:history="1">
        <w:r w:rsidRPr="003033F8">
          <w:rPr>
            <w:color w:val="1155CC"/>
            <w:u w:val="single"/>
          </w:rPr>
          <w:t>https://doi.org/10.1016/j.ridd.2010.12.018</w:t>
        </w:r>
      </w:hyperlink>
    </w:p>
    <w:p w:rsidR="00A16330" w:rsidRDefault="00DB535E" w:rsidP="003033F8">
      <w:pPr>
        <w:spacing w:before="100" w:beforeAutospacing="1" w:after="100" w:afterAutospacing="1"/>
        <w:jc w:val="both"/>
      </w:pPr>
      <w:r>
        <w:t>Ministry of Law and Justice. (2016). The Rights of Persons with Disabilities Act, 2016. Gazette of India Extraordinary, Government of India.</w:t>
      </w:r>
    </w:p>
    <w:p w:rsidR="00A16330" w:rsidRDefault="00DB535E" w:rsidP="003033F8">
      <w:pPr>
        <w:spacing w:before="100" w:beforeAutospacing="1" w:after="100" w:afterAutospacing="1"/>
        <w:jc w:val="both"/>
      </w:pPr>
      <w:r>
        <w:t xml:space="preserve">Mukherjee, S. B. (2017). Autism spectrum disorders—diagnosis and management. Indian Journal of Pediatrics, 84(4), 307–314. </w:t>
      </w:r>
      <w:hyperlink r:id="rId19" w:history="1">
        <w:r w:rsidRPr="003033F8">
          <w:rPr>
            <w:color w:val="1155CC"/>
            <w:u w:val="single"/>
          </w:rPr>
          <w:t>https://doi.org/10.1007/s12098-016-2272-2</w:t>
        </w:r>
      </w:hyperlink>
    </w:p>
    <w:p w:rsidR="00A16330" w:rsidRDefault="00DB535E" w:rsidP="003033F8">
      <w:pPr>
        <w:spacing w:before="100" w:beforeAutospacing="1" w:after="100" w:afterAutospacing="1"/>
        <w:jc w:val="both"/>
      </w:pPr>
      <w:r>
        <w:t xml:space="preserve">Novak, I., Morgan, C., Fahey, M., Finch-Edmondson, M., Galea, C., Hines, A., Langdon, K., Mc </w:t>
      </w:r>
      <w:proofErr w:type="spellStart"/>
      <w:r>
        <w:t>Namara</w:t>
      </w:r>
      <w:proofErr w:type="spellEnd"/>
      <w:r>
        <w:t xml:space="preserve">, M., Paton, M. C. B., </w:t>
      </w:r>
      <w:proofErr w:type="spellStart"/>
      <w:r>
        <w:t>Popat</w:t>
      </w:r>
      <w:proofErr w:type="spellEnd"/>
      <w:r>
        <w:t xml:space="preserve">, H., Shore, B., Khamis, A., Stanton, E., </w:t>
      </w:r>
      <w:proofErr w:type="spellStart"/>
      <w:r>
        <w:t>Finemore</w:t>
      </w:r>
      <w:proofErr w:type="spellEnd"/>
      <w:r>
        <w:t xml:space="preserve">, O. P., Tricks, A., </w:t>
      </w:r>
      <w:proofErr w:type="spellStart"/>
      <w:r>
        <w:t>te</w:t>
      </w:r>
      <w:proofErr w:type="spellEnd"/>
      <w:r>
        <w:t xml:space="preserve"> Velde, A., Dark, L., Morton, N., &amp; Badawi, N. (2020). State of the evidence traffic lights 2019: Systematic review of interventions for preventing and treating children with cerebral palsy. Current Neurology and Neuroscience Reports, 20(2), Article 3. </w:t>
      </w:r>
      <w:hyperlink r:id="rId20" w:history="1">
        <w:r w:rsidRPr="003033F8">
          <w:rPr>
            <w:color w:val="1155CC"/>
            <w:u w:val="single"/>
          </w:rPr>
          <w:t>https://doi.org/10.1007/s11910-020-1022-z</w:t>
        </w:r>
      </w:hyperlink>
    </w:p>
    <w:p w:rsidR="00A16330" w:rsidRDefault="00DB535E" w:rsidP="003033F8">
      <w:pPr>
        <w:spacing w:before="100" w:beforeAutospacing="1" w:after="100" w:afterAutospacing="1"/>
        <w:jc w:val="both"/>
      </w:pPr>
      <w:r>
        <w:t xml:space="preserve">Patel, V., Chisholm, D., Parikh, R., </w:t>
      </w:r>
      <w:proofErr w:type="spellStart"/>
      <w:r>
        <w:t>Charlson</w:t>
      </w:r>
      <w:proofErr w:type="spellEnd"/>
      <w:r>
        <w:t xml:space="preserve">, F. J., </w:t>
      </w:r>
      <w:proofErr w:type="spellStart"/>
      <w:r>
        <w:t>Bhui</w:t>
      </w:r>
      <w:proofErr w:type="spellEnd"/>
      <w:r>
        <w:t xml:space="preserve">, K., </w:t>
      </w:r>
      <w:proofErr w:type="spellStart"/>
      <w:r>
        <w:t>Dua</w:t>
      </w:r>
      <w:proofErr w:type="spellEnd"/>
      <w:r>
        <w:t xml:space="preserve">, T., Ferrari, A. J., </w:t>
      </w:r>
      <w:proofErr w:type="spellStart"/>
      <w:r>
        <w:t>Laxminarayan</w:t>
      </w:r>
      <w:proofErr w:type="spellEnd"/>
      <w:r>
        <w:t xml:space="preserve">, R., Levin, C., Lund, C., Medina Mora, M. E., Petersen, I., Scott, J., </w:t>
      </w:r>
      <w:proofErr w:type="spellStart"/>
      <w:r>
        <w:t>Shidhaye</w:t>
      </w:r>
      <w:proofErr w:type="spellEnd"/>
      <w:r>
        <w:t xml:space="preserve">, R., Vijayakumar, L., Thornicroft, G., &amp; Whiteford, H. (2016). Addressing the burden of mental, neurological, and substance use disorders: Key messages from Disease Control Priorities, 3rd edition. The Lancet, 387(10028), 1672–1685. </w:t>
      </w:r>
      <w:hyperlink r:id="rId21" w:history="1">
        <w:r w:rsidRPr="003033F8">
          <w:rPr>
            <w:color w:val="1155CC"/>
            <w:u w:val="single"/>
          </w:rPr>
          <w:t>https://doi.org/10.1016/S0140-6736(15)00512-6</w:t>
        </w:r>
      </w:hyperlink>
    </w:p>
    <w:p w:rsidR="00A16330" w:rsidRDefault="00DB535E" w:rsidP="003033F8">
      <w:pPr>
        <w:spacing w:before="100" w:beforeAutospacing="1" w:after="100" w:afterAutospacing="1"/>
        <w:jc w:val="both"/>
      </w:pPr>
      <w:r>
        <w:t xml:space="preserve">Raj, S., &amp; Masood, S. (2020). Analysis and detection of autism spectrum disorder using machine learning techniques. Procedia Computer Science, 167, 994–1004. </w:t>
      </w:r>
      <w:hyperlink r:id="rId22" w:history="1">
        <w:r w:rsidRPr="003033F8">
          <w:rPr>
            <w:color w:val="1155CC"/>
            <w:u w:val="single"/>
          </w:rPr>
          <w:t>https://doi.org/10.1016/j.procs.2020.03.399</w:t>
        </w:r>
      </w:hyperlink>
    </w:p>
    <w:p w:rsidR="00A16330" w:rsidRDefault="00DB535E" w:rsidP="003033F8">
      <w:pPr>
        <w:spacing w:before="100" w:beforeAutospacing="1" w:after="100" w:afterAutospacing="1"/>
        <w:jc w:val="both"/>
      </w:pPr>
      <w:r>
        <w:lastRenderedPageBreak/>
        <w:t xml:space="preserve">Rao, M., Rao, K. D., Kumar, A. K. S., Chatterjee, M., &amp; </w:t>
      </w:r>
      <w:proofErr w:type="spellStart"/>
      <w:r>
        <w:t>Sundararaman</w:t>
      </w:r>
      <w:proofErr w:type="spellEnd"/>
      <w:r>
        <w:t xml:space="preserve">, T. (2011). Human resources for health in India. The Lancet, 377(9765), 587–598. </w:t>
      </w:r>
      <w:hyperlink r:id="rId23" w:history="1">
        <w:r w:rsidRPr="003033F8">
          <w:rPr>
            <w:color w:val="1155CC"/>
            <w:u w:val="single"/>
          </w:rPr>
          <w:t>https://doi.org/10.1016/S0140-6736(10)61888-0</w:t>
        </w:r>
      </w:hyperlink>
    </w:p>
    <w:p w:rsidR="00A16330" w:rsidRDefault="00DB535E" w:rsidP="003033F8">
      <w:pPr>
        <w:spacing w:before="100" w:beforeAutospacing="1" w:after="100" w:afterAutospacing="1"/>
        <w:jc w:val="both"/>
      </w:pPr>
      <w:r>
        <w:t xml:space="preserve">Rathod, S. D., </w:t>
      </w:r>
      <w:proofErr w:type="spellStart"/>
      <w:r>
        <w:t>Pinninti</w:t>
      </w:r>
      <w:proofErr w:type="spellEnd"/>
      <w:r>
        <w:t xml:space="preserve">, N., Irfan, M., </w:t>
      </w:r>
      <w:proofErr w:type="spellStart"/>
      <w:r>
        <w:t>Gorczynski</w:t>
      </w:r>
      <w:proofErr w:type="spellEnd"/>
      <w:r>
        <w:t xml:space="preserve">, P., Rathod, P. A., </w:t>
      </w:r>
      <w:proofErr w:type="spellStart"/>
      <w:r>
        <w:t>Gega</w:t>
      </w:r>
      <w:proofErr w:type="spellEnd"/>
      <w:r>
        <w:t xml:space="preserve">, L., &amp; Naeem, F. (2017). Mental health service provision in low- and middle-income countries. Health Services Insights, 10, 1–7. </w:t>
      </w:r>
      <w:hyperlink r:id="rId24" w:history="1">
        <w:r w:rsidRPr="003033F8">
          <w:rPr>
            <w:color w:val="1155CC"/>
            <w:u w:val="single"/>
          </w:rPr>
          <w:t>https://doi.org/10.1177/1178632917694350</w:t>
        </w:r>
      </w:hyperlink>
    </w:p>
    <w:p w:rsidR="00A16330" w:rsidRDefault="00DB535E" w:rsidP="003033F8">
      <w:pPr>
        <w:spacing w:before="100" w:beforeAutospacing="1" w:after="100" w:afterAutospacing="1"/>
        <w:jc w:val="both"/>
      </w:pPr>
      <w:r>
        <w:t xml:space="preserve">Rutter, M. (2005). Incidence of autism spectrum disorders: Changes over time and their meaning. Acta </w:t>
      </w:r>
      <w:proofErr w:type="spellStart"/>
      <w:r>
        <w:t>Paediatrica</w:t>
      </w:r>
      <w:proofErr w:type="spellEnd"/>
      <w:r>
        <w:t xml:space="preserve">, 94(1), 2–15. </w:t>
      </w:r>
      <w:hyperlink r:id="rId25" w:history="1">
        <w:r w:rsidRPr="003033F8">
          <w:rPr>
            <w:color w:val="1155CC"/>
            <w:u w:val="single"/>
          </w:rPr>
          <w:t>https://doi.org/10.1111/j.1651-2227.2005.tb01779.x</w:t>
        </w:r>
      </w:hyperlink>
    </w:p>
    <w:p w:rsidR="00A16330" w:rsidRDefault="00DB535E" w:rsidP="003033F8">
      <w:pPr>
        <w:spacing w:before="100" w:beforeAutospacing="1" w:after="100" w:afterAutospacing="1"/>
        <w:jc w:val="both"/>
      </w:pPr>
      <w:proofErr w:type="spellStart"/>
      <w:r>
        <w:t>Schalock</w:t>
      </w:r>
      <w:proofErr w:type="spellEnd"/>
      <w:r>
        <w:t xml:space="preserve">, R. L., </w:t>
      </w:r>
      <w:proofErr w:type="spellStart"/>
      <w:r>
        <w:t>Luckasson</w:t>
      </w:r>
      <w:proofErr w:type="spellEnd"/>
      <w:r>
        <w:t xml:space="preserve">, R., &amp; </w:t>
      </w:r>
      <w:proofErr w:type="spellStart"/>
      <w:r>
        <w:t>Tassé</w:t>
      </w:r>
      <w:proofErr w:type="spellEnd"/>
      <w:r>
        <w:t xml:space="preserve">, M. J. (2021). An overview of intellectual disability: Definition, diagnosis, classification, and systems of supports (12th ed.). American Journal on Intellectual and Developmental Disabilities, 126(6), 439–442. </w:t>
      </w:r>
      <w:hyperlink r:id="rId26" w:history="1">
        <w:r w:rsidRPr="003033F8">
          <w:rPr>
            <w:color w:val="1155CC"/>
            <w:u w:val="single"/>
          </w:rPr>
          <w:t>https://doi.org/10.1352/1944-7558-126.6.439</w:t>
        </w:r>
      </w:hyperlink>
    </w:p>
    <w:p w:rsidR="00A16330" w:rsidRDefault="00DB535E" w:rsidP="003033F8">
      <w:pPr>
        <w:spacing w:before="100" w:beforeAutospacing="1" w:after="100" w:afterAutospacing="1"/>
        <w:jc w:val="both"/>
      </w:pPr>
      <w:r>
        <w:t xml:space="preserve">Srivastava, A. K., &amp; Schwartz, C. E. (2014). Intellectual disability and autism spectrum disorders: Causal genes and molecular mechanisms. Neuroscience &amp; Biobehavioral Reviews, 46(2), 161–174. </w:t>
      </w:r>
      <w:hyperlink r:id="rId27" w:history="1">
        <w:r w:rsidRPr="003033F8">
          <w:rPr>
            <w:color w:val="1155CC"/>
            <w:u w:val="single"/>
          </w:rPr>
          <w:t>https://doi.org/10.1016/j.neubiorev.2014.02.015</w:t>
        </w:r>
      </w:hyperlink>
    </w:p>
    <w:p w:rsidR="00A16330" w:rsidRDefault="00DB535E" w:rsidP="003033F8">
      <w:pPr>
        <w:spacing w:before="100" w:beforeAutospacing="1" w:after="100" w:afterAutospacing="1"/>
        <w:jc w:val="both"/>
      </w:pPr>
      <w:proofErr w:type="spellStart"/>
      <w:r>
        <w:t>Stasolla</w:t>
      </w:r>
      <w:proofErr w:type="spellEnd"/>
      <w:r>
        <w:t xml:space="preserve">, F., </w:t>
      </w:r>
      <w:proofErr w:type="spellStart"/>
      <w:r>
        <w:t>Caffò</w:t>
      </w:r>
      <w:proofErr w:type="spellEnd"/>
      <w:r>
        <w:t xml:space="preserve">, A. O., </w:t>
      </w:r>
      <w:proofErr w:type="spellStart"/>
      <w:r>
        <w:t>Picucci</w:t>
      </w:r>
      <w:proofErr w:type="spellEnd"/>
      <w:r>
        <w:t xml:space="preserve">, L., &amp; Bosco, A. (2015). Assistive technology for promoting choice behaviors in three children with cerebral palsy and severe communication impairments: A sequential multiple baseline across triplets of stimuli design. Research in Developmental Disabilities, 45–46, 187–197. </w:t>
      </w:r>
      <w:hyperlink r:id="rId28" w:history="1">
        <w:r w:rsidRPr="003033F8">
          <w:rPr>
            <w:color w:val="1155CC"/>
            <w:u w:val="single"/>
          </w:rPr>
          <w:t>https://doi.org/10.1016/j.ridd.2015.07.024</w:t>
        </w:r>
      </w:hyperlink>
    </w:p>
    <w:p w:rsidR="00A16330" w:rsidRDefault="00DB535E" w:rsidP="003033F8">
      <w:pPr>
        <w:spacing w:before="100" w:beforeAutospacing="1" w:after="100" w:afterAutospacing="1"/>
        <w:jc w:val="both"/>
      </w:pPr>
      <w:proofErr w:type="spellStart"/>
      <w:r>
        <w:t>Thabtah</w:t>
      </w:r>
      <w:proofErr w:type="spellEnd"/>
      <w:r>
        <w:t xml:space="preserve">, F. (2019). Machine learning in autistic spectrum disorder </w:t>
      </w:r>
      <w:proofErr w:type="spellStart"/>
      <w:r>
        <w:t>behavioural</w:t>
      </w:r>
      <w:proofErr w:type="spellEnd"/>
      <w:r>
        <w:t xml:space="preserve"> research: A review and ways forward. Informatics for Health and Social Care, 44(3), 278–297. </w:t>
      </w:r>
      <w:hyperlink r:id="rId29" w:history="1">
        <w:r w:rsidRPr="003033F8">
          <w:rPr>
            <w:color w:val="1155CC"/>
            <w:u w:val="single"/>
          </w:rPr>
          <w:t>https://doi.org/10.1080/17538157.2017.1399132</w:t>
        </w:r>
      </w:hyperlink>
    </w:p>
    <w:p w:rsidR="00A16330" w:rsidRDefault="00DB535E" w:rsidP="003033F8">
      <w:pPr>
        <w:spacing w:before="100" w:beforeAutospacing="1" w:after="100" w:afterAutospacing="1"/>
        <w:jc w:val="both"/>
      </w:pPr>
      <w:r>
        <w:t xml:space="preserve">Voss, C., Schwartz, J., Daniels, J., Kline, A., Haber, N., Washington, P., Tariq, Q., Robinson, T. N., Desai, M., Phillips, J. M., Feinstein, C., Winograd, T., &amp; Wall, D. P. (2019). Effect of wearable digital intervention for improving socialization in children with autism spectrum disorder: A randomized clinical trial. JAMA Pediatrics, 173(5), 446–454. </w:t>
      </w:r>
      <w:hyperlink r:id="rId30" w:history="1">
        <w:r w:rsidRPr="003033F8">
          <w:rPr>
            <w:color w:val="1155CC"/>
            <w:u w:val="single"/>
          </w:rPr>
          <w:t>https://doi.org/10.1001/jamapediatrics.2019.0285</w:t>
        </w:r>
      </w:hyperlink>
    </w:p>
    <w:p w:rsidR="00A16330" w:rsidRDefault="00DB535E" w:rsidP="003033F8">
      <w:pPr>
        <w:spacing w:before="100" w:beforeAutospacing="1" w:after="100" w:afterAutospacing="1"/>
        <w:jc w:val="both"/>
      </w:pPr>
      <w:r>
        <w:t xml:space="preserve">Washington, P., Park, N., Srivastava, P., Voss, C., Kline, A., Varma, M., Tariq, Q., </w:t>
      </w:r>
      <w:proofErr w:type="spellStart"/>
      <w:r>
        <w:t>Kalantarian</w:t>
      </w:r>
      <w:proofErr w:type="spellEnd"/>
      <w:r>
        <w:t xml:space="preserve">, H., Schwartz, J., Patnaik, R., Chrisman, B., </w:t>
      </w:r>
      <w:proofErr w:type="spellStart"/>
      <w:r>
        <w:t>Stockham</w:t>
      </w:r>
      <w:proofErr w:type="spellEnd"/>
      <w:r>
        <w:t xml:space="preserve">, N., </w:t>
      </w:r>
      <w:proofErr w:type="spellStart"/>
      <w:r>
        <w:t>Paskov</w:t>
      </w:r>
      <w:proofErr w:type="spellEnd"/>
      <w:r>
        <w:t xml:space="preserve">, K., Haber, N., &amp; Wall, D. P. (2020). Data-driven diagnostics and the potential of mobile artificial intelligence for digital therapeutic phenotyping in computational psychiatry. Biological Psychiatry: Cognitive Neuroscience and Neuroimaging, 5(8), 759–769. </w:t>
      </w:r>
      <w:hyperlink r:id="rId31" w:history="1">
        <w:r w:rsidRPr="003033F8">
          <w:rPr>
            <w:color w:val="1155CC"/>
            <w:u w:val="single"/>
          </w:rPr>
          <w:t>https://doi.org/10.1016/j.bpsc.2019.11.015</w:t>
        </w:r>
      </w:hyperlink>
    </w:p>
    <w:p w:rsidR="00A16330" w:rsidRDefault="00DB535E" w:rsidP="003033F8">
      <w:pPr>
        <w:spacing w:before="100" w:beforeAutospacing="1" w:after="100" w:afterAutospacing="1"/>
        <w:jc w:val="both"/>
      </w:pPr>
      <w:r>
        <w:t xml:space="preserve">World Health Organization. (2011). World report on disability. World Health Organization. </w:t>
      </w:r>
      <w:r w:rsidRPr="00DB535E">
        <w:t>WHO/NMH/VIP/11.01</w:t>
      </w:r>
      <w:r>
        <w:t xml:space="preserve">. 1-24. </w:t>
      </w:r>
      <w:hyperlink r:id="rId32" w:history="1">
        <w:r w:rsidRPr="009D641D">
          <w:rPr>
            <w:rStyle w:val="Hyperlink"/>
          </w:rPr>
          <w:t>https://www.who.int/publications/i/item/WHO-NMH-VIP-11.01</w:t>
        </w:r>
      </w:hyperlink>
      <w:r>
        <w:t xml:space="preserve"> </w:t>
      </w:r>
    </w:p>
    <w:sectPr w:rsidR="00A16330" w:rsidSect="00A16330">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270" w:rsidRDefault="00511270" w:rsidP="00D6002B">
      <w:r>
        <w:separator/>
      </w:r>
    </w:p>
  </w:endnote>
  <w:endnote w:type="continuationSeparator" w:id="0">
    <w:p w:rsidR="00511270" w:rsidRDefault="00511270"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270" w:rsidRDefault="00511270" w:rsidP="00D6002B">
      <w:r>
        <w:separator/>
      </w:r>
    </w:p>
  </w:footnote>
  <w:footnote w:type="continuationSeparator" w:id="0">
    <w:p w:rsidR="00511270" w:rsidRDefault="00511270"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02B" w:rsidRDefault="00D600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A3FF5"/>
    <w:multiLevelType w:val="hybridMultilevel"/>
    <w:tmpl w:val="AC360486"/>
    <w:lvl w:ilvl="0" w:tplc="01B26940">
      <w:start w:val="1"/>
      <w:numFmt w:val="bullet"/>
      <w:lvlText w:val="●"/>
      <w:lvlJc w:val="left"/>
      <w:pPr>
        <w:ind w:left="720" w:hanging="360"/>
      </w:pPr>
    </w:lvl>
    <w:lvl w:ilvl="1" w:tplc="4AF02FE0">
      <w:start w:val="1"/>
      <w:numFmt w:val="bullet"/>
      <w:lvlText w:val="○"/>
      <w:lvlJc w:val="left"/>
      <w:pPr>
        <w:ind w:left="1440" w:hanging="360"/>
      </w:pPr>
    </w:lvl>
    <w:lvl w:ilvl="2" w:tplc="0810AC10">
      <w:start w:val="1"/>
      <w:numFmt w:val="bullet"/>
      <w:lvlText w:val="■"/>
      <w:lvlJc w:val="left"/>
      <w:pPr>
        <w:ind w:left="2160" w:hanging="360"/>
      </w:pPr>
    </w:lvl>
    <w:lvl w:ilvl="3" w:tplc="61E653D6">
      <w:start w:val="1"/>
      <w:numFmt w:val="bullet"/>
      <w:lvlText w:val="●"/>
      <w:lvlJc w:val="left"/>
      <w:pPr>
        <w:ind w:left="2880" w:hanging="360"/>
      </w:pPr>
    </w:lvl>
    <w:lvl w:ilvl="4" w:tplc="A906E928">
      <w:start w:val="1"/>
      <w:numFmt w:val="bullet"/>
      <w:lvlText w:val="○"/>
      <w:lvlJc w:val="left"/>
      <w:pPr>
        <w:ind w:left="3600" w:hanging="360"/>
      </w:pPr>
    </w:lvl>
    <w:lvl w:ilvl="5" w:tplc="29564068">
      <w:start w:val="1"/>
      <w:numFmt w:val="bullet"/>
      <w:lvlText w:val="■"/>
      <w:lvlJc w:val="left"/>
      <w:pPr>
        <w:ind w:left="4320" w:hanging="360"/>
      </w:pPr>
    </w:lvl>
    <w:lvl w:ilvl="6" w:tplc="33FCDC44">
      <w:start w:val="1"/>
      <w:numFmt w:val="bullet"/>
      <w:lvlText w:val="●"/>
      <w:lvlJc w:val="left"/>
      <w:pPr>
        <w:ind w:left="5040" w:hanging="360"/>
      </w:pPr>
    </w:lvl>
    <w:lvl w:ilvl="7" w:tplc="AA7A9824">
      <w:start w:val="1"/>
      <w:numFmt w:val="bullet"/>
      <w:lvlText w:val="●"/>
      <w:lvlJc w:val="left"/>
      <w:pPr>
        <w:ind w:left="5760" w:hanging="360"/>
      </w:pPr>
    </w:lvl>
    <w:lvl w:ilvl="8" w:tplc="3E34BEFA">
      <w:start w:val="1"/>
      <w:numFmt w:val="bullet"/>
      <w:lvlText w:val="●"/>
      <w:lvlJc w:val="left"/>
      <w:pPr>
        <w:ind w:left="6480" w:hanging="360"/>
      </w:pPr>
    </w:lvl>
  </w:abstractNum>
  <w:abstractNum w:abstractNumId="1" w15:restartNumberingAfterBreak="0">
    <w:nsid w:val="6AC134D7"/>
    <w:multiLevelType w:val="hybridMultilevel"/>
    <w:tmpl w:val="C046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6330"/>
    <w:rsid w:val="003033F8"/>
    <w:rsid w:val="00511270"/>
    <w:rsid w:val="00A16330"/>
    <w:rsid w:val="00BB016F"/>
    <w:rsid w:val="00D6002B"/>
    <w:rsid w:val="00DB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49FFE3C-814D-4756-89E6-A5CCAE79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16F"/>
  </w:style>
  <w:style w:type="paragraph" w:styleId="Heading1">
    <w:name w:val="heading 1"/>
    <w:qFormat/>
    <w:rsid w:val="00A16330"/>
    <w:pPr>
      <w:spacing w:before="360" w:after="120" w:line="276" w:lineRule="auto"/>
      <w:outlineLvl w:val="0"/>
    </w:pPr>
    <w:rPr>
      <w:b/>
      <w:bCs/>
      <w:color w:val="000000"/>
      <w:sz w:val="26"/>
      <w:szCs w:val="26"/>
    </w:rPr>
  </w:style>
  <w:style w:type="paragraph" w:styleId="Heading2">
    <w:name w:val="heading 2"/>
    <w:qFormat/>
    <w:rsid w:val="00A16330"/>
    <w:pPr>
      <w:spacing w:before="240" w:after="80" w:line="276" w:lineRule="auto"/>
      <w:outlineLvl w:val="1"/>
    </w:pPr>
    <w:rPr>
      <w:b/>
      <w:bCs/>
      <w:color w:val="000000"/>
    </w:rPr>
  </w:style>
  <w:style w:type="paragraph" w:styleId="Heading3">
    <w:name w:val="heading 3"/>
    <w:qFormat/>
    <w:rsid w:val="00A16330"/>
    <w:pPr>
      <w:outlineLvl w:val="2"/>
    </w:pPr>
    <w:rPr>
      <w:color w:val="1F4D78"/>
    </w:rPr>
  </w:style>
  <w:style w:type="paragraph" w:styleId="Heading4">
    <w:name w:val="heading 4"/>
    <w:qFormat/>
    <w:rsid w:val="00A16330"/>
    <w:pPr>
      <w:outlineLvl w:val="3"/>
    </w:pPr>
    <w:rPr>
      <w:i/>
      <w:iCs/>
      <w:color w:val="2E74B5"/>
    </w:rPr>
  </w:style>
  <w:style w:type="paragraph" w:styleId="Heading5">
    <w:name w:val="heading 5"/>
    <w:qFormat/>
    <w:rsid w:val="00A16330"/>
    <w:pPr>
      <w:outlineLvl w:val="4"/>
    </w:pPr>
    <w:rPr>
      <w:color w:val="2E74B5"/>
    </w:rPr>
  </w:style>
  <w:style w:type="paragraph" w:styleId="Heading6">
    <w:name w:val="heading 6"/>
    <w:qFormat/>
    <w:rsid w:val="00A1633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16330"/>
    <w:rPr>
      <w:sz w:val="56"/>
      <w:szCs w:val="56"/>
    </w:rPr>
  </w:style>
  <w:style w:type="paragraph" w:customStyle="1" w:styleId="Strong1">
    <w:name w:val="Strong1"/>
    <w:qFormat/>
    <w:rsid w:val="00A16330"/>
    <w:rPr>
      <w:b/>
      <w:bCs/>
    </w:rPr>
  </w:style>
  <w:style w:type="paragraph" w:styleId="ListParagraph">
    <w:name w:val="List Paragraph"/>
    <w:qFormat/>
    <w:rsid w:val="00A16330"/>
  </w:style>
  <w:style w:type="character" w:styleId="Hyperlink">
    <w:name w:val="Hyperlink"/>
    <w:uiPriority w:val="99"/>
    <w:unhideWhenUsed/>
    <w:rsid w:val="00A16330"/>
    <w:rPr>
      <w:color w:val="0563C1"/>
      <w:u w:val="single"/>
    </w:rPr>
  </w:style>
  <w:style w:type="character" w:styleId="FootnoteReference">
    <w:name w:val="footnote reference"/>
    <w:uiPriority w:val="99"/>
    <w:semiHidden/>
    <w:unhideWhenUsed/>
    <w:rsid w:val="00A16330"/>
    <w:rPr>
      <w:vertAlign w:val="superscript"/>
    </w:rPr>
  </w:style>
  <w:style w:type="paragraph" w:styleId="FootnoteText">
    <w:name w:val="footnote text"/>
    <w:link w:val="FootnoteTextChar"/>
    <w:uiPriority w:val="99"/>
    <w:semiHidden/>
    <w:unhideWhenUsed/>
    <w:rsid w:val="00A16330"/>
    <w:rPr>
      <w:sz w:val="20"/>
      <w:szCs w:val="20"/>
    </w:rPr>
  </w:style>
  <w:style w:type="character" w:customStyle="1" w:styleId="FootnoteTextChar">
    <w:name w:val="Footnote Text Char"/>
    <w:link w:val="FootnoteText"/>
    <w:uiPriority w:val="99"/>
    <w:semiHidden/>
    <w:unhideWhenUsed/>
    <w:rsid w:val="00A16330"/>
    <w:rPr>
      <w:sz w:val="20"/>
      <w:szCs w:val="20"/>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jech.2010.111773" TargetMode="External"/><Relationship Id="rId18" Type="http://schemas.openxmlformats.org/officeDocument/2006/relationships/hyperlink" Target="https://doi.org/10.1016/j.ridd.2010.12.018" TargetMode="External"/><Relationship Id="rId26" Type="http://schemas.openxmlformats.org/officeDocument/2006/relationships/hyperlink" Target="https://doi.org/10.1352/1944-7558-126.6.439" TargetMode="External"/><Relationship Id="rId39" Type="http://schemas.openxmlformats.org/officeDocument/2006/relationships/fontTable" Target="fontTable.xml"/><Relationship Id="rId21" Type="http://schemas.openxmlformats.org/officeDocument/2006/relationships/hyperlink" Target="https://doi.org/10.1016/S0140-6736(15)00512-6" TargetMode="External"/><Relationship Id="rId34" Type="http://schemas.openxmlformats.org/officeDocument/2006/relationships/header" Target="header2.xml"/><Relationship Id="rId7" Type="http://schemas.openxmlformats.org/officeDocument/2006/relationships/hyperlink" Target="https://doi.org/10.1111/j.1365-2788.2008.01124.x" TargetMode="External"/><Relationship Id="rId12" Type="http://schemas.openxmlformats.org/officeDocument/2006/relationships/hyperlink" Target="https://doi.org/10.1002/aur.239" TargetMode="External"/><Relationship Id="rId17" Type="http://schemas.openxmlformats.org/officeDocument/2006/relationships/hyperlink" Target="https://doi.org/10.1016/S0140-6736(18)31129-2" TargetMode="External"/><Relationship Id="rId25" Type="http://schemas.openxmlformats.org/officeDocument/2006/relationships/hyperlink" Target="https://doi.org/10.1111/j.1651-2227.2005.tb01779.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4103/jnrp.jnrp_468_17" TargetMode="External"/><Relationship Id="rId20" Type="http://schemas.openxmlformats.org/officeDocument/2006/relationships/hyperlink" Target="https://doi.org/10.1007/s11910-020-1022-z" TargetMode="External"/><Relationship Id="rId29" Type="http://schemas.openxmlformats.org/officeDocument/2006/relationships/hyperlink" Target="https://doi.org/10.1080/17538157.2017.13991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aur.1225" TargetMode="External"/><Relationship Id="rId24" Type="http://schemas.openxmlformats.org/officeDocument/2006/relationships/hyperlink" Target="https://doi.org/10.1177/1178632917694350" TargetMode="External"/><Relationship Id="rId32" Type="http://schemas.openxmlformats.org/officeDocument/2006/relationships/hyperlink" Target="https://www.who.int/publications/i/item/WHO-NMH-VIP-11.0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8203/2394-6040.ijcmph20150257" TargetMode="External"/><Relationship Id="rId23" Type="http://schemas.openxmlformats.org/officeDocument/2006/relationships/hyperlink" Target="https://doi.org/10.1016/S0140-6736(10)61888-0" TargetMode="External"/><Relationship Id="rId28" Type="http://schemas.openxmlformats.org/officeDocument/2006/relationships/hyperlink" Target="https://doi.org/10.1016/j.ridd.2015.07.024" TargetMode="External"/><Relationship Id="rId36" Type="http://schemas.openxmlformats.org/officeDocument/2006/relationships/footer" Target="footer2.xml"/><Relationship Id="rId10" Type="http://schemas.openxmlformats.org/officeDocument/2006/relationships/hyperlink" Target="https://unstats.un.org/unsd/demographic-social/meetings/2016/bangkok--disability-measurement-and-statistics/Session-6/India.pdf" TargetMode="External"/><Relationship Id="rId19" Type="http://schemas.openxmlformats.org/officeDocument/2006/relationships/hyperlink" Target="https://doi.org/10.1007/s12098-016-2272-2" TargetMode="External"/><Relationship Id="rId31" Type="http://schemas.openxmlformats.org/officeDocument/2006/relationships/hyperlink" Target="https://doi.org/10.1016/j.bpsc.2019.11.015" TargetMode="External"/><Relationship Id="rId4" Type="http://schemas.openxmlformats.org/officeDocument/2006/relationships/webSettings" Target="webSettings.xml"/><Relationship Id="rId9" Type="http://schemas.openxmlformats.org/officeDocument/2006/relationships/hyperlink" Target="https://doi.org/10.1111/jcpp.12559" TargetMode="External"/><Relationship Id="rId14" Type="http://schemas.openxmlformats.org/officeDocument/2006/relationships/hyperlink" Target="https://doi.org/10.1177/1744629507086604" TargetMode="External"/><Relationship Id="rId22" Type="http://schemas.openxmlformats.org/officeDocument/2006/relationships/hyperlink" Target="https://doi.org/10.1016/j.procs.2020.03.399" TargetMode="External"/><Relationship Id="rId27" Type="http://schemas.openxmlformats.org/officeDocument/2006/relationships/hyperlink" Target="https://doi.org/10.1016/j.neubiorev.2014.02.015" TargetMode="External"/><Relationship Id="rId30" Type="http://schemas.openxmlformats.org/officeDocument/2006/relationships/hyperlink" Target="https://doi.org/10.1001/jamapediatrics.2019.0285" TargetMode="External"/><Relationship Id="rId35" Type="http://schemas.openxmlformats.org/officeDocument/2006/relationships/footer" Target="footer1.xml"/><Relationship Id="rId8" Type="http://schemas.openxmlformats.org/officeDocument/2006/relationships/hyperlink" Target="https://doi.org/10.1111/apa.1324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9346</Words>
  <Characters>53277</Characters>
  <Application>Microsoft Office Word</Application>
  <DocSecurity>0</DocSecurity>
  <Lines>443</Lines>
  <Paragraphs>124</Paragraphs>
  <ScaleCrop>false</ScaleCrop>
  <Company>HP</Company>
  <LinksUpToDate>false</LinksUpToDate>
  <CharactersWithSpaces>62499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2026-03-12T05:09:00Z</dcterms:created>
  <dcterms:modified xsi:type="dcterms:W3CDTF">2026-03-12T14:09:00Z</dcterms:modified>
</cp:coreProperties>
</file>