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E30BE" w14:textId="77777777" w:rsidR="00A74643" w:rsidRDefault="00A74643" w:rsidP="00A74643">
      <w:pPr>
        <w:pStyle w:val="NormalWeb"/>
        <w:spacing w:before="0" w:beforeAutospacing="0" w:after="0" w:afterAutospacing="0"/>
        <w:jc w:val="center"/>
        <w:rPr>
          <w:b/>
          <w:bCs/>
        </w:rPr>
      </w:pPr>
      <w:bookmarkStart w:id="0" w:name="_Hlk181861743"/>
      <w:bookmarkStart w:id="1" w:name="_GoBack"/>
      <w:bookmarkEnd w:id="1"/>
      <w:r>
        <w:rPr>
          <w:b/>
          <w:bCs/>
        </w:rPr>
        <w:t>EFFECT</w:t>
      </w:r>
      <w:r w:rsidRPr="003A5582">
        <w:rPr>
          <w:b/>
          <w:bCs/>
        </w:rPr>
        <w:t xml:space="preserve"> OF RENEWABLE ENERGY FINANCING MECHANISMS ON SUSTAINABLE ELECTRICITY GENERATION IN</w:t>
      </w:r>
      <w:r>
        <w:rPr>
          <w:b/>
          <w:bCs/>
        </w:rPr>
        <w:t xml:space="preserve"> NIGERIA</w:t>
      </w:r>
    </w:p>
    <w:p w14:paraId="5DE10C2C" w14:textId="754ECDE8" w:rsidR="00A74643" w:rsidRPr="003A5582" w:rsidRDefault="00A74643" w:rsidP="00A74643">
      <w:pPr>
        <w:pStyle w:val="NormalWeb"/>
        <w:spacing w:before="0" w:beforeAutospacing="0" w:after="0" w:afterAutospacing="0"/>
        <w:jc w:val="center"/>
        <w:rPr>
          <w:b/>
          <w:bCs/>
        </w:rPr>
      </w:pPr>
      <w:r w:rsidRPr="003A5582">
        <w:rPr>
          <w:b/>
          <w:bCs/>
        </w:rPr>
        <w:t xml:space="preserve"> </w:t>
      </w:r>
    </w:p>
    <w:bookmarkEnd w:id="0"/>
    <w:p w14:paraId="0F633A14" w14:textId="2AB1A014" w:rsidR="00A74643" w:rsidRDefault="00A74643" w:rsidP="00A74643">
      <w:pPr>
        <w:pStyle w:val="NormalWeb"/>
        <w:spacing w:before="0" w:beforeAutospacing="0" w:after="0" w:afterAutospacing="0"/>
        <w:rPr>
          <w:vertAlign w:val="superscript"/>
        </w:rPr>
      </w:pPr>
    </w:p>
    <w:p w14:paraId="7B56FB20" w14:textId="77777777" w:rsidR="001568B8" w:rsidRDefault="001568B8" w:rsidP="00A74643">
      <w:pPr>
        <w:pStyle w:val="NormalWeb"/>
        <w:spacing w:before="0" w:beforeAutospacing="0" w:after="0" w:afterAutospacing="0"/>
      </w:pPr>
    </w:p>
    <w:p w14:paraId="6CB7D273" w14:textId="77777777" w:rsidR="00A74643" w:rsidRDefault="00A74643" w:rsidP="00A74643">
      <w:pPr>
        <w:pStyle w:val="NormalWeb"/>
      </w:pPr>
      <w:r>
        <w:rPr>
          <w:rStyle w:val="Strong"/>
          <w:rFonts w:eastAsiaTheme="majorEastAsia"/>
        </w:rPr>
        <w:t>ABSTRACT</w:t>
      </w:r>
    </w:p>
    <w:p w14:paraId="63118707" w14:textId="11A000E5" w:rsidR="00A74643" w:rsidRDefault="00A74643" w:rsidP="00A74643">
      <w:pPr>
        <w:pStyle w:val="NormalWeb"/>
        <w:jc w:val="both"/>
      </w:pPr>
      <w:r>
        <w:t xml:space="preserve">The study examines the effect of renewable energy financing mechanisms on sustainable electricity generation in Nigeria, a nation grappling with energy shortages despite its abundant renewable resources. </w:t>
      </w:r>
      <w:r w:rsidRPr="00D3151D">
        <w:t xml:space="preserve">The study uses time-series data from 1985 to 2022 and an ex-post research design to evaluate the </w:t>
      </w:r>
      <w:r>
        <w:t xml:space="preserve">long- and short-term dynamics of electricity generation and renewable energy finance </w:t>
      </w:r>
      <w:r w:rsidRPr="00D3151D">
        <w:t>using the Auto</w:t>
      </w:r>
      <w:r>
        <w:t xml:space="preserve"> </w:t>
      </w:r>
      <w:r w:rsidRPr="00D3151D">
        <w:t>Regressive Distributed Lag (ARDL) model. Funding for solar and biomass energy, government spending, investments from commercial banks, and international aid are some of the main sources of funding examined.</w:t>
      </w:r>
      <w:r>
        <w:t xml:space="preserve"> Key financing sources analysed include funding for solar and biomass energy, government expenditure, commercial bank investments, and foreign aid. </w:t>
      </w:r>
      <w:r w:rsidRPr="00D3151D">
        <w:t>The results show that while government spending and foreign help have little immediate effect, biomass and solar energy finance greatly increase electricity generation over the long term.</w:t>
      </w:r>
      <w:r>
        <w:t xml:space="preserve"> Furthermore, electricity consumption emerged as a critical determinant of generation capacity, emphasizing the importance of energy demand in driving production. Despite these advancements, challenges such as high financing costs and limited policy implementation hinder the sector's growth. This underscores the need for strategic policies to enhance renewable energy financing, improve infrastructure, and attract foreign investment. By addressing these gaps, Nigeria can harness its renewable energy potential, diversify its energy mix, and achieve sustainable electricity generation, thereby fostering economic growth and development.</w:t>
      </w:r>
    </w:p>
    <w:p w14:paraId="3275FE1F" w14:textId="77777777" w:rsidR="00A74643" w:rsidRDefault="00A74643" w:rsidP="00A74643">
      <w:pPr>
        <w:pStyle w:val="NormalWeb"/>
        <w:jc w:val="both"/>
      </w:pPr>
      <w:r>
        <w:t>Keywords: Renewable Energy, Finance, Electricity Generation, Nigeria, ARDL</w:t>
      </w:r>
    </w:p>
    <w:p w14:paraId="73A2B849" w14:textId="77777777" w:rsidR="00A74643" w:rsidRPr="004F6E8B" w:rsidRDefault="00A74643" w:rsidP="00A74643">
      <w:pPr>
        <w:pStyle w:val="NormalWeb"/>
        <w:jc w:val="both"/>
      </w:pPr>
      <w:r>
        <w:t>JEL Codes: Q42, Q43, Q48, Q55, G20, C22</w:t>
      </w:r>
    </w:p>
    <w:p w14:paraId="07A4F1E8" w14:textId="77777777" w:rsidR="00A74643" w:rsidRDefault="00A74643" w:rsidP="00FD5034">
      <w:pPr>
        <w:jc w:val="both"/>
        <w:rPr>
          <w:rFonts w:ascii="Times New Roman" w:hAnsi="Times New Roman" w:cs="Times New Roman"/>
          <w:b/>
          <w:bCs/>
          <w:sz w:val="24"/>
          <w:szCs w:val="24"/>
        </w:rPr>
      </w:pPr>
    </w:p>
    <w:p w14:paraId="567E4A9B" w14:textId="2278997C" w:rsidR="00FD5034" w:rsidRPr="00FD5034" w:rsidRDefault="00FD5034" w:rsidP="00FD5034">
      <w:pPr>
        <w:jc w:val="both"/>
        <w:rPr>
          <w:rFonts w:ascii="Times New Roman" w:hAnsi="Times New Roman" w:cs="Times New Roman"/>
          <w:b/>
          <w:bCs/>
          <w:sz w:val="24"/>
          <w:szCs w:val="24"/>
        </w:rPr>
      </w:pPr>
      <w:r w:rsidRPr="00FD5034">
        <w:rPr>
          <w:rFonts w:ascii="Times New Roman" w:hAnsi="Times New Roman" w:cs="Times New Roman"/>
          <w:b/>
          <w:bCs/>
          <w:sz w:val="24"/>
          <w:szCs w:val="24"/>
        </w:rPr>
        <w:t>INTRODUCTION</w:t>
      </w:r>
    </w:p>
    <w:p w14:paraId="319057B5" w14:textId="7D1B9849"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Like many developing nations, Nigeria faces substantial challenges in achieving sustainable electricity generation despite its vast renewable energy potential. These challenges have been a persistent concern for successive Nigerian governments, prompting various policy initiatives aimed at diversifying the country's energy sources and reducing dependence on non-renewable energy. Following the creation of the National Electric Power Authority (NEPA) in 1972, power shortages worsened, leading to the introduction of the National Electricity Power Policy (NEPP) in 2000 and initiatives such as the Independent Power Producers (IPPs) and National Integrated Power Projects (NIPP) in 2001 (Babatunde &amp; Shuaibu, 2011). The National Energy Policy of 2003, the Electric Power Sector Reform Act of 2005, and the establishment of the Power Holding Company of Nigeria (PHCN) were direct responses to the persistent generation capacity shortfall. The Renewable Energy Master Plan (REMP), proposed in 2005 to encourage renewable energy adoption, was not approved by lawmakers, though subsequent initiatives include the National </w:t>
      </w:r>
      <w:r w:rsidRPr="00FD5034">
        <w:rPr>
          <w:rFonts w:ascii="Times New Roman" w:hAnsi="Times New Roman" w:cs="Times New Roman"/>
          <w:sz w:val="24"/>
          <w:szCs w:val="24"/>
        </w:rPr>
        <w:lastRenderedPageBreak/>
        <w:t>Renewable Energy and Energy Efficiency Policy (NREEEP) in 2015 and the Renewable Energy Roadmap for Nigeria in 2023.</w:t>
      </w:r>
    </w:p>
    <w:p w14:paraId="471AEBD6" w14:textId="26AE3324"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Despite these initiatives, Nigeria's energy mix remains heavily reliant on non-renewable sources, with 80 percent of electricity coming from thermal sources and 20 percent from hydro, while renewable sources like solar and biomass are largely confined to rural electrification projects. The renewable energy sector has yet to reach commercial scale and remains dependent on private, foreign, and non-governmental investments, with its contribution to the national grid remaining minimal (Oyedepo, 2021). High upfront costs and limited access to financing constitute key barriers to expanding renewable energy projects (Donastorg et al., 2017).</w:t>
      </w:r>
    </w:p>
    <w:p w14:paraId="2DDE28F7" w14:textId="03ECA10E"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Developing countries, including Nigeria, possess abundant untapped renewable energy resources with several potential applications (Ismail et al., 2014; </w:t>
      </w:r>
      <w:proofErr w:type="spellStart"/>
      <w:r w:rsidRPr="00FD5034">
        <w:rPr>
          <w:rFonts w:ascii="Times New Roman" w:hAnsi="Times New Roman" w:cs="Times New Roman"/>
          <w:sz w:val="24"/>
          <w:szCs w:val="24"/>
        </w:rPr>
        <w:t>Orisaleye</w:t>
      </w:r>
      <w:proofErr w:type="spellEnd"/>
      <w:r w:rsidRPr="00FD5034">
        <w:rPr>
          <w:rFonts w:ascii="Times New Roman" w:hAnsi="Times New Roman" w:cs="Times New Roman"/>
          <w:sz w:val="24"/>
          <w:szCs w:val="24"/>
        </w:rPr>
        <w:t xml:space="preserve"> et al., 2018). Piebalgs (2007) observed that developing countries are well-positioned to promote renewable energy utilization due to abundant resources including wind, solar, geothermal, biomass, and hydro, though this requires financial and political support. Renewable energy positively influences economic growth and development through employment creation (</w:t>
      </w:r>
      <w:proofErr w:type="spellStart"/>
      <w:r w:rsidRPr="00FD5034">
        <w:rPr>
          <w:rFonts w:ascii="Times New Roman" w:hAnsi="Times New Roman" w:cs="Times New Roman"/>
          <w:sz w:val="24"/>
          <w:szCs w:val="24"/>
        </w:rPr>
        <w:t>Osiolo</w:t>
      </w:r>
      <w:proofErr w:type="spellEnd"/>
      <w:r w:rsidRPr="00FD5034">
        <w:rPr>
          <w:rFonts w:ascii="Times New Roman" w:hAnsi="Times New Roman" w:cs="Times New Roman"/>
          <w:sz w:val="24"/>
          <w:szCs w:val="24"/>
        </w:rPr>
        <w:t xml:space="preserve">, 2016) and enhances prospects for energy self-sufficiency while preventing environmental degradation (Tun et al., 2019; Tun &amp; </w:t>
      </w:r>
      <w:proofErr w:type="spellStart"/>
      <w:r w:rsidRPr="00FD5034">
        <w:rPr>
          <w:rFonts w:ascii="Times New Roman" w:hAnsi="Times New Roman" w:cs="Times New Roman"/>
          <w:sz w:val="24"/>
          <w:szCs w:val="24"/>
        </w:rPr>
        <w:t>Juchelková</w:t>
      </w:r>
      <w:proofErr w:type="spellEnd"/>
      <w:r w:rsidRPr="00FD5034">
        <w:rPr>
          <w:rFonts w:ascii="Times New Roman" w:hAnsi="Times New Roman" w:cs="Times New Roman"/>
          <w:sz w:val="24"/>
          <w:szCs w:val="24"/>
        </w:rPr>
        <w:t>, 2019). Mas'ud et al. (2015) assessed renewable energy readiness in Nigeria and Cameroon, finding high solar irradiation and excellent wind speed in both countries, while Ajayi (2009) noted that challenges hindering renewable energy technology development range from lack of awareness to technical ineptitude.</w:t>
      </w:r>
    </w:p>
    <w:p w14:paraId="41C4268E" w14:textId="27EB59AC"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Many sub-Saharan African nations have significant arable land, with agriculture playing a crucial role in their economies. Biomass resources are plentiful in these regions and can be utilized for electricity generation, though they are often employed in environmentally detrimental ways. Biomass provides approximately 70 percent of total energy consumption in some developing countries (Keles et al., 2017), with projections suggesting that about 823 million people in Africa will rely on biomass for cooking and heating by 2030. </w:t>
      </w:r>
      <w:proofErr w:type="spellStart"/>
      <w:r w:rsidRPr="00FD5034">
        <w:rPr>
          <w:rFonts w:ascii="Times New Roman" w:hAnsi="Times New Roman" w:cs="Times New Roman"/>
          <w:sz w:val="24"/>
          <w:szCs w:val="24"/>
        </w:rPr>
        <w:t>Gujba</w:t>
      </w:r>
      <w:proofErr w:type="spellEnd"/>
      <w:r w:rsidRPr="00FD5034">
        <w:rPr>
          <w:rFonts w:ascii="Times New Roman" w:hAnsi="Times New Roman" w:cs="Times New Roman"/>
          <w:sz w:val="24"/>
          <w:szCs w:val="24"/>
        </w:rPr>
        <w:t xml:space="preserve"> et al. (2015) recommended prioritizing advanced stove adoption to reduce health impacts from indoor pollution and pressure on biomass resources. </w:t>
      </w:r>
      <w:proofErr w:type="spellStart"/>
      <w:r w:rsidRPr="00FD5034">
        <w:rPr>
          <w:rFonts w:ascii="Times New Roman" w:hAnsi="Times New Roman" w:cs="Times New Roman"/>
          <w:sz w:val="24"/>
          <w:szCs w:val="24"/>
        </w:rPr>
        <w:t>Abolhosseini</w:t>
      </w:r>
      <w:proofErr w:type="spellEnd"/>
      <w:r w:rsidRPr="00FD5034">
        <w:rPr>
          <w:rFonts w:ascii="Times New Roman" w:hAnsi="Times New Roman" w:cs="Times New Roman"/>
          <w:sz w:val="24"/>
          <w:szCs w:val="24"/>
        </w:rPr>
        <w:t xml:space="preserve"> et al. (2014) identified two main solutions for reducing CO2 emissions and addressing climate change: maximizing renewable energy substitution for fossil fuels and enhancing energy efficiency. However, Keles et al. (2017) noted that systematic data remain inadequate for biomass energy planning and for developing specific energy policies for supply and demand, as effective power generation depends on proper management and deployment of biomass resources.</w:t>
      </w:r>
    </w:p>
    <w:p w14:paraId="567E62FD" w14:textId="0ADBEF2F"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Globally, renewable energy sources accounted for 28.4 percent of electricity output in 2020, with hydropower leading at 16.2 percent, while non-hydro renewable sources like solar and wind power, though growing rapidly, still hold small market shares (</w:t>
      </w:r>
      <w:proofErr w:type="spellStart"/>
      <w:r w:rsidRPr="00FD5034">
        <w:rPr>
          <w:rFonts w:ascii="Times New Roman" w:hAnsi="Times New Roman" w:cs="Times New Roman"/>
          <w:sz w:val="24"/>
          <w:szCs w:val="24"/>
        </w:rPr>
        <w:t>Towoju</w:t>
      </w:r>
      <w:proofErr w:type="spellEnd"/>
      <w:r w:rsidRPr="00FD5034">
        <w:rPr>
          <w:rFonts w:ascii="Times New Roman" w:hAnsi="Times New Roman" w:cs="Times New Roman"/>
          <w:sz w:val="24"/>
          <w:szCs w:val="24"/>
        </w:rPr>
        <w:t xml:space="preserve"> &amp; Oladele, 2021). Solar photovoltaics produced 3.1 percent of global electricity in 2020, compared to virtually nothing in 1990 (Jäger-Waldau, 2011), and wind power increased dramatically from 4 to 1596 TWh between 1990 and 2020, constituting about 6 percent of global electricity generation (</w:t>
      </w:r>
      <w:proofErr w:type="spellStart"/>
      <w:r w:rsidRPr="00FD5034">
        <w:rPr>
          <w:rFonts w:ascii="Times New Roman" w:hAnsi="Times New Roman" w:cs="Times New Roman"/>
          <w:sz w:val="24"/>
          <w:szCs w:val="24"/>
        </w:rPr>
        <w:t>Haidi</w:t>
      </w:r>
      <w:proofErr w:type="spellEnd"/>
      <w:r w:rsidRPr="00FD5034">
        <w:rPr>
          <w:rFonts w:ascii="Times New Roman" w:hAnsi="Times New Roman" w:cs="Times New Roman"/>
          <w:sz w:val="24"/>
          <w:szCs w:val="24"/>
        </w:rPr>
        <w:t xml:space="preserve"> &amp; </w:t>
      </w:r>
      <w:proofErr w:type="spellStart"/>
      <w:r w:rsidRPr="00FD5034">
        <w:rPr>
          <w:rFonts w:ascii="Times New Roman" w:hAnsi="Times New Roman" w:cs="Times New Roman"/>
          <w:sz w:val="24"/>
          <w:szCs w:val="24"/>
        </w:rPr>
        <w:t>Cheddadi</w:t>
      </w:r>
      <w:proofErr w:type="spellEnd"/>
      <w:r w:rsidRPr="00FD5034">
        <w:rPr>
          <w:rFonts w:ascii="Times New Roman" w:hAnsi="Times New Roman" w:cs="Times New Roman"/>
          <w:sz w:val="24"/>
          <w:szCs w:val="24"/>
        </w:rPr>
        <w:t xml:space="preserve">, 2022). In Nigeria, renewable energy accounted for approximately 16.4 percent of total electrical </w:t>
      </w:r>
      <w:r w:rsidRPr="00FD5034">
        <w:rPr>
          <w:rFonts w:ascii="Times New Roman" w:hAnsi="Times New Roman" w:cs="Times New Roman"/>
          <w:sz w:val="24"/>
          <w:szCs w:val="24"/>
        </w:rPr>
        <w:lastRenderedPageBreak/>
        <w:t>capacity in 2022 (</w:t>
      </w:r>
      <w:proofErr w:type="spellStart"/>
      <w:r w:rsidRPr="00FD5034">
        <w:rPr>
          <w:rFonts w:ascii="Times New Roman" w:hAnsi="Times New Roman" w:cs="Times New Roman"/>
          <w:sz w:val="24"/>
          <w:szCs w:val="24"/>
        </w:rPr>
        <w:t>Nkalo</w:t>
      </w:r>
      <w:proofErr w:type="spellEnd"/>
      <w:r w:rsidRPr="00FD5034">
        <w:rPr>
          <w:rFonts w:ascii="Times New Roman" w:hAnsi="Times New Roman" w:cs="Times New Roman"/>
          <w:sz w:val="24"/>
          <w:szCs w:val="24"/>
        </w:rPr>
        <w:t>, 2025), while Africa's overall renewable energy capacity has been gradually increasing.</w:t>
      </w:r>
    </w:p>
    <w:p w14:paraId="5EE1753A" w14:textId="32738D6E"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The theoretical foundation for this study is rooted in Production theory, tracing back to Jean-Baptiste Say's pioneering work in economics (1803). Production theory fundamentally concerns the conversion of inputs into outputs, a concept crucial for understanding economic behavior. Since electricity is not naturally occurring but requires transformation from other energy forms—such as fossil fuels, solar, biomass, and hydro—this theory aptly applies by elucidating the process of converting raw energy into usable electricity. Production theory provides a framework for justifying the study's focus on electricity generation, which mirrors the production process of transforming raw materials into finished goods. Like other economic activities, electricity production is subject to various influences, including economic factors such as financing energy commodities, as well as social, technological, and political factors, making this theory highly relevant to analyzing electricity generation in Nigeria.</w:t>
      </w:r>
    </w:p>
    <w:p w14:paraId="6285B413" w14:textId="16058703"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Empirical literature has examined various dimensions of energy generation and financing. Zhe (2024) investigated the relationship between electricity generation and renewable resources in Pakistan using secondary data from 1998 to 2018, employing correlation analysis and the Johansen co-integration test to examine long-term relationships between electricity production and renewable energy sources including solar, nuclear, biomass, waste, and hydro. The results showed a consistent and </w:t>
      </w:r>
      <w:proofErr w:type="spellStart"/>
      <w:r w:rsidRPr="00FD5034">
        <w:rPr>
          <w:rFonts w:ascii="Times New Roman" w:hAnsi="Times New Roman" w:cs="Times New Roman"/>
          <w:sz w:val="24"/>
          <w:szCs w:val="24"/>
        </w:rPr>
        <w:t>favourable</w:t>
      </w:r>
      <w:proofErr w:type="spellEnd"/>
      <w:r w:rsidRPr="00FD5034">
        <w:rPr>
          <w:rFonts w:ascii="Times New Roman" w:hAnsi="Times New Roman" w:cs="Times New Roman"/>
          <w:sz w:val="24"/>
          <w:szCs w:val="24"/>
        </w:rPr>
        <w:t xml:space="preserve"> long-term relationship among renewable energy sources, electricity production, costs, and environmental quality. Mansur (2023) </w:t>
      </w:r>
      <w:proofErr w:type="spellStart"/>
      <w:r w:rsidRPr="00FD5034">
        <w:rPr>
          <w:rFonts w:ascii="Times New Roman" w:hAnsi="Times New Roman" w:cs="Times New Roman"/>
          <w:sz w:val="24"/>
          <w:szCs w:val="24"/>
        </w:rPr>
        <w:t>analysed</w:t>
      </w:r>
      <w:proofErr w:type="spellEnd"/>
      <w:r w:rsidRPr="00FD5034">
        <w:rPr>
          <w:rFonts w:ascii="Times New Roman" w:hAnsi="Times New Roman" w:cs="Times New Roman"/>
          <w:sz w:val="24"/>
          <w:szCs w:val="24"/>
        </w:rPr>
        <w:t xml:space="preserve"> factors affecting electricity generation in Nigeria, focusing on electricity power loss, government funding, and electricity demand using annual time-series data from 1981 to 2021. Utilizing Impulse Response Functions and Variance Decomposition techniques from the Vector Autoregressive Model, the results showed that Nigeria's electricity generation responds negatively to shocks in electricity power loss and electricity demand, while responding significantly to shocks in government funding for electricity.</w:t>
      </w:r>
    </w:p>
    <w:p w14:paraId="20FF0A82" w14:textId="6D192D98"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Rashed et al. (2022) examined the relationship between economic growth, renewable electricity generation, and foreign direct investment in Africa's renewable electricity sector, discovering a unidirectional causal relationship between renewable electricity production and economic growth using both static panel data and panel vector autoregression Granger causality models. </w:t>
      </w:r>
      <w:proofErr w:type="spellStart"/>
      <w:r w:rsidRPr="00FD5034">
        <w:rPr>
          <w:rFonts w:ascii="Times New Roman" w:hAnsi="Times New Roman" w:cs="Times New Roman"/>
          <w:sz w:val="24"/>
          <w:szCs w:val="24"/>
        </w:rPr>
        <w:t>Ozughalu</w:t>
      </w:r>
      <w:proofErr w:type="spellEnd"/>
      <w:r w:rsidRPr="00FD5034">
        <w:rPr>
          <w:rFonts w:ascii="Times New Roman" w:hAnsi="Times New Roman" w:cs="Times New Roman"/>
          <w:sz w:val="24"/>
          <w:szCs w:val="24"/>
        </w:rPr>
        <w:t xml:space="preserve"> and </w:t>
      </w:r>
      <w:proofErr w:type="spellStart"/>
      <w:r w:rsidRPr="00FD5034">
        <w:rPr>
          <w:rFonts w:ascii="Times New Roman" w:hAnsi="Times New Roman" w:cs="Times New Roman"/>
          <w:sz w:val="24"/>
          <w:szCs w:val="24"/>
        </w:rPr>
        <w:t>Ogbuefi</w:t>
      </w:r>
      <w:proofErr w:type="spellEnd"/>
      <w:r w:rsidRPr="00FD5034">
        <w:rPr>
          <w:rFonts w:ascii="Times New Roman" w:hAnsi="Times New Roman" w:cs="Times New Roman"/>
          <w:sz w:val="24"/>
          <w:szCs w:val="24"/>
        </w:rPr>
        <w:t xml:space="preserve"> (2022) explored the relationship between electricity consumption, FDI, and aggregate economic activity in Nigeria, utilizing the ARDL Bounds test, Granger Causality test, and </w:t>
      </w:r>
      <w:proofErr w:type="spellStart"/>
      <w:r w:rsidRPr="00FD5034">
        <w:rPr>
          <w:rFonts w:ascii="Times New Roman" w:hAnsi="Times New Roman" w:cs="Times New Roman"/>
          <w:sz w:val="24"/>
          <w:szCs w:val="24"/>
        </w:rPr>
        <w:t>trivariate</w:t>
      </w:r>
      <w:proofErr w:type="spellEnd"/>
      <w:r w:rsidRPr="00FD5034">
        <w:rPr>
          <w:rFonts w:ascii="Times New Roman" w:hAnsi="Times New Roman" w:cs="Times New Roman"/>
          <w:sz w:val="24"/>
          <w:szCs w:val="24"/>
        </w:rPr>
        <w:t xml:space="preserve"> Vector Error Correction model, discovering long-run co-integration between FDI and energy consumption with a bidirectional relationship between these variables. </w:t>
      </w:r>
      <w:proofErr w:type="spellStart"/>
      <w:r w:rsidRPr="00FD5034">
        <w:rPr>
          <w:rFonts w:ascii="Times New Roman" w:hAnsi="Times New Roman" w:cs="Times New Roman"/>
          <w:sz w:val="24"/>
          <w:szCs w:val="24"/>
        </w:rPr>
        <w:t>Onabote</w:t>
      </w:r>
      <w:proofErr w:type="spellEnd"/>
      <w:r w:rsidRPr="00FD5034">
        <w:rPr>
          <w:rFonts w:ascii="Times New Roman" w:hAnsi="Times New Roman" w:cs="Times New Roman"/>
          <w:sz w:val="24"/>
          <w:szCs w:val="24"/>
        </w:rPr>
        <w:t xml:space="preserve"> et al. (2021) conducted a time series analysis on energy sustainability, financing, and economic growth in Nigeria, employing the Johansen Co-integration technique to identify long-run equilibrium relationships among variables related to economic growth, sustainable energy, and financing options.</w:t>
      </w:r>
    </w:p>
    <w:p w14:paraId="6821BA78" w14:textId="79F70033"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Idoko (2021) investigated the impact of government expenditure on electricity supply in Nigeria from 1990 to 2017, utilizing the ARDL bounds test and Error Correction Model, revealing significant contributions of government expenditure, GDP, gross capital formation, inflation, and </w:t>
      </w:r>
      <w:proofErr w:type="spellStart"/>
      <w:r w:rsidRPr="00FD5034">
        <w:rPr>
          <w:rFonts w:ascii="Times New Roman" w:hAnsi="Times New Roman" w:cs="Times New Roman"/>
          <w:sz w:val="24"/>
          <w:szCs w:val="24"/>
        </w:rPr>
        <w:lastRenderedPageBreak/>
        <w:t>labour</w:t>
      </w:r>
      <w:proofErr w:type="spellEnd"/>
      <w:r w:rsidRPr="00FD5034">
        <w:rPr>
          <w:rFonts w:ascii="Times New Roman" w:hAnsi="Times New Roman" w:cs="Times New Roman"/>
          <w:sz w:val="24"/>
          <w:szCs w:val="24"/>
        </w:rPr>
        <w:t xml:space="preserve"> to electricity supply. </w:t>
      </w:r>
      <w:proofErr w:type="spellStart"/>
      <w:r w:rsidRPr="00FD5034">
        <w:rPr>
          <w:rFonts w:ascii="Times New Roman" w:hAnsi="Times New Roman" w:cs="Times New Roman"/>
          <w:sz w:val="24"/>
          <w:szCs w:val="24"/>
        </w:rPr>
        <w:t>Atchike</w:t>
      </w:r>
      <w:proofErr w:type="spellEnd"/>
      <w:r w:rsidRPr="00FD5034">
        <w:rPr>
          <w:rFonts w:ascii="Times New Roman" w:hAnsi="Times New Roman" w:cs="Times New Roman"/>
          <w:sz w:val="24"/>
          <w:szCs w:val="24"/>
        </w:rPr>
        <w:t xml:space="preserve"> et al. (2020) studied the connections between electricity consumption, FDI, and economic growth in Nigeria, identifying unidirectional causalities from electricity consumption to GDP and FDI using the ARDL Bounds test and Error correction model. Longe et al. (2020) examined the impact of structural breaks on the relationship between energy consumption and FDI in Nigeria, employing the ARDL technique and Bai-Perron least squares break point to identify a strong long-run co-integrating relationship between energy consumption and FDI regardless of structural breaks. </w:t>
      </w:r>
      <w:proofErr w:type="spellStart"/>
      <w:r w:rsidRPr="00FD5034">
        <w:rPr>
          <w:rFonts w:ascii="Times New Roman" w:hAnsi="Times New Roman" w:cs="Times New Roman"/>
          <w:sz w:val="24"/>
          <w:szCs w:val="24"/>
        </w:rPr>
        <w:t>Onayemi</w:t>
      </w:r>
      <w:proofErr w:type="spellEnd"/>
      <w:r w:rsidRPr="00FD5034">
        <w:rPr>
          <w:rFonts w:ascii="Times New Roman" w:hAnsi="Times New Roman" w:cs="Times New Roman"/>
          <w:sz w:val="24"/>
          <w:szCs w:val="24"/>
        </w:rPr>
        <w:t xml:space="preserve"> et al. (2020) simulated FDI inflows through constant electricity power supply for economic growth in Nigeria, finding that increased FDI inflows, gross fixed capital formation, and electricity supply had the potential to boost economic growth.</w:t>
      </w:r>
    </w:p>
    <w:p w14:paraId="7D08A1F3" w14:textId="13CF9898"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 xml:space="preserve">Imo, Chukwu, and Abode (2017) used the box-Jenkins autoregressive model of order 1 and multiple linear regression to examine factors influencing electricity generation in Nigeria, using temperature and rainfall as explanatory variables, finding that rainfall and power generation had a strong and significant relationship while temperature had little effect. Cerra, Alfredo, and Svetlana (2017) used the ARDL model to study factors impacting power infrastructure growth and financing methods in Latin American countries, finding that macroeconomic factors, investment sources, demographic variables, and fiscal constraints significantly impacted electricity generation capacity. </w:t>
      </w:r>
      <w:proofErr w:type="spellStart"/>
      <w:r w:rsidRPr="00FD5034">
        <w:rPr>
          <w:rFonts w:ascii="Times New Roman" w:hAnsi="Times New Roman" w:cs="Times New Roman"/>
          <w:sz w:val="24"/>
          <w:szCs w:val="24"/>
        </w:rPr>
        <w:t>Akinbola</w:t>
      </w:r>
      <w:proofErr w:type="spellEnd"/>
      <w:r w:rsidRPr="00FD5034">
        <w:rPr>
          <w:rFonts w:ascii="Times New Roman" w:hAnsi="Times New Roman" w:cs="Times New Roman"/>
          <w:sz w:val="24"/>
          <w:szCs w:val="24"/>
        </w:rPr>
        <w:t xml:space="preserve">, </w:t>
      </w:r>
      <w:proofErr w:type="spellStart"/>
      <w:r w:rsidRPr="00FD5034">
        <w:rPr>
          <w:rFonts w:ascii="Times New Roman" w:hAnsi="Times New Roman" w:cs="Times New Roman"/>
          <w:sz w:val="24"/>
          <w:szCs w:val="24"/>
        </w:rPr>
        <w:t>Zekeri</w:t>
      </w:r>
      <w:proofErr w:type="spellEnd"/>
      <w:r w:rsidRPr="00FD5034">
        <w:rPr>
          <w:rFonts w:ascii="Times New Roman" w:hAnsi="Times New Roman" w:cs="Times New Roman"/>
          <w:sz w:val="24"/>
          <w:szCs w:val="24"/>
        </w:rPr>
        <w:t xml:space="preserve">, and Idowu (2017) examined how Nigerian government policies affected industrial growth and power supply from 1980 to 2010, finding that long-term governmental power policies had a major negative impact on industrial output performance. Adenuga and Idoko (2021) investigated how government spending affected Nigeria's electricity supply between 1990 and 2017, finding that government spending, GDP, gross capital creation, inflation, and </w:t>
      </w:r>
      <w:proofErr w:type="spellStart"/>
      <w:r w:rsidRPr="00FD5034">
        <w:rPr>
          <w:rFonts w:ascii="Times New Roman" w:hAnsi="Times New Roman" w:cs="Times New Roman"/>
          <w:sz w:val="24"/>
          <w:szCs w:val="24"/>
        </w:rPr>
        <w:t>labour</w:t>
      </w:r>
      <w:proofErr w:type="spellEnd"/>
      <w:r w:rsidRPr="00FD5034">
        <w:rPr>
          <w:rFonts w:ascii="Times New Roman" w:hAnsi="Times New Roman" w:cs="Times New Roman"/>
          <w:sz w:val="24"/>
          <w:szCs w:val="24"/>
        </w:rPr>
        <w:t xml:space="preserve"> significantly contributed to electricity supply.</w:t>
      </w:r>
    </w:p>
    <w:p w14:paraId="4F39F292" w14:textId="77777777" w:rsidR="00FD5034" w:rsidRPr="00FD5034" w:rsidRDefault="00FD5034" w:rsidP="00FD5034">
      <w:pPr>
        <w:jc w:val="both"/>
        <w:rPr>
          <w:rFonts w:ascii="Times New Roman" w:hAnsi="Times New Roman" w:cs="Times New Roman"/>
          <w:sz w:val="24"/>
          <w:szCs w:val="24"/>
        </w:rPr>
      </w:pPr>
      <w:r w:rsidRPr="00FD5034">
        <w:rPr>
          <w:rFonts w:ascii="Times New Roman" w:hAnsi="Times New Roman" w:cs="Times New Roman"/>
          <w:sz w:val="24"/>
          <w:szCs w:val="24"/>
        </w:rPr>
        <w:t>The literature review reveals several critical gaps requiring investigation. First, there is a lack of systematic data and specific energy policies tailored to energy planning and utilization in Nigeria, which are crucial for effective energy planning and policymaking. Second, while financial and political support is acknowledged as necessary for promoting renewable energy, there is insufficient detailed analysis of the specific obstacles hindering renewable energy project development in Nigeria. Third, there is a dearth of comprehensive studies analyzing renewable energy financing mechanisms in Nigeria, despite recognition of the importance of financing for renewable energy projects. Studies examining various financing models, investment opportunities, and financial incentives for renewable energy projects remain scarce. This study addresses these gaps by investigating the effect of renewable energy financing mechanisms on sustainable electricity generation in Nigeria, specifically analyzing how different financing sources—including solar energy finance, biomass energy finance, government expenditure on electricity, commercial bank energy financing, and foreign aid energy financing—influence electricity generation in both the short and long run, while also examining the role of electricity consumption in driving generation capacity. By filling these gaps through empirical research and policy analysis, this study contributes to developing methods for funding renewable energy and power generation in Nigeria that will ultimately advance sustainable energy access and the nation's economic growth.</w:t>
      </w:r>
    </w:p>
    <w:p w14:paraId="06B16907" w14:textId="65E5EDBB" w:rsidR="00FD5034" w:rsidRPr="003353A0" w:rsidRDefault="00FD5034" w:rsidP="00FD5034">
      <w:pPr>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2</w:t>
      </w:r>
      <w:r w:rsidRPr="003353A0">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 xml:space="preserve">MATERIAL AND </w:t>
      </w:r>
      <w:r w:rsidRPr="003353A0">
        <w:rPr>
          <w:rFonts w:ascii="Times New Roman" w:hAnsi="Times New Roman" w:cs="Times New Roman"/>
          <w:b/>
          <w:bCs/>
          <w:sz w:val="24"/>
          <w:szCs w:val="24"/>
          <w:shd w:val="clear" w:color="auto" w:fill="FFFFFF"/>
        </w:rPr>
        <w:t>METHOD</w:t>
      </w:r>
      <w:r>
        <w:rPr>
          <w:rFonts w:ascii="Times New Roman" w:hAnsi="Times New Roman" w:cs="Times New Roman"/>
          <w:b/>
          <w:bCs/>
          <w:sz w:val="24"/>
          <w:szCs w:val="24"/>
          <w:shd w:val="clear" w:color="auto" w:fill="FFFFFF"/>
        </w:rPr>
        <w:t xml:space="preserve"> </w:t>
      </w:r>
    </w:p>
    <w:p w14:paraId="5F16F115" w14:textId="77777777" w:rsidR="00FD5034" w:rsidRDefault="00FD5034" w:rsidP="00FD5034">
      <w:pPr>
        <w:spacing w:line="240" w:lineRule="auto"/>
        <w:jc w:val="both"/>
        <w:rPr>
          <w:rFonts w:ascii="Times New Roman" w:hAnsi="Times New Roman" w:cs="Times New Roman"/>
          <w:sz w:val="24"/>
          <w:szCs w:val="24"/>
          <w:shd w:val="clear" w:color="auto" w:fill="FFFFFF"/>
        </w:rPr>
      </w:pPr>
      <w:r w:rsidRPr="003353A0">
        <w:rPr>
          <w:rFonts w:ascii="Times New Roman" w:hAnsi="Times New Roman" w:cs="Times New Roman"/>
          <w:sz w:val="24"/>
          <w:szCs w:val="24"/>
          <w:shd w:val="clear" w:color="auto" w:fill="FFFFFF"/>
        </w:rPr>
        <w:t>This study employed an Ex-post research design</w:t>
      </w:r>
      <w:r>
        <w:rPr>
          <w:rFonts w:ascii="Times New Roman" w:hAnsi="Times New Roman" w:cs="Times New Roman"/>
          <w:sz w:val="24"/>
          <w:szCs w:val="24"/>
          <w:shd w:val="clear" w:color="auto" w:fill="FFFFFF"/>
        </w:rPr>
        <w:t xml:space="preserve"> (Lammer &amp; Badia)</w:t>
      </w:r>
      <w:r w:rsidRPr="003353A0">
        <w:rPr>
          <w:rFonts w:ascii="Times New Roman" w:hAnsi="Times New Roman" w:cs="Times New Roman"/>
          <w:sz w:val="24"/>
          <w:szCs w:val="24"/>
          <w:shd w:val="clear" w:color="auto" w:fill="FFFFFF"/>
        </w:rPr>
        <w:t xml:space="preserve"> which is also known as retrospective research design, this type of research design involves collecting and analyzing data after the events of interest have occurred. In this approach, researchers do not have control over the variables being studied but instead analyze existing data to draw conclusions or make inferences about relationships between variables.</w:t>
      </w:r>
    </w:p>
    <w:p w14:paraId="0E2B8DAC" w14:textId="77777777" w:rsidR="00FD5034" w:rsidRPr="003353A0" w:rsidRDefault="00FD5034" w:rsidP="00FD5034">
      <w:pPr>
        <w:spacing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Sources of Data</w:t>
      </w:r>
    </w:p>
    <w:p w14:paraId="37E6A732" w14:textId="77777777" w:rsidR="00FD5034" w:rsidRPr="00552AAE" w:rsidRDefault="00FD5034" w:rsidP="00FD5034">
      <w:pPr>
        <w:jc w:val="both"/>
        <w:rPr>
          <w:rFonts w:ascii="Times New Roman" w:hAnsi="Times New Roman" w:cs="Times New Roman"/>
          <w:sz w:val="24"/>
          <w:szCs w:val="24"/>
        </w:rPr>
      </w:pPr>
      <w:bookmarkStart w:id="2" w:name="_Hlk181870501"/>
      <w:r w:rsidRPr="004D2F1C">
        <w:rPr>
          <w:rFonts w:ascii="Times New Roman" w:hAnsi="Times New Roman" w:cs="Times New Roman"/>
          <w:sz w:val="24"/>
          <w:szCs w:val="24"/>
        </w:rPr>
        <w:t>A secondary source provided the data for this investigation. The study used time series data from 1985 to 2022 for the analysis. The World Development Indicator, expressed in Million Kilowatts (</w:t>
      </w:r>
      <w:proofErr w:type="spellStart"/>
      <w:r w:rsidRPr="004D2F1C">
        <w:rPr>
          <w:rFonts w:ascii="Times New Roman" w:hAnsi="Times New Roman" w:cs="Times New Roman"/>
          <w:sz w:val="24"/>
          <w:szCs w:val="24"/>
        </w:rPr>
        <w:t>MKw</w:t>
      </w:r>
      <w:proofErr w:type="spellEnd"/>
      <w:r w:rsidRPr="004D2F1C">
        <w:rPr>
          <w:rFonts w:ascii="Times New Roman" w:hAnsi="Times New Roman" w:cs="Times New Roman"/>
          <w:sz w:val="24"/>
          <w:szCs w:val="24"/>
        </w:rPr>
        <w:t>), provided the data for electricity generation (ELG) in Nigeria</w:t>
      </w:r>
      <w:r>
        <w:rPr>
          <w:rFonts w:ascii="Times New Roman" w:hAnsi="Times New Roman" w:cs="Times New Roman"/>
          <w:sz w:val="24"/>
          <w:szCs w:val="24"/>
        </w:rPr>
        <w:t xml:space="preserve">. </w:t>
      </w:r>
      <w:r w:rsidRPr="003353A0">
        <w:rPr>
          <w:rFonts w:ascii="Times New Roman" w:hAnsi="Times New Roman" w:cs="Times New Roman"/>
          <w:sz w:val="24"/>
          <w:szCs w:val="24"/>
          <w:shd w:val="clear" w:color="auto" w:fill="FFFFFF"/>
        </w:rPr>
        <w:t>Solar energy financing</w:t>
      </w:r>
      <w:r>
        <w:rPr>
          <w:rFonts w:ascii="Times New Roman" w:hAnsi="Times New Roman" w:cs="Times New Roman"/>
          <w:sz w:val="24"/>
          <w:szCs w:val="24"/>
          <w:shd w:val="clear" w:color="auto" w:fill="FFFFFF"/>
        </w:rPr>
        <w:t xml:space="preserve"> (SEF)</w:t>
      </w:r>
      <w:r w:rsidRPr="003353A0">
        <w:rPr>
          <w:rFonts w:ascii="Times New Roman" w:hAnsi="Times New Roman" w:cs="Times New Roman"/>
          <w:sz w:val="24"/>
          <w:szCs w:val="24"/>
          <w:shd w:val="clear" w:color="auto" w:fill="FFFFFF"/>
        </w:rPr>
        <w:t xml:space="preserve"> data were proxied by government budget allocations to the National Rural Electrification Commission,</w:t>
      </w:r>
      <w:r w:rsidRPr="003353A0">
        <w:rPr>
          <w:rFonts w:ascii="Times New Roman" w:hAnsi="Times New Roman"/>
          <w:sz w:val="24"/>
          <w:szCs w:val="24"/>
        </w:rPr>
        <w:t xml:space="preserve"> </w:t>
      </w:r>
      <w:proofErr w:type="gramStart"/>
      <w:r w:rsidRPr="003353A0">
        <w:rPr>
          <w:rFonts w:ascii="Times New Roman" w:hAnsi="Times New Roman"/>
          <w:sz w:val="24"/>
          <w:szCs w:val="24"/>
        </w:rPr>
        <w:t>The</w:t>
      </w:r>
      <w:proofErr w:type="gramEnd"/>
      <w:r w:rsidRPr="003353A0">
        <w:rPr>
          <w:rFonts w:ascii="Times New Roman" w:hAnsi="Times New Roman"/>
          <w:sz w:val="24"/>
          <w:szCs w:val="24"/>
        </w:rPr>
        <w:t xml:space="preserve"> data for biomass energy finance</w:t>
      </w:r>
      <w:r>
        <w:rPr>
          <w:rFonts w:ascii="Times New Roman" w:hAnsi="Times New Roman"/>
          <w:sz w:val="24"/>
          <w:szCs w:val="24"/>
        </w:rPr>
        <w:t xml:space="preserve"> (BEF) </w:t>
      </w:r>
      <w:r w:rsidRPr="003353A0">
        <w:rPr>
          <w:rFonts w:ascii="Times New Roman" w:hAnsi="Times New Roman"/>
          <w:sz w:val="24"/>
          <w:szCs w:val="24"/>
        </w:rPr>
        <w:t xml:space="preserve">was proxied </w:t>
      </w:r>
      <w:r w:rsidRPr="003353A0">
        <w:rPr>
          <w:rFonts w:ascii="Times New Roman" w:eastAsia="TimesNewRomanPSMT" w:hAnsi="Times New Roman" w:cs="Times New Roman"/>
          <w:sz w:val="24"/>
          <w:szCs w:val="28"/>
          <w:lang w:val="en-GB"/>
        </w:rPr>
        <w:t xml:space="preserve">by government budget allocation to the </w:t>
      </w:r>
      <w:r w:rsidRPr="003353A0">
        <w:rPr>
          <w:rFonts w:ascii="Times New Roman" w:hAnsi="Times New Roman" w:cs="Times New Roman"/>
          <w:sz w:val="24"/>
          <w:szCs w:val="28"/>
        </w:rPr>
        <w:t>National Biotechnology Development Agency (NABDA)</w:t>
      </w:r>
      <w:r w:rsidRPr="003353A0">
        <w:rPr>
          <w:rFonts w:ascii="Times New Roman" w:hAnsi="Times New Roman"/>
          <w:sz w:val="24"/>
          <w:szCs w:val="24"/>
        </w:rPr>
        <w:t>. Government energy financing (GEF) data were proxied by Government Expenditure on the Electricity sector</w:t>
      </w:r>
      <w:r>
        <w:rPr>
          <w:rFonts w:ascii="Times New Roman" w:hAnsi="Times New Roman"/>
          <w:sz w:val="24"/>
          <w:szCs w:val="24"/>
        </w:rPr>
        <w:t xml:space="preserve">. GEF is government expenditure on national grid electricity powered by fossil fuel, Commercial Banks </w:t>
      </w:r>
      <w:r w:rsidRPr="00552AAE">
        <w:rPr>
          <w:rFonts w:ascii="Times New Roman" w:hAnsi="Times New Roman"/>
          <w:sz w:val="24"/>
          <w:szCs w:val="24"/>
        </w:rPr>
        <w:t xml:space="preserve">Commercial bank loans and advances to Nigeria's energy industry served as a stand-in for Energy Finance (CEF). The Central Bank of Nigeria Statistical Bulletin (2022) and the CBN Annual Report on various </w:t>
      </w:r>
      <w:r>
        <w:rPr>
          <w:rFonts w:ascii="Times New Roman" w:hAnsi="Times New Roman"/>
          <w:sz w:val="24"/>
          <w:szCs w:val="24"/>
        </w:rPr>
        <w:t>issues</w:t>
      </w:r>
      <w:r w:rsidRPr="00552AAE">
        <w:rPr>
          <w:rFonts w:ascii="Times New Roman" w:hAnsi="Times New Roman"/>
          <w:sz w:val="24"/>
          <w:szCs w:val="24"/>
        </w:rPr>
        <w:t xml:space="preserve"> served as the sources for both GEF and CEF.</w:t>
      </w:r>
      <w:r>
        <w:rPr>
          <w:rFonts w:ascii="Times New Roman" w:hAnsi="Times New Roman"/>
          <w:sz w:val="24"/>
          <w:szCs w:val="24"/>
        </w:rPr>
        <w:t xml:space="preserve"> SEF, BEF and GEF are</w:t>
      </w:r>
      <w:r w:rsidRPr="003353A0">
        <w:rPr>
          <w:rFonts w:ascii="Times New Roman" w:hAnsi="Times New Roman"/>
          <w:sz w:val="24"/>
          <w:szCs w:val="24"/>
        </w:rPr>
        <w:t xml:space="preserve"> measured in Billion Naira (</w:t>
      </w:r>
      <w:proofErr w:type="spellStart"/>
      <w:r w:rsidRPr="003353A0">
        <w:rPr>
          <w:rFonts w:ascii="Times New Roman" w:hAnsi="Times New Roman"/>
          <w:sz w:val="24"/>
          <w:szCs w:val="24"/>
        </w:rPr>
        <w:t>N’Billion</w:t>
      </w:r>
      <w:proofErr w:type="spellEnd"/>
      <w:r w:rsidRPr="003353A0">
        <w:rPr>
          <w:rFonts w:ascii="Times New Roman" w:hAnsi="Times New Roman"/>
          <w:sz w:val="24"/>
          <w:szCs w:val="24"/>
        </w:rPr>
        <w:t>). Energy financing from foreign aid (</w:t>
      </w:r>
      <w:r>
        <w:rPr>
          <w:rFonts w:ascii="Times New Roman" w:hAnsi="Times New Roman"/>
          <w:sz w:val="24"/>
          <w:szCs w:val="24"/>
        </w:rPr>
        <w:t>FEF</w:t>
      </w:r>
      <w:r w:rsidRPr="003353A0">
        <w:rPr>
          <w:rFonts w:ascii="Times New Roman" w:hAnsi="Times New Roman"/>
          <w:sz w:val="24"/>
          <w:szCs w:val="24"/>
        </w:rPr>
        <w:t>) data w</w:t>
      </w:r>
      <w:r>
        <w:rPr>
          <w:rFonts w:ascii="Times New Roman" w:hAnsi="Times New Roman"/>
          <w:sz w:val="24"/>
          <w:szCs w:val="24"/>
        </w:rPr>
        <w:t>ere</w:t>
      </w:r>
      <w:r w:rsidRPr="003353A0">
        <w:rPr>
          <w:rFonts w:ascii="Times New Roman" w:hAnsi="Times New Roman"/>
          <w:sz w:val="24"/>
          <w:szCs w:val="24"/>
        </w:rPr>
        <w:t xml:space="preserve"> from the World Bank (202</w:t>
      </w:r>
      <w:r>
        <w:rPr>
          <w:rFonts w:ascii="Times New Roman" w:hAnsi="Times New Roman"/>
          <w:sz w:val="24"/>
          <w:szCs w:val="24"/>
        </w:rPr>
        <w:t>2</w:t>
      </w:r>
      <w:r w:rsidRPr="003353A0">
        <w:rPr>
          <w:rFonts w:ascii="Times New Roman" w:hAnsi="Times New Roman"/>
          <w:sz w:val="24"/>
          <w:szCs w:val="24"/>
        </w:rPr>
        <w:t>), European Union (202</w:t>
      </w:r>
      <w:r>
        <w:rPr>
          <w:rFonts w:ascii="Times New Roman" w:hAnsi="Times New Roman"/>
          <w:sz w:val="24"/>
          <w:szCs w:val="24"/>
        </w:rPr>
        <w:t>2</w:t>
      </w:r>
      <w:r w:rsidRPr="003353A0">
        <w:rPr>
          <w:rFonts w:ascii="Times New Roman" w:hAnsi="Times New Roman"/>
          <w:sz w:val="24"/>
          <w:szCs w:val="24"/>
        </w:rPr>
        <w:t>), and DFID (202</w:t>
      </w:r>
      <w:r>
        <w:rPr>
          <w:rFonts w:ascii="Times New Roman" w:hAnsi="Times New Roman"/>
          <w:sz w:val="24"/>
          <w:szCs w:val="24"/>
        </w:rPr>
        <w:t>2</w:t>
      </w:r>
      <w:r w:rsidRPr="003353A0">
        <w:rPr>
          <w:rFonts w:ascii="Times New Roman" w:hAnsi="Times New Roman"/>
          <w:sz w:val="24"/>
          <w:szCs w:val="24"/>
        </w:rPr>
        <w:t xml:space="preserve">), measured in Billion United States of America Dollars (US Dollars). </w:t>
      </w:r>
    </w:p>
    <w:bookmarkEnd w:id="2"/>
    <w:p w14:paraId="26A90D58" w14:textId="77777777" w:rsidR="00FD5034" w:rsidRPr="003353A0" w:rsidRDefault="00FD5034" w:rsidP="00FD5034">
      <w:pPr>
        <w:spacing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Model Specification</w:t>
      </w:r>
    </w:p>
    <w:p w14:paraId="3E71BD30"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Following the model of Mansur (2023) which was specified as</w:t>
      </w:r>
    </w:p>
    <w:p w14:paraId="2C73BA92"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LEGT = f (</w:t>
      </w:r>
      <w:proofErr w:type="gramStart"/>
      <w:r w:rsidRPr="003353A0">
        <w:rPr>
          <w:rFonts w:ascii="Times New Roman" w:hAnsi="Times New Roman" w:cs="Times New Roman"/>
          <w:sz w:val="24"/>
          <w:szCs w:val="24"/>
        </w:rPr>
        <w:t>LEPL ,</w:t>
      </w:r>
      <w:proofErr w:type="gramEnd"/>
      <w:r w:rsidRPr="003353A0">
        <w:rPr>
          <w:rFonts w:ascii="Times New Roman" w:hAnsi="Times New Roman" w:cs="Times New Roman"/>
          <w:sz w:val="24"/>
          <w:szCs w:val="24"/>
        </w:rPr>
        <w:t xml:space="preserve"> LGFE, LELD) </w:t>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r>
      <w:r w:rsidRPr="003353A0">
        <w:rPr>
          <w:rFonts w:ascii="Times New Roman" w:hAnsi="Times New Roman" w:cs="Times New Roman"/>
          <w:sz w:val="24"/>
          <w:szCs w:val="24"/>
        </w:rPr>
        <w:tab/>
        <w:t xml:space="preserve">       1 </w:t>
      </w:r>
    </w:p>
    <w:p w14:paraId="6EC94E99"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Where: LEGT = Log of Electricity Generation in Megawatt Hours LEPL = Log of Electric Power Losses, LGFE = Log of Government Funding on Electricity, LELD = Log of Electricity Demand Transforming Equation (1) to an econometric equation he obtained the following: </w:t>
      </w:r>
    </w:p>
    <w:p w14:paraId="3BD94270" w14:textId="77777777" w:rsidR="00FD5034" w:rsidRPr="003353A0" w:rsidRDefault="00FD5034" w:rsidP="00FD5034">
      <w:pPr>
        <w:spacing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LEGTt</w:t>
      </w:r>
      <w:proofErr w:type="spellEnd"/>
      <w:r w:rsidRPr="003353A0">
        <w:rPr>
          <w:rFonts w:ascii="Times New Roman" w:hAnsi="Times New Roman" w:cs="Times New Roman"/>
          <w:sz w:val="24"/>
          <w:szCs w:val="24"/>
        </w:rPr>
        <w:t xml:space="preserve"> = β0 + β1 </w:t>
      </w:r>
      <w:proofErr w:type="spellStart"/>
      <w:r w:rsidRPr="003353A0">
        <w:rPr>
          <w:rFonts w:ascii="Times New Roman" w:hAnsi="Times New Roman" w:cs="Times New Roman"/>
          <w:sz w:val="24"/>
          <w:szCs w:val="24"/>
        </w:rPr>
        <w:t>LEPLt</w:t>
      </w:r>
      <w:proofErr w:type="spellEnd"/>
      <w:r w:rsidRPr="003353A0">
        <w:rPr>
          <w:rFonts w:ascii="Times New Roman" w:hAnsi="Times New Roman" w:cs="Times New Roman"/>
          <w:sz w:val="24"/>
          <w:szCs w:val="24"/>
        </w:rPr>
        <w:t xml:space="preserve"> + β2 </w:t>
      </w:r>
      <w:proofErr w:type="spellStart"/>
      <w:r w:rsidRPr="003353A0">
        <w:rPr>
          <w:rFonts w:ascii="Times New Roman" w:hAnsi="Times New Roman" w:cs="Times New Roman"/>
          <w:sz w:val="24"/>
          <w:szCs w:val="24"/>
        </w:rPr>
        <w:t>LGFEt</w:t>
      </w:r>
      <w:proofErr w:type="spellEnd"/>
      <w:r w:rsidRPr="003353A0">
        <w:rPr>
          <w:rFonts w:ascii="Times New Roman" w:hAnsi="Times New Roman" w:cs="Times New Roman"/>
          <w:sz w:val="24"/>
          <w:szCs w:val="24"/>
        </w:rPr>
        <w:t xml:space="preserve"> + β3 </w:t>
      </w:r>
      <w:proofErr w:type="spellStart"/>
      <w:r w:rsidRPr="003353A0">
        <w:rPr>
          <w:rFonts w:ascii="Times New Roman" w:hAnsi="Times New Roman" w:cs="Times New Roman"/>
          <w:sz w:val="24"/>
          <w:szCs w:val="24"/>
        </w:rPr>
        <w:t>LELDt</w:t>
      </w:r>
      <w:proofErr w:type="spellEnd"/>
      <w:r w:rsidRPr="003353A0">
        <w:rPr>
          <w:rFonts w:ascii="Times New Roman" w:hAnsi="Times New Roman" w:cs="Times New Roman"/>
          <w:sz w:val="24"/>
          <w:szCs w:val="24"/>
        </w:rPr>
        <w:t xml:space="preserve"> + </w:t>
      </w:r>
      <w:proofErr w:type="spellStart"/>
      <w:r w:rsidRPr="003353A0">
        <w:rPr>
          <w:rFonts w:ascii="Times New Roman" w:hAnsi="Times New Roman" w:cs="Times New Roman"/>
          <w:sz w:val="24"/>
          <w:szCs w:val="24"/>
        </w:rPr>
        <w:t>μt</w:t>
      </w:r>
      <w:proofErr w:type="spellEnd"/>
      <w:r w:rsidRPr="003353A0">
        <w:rPr>
          <w:rFonts w:ascii="Times New Roman" w:hAnsi="Times New Roman" w:cs="Times New Roman"/>
          <w:sz w:val="24"/>
          <w:szCs w:val="24"/>
        </w:rPr>
        <w:t xml:space="preserve">                                                       2     Where: LEGT, LEPL, LGFE, and LELD are defined earlier in Equation (1).</w:t>
      </w:r>
    </w:p>
    <w:p w14:paraId="18D68A19" w14:textId="77777777" w:rsidR="00FD5034" w:rsidRPr="003353A0" w:rsidRDefault="00FD5034" w:rsidP="00FD5034">
      <w:pPr>
        <w:spacing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Modifying equations 1 and 2 to include renewable energy finance variables and other sources of electricity finance as control variables gave rise to the model used in this study. Therefore, the model of this study is thus specified as: </w:t>
      </w:r>
    </w:p>
    <w:p w14:paraId="797C9887" w14:textId="77777777" w:rsidR="00FD5034" w:rsidRPr="003353A0" w:rsidRDefault="00FD5034" w:rsidP="00FD5034">
      <w:pPr>
        <w:spacing w:line="240" w:lineRule="auto"/>
        <w:jc w:val="both"/>
        <w:rPr>
          <w:rFonts w:ascii="Times New Roman" w:hAnsi="Times New Roman"/>
          <w:sz w:val="24"/>
          <w:szCs w:val="24"/>
        </w:rPr>
      </w:pPr>
      <w:proofErr w:type="spellStart"/>
      <w:r w:rsidRPr="003353A0">
        <w:rPr>
          <w:rFonts w:ascii="Times New Roman" w:hAnsi="Times New Roman"/>
          <w:sz w:val="24"/>
          <w:szCs w:val="24"/>
        </w:rPr>
        <w:t>ELG</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w:t>
      </w:r>
      <w:proofErr w:type="gramStart"/>
      <w:r w:rsidRPr="003353A0">
        <w:rPr>
          <w:rFonts w:ascii="Times New Roman" w:hAnsi="Times New Roman"/>
          <w:sz w:val="24"/>
          <w:szCs w:val="24"/>
        </w:rPr>
        <w:t>ƒ(</w:t>
      </w:r>
      <w:proofErr w:type="gramEnd"/>
      <w:r w:rsidRPr="003353A0">
        <w:rPr>
          <w:rFonts w:ascii="Times New Roman" w:hAnsi="Times New Roman"/>
          <w:sz w:val="24"/>
          <w:szCs w:val="24"/>
        </w:rPr>
        <w:t xml:space="preserve">SEF, </w:t>
      </w:r>
      <w:proofErr w:type="spellStart"/>
      <w:r w:rsidRPr="003353A0">
        <w:rPr>
          <w:rFonts w:ascii="Times New Roman" w:hAnsi="Times New Roman"/>
          <w:sz w:val="24"/>
          <w:szCs w:val="24"/>
        </w:rPr>
        <w:t>BEF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GOE</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CEF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FEF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w:t>
      </w:r>
      <w:proofErr w:type="spellStart"/>
      <w:r w:rsidRPr="003353A0">
        <w:rPr>
          <w:rFonts w:ascii="Times New Roman" w:hAnsi="Times New Roman"/>
          <w:sz w:val="24"/>
          <w:szCs w:val="24"/>
        </w:rPr>
        <w:t>ELC</w:t>
      </w:r>
      <w:r w:rsidRPr="003353A0">
        <w:rPr>
          <w:rFonts w:ascii="Times New Roman" w:hAnsi="Times New Roman"/>
          <w:sz w:val="24"/>
          <w:szCs w:val="24"/>
          <w:vertAlign w:val="subscript"/>
        </w:rPr>
        <w:t>t</w:t>
      </w:r>
      <w:proofErr w:type="spellEnd"/>
      <w:r w:rsidRPr="003353A0">
        <w:rPr>
          <w:rFonts w:ascii="Times New Roman" w:hAnsi="Times New Roman"/>
          <w:sz w:val="24"/>
          <w:szCs w:val="24"/>
        </w:rPr>
        <w:t>)</w:t>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r>
      <w:r w:rsidRPr="003353A0">
        <w:rPr>
          <w:rFonts w:ascii="Times New Roman" w:hAnsi="Times New Roman"/>
          <w:sz w:val="24"/>
          <w:szCs w:val="24"/>
        </w:rPr>
        <w:tab/>
        <w:t xml:space="preserve">      3</w:t>
      </w:r>
    </w:p>
    <w:p w14:paraId="3BF45CC4" w14:textId="77777777" w:rsidR="00FD5034" w:rsidRPr="003353A0" w:rsidRDefault="00FD5034" w:rsidP="00FD5034">
      <w:pPr>
        <w:spacing w:line="240" w:lineRule="auto"/>
        <w:jc w:val="both"/>
        <w:rPr>
          <w:rFonts w:ascii="Times New Roman" w:hAnsi="Times New Roman"/>
          <w:sz w:val="24"/>
          <w:szCs w:val="24"/>
        </w:rPr>
      </w:pPr>
      <w:proofErr w:type="spellStart"/>
      <w:r w:rsidRPr="003353A0">
        <w:rPr>
          <w:rFonts w:ascii="Times New Roman" w:hAnsi="Times New Roman"/>
          <w:sz w:val="24"/>
          <w:szCs w:val="24"/>
        </w:rPr>
        <w:t>ELG</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β</w:t>
      </w:r>
      <w:r w:rsidRPr="003353A0">
        <w:rPr>
          <w:rFonts w:ascii="Times New Roman" w:hAnsi="Times New Roman"/>
          <w:sz w:val="24"/>
          <w:szCs w:val="24"/>
          <w:vertAlign w:val="subscript"/>
        </w:rPr>
        <w:t>0</w:t>
      </w:r>
      <w:r w:rsidRPr="003353A0">
        <w:rPr>
          <w:rFonts w:ascii="Times New Roman" w:hAnsi="Times New Roman"/>
          <w:sz w:val="24"/>
          <w:szCs w:val="24"/>
        </w:rPr>
        <w:t xml:space="preserve"> </w:t>
      </w:r>
      <w:proofErr w:type="gramStart"/>
      <w:r w:rsidRPr="003353A0">
        <w:rPr>
          <w:rFonts w:ascii="Times New Roman" w:hAnsi="Times New Roman"/>
          <w:sz w:val="24"/>
          <w:szCs w:val="24"/>
        </w:rPr>
        <w:t>+  β</w:t>
      </w:r>
      <w:proofErr w:type="gramEnd"/>
      <w:r w:rsidRPr="003353A0">
        <w:rPr>
          <w:rFonts w:ascii="Times New Roman" w:hAnsi="Times New Roman"/>
          <w:sz w:val="24"/>
          <w:szCs w:val="24"/>
          <w:vertAlign w:val="subscript"/>
        </w:rPr>
        <w:t>1</w:t>
      </w:r>
      <w:r w:rsidRPr="003353A0">
        <w:rPr>
          <w:rFonts w:ascii="Times New Roman" w:hAnsi="Times New Roman"/>
          <w:sz w:val="24"/>
          <w:szCs w:val="24"/>
        </w:rPr>
        <w:t>SEF</w:t>
      </w:r>
      <w:r w:rsidRPr="003353A0">
        <w:rPr>
          <w:rFonts w:ascii="Times New Roman" w:hAnsi="Times New Roman"/>
          <w:sz w:val="24"/>
          <w:szCs w:val="24"/>
          <w:vertAlign w:val="subscript"/>
        </w:rPr>
        <w:t xml:space="preserve">t </w:t>
      </w:r>
      <w:r w:rsidRPr="003353A0">
        <w:rPr>
          <w:rFonts w:ascii="Times New Roman" w:hAnsi="Times New Roman"/>
          <w:sz w:val="24"/>
          <w:szCs w:val="24"/>
        </w:rPr>
        <w:t>+  β</w:t>
      </w:r>
      <w:r w:rsidRPr="003353A0">
        <w:rPr>
          <w:rFonts w:ascii="Times New Roman" w:hAnsi="Times New Roman"/>
          <w:sz w:val="24"/>
          <w:szCs w:val="24"/>
          <w:vertAlign w:val="subscript"/>
        </w:rPr>
        <w:t>2</w:t>
      </w:r>
      <w:r w:rsidRPr="003353A0">
        <w:rPr>
          <w:rFonts w:ascii="Times New Roman" w:hAnsi="Times New Roman"/>
          <w:sz w:val="24"/>
          <w:szCs w:val="24"/>
        </w:rPr>
        <w:t>BEF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3</w:t>
      </w:r>
      <w:r w:rsidRPr="003353A0">
        <w:rPr>
          <w:rFonts w:ascii="Times New Roman" w:hAnsi="Times New Roman"/>
          <w:sz w:val="24"/>
          <w:szCs w:val="24"/>
        </w:rPr>
        <w:t>GOE</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4</w:t>
      </w:r>
      <w:r w:rsidRPr="003353A0">
        <w:rPr>
          <w:rFonts w:ascii="Times New Roman" w:hAnsi="Times New Roman"/>
          <w:sz w:val="24"/>
          <w:szCs w:val="24"/>
        </w:rPr>
        <w:t>CEF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5</w:t>
      </w:r>
      <w:r w:rsidRPr="003353A0">
        <w:rPr>
          <w:rFonts w:ascii="Times New Roman" w:hAnsi="Times New Roman"/>
          <w:sz w:val="24"/>
          <w:szCs w:val="24"/>
        </w:rPr>
        <w:t>FEF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6</w:t>
      </w:r>
      <w:r w:rsidRPr="003353A0">
        <w:rPr>
          <w:rFonts w:ascii="Times New Roman" w:hAnsi="Times New Roman"/>
          <w:sz w:val="24"/>
          <w:szCs w:val="24"/>
        </w:rPr>
        <w:t>ELC</w:t>
      </w:r>
      <w:r w:rsidRPr="003353A0">
        <w:rPr>
          <w:rFonts w:ascii="Times New Roman" w:hAnsi="Times New Roman"/>
          <w:sz w:val="24"/>
          <w:szCs w:val="24"/>
          <w:vertAlign w:val="subscript"/>
        </w:rPr>
        <w:t>t</w:t>
      </w:r>
      <w:r w:rsidRPr="003353A0">
        <w:rPr>
          <w:rFonts w:ascii="Times New Roman" w:hAnsi="Times New Roman"/>
          <w:sz w:val="24"/>
          <w:szCs w:val="24"/>
        </w:rPr>
        <w:t xml:space="preserve"> + µ</w:t>
      </w:r>
      <w:r w:rsidRPr="003353A0">
        <w:rPr>
          <w:rFonts w:ascii="Times New Roman" w:hAnsi="Times New Roman"/>
          <w:sz w:val="24"/>
          <w:szCs w:val="24"/>
        </w:rPr>
        <w:tab/>
        <w:t xml:space="preserve">                              4</w:t>
      </w:r>
    </w:p>
    <w:p w14:paraId="2897B06F" w14:textId="77777777" w:rsidR="00FD5034" w:rsidRPr="003353A0" w:rsidRDefault="00FD5034" w:rsidP="00FD5034">
      <w:pPr>
        <w:spacing w:line="240" w:lineRule="auto"/>
        <w:jc w:val="both"/>
        <w:rPr>
          <w:rFonts w:ascii="Times New Roman" w:hAnsi="Times New Roman"/>
          <w:sz w:val="24"/>
          <w:szCs w:val="24"/>
        </w:rPr>
      </w:pPr>
      <w:r w:rsidRPr="003353A0">
        <w:rPr>
          <w:rFonts w:ascii="Times New Roman" w:hAnsi="Times New Roman"/>
          <w:sz w:val="24"/>
          <w:szCs w:val="24"/>
        </w:rPr>
        <w:t>Where ELG, SEF, BEF, GOE, CEF, FEF and ELC are Electricity generation in Nigeria, Solar Energy Finance in Nigeria, Biomass Energy Finance in Nigeria, Government Expenditure on Electricity Sector in Nigeria, Commercial Banks Energy Financing in Nigeria, Foreign Aid Energy Finance in Nigeria, and Electricity Consumption in Nigeria.  β</w:t>
      </w:r>
      <w:r w:rsidRPr="003353A0">
        <w:rPr>
          <w:rFonts w:ascii="Times New Roman" w:hAnsi="Times New Roman"/>
          <w:sz w:val="24"/>
          <w:szCs w:val="24"/>
          <w:vertAlign w:val="subscript"/>
        </w:rPr>
        <w:t xml:space="preserve">1 </w:t>
      </w:r>
      <w:r w:rsidRPr="003353A0">
        <w:rPr>
          <w:rFonts w:ascii="Times New Roman" w:hAnsi="Times New Roman"/>
          <w:sz w:val="24"/>
          <w:szCs w:val="24"/>
        </w:rPr>
        <w:t>to β</w:t>
      </w:r>
      <w:r w:rsidRPr="003353A0">
        <w:rPr>
          <w:rFonts w:ascii="Times New Roman" w:hAnsi="Times New Roman"/>
          <w:sz w:val="24"/>
          <w:szCs w:val="24"/>
          <w:vertAlign w:val="subscript"/>
        </w:rPr>
        <w:t xml:space="preserve">6 </w:t>
      </w:r>
      <w:r w:rsidRPr="003353A0">
        <w:rPr>
          <w:rFonts w:ascii="Times New Roman" w:hAnsi="Times New Roman"/>
          <w:sz w:val="24"/>
          <w:szCs w:val="24"/>
        </w:rPr>
        <w:t xml:space="preserve">are the coefficients of the </w:t>
      </w:r>
      <w:r w:rsidRPr="003353A0">
        <w:rPr>
          <w:rFonts w:ascii="Times New Roman" w:hAnsi="Times New Roman"/>
          <w:sz w:val="24"/>
          <w:szCs w:val="24"/>
        </w:rPr>
        <w:lastRenderedPageBreak/>
        <w:t xml:space="preserve">variables and µ is the error term and t = period. The estimated coefficient of the </w:t>
      </w:r>
      <w:r w:rsidRPr="003353A0">
        <w:rPr>
          <w:rFonts w:ascii="Times New Roman" w:hAnsi="Times New Roman" w:cs="Times New Roman"/>
          <w:sz w:val="24"/>
          <w:szCs w:val="24"/>
        </w:rPr>
        <w:t>variable is expected to take the form β</w:t>
      </w:r>
      <w:r w:rsidRPr="003353A0">
        <w:rPr>
          <w:rFonts w:ascii="Times New Roman" w:hAnsi="Times New Roman" w:cs="Times New Roman"/>
          <w:sz w:val="24"/>
          <w:szCs w:val="24"/>
          <w:vertAlign w:val="subscript"/>
        </w:rPr>
        <w:t>0</w:t>
      </w:r>
      <w:r w:rsidRPr="003353A0">
        <w:rPr>
          <w:rFonts w:ascii="Times New Roman" w:hAnsi="Times New Roman" w:cs="Times New Roman"/>
          <w:sz w:val="24"/>
          <w:szCs w:val="24"/>
        </w:rPr>
        <w:t xml:space="preserve"> &gt; 0, β</w:t>
      </w:r>
      <w:r w:rsidRPr="003353A0">
        <w:rPr>
          <w:rFonts w:ascii="Times New Roman" w:hAnsi="Times New Roman" w:cs="Times New Roman"/>
          <w:sz w:val="24"/>
          <w:szCs w:val="24"/>
          <w:vertAlign w:val="subscript"/>
        </w:rPr>
        <w:t>1</w:t>
      </w:r>
      <w:r w:rsidRPr="003353A0">
        <w:rPr>
          <w:rFonts w:ascii="Times New Roman" w:hAnsi="Times New Roman" w:cs="Times New Roman"/>
          <w:sz w:val="24"/>
          <w:szCs w:val="24"/>
        </w:rPr>
        <w:t xml:space="preserve"> to β</w:t>
      </w:r>
      <w:r w:rsidRPr="003353A0">
        <w:rPr>
          <w:rFonts w:ascii="Times New Roman" w:hAnsi="Times New Roman" w:cs="Times New Roman"/>
          <w:sz w:val="24"/>
          <w:szCs w:val="24"/>
          <w:vertAlign w:val="subscript"/>
        </w:rPr>
        <w:t>6</w:t>
      </w:r>
      <w:r w:rsidRPr="003353A0">
        <w:rPr>
          <w:rFonts w:ascii="Times New Roman" w:hAnsi="Times New Roman" w:cs="Times New Roman"/>
          <w:sz w:val="24"/>
          <w:szCs w:val="24"/>
        </w:rPr>
        <w:t xml:space="preserve"> &gt; 0</w:t>
      </w:r>
    </w:p>
    <w:p w14:paraId="5E585502" w14:textId="77777777" w:rsidR="00FD5034" w:rsidRPr="003353A0" w:rsidRDefault="00FD5034" w:rsidP="00FD5034">
      <w:pPr>
        <w:spacing w:line="240" w:lineRule="auto"/>
        <w:jc w:val="both"/>
        <w:rPr>
          <w:rFonts w:ascii="Times New Roman" w:hAnsi="Times New Roman"/>
          <w:sz w:val="24"/>
          <w:szCs w:val="24"/>
        </w:rPr>
      </w:pPr>
      <w:r w:rsidRPr="003353A0">
        <w:rPr>
          <w:rFonts w:ascii="Times New Roman" w:hAnsi="Times New Roman"/>
          <w:sz w:val="24"/>
          <w:szCs w:val="24"/>
        </w:rPr>
        <w:t>Equations 4 was estimated using ARDL estimation techniques</w:t>
      </w:r>
      <w:r>
        <w:rPr>
          <w:rFonts w:ascii="Times New Roman" w:hAnsi="Times New Roman"/>
          <w:sz w:val="24"/>
          <w:szCs w:val="24"/>
        </w:rPr>
        <w:t xml:space="preserve"> (</w:t>
      </w:r>
      <w:proofErr w:type="spellStart"/>
      <w:r w:rsidRPr="003353A0">
        <w:rPr>
          <w:rFonts w:ascii="Times New Roman" w:hAnsi="Times New Roman"/>
          <w:sz w:val="24"/>
          <w:szCs w:val="24"/>
        </w:rPr>
        <w:t>Pesaran</w:t>
      </w:r>
      <w:proofErr w:type="spellEnd"/>
      <w:r w:rsidRPr="003353A0">
        <w:rPr>
          <w:rFonts w:ascii="Times New Roman" w:hAnsi="Times New Roman"/>
          <w:sz w:val="24"/>
          <w:szCs w:val="24"/>
        </w:rPr>
        <w:t xml:space="preserve"> and Smith</w:t>
      </w:r>
      <w:r>
        <w:rPr>
          <w:rFonts w:ascii="Times New Roman" w:hAnsi="Times New Roman"/>
          <w:sz w:val="24"/>
          <w:szCs w:val="24"/>
        </w:rPr>
        <w:t xml:space="preserve">, </w:t>
      </w:r>
      <w:r w:rsidRPr="003353A0">
        <w:rPr>
          <w:rFonts w:ascii="Times New Roman" w:hAnsi="Times New Roman"/>
          <w:sz w:val="24"/>
          <w:szCs w:val="24"/>
        </w:rPr>
        <w:t xml:space="preserve">2001). </w:t>
      </w:r>
      <w:r w:rsidRPr="006625A1">
        <w:rPr>
          <w:rFonts w:ascii="Times New Roman" w:hAnsi="Times New Roman"/>
          <w:sz w:val="24"/>
          <w:szCs w:val="24"/>
        </w:rPr>
        <w:t>The fractionally integrated structure of the underlying regressors influenced the choice to use the ARDL approach for determining whether there was a long-term link between variables in levels.</w:t>
      </w:r>
      <w:r w:rsidRPr="003353A0">
        <w:rPr>
          <w:rFonts w:ascii="Times New Roman" w:hAnsi="Times New Roman"/>
          <w:sz w:val="24"/>
          <w:szCs w:val="24"/>
        </w:rPr>
        <w:t xml:space="preserve"> oscillating between </w:t>
      </w:r>
      <w:proofErr w:type="gramStart"/>
      <w:r w:rsidRPr="003353A0">
        <w:rPr>
          <w:rFonts w:ascii="Times New Roman" w:hAnsi="Times New Roman"/>
          <w:sz w:val="24"/>
          <w:szCs w:val="24"/>
        </w:rPr>
        <w:t>I(</w:t>
      </w:r>
      <w:proofErr w:type="gramEnd"/>
      <w:r w:rsidRPr="003353A0">
        <w:rPr>
          <w:rFonts w:ascii="Times New Roman" w:hAnsi="Times New Roman"/>
          <w:sz w:val="24"/>
          <w:szCs w:val="24"/>
        </w:rPr>
        <w:t xml:space="preserve">0) and I(1). The bounds test confirmed the cointegration among variables, aligning with the conditions outlined by </w:t>
      </w:r>
      <w:proofErr w:type="spellStart"/>
      <w:r w:rsidRPr="003353A0">
        <w:rPr>
          <w:rFonts w:ascii="Times New Roman" w:hAnsi="Times New Roman"/>
          <w:sz w:val="24"/>
          <w:szCs w:val="24"/>
        </w:rPr>
        <w:t>Pesaran</w:t>
      </w:r>
      <w:proofErr w:type="spellEnd"/>
      <w:r w:rsidRPr="003353A0">
        <w:rPr>
          <w:rFonts w:ascii="Times New Roman" w:hAnsi="Times New Roman"/>
          <w:sz w:val="24"/>
          <w:szCs w:val="24"/>
        </w:rPr>
        <w:t xml:space="preserve"> and Smith (2001) for </w:t>
      </w:r>
      <w:proofErr w:type="spellStart"/>
      <w:r w:rsidRPr="003353A0">
        <w:rPr>
          <w:rFonts w:ascii="Times New Roman" w:hAnsi="Times New Roman"/>
          <w:sz w:val="24"/>
          <w:szCs w:val="24"/>
        </w:rPr>
        <w:t>AutoRegressive</w:t>
      </w:r>
      <w:proofErr w:type="spellEnd"/>
      <w:r w:rsidRPr="003353A0">
        <w:rPr>
          <w:rFonts w:ascii="Times New Roman" w:hAnsi="Times New Roman"/>
          <w:sz w:val="24"/>
          <w:szCs w:val="24"/>
        </w:rPr>
        <w:t xml:space="preserve"> Distributed Lags estimation.</w:t>
      </w:r>
    </w:p>
    <w:p w14:paraId="7DC220E3" w14:textId="77777777" w:rsidR="00FD5034" w:rsidRPr="003353A0" w:rsidRDefault="00FD5034" w:rsidP="00FD5034">
      <w:pPr>
        <w:spacing w:line="240" w:lineRule="auto"/>
        <w:jc w:val="both"/>
        <w:rPr>
          <w:rFonts w:ascii="Times New Roman" w:hAnsi="Times New Roman"/>
          <w:sz w:val="24"/>
          <w:szCs w:val="24"/>
        </w:rPr>
      </w:pPr>
      <w:r w:rsidRPr="003353A0">
        <w:rPr>
          <w:rFonts w:ascii="Times New Roman" w:hAnsi="Times New Roman"/>
          <w:sz w:val="24"/>
          <w:szCs w:val="24"/>
        </w:rPr>
        <w:t xml:space="preserve">The chosen estimation method aligns with the arguments put forth by Narayan and Smyth (2005), emphasizing the superior small sample properties of the bounds testing approach over multivariate cointegration. This approach modifies the Auto Regressive Distributed Lag (ARDL) framework, effectively addressing the challenges associated with the coexistence of </w:t>
      </w:r>
      <w:proofErr w:type="gramStart"/>
      <w:r w:rsidRPr="003353A0">
        <w:rPr>
          <w:rFonts w:ascii="Times New Roman" w:hAnsi="Times New Roman"/>
          <w:sz w:val="24"/>
          <w:szCs w:val="24"/>
        </w:rPr>
        <w:t>I(</w:t>
      </w:r>
      <w:proofErr w:type="gramEnd"/>
      <w:r w:rsidRPr="003353A0">
        <w:rPr>
          <w:rFonts w:ascii="Times New Roman" w:hAnsi="Times New Roman"/>
          <w:sz w:val="24"/>
          <w:szCs w:val="24"/>
        </w:rPr>
        <w:t xml:space="preserve">0) and I(1) regressors in a Johansen-type framework. In line with the theoretical disposition supported by </w:t>
      </w:r>
      <w:r w:rsidRPr="003353A0">
        <w:rPr>
          <w:rFonts w:ascii="Times New Roman" w:hAnsi="Times New Roman"/>
          <w:bCs/>
          <w:sz w:val="24"/>
          <w:szCs w:val="24"/>
        </w:rPr>
        <w:t>Bernard and</w:t>
      </w:r>
      <w:r w:rsidRPr="003353A0">
        <w:rPr>
          <w:rFonts w:ascii="Times New Roman" w:hAnsi="Times New Roman"/>
          <w:sz w:val="24"/>
          <w:szCs w:val="24"/>
        </w:rPr>
        <w:t xml:space="preserve"> Adenuga (2016) who opined that production process is not only driven by current energy resources, but by the changes in the previous output of the industry sector, this study therefore modified equation 4 and specified an ARDL model of the form:</w:t>
      </w:r>
    </w:p>
    <w:p w14:paraId="1B74ABA3" w14:textId="77777777" w:rsidR="00FD5034" w:rsidRPr="003353A0" w:rsidRDefault="00FD5034" w:rsidP="00FD5034">
      <w:pPr>
        <w:spacing w:line="240" w:lineRule="auto"/>
        <w:jc w:val="both"/>
        <w:rPr>
          <w:rFonts w:ascii="Times New Roman" w:hAnsi="Times New Roman"/>
          <w:sz w:val="24"/>
          <w:szCs w:val="24"/>
        </w:rPr>
      </w:pPr>
      <w:proofErr w:type="spellStart"/>
      <w:r w:rsidRPr="003353A0">
        <w:rPr>
          <w:rFonts w:ascii="Times New Roman" w:hAnsi="Times New Roman"/>
          <w:sz w:val="24"/>
          <w:szCs w:val="24"/>
        </w:rPr>
        <w:t>ELG</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β</w:t>
      </w:r>
      <w:r w:rsidRPr="003353A0">
        <w:rPr>
          <w:rFonts w:ascii="Times New Roman" w:hAnsi="Times New Roman"/>
          <w:sz w:val="24"/>
          <w:szCs w:val="24"/>
          <w:vertAlign w:val="subscript"/>
        </w:rPr>
        <w:t>0</w:t>
      </w:r>
      <w:r w:rsidRPr="003353A0">
        <w:rPr>
          <w:rFonts w:ascii="Times New Roman" w:hAnsi="Times New Roman"/>
          <w:sz w:val="24"/>
          <w:szCs w:val="24"/>
        </w:rPr>
        <w:t xml:space="preserve"> + ELG</w:t>
      </w:r>
      <w:r w:rsidRPr="003353A0">
        <w:rPr>
          <w:rFonts w:ascii="Times New Roman" w:hAnsi="Times New Roman"/>
          <w:sz w:val="24"/>
          <w:szCs w:val="24"/>
          <w:vertAlign w:val="subscript"/>
        </w:rPr>
        <w:t>t-1</w:t>
      </w:r>
      <w:r w:rsidRPr="003353A0">
        <w:rPr>
          <w:rFonts w:ascii="Times New Roman" w:hAnsi="Times New Roman"/>
          <w:sz w:val="24"/>
          <w:szCs w:val="24"/>
        </w:rPr>
        <w:t xml:space="preserve"> + β</w:t>
      </w:r>
      <w:r w:rsidRPr="003353A0">
        <w:rPr>
          <w:rFonts w:ascii="Times New Roman" w:hAnsi="Times New Roman"/>
          <w:sz w:val="24"/>
          <w:szCs w:val="24"/>
          <w:vertAlign w:val="subscript"/>
        </w:rPr>
        <w:t>1</w:t>
      </w:r>
      <w:r w:rsidRPr="003353A0">
        <w:rPr>
          <w:rFonts w:ascii="Times New Roman" w:hAnsi="Times New Roman"/>
          <w:sz w:val="24"/>
          <w:szCs w:val="24"/>
        </w:rPr>
        <w:t>BEF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1</w:t>
      </w:r>
      <w:r w:rsidRPr="003353A0">
        <w:rPr>
          <w:rFonts w:ascii="Times New Roman" w:hAnsi="Times New Roman"/>
          <w:sz w:val="24"/>
          <w:szCs w:val="24"/>
        </w:rPr>
        <w:t>SEF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2</w:t>
      </w:r>
      <w:r w:rsidRPr="003353A0">
        <w:rPr>
          <w:rFonts w:ascii="Times New Roman" w:hAnsi="Times New Roman"/>
          <w:sz w:val="24"/>
          <w:szCs w:val="24"/>
        </w:rPr>
        <w:t>GOE</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 xml:space="preserve">3 </w:t>
      </w:r>
      <w:proofErr w:type="spellStart"/>
      <w:r w:rsidRPr="003353A0">
        <w:rPr>
          <w:rFonts w:ascii="Times New Roman" w:hAnsi="Times New Roman"/>
          <w:sz w:val="24"/>
          <w:szCs w:val="24"/>
        </w:rPr>
        <w:t>CEF</w:t>
      </w:r>
      <w:r w:rsidRPr="003353A0">
        <w:rPr>
          <w:rFonts w:ascii="Times New Roman" w:hAnsi="Times New Roman"/>
          <w:sz w:val="24"/>
          <w:szCs w:val="24"/>
          <w:vertAlign w:val="subscript"/>
        </w:rPr>
        <w:t>t</w:t>
      </w:r>
      <w:proofErr w:type="spellEnd"/>
      <w:r w:rsidRPr="003353A0">
        <w:rPr>
          <w:rFonts w:ascii="Times New Roman" w:hAnsi="Times New Roman"/>
          <w:sz w:val="24"/>
          <w:szCs w:val="24"/>
        </w:rPr>
        <w:t xml:space="preserve"> + β</w:t>
      </w:r>
      <w:r w:rsidRPr="003353A0">
        <w:rPr>
          <w:rFonts w:ascii="Times New Roman" w:hAnsi="Times New Roman"/>
          <w:sz w:val="24"/>
          <w:szCs w:val="24"/>
          <w:vertAlign w:val="subscript"/>
        </w:rPr>
        <w:t>4</w:t>
      </w:r>
      <w:r w:rsidRPr="003353A0">
        <w:rPr>
          <w:rFonts w:ascii="Times New Roman" w:hAnsi="Times New Roman"/>
          <w:sz w:val="24"/>
          <w:szCs w:val="24"/>
        </w:rPr>
        <w:t>FEF</w:t>
      </w:r>
      <w:r w:rsidRPr="003353A0">
        <w:rPr>
          <w:rFonts w:ascii="Times New Roman" w:hAnsi="Times New Roman"/>
          <w:sz w:val="24"/>
          <w:szCs w:val="24"/>
          <w:vertAlign w:val="subscript"/>
        </w:rPr>
        <w:t>t</w:t>
      </w:r>
      <w:r w:rsidRPr="003353A0">
        <w:rPr>
          <w:rFonts w:ascii="Times New Roman" w:hAnsi="Times New Roman"/>
          <w:sz w:val="24"/>
          <w:szCs w:val="24"/>
        </w:rPr>
        <w:t xml:space="preserve"> + β</w:t>
      </w:r>
      <w:r w:rsidRPr="003353A0">
        <w:rPr>
          <w:rFonts w:ascii="Times New Roman" w:hAnsi="Times New Roman"/>
          <w:sz w:val="24"/>
          <w:szCs w:val="24"/>
          <w:vertAlign w:val="subscript"/>
        </w:rPr>
        <w:t>5</w:t>
      </w:r>
      <w:r w:rsidRPr="003353A0">
        <w:rPr>
          <w:rFonts w:ascii="Times New Roman" w:hAnsi="Times New Roman"/>
          <w:sz w:val="24"/>
          <w:szCs w:val="24"/>
        </w:rPr>
        <w:t>ELC</w:t>
      </w:r>
      <w:r w:rsidRPr="003353A0">
        <w:rPr>
          <w:rFonts w:ascii="Times New Roman" w:hAnsi="Times New Roman"/>
          <w:sz w:val="24"/>
          <w:szCs w:val="24"/>
          <w:vertAlign w:val="subscript"/>
        </w:rPr>
        <w:t>t</w:t>
      </w:r>
      <w:r w:rsidRPr="003353A0">
        <w:rPr>
          <w:rFonts w:ascii="Times New Roman" w:hAnsi="Times New Roman"/>
          <w:sz w:val="24"/>
          <w:szCs w:val="24"/>
        </w:rPr>
        <w:t xml:space="preserve"> + µ</w:t>
      </w:r>
      <w:r w:rsidRPr="003353A0">
        <w:rPr>
          <w:rFonts w:ascii="Times New Roman" w:hAnsi="Times New Roman"/>
          <w:sz w:val="24"/>
          <w:szCs w:val="24"/>
        </w:rPr>
        <w:tab/>
        <w:t xml:space="preserve">    5 </w:t>
      </w:r>
    </w:p>
    <w:p w14:paraId="65E959C3" w14:textId="77777777" w:rsidR="00FD5034" w:rsidRPr="003353A0" w:rsidRDefault="00FD5034" w:rsidP="00FD5034">
      <w:pPr>
        <w:spacing w:line="240" w:lineRule="auto"/>
        <w:jc w:val="both"/>
        <w:rPr>
          <w:rFonts w:ascii="Times New Roman" w:hAnsi="Times New Roman"/>
          <w:sz w:val="24"/>
          <w:szCs w:val="24"/>
        </w:rPr>
      </w:pPr>
      <w:bookmarkStart w:id="3" w:name="_Hlk181873270"/>
      <w:r w:rsidRPr="003353A0">
        <w:rPr>
          <w:rFonts w:ascii="Times New Roman" w:hAnsi="Times New Roman"/>
          <w:sz w:val="24"/>
          <w:szCs w:val="24"/>
        </w:rPr>
        <w:t>To determine the long-run relationship and the short-run dynamics of the ARDL model in equation 5, the long-run and the short-run form of equation 5 is specified thus:</w:t>
      </w:r>
    </w:p>
    <w:p w14:paraId="44258DF8" w14:textId="77777777" w:rsidR="00FD5034" w:rsidRPr="003353A0" w:rsidRDefault="00FD5034" w:rsidP="00FD5034">
      <w:pPr>
        <w:spacing w:line="240" w:lineRule="auto"/>
        <w:jc w:val="both"/>
      </w:pPr>
      <w:r w:rsidRPr="003353A0">
        <w:rPr>
          <w:position w:val="-14"/>
        </w:rPr>
        <w:object w:dxaOrig="12140" w:dyaOrig="380" w14:anchorId="12ADE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pt;height:15pt" o:ole="">
            <v:imagedata r:id="rId7" o:title=""/>
          </v:shape>
          <o:OLEObject Type="Embed" ProgID="Equation.DSMT4" ShapeID="_x0000_i1025" DrawAspect="Content" ObjectID="_1834318783" r:id="rId8"/>
        </w:object>
      </w:r>
      <w:r w:rsidRPr="003353A0">
        <w:t xml:space="preserve"> 6</w:t>
      </w:r>
    </w:p>
    <w:p w14:paraId="6FC42DCB" w14:textId="77777777" w:rsidR="00FD5034" w:rsidRPr="003353A0" w:rsidRDefault="00FD5034" w:rsidP="00FD5034">
      <w:pPr>
        <w:spacing w:line="240" w:lineRule="auto"/>
        <w:jc w:val="both"/>
        <w:rPr>
          <w:rFonts w:ascii="Times New Roman" w:hAnsi="Times New Roman"/>
          <w:sz w:val="24"/>
          <w:szCs w:val="24"/>
        </w:rPr>
      </w:pPr>
      <w:r w:rsidRPr="003353A0">
        <w:rPr>
          <w:position w:val="-28"/>
        </w:rPr>
        <w:object w:dxaOrig="15020" w:dyaOrig="680" w14:anchorId="3415B3E9">
          <v:shape id="_x0000_i1026" type="#_x0000_t75" style="width:456.5pt;height:27.5pt" o:ole="">
            <v:imagedata r:id="rId9" o:title=""/>
          </v:shape>
          <o:OLEObject Type="Embed" ProgID="Equation.DSMT4" ShapeID="_x0000_i1026" DrawAspect="Content" ObjectID="_1834318784" r:id="rId10"/>
        </w:object>
      </w:r>
      <w:r w:rsidRPr="003353A0">
        <w:t xml:space="preserve"> 7</w:t>
      </w:r>
    </w:p>
    <w:bookmarkEnd w:id="3"/>
    <w:p w14:paraId="541DC89E" w14:textId="77777777" w:rsidR="00FD5034" w:rsidRPr="003353A0" w:rsidRDefault="00FD5034" w:rsidP="00FD5034">
      <w:pPr>
        <w:spacing w:after="200" w:line="240" w:lineRule="auto"/>
        <w:jc w:val="both"/>
        <w:rPr>
          <w:rFonts w:ascii="Times New Roman" w:hAnsi="Times New Roman"/>
          <w:sz w:val="24"/>
          <w:szCs w:val="24"/>
        </w:rPr>
      </w:pPr>
      <w:r w:rsidRPr="003353A0">
        <w:rPr>
          <w:rFonts w:ascii="Times New Roman" w:hAnsi="Times New Roman"/>
          <w:sz w:val="24"/>
          <w:szCs w:val="24"/>
        </w:rPr>
        <w:t>Having estimated the ARDL model in equation 5, the ARDL estimation technique simultaneously estimated equation 6 and 7 that is both long-run and short-run ARDL model. Where in the short-run estimation;</w:t>
      </w:r>
      <w:r w:rsidRPr="003353A0">
        <w:rPr>
          <w:rFonts w:ascii="Times New Roman" w:eastAsia="Times New Roman" w:hAnsi="Times New Roman"/>
          <w:sz w:val="24"/>
          <w:szCs w:val="24"/>
        </w:rPr>
        <w:t xml:space="preserve"> the error correction term (</w:t>
      </w:r>
      <w:proofErr w:type="spellStart"/>
      <w:r w:rsidRPr="003353A0">
        <w:rPr>
          <w:rFonts w:ascii="Times New Roman" w:eastAsia="Times New Roman" w:hAnsi="Times New Roman"/>
          <w:sz w:val="24"/>
          <w:szCs w:val="24"/>
        </w:rPr>
        <w:t>ect</w:t>
      </w:r>
      <w:proofErr w:type="spellEnd"/>
      <w:r w:rsidRPr="003353A0">
        <w:rPr>
          <w:rFonts w:ascii="Times New Roman" w:eastAsia="Times New Roman" w:hAnsi="Times New Roman"/>
          <w:sz w:val="24"/>
          <w:szCs w:val="24"/>
        </w:rPr>
        <w:t xml:space="preserve">) was automatically generated and estimated. </w:t>
      </w:r>
      <w:r w:rsidRPr="003353A0">
        <w:rPr>
          <w:rFonts w:ascii="Times New Roman" w:hAnsi="Times New Roman"/>
          <w:sz w:val="24"/>
          <w:szCs w:val="24"/>
        </w:rPr>
        <w:t xml:space="preserve">The estimated results of the </w:t>
      </w:r>
      <w:proofErr w:type="spellStart"/>
      <w:r w:rsidRPr="003353A0">
        <w:rPr>
          <w:rFonts w:ascii="Times New Roman" w:hAnsi="Times New Roman"/>
          <w:i/>
          <w:sz w:val="24"/>
          <w:szCs w:val="24"/>
        </w:rPr>
        <w:t>ect</w:t>
      </w:r>
      <w:proofErr w:type="spellEnd"/>
      <w:r w:rsidRPr="003353A0">
        <w:rPr>
          <w:rFonts w:ascii="Times New Roman" w:hAnsi="Times New Roman"/>
          <w:sz w:val="24"/>
          <w:szCs w:val="24"/>
        </w:rPr>
        <w:t xml:space="preserve"> measure the speed of adjustment needed to converge back to long-run equilibrium after a short-term shock to the model.</w:t>
      </w:r>
    </w:p>
    <w:p w14:paraId="1257B479" w14:textId="638BC084" w:rsidR="00FD5034" w:rsidRDefault="00FD5034" w:rsidP="00FD5034">
      <w:pPr>
        <w:spacing w:after="0" w:line="276" w:lineRule="auto"/>
        <w:jc w:val="both"/>
        <w:rPr>
          <w:rFonts w:ascii="Times New Roman" w:hAnsi="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 xml:space="preserve">. </w:t>
      </w:r>
      <w:r>
        <w:rPr>
          <w:rFonts w:ascii="Times New Roman" w:hAnsi="Times New Roman" w:cs="Times New Roman"/>
          <w:b/>
          <w:bCs/>
          <w:sz w:val="24"/>
          <w:szCs w:val="24"/>
        </w:rPr>
        <w:t xml:space="preserve">RESULT AND </w:t>
      </w:r>
      <w:r w:rsidRPr="003353A0">
        <w:rPr>
          <w:rFonts w:ascii="Times New Roman" w:hAnsi="Times New Roman"/>
          <w:b/>
          <w:bCs/>
          <w:sz w:val="24"/>
          <w:szCs w:val="24"/>
        </w:rPr>
        <w:t>DISCUSSION</w:t>
      </w:r>
    </w:p>
    <w:p w14:paraId="09960E6C" w14:textId="77777777" w:rsidR="004116DD" w:rsidRDefault="004116DD" w:rsidP="00FD5034">
      <w:pPr>
        <w:spacing w:after="0" w:line="276" w:lineRule="auto"/>
        <w:jc w:val="both"/>
        <w:rPr>
          <w:rFonts w:ascii="Times New Roman" w:hAnsi="Times New Roman"/>
          <w:b/>
          <w:bCs/>
          <w:sz w:val="24"/>
          <w:szCs w:val="24"/>
        </w:rPr>
      </w:pPr>
    </w:p>
    <w:p w14:paraId="2762DB50" w14:textId="5AD4B245" w:rsidR="00FD5034" w:rsidRPr="003353A0" w:rsidRDefault="00FD5034" w:rsidP="00FD5034">
      <w:pPr>
        <w:spacing w:after="0" w:line="276" w:lineRule="auto"/>
        <w:jc w:val="both"/>
        <w:rPr>
          <w:rFonts w:ascii="Times New Roman" w:hAnsi="Times New Roman"/>
          <w:b/>
          <w:sz w:val="24"/>
          <w:szCs w:val="24"/>
        </w:rPr>
      </w:pPr>
      <w:r>
        <w:rPr>
          <w:rFonts w:ascii="Times New Roman" w:hAnsi="Times New Roman"/>
          <w:b/>
          <w:sz w:val="24"/>
          <w:szCs w:val="24"/>
        </w:rPr>
        <w:t>3</w:t>
      </w:r>
      <w:r w:rsidRPr="003353A0">
        <w:rPr>
          <w:rFonts w:ascii="Times New Roman" w:hAnsi="Times New Roman"/>
          <w:b/>
          <w:sz w:val="24"/>
          <w:szCs w:val="24"/>
        </w:rPr>
        <w:t xml:space="preserve">.1 </w:t>
      </w:r>
      <w:r>
        <w:rPr>
          <w:rFonts w:ascii="Times New Roman" w:hAnsi="Times New Roman"/>
          <w:b/>
          <w:sz w:val="24"/>
          <w:szCs w:val="24"/>
        </w:rPr>
        <w:t>Trend Analysis</w:t>
      </w:r>
    </w:p>
    <w:p w14:paraId="16844649" w14:textId="77777777" w:rsidR="00FD5034" w:rsidRDefault="00FD5034" w:rsidP="00FD5034">
      <w:pPr>
        <w:spacing w:after="0" w:line="276" w:lineRule="auto"/>
        <w:rPr>
          <w:rFonts w:ascii="Times New Roman" w:hAnsi="Times New Roman" w:cs="Times New Roman"/>
          <w:b/>
          <w:bCs/>
          <w:sz w:val="24"/>
          <w:szCs w:val="24"/>
        </w:rPr>
      </w:pPr>
      <w:r>
        <w:rPr>
          <w:noProof/>
        </w:rPr>
        <w:lastRenderedPageBreak/>
        <w:drawing>
          <wp:inline distT="0" distB="0" distL="0" distR="0" wp14:anchorId="45310C12" wp14:editId="05A8FA97">
            <wp:extent cx="5991225" cy="2552700"/>
            <wp:effectExtent l="0" t="0" r="9525" b="0"/>
            <wp:docPr id="1" name="Chart 1">
              <a:extLst xmlns:a="http://schemas.openxmlformats.org/drawingml/2006/main">
                <a:ext uri="{FF2B5EF4-FFF2-40B4-BE49-F238E27FC236}">
                  <a16:creationId xmlns:a16="http://schemas.microsoft.com/office/drawing/2014/main" id="{7C71A862-DED6-4D4E-A8B3-9F883281EE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89172A" w14:textId="77777777" w:rsidR="00FD5034" w:rsidRDefault="00FD5034" w:rsidP="00FD5034">
      <w:pPr>
        <w:spacing w:after="0" w:line="276" w:lineRule="auto"/>
        <w:rPr>
          <w:rFonts w:ascii="Times New Roman" w:hAnsi="Times New Roman" w:cs="Times New Roman"/>
          <w:b/>
          <w:bCs/>
          <w:sz w:val="24"/>
          <w:szCs w:val="24"/>
        </w:rPr>
      </w:pPr>
    </w:p>
    <w:p w14:paraId="054A8C64" w14:textId="77777777" w:rsidR="00FD5034" w:rsidRPr="003353A0" w:rsidRDefault="00FD5034" w:rsidP="00FD5034">
      <w:pPr>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Figure 1. The trend of Electricity Generation and Energy Finance variable</w:t>
      </w:r>
      <w:r>
        <w:rPr>
          <w:rFonts w:ascii="Times New Roman" w:hAnsi="Times New Roman" w:cs="Times New Roman"/>
          <w:b/>
          <w:bCs/>
          <w:sz w:val="24"/>
          <w:szCs w:val="24"/>
        </w:rPr>
        <w:t>s</w:t>
      </w:r>
      <w:r w:rsidRPr="003353A0">
        <w:rPr>
          <w:rFonts w:ascii="Times New Roman" w:hAnsi="Times New Roman" w:cs="Times New Roman"/>
          <w:b/>
          <w:bCs/>
          <w:sz w:val="24"/>
          <w:szCs w:val="24"/>
        </w:rPr>
        <w:t xml:space="preserve"> in Nigeria (1985 – 2022) </w:t>
      </w:r>
    </w:p>
    <w:p w14:paraId="17F87B9F" w14:textId="77777777" w:rsidR="00FD5034" w:rsidRPr="003353A0" w:rsidRDefault="00FD5034" w:rsidP="00FD5034">
      <w:pPr>
        <w:autoSpaceDE w:val="0"/>
        <w:autoSpaceDN w:val="0"/>
        <w:adjustRightInd w:val="0"/>
        <w:spacing w:line="276" w:lineRule="auto"/>
        <w:jc w:val="both"/>
        <w:rPr>
          <w:rFonts w:ascii="Times New Roman" w:hAnsi="Times New Roman"/>
          <w:b/>
          <w:sz w:val="24"/>
          <w:szCs w:val="24"/>
        </w:rPr>
      </w:pPr>
      <w:r w:rsidRPr="003353A0">
        <w:rPr>
          <w:rFonts w:ascii="Times New Roman" w:hAnsi="Times New Roman" w:cs="Times New Roman"/>
          <w:b/>
          <w:bCs/>
          <w:sz w:val="24"/>
          <w:szCs w:val="24"/>
        </w:rPr>
        <w:t xml:space="preserve">Source: </w:t>
      </w:r>
      <w:r w:rsidRPr="003353A0">
        <w:rPr>
          <w:rFonts w:ascii="Times New Roman" w:hAnsi="Times New Roman"/>
          <w:b/>
          <w:i/>
          <w:sz w:val="24"/>
          <w:szCs w:val="24"/>
          <w:lang w:eastAsia="zh-CN"/>
        </w:rPr>
        <w:t xml:space="preserve"> </w:t>
      </w:r>
      <w:r w:rsidRPr="003353A0">
        <w:rPr>
          <w:rFonts w:ascii="Times New Roman" w:hAnsi="Times New Roman"/>
          <w:b/>
          <w:sz w:val="24"/>
          <w:szCs w:val="24"/>
        </w:rPr>
        <w:t>Researcher’s Computations Using Microsoft Excel.</w:t>
      </w:r>
    </w:p>
    <w:p w14:paraId="32AB4B71" w14:textId="77777777" w:rsidR="00FD5034" w:rsidRPr="00D56FB9" w:rsidRDefault="00FD5034" w:rsidP="00FD5034">
      <w:pPr>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 xml:space="preserve">The graph illustrates trends in various energy finance metrics in Nigeria from 1985 to 2022, with the y-axis showing energy finance values and the x-axis representing years. Electricity Generation (ELG) Began near 10MKw in 1985, increased to about 20MKw by the early 1990s, remained stable until around 2007, and then declined to below 15MKw by 2022. Biomass Energy Finance (BEF) </w:t>
      </w:r>
      <w:r>
        <w:rPr>
          <w:rFonts w:ascii="Times New Roman" w:eastAsia="Times New Roman" w:hAnsi="Times New Roman" w:cs="Times New Roman"/>
          <w:sz w:val="24"/>
          <w:szCs w:val="24"/>
        </w:rPr>
        <w:t xml:space="preserve">started </w:t>
      </w:r>
      <w:r w:rsidRPr="003353A0">
        <w:rPr>
          <w:rFonts w:ascii="Times New Roman" w:eastAsia="Times New Roman" w:hAnsi="Times New Roman" w:cs="Times New Roman"/>
          <w:sz w:val="24"/>
          <w:szCs w:val="24"/>
        </w:rPr>
        <w:t>at 0, rose to around N10 billion by the early 1990s, surged past N20 billion around 2000, and stayed around N20 billion with minor fluctuations until 2022.</w:t>
      </w:r>
      <w:r>
        <w:rPr>
          <w:rFonts w:ascii="Times New Roman" w:eastAsia="Times New Roman" w:hAnsi="Times New Roman" w:cs="Times New Roman"/>
          <w:sz w:val="24"/>
          <w:szCs w:val="24"/>
        </w:rPr>
        <w:t xml:space="preserve"> Solar Energy </w:t>
      </w:r>
      <w:proofErr w:type="gramStart"/>
      <w:r>
        <w:rPr>
          <w:rFonts w:ascii="Times New Roman" w:eastAsia="Times New Roman" w:hAnsi="Times New Roman" w:cs="Times New Roman"/>
          <w:sz w:val="24"/>
          <w:szCs w:val="24"/>
        </w:rPr>
        <w:t>Finance  (</w:t>
      </w:r>
      <w:proofErr w:type="gramEnd"/>
      <w:r>
        <w:rPr>
          <w:rFonts w:ascii="Times New Roman" w:eastAsia="Times New Roman" w:hAnsi="Times New Roman" w:cs="Times New Roman"/>
          <w:sz w:val="24"/>
          <w:szCs w:val="24"/>
        </w:rPr>
        <w:t xml:space="preserve">SEF) started at N8.5 billion in 1985 and rose to N8.9 billion in 1989 and declined to 0.7 billion in 2006. Government commitment to rural electrification policy which brought about the National Energy Policy in 2005 and the electricity sector reform act that established PHCN led to a surge in solar energy finance to about N42.1 billion in 2007. Solar energy finance in Nigeria experienced a sudden decline to N13.8 billion in 2009 and N2.6 billion in </w:t>
      </w:r>
      <w:r w:rsidRPr="00CC6074">
        <w:rPr>
          <w:rFonts w:ascii="Times New Roman" w:eastAsia="Times New Roman" w:hAnsi="Times New Roman" w:cs="Times New Roman"/>
          <w:sz w:val="24"/>
          <w:szCs w:val="24"/>
        </w:rPr>
        <w:t>2015.</w:t>
      </w:r>
      <w:r>
        <w:rPr>
          <w:rFonts w:ascii="Times New Roman" w:eastAsia="Times New Roman" w:hAnsi="Times New Roman" w:cs="Times New Roman"/>
          <w:sz w:val="24"/>
          <w:szCs w:val="24"/>
        </w:rPr>
        <w:t xml:space="preserve"> </w:t>
      </w:r>
      <w:r w:rsidRPr="00D56FB9">
        <w:rPr>
          <w:rFonts w:ascii="Times New Roman" w:eastAsia="Times New Roman" w:hAnsi="Times New Roman" w:cs="Times New Roman"/>
          <w:sz w:val="24"/>
          <w:szCs w:val="24"/>
        </w:rPr>
        <w:t>After the National Renewable Energy and Energy Efficiency Policy (NREEEP) was put into effect in 2015, SEF rose to N28.5 billion in 2020 before slightly declining to N24 billion in 2021.</w:t>
      </w:r>
      <w:r>
        <w:rPr>
          <w:rFonts w:ascii="Times New Roman" w:eastAsia="Times New Roman" w:hAnsi="Times New Roman" w:cs="Times New Roman"/>
          <w:sz w:val="24"/>
          <w:szCs w:val="24"/>
        </w:rPr>
        <w:t xml:space="preserve"> GEF took a start with N0.89 billion in 1895 with a steady increase to N323.58 billion in 1999. There was a slight decline to N111.51 billion in 2000 rose to N259.79 billion in 2001 and declined to N97.98 billion in 2003. GEF </w:t>
      </w:r>
      <w:r w:rsidRPr="003353A0">
        <w:rPr>
          <w:rFonts w:ascii="Times New Roman" w:eastAsia="Times New Roman" w:hAnsi="Times New Roman" w:cs="Times New Roman"/>
          <w:sz w:val="24"/>
          <w:szCs w:val="24"/>
        </w:rPr>
        <w:t>gradually increased</w:t>
      </w:r>
      <w:r>
        <w:rPr>
          <w:rFonts w:ascii="Times New Roman" w:eastAsia="Times New Roman" w:hAnsi="Times New Roman" w:cs="Times New Roman"/>
          <w:sz w:val="24"/>
          <w:szCs w:val="24"/>
        </w:rPr>
        <w:t xml:space="preserve"> to N167.72 billion in 2004 with a slight fluctuation to N1.10 trillion in 2021.</w:t>
      </w:r>
      <w:r w:rsidRPr="003353A0">
        <w:rPr>
          <w:rFonts w:ascii="Times New Roman" w:eastAsia="Times New Roman" w:hAnsi="Times New Roman" w:cs="Times New Roman"/>
          <w:sz w:val="24"/>
          <w:szCs w:val="24"/>
        </w:rPr>
        <w:t xml:space="preserve"> Commercial Banks' Energy Financing (CE</w:t>
      </w:r>
      <w:r>
        <w:rPr>
          <w:rFonts w:ascii="Times New Roman" w:eastAsia="Times New Roman" w:hAnsi="Times New Roman" w:cs="Times New Roman"/>
          <w:sz w:val="24"/>
          <w:szCs w:val="24"/>
        </w:rPr>
        <w:t>F</w:t>
      </w:r>
      <w:r w:rsidRPr="003353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353A0">
        <w:rPr>
          <w:rFonts w:ascii="Times New Roman" w:eastAsia="Times New Roman" w:hAnsi="Times New Roman" w:cs="Times New Roman"/>
          <w:sz w:val="24"/>
          <w:szCs w:val="24"/>
        </w:rPr>
        <w:t>remained flat until the mid-1990s, then gradually rose to around N</w:t>
      </w:r>
      <w:r>
        <w:rPr>
          <w:rFonts w:ascii="Times New Roman" w:eastAsia="Times New Roman" w:hAnsi="Times New Roman" w:cs="Times New Roman"/>
          <w:sz w:val="24"/>
          <w:szCs w:val="24"/>
        </w:rPr>
        <w:t>72.4</w:t>
      </w:r>
      <w:r w:rsidRPr="003353A0">
        <w:rPr>
          <w:rFonts w:ascii="Times New Roman" w:eastAsia="Times New Roman" w:hAnsi="Times New Roman" w:cs="Times New Roman"/>
          <w:sz w:val="24"/>
          <w:szCs w:val="24"/>
        </w:rPr>
        <w:t xml:space="preserve"> billion by 2006, and stabilized between N</w:t>
      </w:r>
      <w:r>
        <w:rPr>
          <w:rFonts w:ascii="Times New Roman" w:eastAsia="Times New Roman" w:hAnsi="Times New Roman" w:cs="Times New Roman"/>
          <w:sz w:val="24"/>
          <w:szCs w:val="24"/>
        </w:rPr>
        <w:t xml:space="preserve">215.27 </w:t>
      </w:r>
      <w:r w:rsidRPr="003353A0">
        <w:rPr>
          <w:rFonts w:ascii="Times New Roman" w:eastAsia="Times New Roman" w:hAnsi="Times New Roman" w:cs="Times New Roman"/>
          <w:sz w:val="24"/>
          <w:szCs w:val="24"/>
        </w:rPr>
        <w:t>billion and N</w:t>
      </w:r>
      <w:r>
        <w:rPr>
          <w:rFonts w:ascii="Times New Roman" w:eastAsia="Times New Roman" w:hAnsi="Times New Roman" w:cs="Times New Roman"/>
          <w:sz w:val="24"/>
          <w:szCs w:val="24"/>
        </w:rPr>
        <w:t>301</w:t>
      </w:r>
      <w:r w:rsidRPr="003353A0">
        <w:rPr>
          <w:rFonts w:ascii="Times New Roman" w:eastAsia="Times New Roman" w:hAnsi="Times New Roman" w:cs="Times New Roman"/>
          <w:sz w:val="24"/>
          <w:szCs w:val="24"/>
        </w:rPr>
        <w:t xml:space="preserve"> billion until 202</w:t>
      </w:r>
      <w:r>
        <w:rPr>
          <w:rFonts w:ascii="Times New Roman" w:eastAsia="Times New Roman" w:hAnsi="Times New Roman" w:cs="Times New Roman"/>
          <w:sz w:val="24"/>
          <w:szCs w:val="24"/>
        </w:rPr>
        <w:t>1</w:t>
      </w:r>
      <w:r w:rsidRPr="003353A0">
        <w:rPr>
          <w:rFonts w:ascii="Times New Roman" w:eastAsia="Times New Roman" w:hAnsi="Times New Roman" w:cs="Times New Roman"/>
          <w:sz w:val="24"/>
          <w:szCs w:val="24"/>
        </w:rPr>
        <w:t xml:space="preserve">. Energy Finance from Foreign Aid </w:t>
      </w:r>
      <w:r>
        <w:rPr>
          <w:rFonts w:ascii="Times New Roman" w:eastAsia="Times New Roman" w:hAnsi="Times New Roman" w:cs="Times New Roman"/>
          <w:sz w:val="24"/>
          <w:szCs w:val="24"/>
        </w:rPr>
        <w:t>(FEF</w:t>
      </w:r>
      <w:r w:rsidRPr="003353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w:t>
      </w:r>
      <w:r w:rsidRPr="003353A0">
        <w:rPr>
          <w:rFonts w:ascii="Times New Roman" w:eastAsia="Times New Roman" w:hAnsi="Times New Roman" w:cs="Times New Roman"/>
          <w:sz w:val="24"/>
          <w:szCs w:val="24"/>
        </w:rPr>
        <w:t>tayed nearly flat, slightly below N</w:t>
      </w:r>
      <w:r>
        <w:rPr>
          <w:rFonts w:ascii="Times New Roman" w:eastAsia="Times New Roman" w:hAnsi="Times New Roman" w:cs="Times New Roman"/>
          <w:sz w:val="24"/>
          <w:szCs w:val="24"/>
        </w:rPr>
        <w:t>0.</w:t>
      </w:r>
      <w:r w:rsidRPr="003353A0">
        <w:rPr>
          <w:rFonts w:ascii="Times New Roman" w:eastAsia="Times New Roman" w:hAnsi="Times New Roman" w:cs="Times New Roman"/>
          <w:sz w:val="24"/>
          <w:szCs w:val="24"/>
        </w:rPr>
        <w:t>5 billion throughout the period.</w:t>
      </w:r>
      <w:r>
        <w:rPr>
          <w:rFonts w:ascii="Times New Roman" w:eastAsia="Times New Roman" w:hAnsi="Times New Roman" w:cs="Times New Roman"/>
          <w:sz w:val="24"/>
          <w:szCs w:val="24"/>
        </w:rPr>
        <w:t xml:space="preserve"> A slight increase to N3.6 bill was experienced in 2014 and declined to N0.7 billion in 2021. a </w:t>
      </w:r>
      <w:r w:rsidRPr="003353A0">
        <w:rPr>
          <w:rFonts w:ascii="Times New Roman" w:eastAsia="Times New Roman" w:hAnsi="Times New Roman" w:cs="Times New Roman"/>
          <w:sz w:val="24"/>
          <w:szCs w:val="24"/>
        </w:rPr>
        <w:t>All series show an upward trend, indicating potential non-stationarity. Thus, a unit root test is needed to determine the order of stationarity of the series.</w:t>
      </w:r>
    </w:p>
    <w:p w14:paraId="707A0F3B" w14:textId="3DCC44AD" w:rsidR="00FD5034" w:rsidRPr="003353A0" w:rsidRDefault="00FD5034" w:rsidP="00FD503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w:t>
      </w:r>
      <w:r w:rsidRPr="003353A0">
        <w:rPr>
          <w:rFonts w:ascii="Times New Roman" w:hAnsi="Times New Roman" w:cs="Times New Roman"/>
          <w:b/>
          <w:sz w:val="24"/>
          <w:szCs w:val="24"/>
        </w:rPr>
        <w:t>.2 Stationar</w:t>
      </w:r>
      <w:r>
        <w:rPr>
          <w:rFonts w:ascii="Times New Roman" w:hAnsi="Times New Roman" w:cs="Times New Roman"/>
          <w:b/>
          <w:sz w:val="24"/>
          <w:szCs w:val="24"/>
        </w:rPr>
        <w:t>ity</w:t>
      </w:r>
      <w:r w:rsidRPr="003353A0">
        <w:rPr>
          <w:rFonts w:ascii="Times New Roman" w:hAnsi="Times New Roman" w:cs="Times New Roman"/>
          <w:b/>
          <w:sz w:val="24"/>
          <w:szCs w:val="24"/>
        </w:rPr>
        <w:t xml:space="preserve"> Test</w:t>
      </w:r>
    </w:p>
    <w:p w14:paraId="15A73AD4" w14:textId="6D93D228" w:rsidR="00FD5034" w:rsidRPr="003353A0" w:rsidRDefault="00FD5034" w:rsidP="00FD5034">
      <w:pPr>
        <w:spacing w:after="0" w:line="276" w:lineRule="auto"/>
        <w:rPr>
          <w:rFonts w:ascii="Times New Roman" w:hAnsi="Times New Roman"/>
          <w:b/>
          <w:sz w:val="24"/>
          <w:szCs w:val="24"/>
        </w:rPr>
      </w:pPr>
      <w:r w:rsidRPr="003353A0">
        <w:rPr>
          <w:rFonts w:ascii="Times New Roman" w:hAnsi="Times New Roman"/>
          <w:b/>
          <w:sz w:val="24"/>
          <w:szCs w:val="24"/>
        </w:rPr>
        <w:t xml:space="preserve">Table </w:t>
      </w:r>
      <w:r w:rsidR="009E19E4">
        <w:rPr>
          <w:rFonts w:ascii="Times New Roman" w:hAnsi="Times New Roman"/>
          <w:b/>
          <w:sz w:val="24"/>
          <w:szCs w:val="24"/>
        </w:rPr>
        <w:t>1</w:t>
      </w:r>
      <w:r>
        <w:rPr>
          <w:rFonts w:ascii="Times New Roman" w:hAnsi="Times New Roman"/>
          <w:b/>
          <w:sz w:val="24"/>
          <w:szCs w:val="24"/>
        </w:rPr>
        <w:t>.</w:t>
      </w:r>
    </w:p>
    <w:p w14:paraId="4B889C2D" w14:textId="77777777" w:rsidR="00FD5034" w:rsidRPr="003353A0" w:rsidRDefault="00FD5034" w:rsidP="00FD5034">
      <w:pPr>
        <w:spacing w:after="0" w:line="276" w:lineRule="auto"/>
        <w:rPr>
          <w:rFonts w:ascii="Times New Roman" w:hAnsi="Times New Roman"/>
          <w:b/>
          <w:sz w:val="24"/>
          <w:szCs w:val="24"/>
        </w:rPr>
      </w:pPr>
      <w:r w:rsidRPr="003353A0">
        <w:rPr>
          <w:rFonts w:ascii="Times New Roman" w:hAnsi="Times New Roman"/>
          <w:b/>
          <w:sz w:val="24"/>
          <w:szCs w:val="24"/>
        </w:rPr>
        <w:lastRenderedPageBreak/>
        <w:t>ADF</w:t>
      </w:r>
      <w:r>
        <w:rPr>
          <w:rFonts w:ascii="Times New Roman" w:hAnsi="Times New Roman"/>
          <w:b/>
          <w:sz w:val="24"/>
          <w:szCs w:val="24"/>
        </w:rPr>
        <w:t xml:space="preserve"> Unit Root</w:t>
      </w:r>
      <w:r w:rsidRPr="003353A0">
        <w:rPr>
          <w:rFonts w:ascii="Times New Roman" w:hAnsi="Times New Roman"/>
          <w:b/>
          <w:sz w:val="24"/>
          <w:szCs w:val="24"/>
        </w:rPr>
        <w:t xml:space="preserve"> Test</w:t>
      </w:r>
    </w:p>
    <w:tbl>
      <w:tblPr>
        <w:tblStyle w:val="TableGrid"/>
        <w:tblW w:w="8500" w:type="dxa"/>
        <w:tblLook w:val="04A0" w:firstRow="1" w:lastRow="0" w:firstColumn="1" w:lastColumn="0" w:noHBand="0" w:noVBand="1"/>
      </w:tblPr>
      <w:tblGrid>
        <w:gridCol w:w="1271"/>
        <w:gridCol w:w="1224"/>
        <w:gridCol w:w="1469"/>
        <w:gridCol w:w="1418"/>
        <w:gridCol w:w="1701"/>
        <w:gridCol w:w="1417"/>
      </w:tblGrid>
      <w:tr w:rsidR="00FD5034" w:rsidRPr="003353A0" w14:paraId="4E53D5AB" w14:textId="77777777" w:rsidTr="00DE4E22">
        <w:tc>
          <w:tcPr>
            <w:tcW w:w="1271" w:type="dxa"/>
          </w:tcPr>
          <w:p w14:paraId="52DC36EC"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Variables</w:t>
            </w:r>
          </w:p>
        </w:tc>
        <w:tc>
          <w:tcPr>
            <w:tcW w:w="1224" w:type="dxa"/>
          </w:tcPr>
          <w:p w14:paraId="6533EE00"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ADF levels</w:t>
            </w:r>
          </w:p>
        </w:tc>
        <w:tc>
          <w:tcPr>
            <w:tcW w:w="1469" w:type="dxa"/>
          </w:tcPr>
          <w:p w14:paraId="143E4FE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Critical values</w:t>
            </w:r>
          </w:p>
        </w:tc>
        <w:tc>
          <w:tcPr>
            <w:tcW w:w="1418" w:type="dxa"/>
          </w:tcPr>
          <w:p w14:paraId="358C9CA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ADF  1</w:t>
            </w:r>
            <w:proofErr w:type="gramStart"/>
            <w:r w:rsidRPr="003353A0">
              <w:rPr>
                <w:rFonts w:ascii="Times New Roman" w:hAnsi="Times New Roman" w:cs="Times New Roman"/>
                <w:sz w:val="18"/>
                <w:szCs w:val="18"/>
                <w:vertAlign w:val="superscript"/>
              </w:rPr>
              <w:t>st</w:t>
            </w:r>
            <w:r w:rsidRPr="003353A0">
              <w:rPr>
                <w:rFonts w:ascii="Times New Roman" w:hAnsi="Times New Roman" w:cs="Times New Roman"/>
                <w:sz w:val="18"/>
                <w:szCs w:val="18"/>
              </w:rPr>
              <w:t xml:space="preserve">  diff</w:t>
            </w:r>
            <w:proofErr w:type="gramEnd"/>
          </w:p>
        </w:tc>
        <w:tc>
          <w:tcPr>
            <w:tcW w:w="1701" w:type="dxa"/>
          </w:tcPr>
          <w:p w14:paraId="6E62619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Critical value</w:t>
            </w:r>
          </w:p>
        </w:tc>
        <w:tc>
          <w:tcPr>
            <w:tcW w:w="1417" w:type="dxa"/>
          </w:tcPr>
          <w:p w14:paraId="4F461300"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remarks</w:t>
            </w:r>
          </w:p>
        </w:tc>
      </w:tr>
      <w:tr w:rsidR="00FD5034" w:rsidRPr="003353A0" w14:paraId="78BF5FE3" w14:textId="77777777" w:rsidTr="00DE4E22">
        <w:tc>
          <w:tcPr>
            <w:tcW w:w="1271" w:type="dxa"/>
          </w:tcPr>
          <w:p w14:paraId="0138E5D4"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lnELG</w:t>
            </w:r>
            <w:proofErr w:type="spellEnd"/>
          </w:p>
        </w:tc>
        <w:tc>
          <w:tcPr>
            <w:tcW w:w="1224" w:type="dxa"/>
          </w:tcPr>
          <w:p w14:paraId="7ED5AE4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-3.141</w:t>
            </w:r>
          </w:p>
        </w:tc>
        <w:tc>
          <w:tcPr>
            <w:tcW w:w="1469" w:type="dxa"/>
          </w:tcPr>
          <w:p w14:paraId="668C102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-3.536</w:t>
            </w:r>
          </w:p>
        </w:tc>
        <w:tc>
          <w:tcPr>
            <w:tcW w:w="1418" w:type="dxa"/>
          </w:tcPr>
          <w:p w14:paraId="26552B5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-7.359</w:t>
            </w:r>
          </w:p>
        </w:tc>
        <w:tc>
          <w:tcPr>
            <w:tcW w:w="1701" w:type="dxa"/>
          </w:tcPr>
          <w:p w14:paraId="2C6CB420"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6146EB57"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4C36E897" w14:textId="77777777" w:rsidTr="00DE4E22">
        <w:tc>
          <w:tcPr>
            <w:tcW w:w="1271" w:type="dxa"/>
          </w:tcPr>
          <w:p w14:paraId="60CE8E42"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LnSEF</w:t>
            </w:r>
            <w:proofErr w:type="spellEnd"/>
          </w:p>
        </w:tc>
        <w:tc>
          <w:tcPr>
            <w:tcW w:w="1224" w:type="dxa"/>
          </w:tcPr>
          <w:p w14:paraId="6F34717C"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-2.073</w:t>
            </w:r>
          </w:p>
        </w:tc>
        <w:tc>
          <w:tcPr>
            <w:tcW w:w="1469" w:type="dxa"/>
          </w:tcPr>
          <w:p w14:paraId="49F2976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7AA675D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05.919</w:t>
            </w:r>
          </w:p>
        </w:tc>
        <w:tc>
          <w:tcPr>
            <w:tcW w:w="1701" w:type="dxa"/>
          </w:tcPr>
          <w:p w14:paraId="5F02F6B8"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0FBFCD62"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3D943535" w14:textId="77777777" w:rsidTr="00DE4E22">
        <w:tc>
          <w:tcPr>
            <w:tcW w:w="1271" w:type="dxa"/>
          </w:tcPr>
          <w:p w14:paraId="7185C756"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LnBEF</w:t>
            </w:r>
            <w:proofErr w:type="spellEnd"/>
          </w:p>
        </w:tc>
        <w:tc>
          <w:tcPr>
            <w:tcW w:w="1224" w:type="dxa"/>
          </w:tcPr>
          <w:p w14:paraId="343D3052"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-2.394</w:t>
            </w:r>
          </w:p>
        </w:tc>
        <w:tc>
          <w:tcPr>
            <w:tcW w:w="1469" w:type="dxa"/>
          </w:tcPr>
          <w:p w14:paraId="2A7379D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2B1685A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-6.267</w:t>
            </w:r>
          </w:p>
        </w:tc>
        <w:tc>
          <w:tcPr>
            <w:tcW w:w="1701" w:type="dxa"/>
          </w:tcPr>
          <w:p w14:paraId="1A1208E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40EC1FFE"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05C19EDA" w14:textId="77777777" w:rsidTr="00DE4E22">
        <w:tc>
          <w:tcPr>
            <w:tcW w:w="1271" w:type="dxa"/>
          </w:tcPr>
          <w:p w14:paraId="79C9F53D"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LnGEF</w:t>
            </w:r>
            <w:proofErr w:type="spellEnd"/>
          </w:p>
        </w:tc>
        <w:tc>
          <w:tcPr>
            <w:tcW w:w="1224" w:type="dxa"/>
          </w:tcPr>
          <w:p w14:paraId="53D20DD6"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-1.937</w:t>
            </w:r>
          </w:p>
        </w:tc>
        <w:tc>
          <w:tcPr>
            <w:tcW w:w="1469" w:type="dxa"/>
          </w:tcPr>
          <w:p w14:paraId="3C699B24"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3A718A1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-6.994</w:t>
            </w:r>
          </w:p>
        </w:tc>
        <w:tc>
          <w:tcPr>
            <w:tcW w:w="1701" w:type="dxa"/>
          </w:tcPr>
          <w:p w14:paraId="30CBA8A4"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101160F7"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16DAAD48" w14:textId="77777777" w:rsidTr="00DE4E22">
        <w:tc>
          <w:tcPr>
            <w:tcW w:w="1271" w:type="dxa"/>
          </w:tcPr>
          <w:p w14:paraId="6FF7D0BB"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LnCEF</w:t>
            </w:r>
            <w:proofErr w:type="spellEnd"/>
          </w:p>
        </w:tc>
        <w:tc>
          <w:tcPr>
            <w:tcW w:w="1224" w:type="dxa"/>
          </w:tcPr>
          <w:p w14:paraId="110F9757"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-3.492</w:t>
            </w:r>
          </w:p>
        </w:tc>
        <w:tc>
          <w:tcPr>
            <w:tcW w:w="1469" w:type="dxa"/>
          </w:tcPr>
          <w:p w14:paraId="1E2D8C65"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546FC37A"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-7.431</w:t>
            </w:r>
          </w:p>
        </w:tc>
        <w:tc>
          <w:tcPr>
            <w:tcW w:w="1701" w:type="dxa"/>
          </w:tcPr>
          <w:p w14:paraId="5EAAEF6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5EAFBC61"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6A753FA2" w14:textId="77777777" w:rsidTr="00DE4E22">
        <w:tc>
          <w:tcPr>
            <w:tcW w:w="1271" w:type="dxa"/>
          </w:tcPr>
          <w:p w14:paraId="5E36670A"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LnFEF</w:t>
            </w:r>
            <w:proofErr w:type="spellEnd"/>
          </w:p>
        </w:tc>
        <w:tc>
          <w:tcPr>
            <w:tcW w:w="1224" w:type="dxa"/>
          </w:tcPr>
          <w:p w14:paraId="681BDA33"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-6.866</w:t>
            </w:r>
          </w:p>
        </w:tc>
        <w:tc>
          <w:tcPr>
            <w:tcW w:w="1469" w:type="dxa"/>
          </w:tcPr>
          <w:p w14:paraId="0F8EC221"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-2.946</w:t>
            </w:r>
          </w:p>
        </w:tc>
        <w:tc>
          <w:tcPr>
            <w:tcW w:w="1418" w:type="dxa"/>
          </w:tcPr>
          <w:p w14:paraId="72BA192B"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-1.489</w:t>
            </w:r>
          </w:p>
        </w:tc>
        <w:tc>
          <w:tcPr>
            <w:tcW w:w="1701" w:type="dxa"/>
          </w:tcPr>
          <w:p w14:paraId="686474C3"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7" w:type="dxa"/>
          </w:tcPr>
          <w:p w14:paraId="70E05DA4"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r w:rsidR="00FD5034" w:rsidRPr="003353A0" w14:paraId="208D1EFB" w14:textId="77777777" w:rsidTr="00DE4E22">
        <w:tc>
          <w:tcPr>
            <w:tcW w:w="1271" w:type="dxa"/>
          </w:tcPr>
          <w:p w14:paraId="2F1708C9" w14:textId="77777777" w:rsidR="00FD5034" w:rsidRPr="003353A0" w:rsidRDefault="00FD5034" w:rsidP="00DE4E22">
            <w:pPr>
              <w:jc w:val="both"/>
              <w:rPr>
                <w:rFonts w:ascii="Times New Roman" w:hAnsi="Times New Roman" w:cs="Times New Roman"/>
                <w:sz w:val="18"/>
                <w:szCs w:val="18"/>
              </w:rPr>
            </w:pPr>
            <w:proofErr w:type="spellStart"/>
            <w:r w:rsidRPr="003353A0">
              <w:rPr>
                <w:rFonts w:ascii="Times New Roman" w:hAnsi="Times New Roman" w:cs="Times New Roman"/>
                <w:sz w:val="18"/>
                <w:szCs w:val="18"/>
              </w:rPr>
              <w:t>LnELC</w:t>
            </w:r>
            <w:proofErr w:type="spellEnd"/>
          </w:p>
        </w:tc>
        <w:tc>
          <w:tcPr>
            <w:tcW w:w="1224" w:type="dxa"/>
          </w:tcPr>
          <w:p w14:paraId="21B8E62E"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-2.369</w:t>
            </w:r>
          </w:p>
        </w:tc>
        <w:tc>
          <w:tcPr>
            <w:tcW w:w="1469" w:type="dxa"/>
          </w:tcPr>
          <w:p w14:paraId="4D634069"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-3.537</w:t>
            </w:r>
          </w:p>
        </w:tc>
        <w:tc>
          <w:tcPr>
            <w:tcW w:w="1418" w:type="dxa"/>
          </w:tcPr>
          <w:p w14:paraId="73AAE3D8"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-8.402</w:t>
            </w:r>
          </w:p>
        </w:tc>
        <w:tc>
          <w:tcPr>
            <w:tcW w:w="1701" w:type="dxa"/>
          </w:tcPr>
          <w:p w14:paraId="7DF3BE4A" w14:textId="77777777" w:rsidR="00FD5034" w:rsidRPr="003353A0" w:rsidRDefault="00FD5034" w:rsidP="00DE4E22">
            <w:pPr>
              <w:jc w:val="both"/>
              <w:rPr>
                <w:rFonts w:ascii="Times New Roman" w:hAnsi="Times New Roman" w:cs="Times New Roman"/>
                <w:sz w:val="18"/>
                <w:szCs w:val="18"/>
              </w:rPr>
            </w:pPr>
            <w:r w:rsidRPr="003353A0">
              <w:rPr>
                <w:rFonts w:ascii="Times New Roman" w:hAnsi="Times New Roman" w:cs="Times New Roman"/>
                <w:sz w:val="18"/>
                <w:szCs w:val="18"/>
              </w:rPr>
              <w:t>-3.540</w:t>
            </w:r>
          </w:p>
        </w:tc>
        <w:tc>
          <w:tcPr>
            <w:tcW w:w="1417" w:type="dxa"/>
          </w:tcPr>
          <w:p w14:paraId="0AD82196" w14:textId="77777777" w:rsidR="00FD5034" w:rsidRPr="003353A0" w:rsidRDefault="00FD5034" w:rsidP="00DE4E22">
            <w:pPr>
              <w:jc w:val="both"/>
              <w:rPr>
                <w:rFonts w:ascii="Times New Roman" w:hAnsi="Times New Roman" w:cs="Times New Roman"/>
                <w:sz w:val="18"/>
                <w:szCs w:val="18"/>
              </w:rPr>
            </w:pPr>
            <w:proofErr w:type="gramStart"/>
            <w:r w:rsidRPr="003353A0">
              <w:rPr>
                <w:rFonts w:ascii="Times New Roman" w:hAnsi="Times New Roman" w:cs="Times New Roman"/>
                <w:sz w:val="18"/>
                <w:szCs w:val="18"/>
              </w:rPr>
              <w:t>I(</w:t>
            </w:r>
            <w:proofErr w:type="gramEnd"/>
            <w:r w:rsidRPr="003353A0">
              <w:rPr>
                <w:rFonts w:ascii="Times New Roman" w:hAnsi="Times New Roman" w:cs="Times New Roman"/>
                <w:sz w:val="18"/>
                <w:szCs w:val="18"/>
              </w:rPr>
              <w:t>1)</w:t>
            </w:r>
          </w:p>
        </w:tc>
      </w:tr>
    </w:tbl>
    <w:p w14:paraId="60EA5275" w14:textId="77777777" w:rsidR="00FD5034" w:rsidRPr="003353A0" w:rsidRDefault="00FD5034" w:rsidP="00FD5034">
      <w:pPr>
        <w:tabs>
          <w:tab w:val="left" w:pos="7710"/>
        </w:tabs>
        <w:spacing w:after="0" w:line="360" w:lineRule="auto"/>
        <w:jc w:val="both"/>
        <w:rPr>
          <w:rFonts w:ascii="Times New Roman" w:hAnsi="Times New Roman" w:cs="Times New Roman"/>
          <w:b/>
          <w:sz w:val="24"/>
          <w:szCs w:val="24"/>
        </w:rPr>
      </w:pPr>
      <w:r w:rsidRPr="003353A0">
        <w:rPr>
          <w:rFonts w:ascii="Times New Roman" w:hAnsi="Times New Roman" w:cs="Times New Roman"/>
          <w:b/>
          <w:sz w:val="24"/>
          <w:szCs w:val="24"/>
        </w:rPr>
        <w:t xml:space="preserve">Source: </w:t>
      </w:r>
      <w:proofErr w:type="spellStart"/>
      <w:r w:rsidRPr="003353A0">
        <w:rPr>
          <w:rFonts w:ascii="Times New Roman" w:hAnsi="Times New Roman" w:cs="Times New Roman"/>
          <w:b/>
          <w:sz w:val="24"/>
          <w:szCs w:val="24"/>
        </w:rPr>
        <w:t>Computat</w:t>
      </w:r>
      <w:r>
        <w:rPr>
          <w:rFonts w:ascii="Times New Roman" w:hAnsi="Times New Roman" w:cs="Times New Roman"/>
          <w:b/>
          <w:sz w:val="24"/>
          <w:szCs w:val="24"/>
        </w:rPr>
        <w:t>ed</w:t>
      </w:r>
      <w:proofErr w:type="spellEnd"/>
      <w:r w:rsidRPr="003353A0">
        <w:rPr>
          <w:rFonts w:ascii="Times New Roman" w:hAnsi="Times New Roman" w:cs="Times New Roman"/>
          <w:b/>
          <w:sz w:val="24"/>
          <w:szCs w:val="24"/>
        </w:rPr>
        <w:t xml:space="preserve"> using </w:t>
      </w:r>
      <w:proofErr w:type="spellStart"/>
      <w:r w:rsidRPr="003353A0">
        <w:rPr>
          <w:rFonts w:ascii="Times New Roman" w:hAnsi="Times New Roman" w:cs="Times New Roman"/>
          <w:b/>
          <w:sz w:val="24"/>
          <w:szCs w:val="24"/>
        </w:rPr>
        <w:t>Eviews</w:t>
      </w:r>
      <w:proofErr w:type="spellEnd"/>
      <w:r w:rsidRPr="003353A0">
        <w:rPr>
          <w:rFonts w:ascii="Times New Roman" w:hAnsi="Times New Roman" w:cs="Times New Roman"/>
          <w:b/>
          <w:sz w:val="24"/>
          <w:szCs w:val="24"/>
        </w:rPr>
        <w:t xml:space="preserve"> 1</w:t>
      </w:r>
      <w:r>
        <w:rPr>
          <w:rFonts w:ascii="Times New Roman" w:hAnsi="Times New Roman" w:cs="Times New Roman"/>
          <w:b/>
          <w:sz w:val="24"/>
          <w:szCs w:val="24"/>
        </w:rPr>
        <w:t>3</w:t>
      </w:r>
      <w:r w:rsidRPr="003353A0">
        <w:rPr>
          <w:rFonts w:ascii="Times New Roman" w:hAnsi="Times New Roman" w:cs="Times New Roman"/>
          <w:b/>
          <w:sz w:val="24"/>
          <w:szCs w:val="24"/>
        </w:rPr>
        <w:t>.</w:t>
      </w:r>
    </w:p>
    <w:p w14:paraId="186A3317" w14:textId="17E393D4" w:rsidR="00FD5034" w:rsidRPr="003353A0" w:rsidRDefault="00FD5034" w:rsidP="00FD5034">
      <w:pPr>
        <w:spacing w:line="276" w:lineRule="auto"/>
        <w:jc w:val="both"/>
        <w:rPr>
          <w:rFonts w:ascii="Times New Roman" w:hAnsi="Times New Roman"/>
          <w:sz w:val="24"/>
          <w:szCs w:val="24"/>
        </w:rPr>
      </w:pPr>
      <w:r w:rsidRPr="001B2C5A">
        <w:rPr>
          <w:rFonts w:ascii="Times New Roman" w:hAnsi="Times New Roman"/>
          <w:sz w:val="24"/>
          <w:szCs w:val="24"/>
        </w:rPr>
        <w:t xml:space="preserve">With the exception of the FEF variable, which seems to be stationary at the level, the ADF results in Table </w:t>
      </w:r>
      <w:r w:rsidR="009E19E4">
        <w:rPr>
          <w:rFonts w:ascii="Times New Roman" w:hAnsi="Times New Roman"/>
          <w:sz w:val="24"/>
          <w:szCs w:val="24"/>
        </w:rPr>
        <w:t>1</w:t>
      </w:r>
      <w:r w:rsidRPr="001B2C5A">
        <w:rPr>
          <w:rFonts w:ascii="Times New Roman" w:hAnsi="Times New Roman"/>
          <w:sz w:val="24"/>
          <w:szCs w:val="24"/>
        </w:rPr>
        <w:t xml:space="preserve"> show that the variables show stationarity at the first difference. </w:t>
      </w:r>
      <w:proofErr w:type="gramStart"/>
      <w:r w:rsidRPr="001B2C5A">
        <w:rPr>
          <w:rFonts w:ascii="Times New Roman" w:hAnsi="Times New Roman"/>
          <w:sz w:val="24"/>
          <w:szCs w:val="24"/>
        </w:rPr>
        <w:t>I(</w:t>
      </w:r>
      <w:proofErr w:type="gramEnd"/>
      <w:r w:rsidRPr="001B2C5A">
        <w:rPr>
          <w:rFonts w:ascii="Times New Roman" w:hAnsi="Times New Roman"/>
          <w:sz w:val="24"/>
          <w:szCs w:val="24"/>
        </w:rPr>
        <w:t>0) and I(1) series are present in both the explanatory and dependent variables. As a result, these variables have qualities that make them appropriate for the ARDL model, indicating that there may be a long-term relationship between them.</w:t>
      </w:r>
    </w:p>
    <w:p w14:paraId="3D36B200" w14:textId="48FD1D33" w:rsidR="00FD5034" w:rsidRPr="003353A0" w:rsidRDefault="00FD5034" w:rsidP="00FD5034">
      <w:pPr>
        <w:spacing w:line="276" w:lineRule="auto"/>
        <w:jc w:val="both"/>
        <w:rPr>
          <w:rFonts w:ascii="Times New Roman" w:hAnsi="Times New Roman"/>
          <w:b/>
          <w:bCs/>
          <w:sz w:val="24"/>
          <w:szCs w:val="24"/>
        </w:rPr>
      </w:pPr>
      <w:r>
        <w:rPr>
          <w:rFonts w:ascii="Times New Roman" w:hAnsi="Times New Roman"/>
          <w:b/>
          <w:bCs/>
          <w:sz w:val="24"/>
          <w:szCs w:val="24"/>
        </w:rPr>
        <w:t>3</w:t>
      </w:r>
      <w:r w:rsidRPr="003353A0">
        <w:rPr>
          <w:rFonts w:ascii="Times New Roman" w:hAnsi="Times New Roman"/>
          <w:b/>
          <w:bCs/>
          <w:sz w:val="24"/>
          <w:szCs w:val="24"/>
        </w:rPr>
        <w:t xml:space="preserve">.3 Optimal Lag Selection </w:t>
      </w:r>
    </w:p>
    <w:p w14:paraId="76579020" w14:textId="076F0963" w:rsidR="00FD5034" w:rsidRDefault="00FD5034" w:rsidP="00FD5034">
      <w:pPr>
        <w:spacing w:after="0" w:line="276" w:lineRule="auto"/>
        <w:jc w:val="both"/>
        <w:rPr>
          <w:rFonts w:ascii="Times New Roman" w:hAnsi="Times New Roman"/>
          <w:b/>
          <w:bCs/>
          <w:sz w:val="24"/>
          <w:szCs w:val="24"/>
        </w:rPr>
      </w:pPr>
      <w:r w:rsidRPr="003353A0">
        <w:rPr>
          <w:rFonts w:ascii="Times New Roman" w:hAnsi="Times New Roman"/>
          <w:b/>
          <w:bCs/>
          <w:sz w:val="24"/>
          <w:szCs w:val="24"/>
        </w:rPr>
        <w:t xml:space="preserve">Table </w:t>
      </w:r>
      <w:r w:rsidR="009E19E4">
        <w:rPr>
          <w:rFonts w:ascii="Times New Roman" w:hAnsi="Times New Roman"/>
          <w:b/>
          <w:bCs/>
          <w:sz w:val="24"/>
          <w:szCs w:val="24"/>
        </w:rPr>
        <w:t>2</w:t>
      </w:r>
      <w:r>
        <w:rPr>
          <w:rFonts w:ascii="Times New Roman" w:hAnsi="Times New Roman"/>
          <w:b/>
          <w:bCs/>
          <w:sz w:val="24"/>
          <w:szCs w:val="24"/>
        </w:rPr>
        <w:t>.</w:t>
      </w:r>
    </w:p>
    <w:p w14:paraId="18410B92" w14:textId="77777777" w:rsidR="00FD5034" w:rsidRPr="003353A0" w:rsidRDefault="00FD5034" w:rsidP="00FD5034">
      <w:pPr>
        <w:spacing w:after="0" w:line="276" w:lineRule="auto"/>
        <w:jc w:val="both"/>
        <w:rPr>
          <w:rFonts w:ascii="Times New Roman" w:hAnsi="Times New Roman"/>
          <w:b/>
          <w:bCs/>
          <w:sz w:val="24"/>
          <w:szCs w:val="24"/>
        </w:rPr>
      </w:pPr>
      <w:r w:rsidRPr="003353A0">
        <w:rPr>
          <w:rFonts w:ascii="Times New Roman" w:hAnsi="Times New Roman"/>
          <w:b/>
          <w:bCs/>
          <w:sz w:val="24"/>
          <w:szCs w:val="24"/>
        </w:rPr>
        <w:t>Selection Criteria</w:t>
      </w:r>
    </w:p>
    <w:p w14:paraId="1265A1E7" w14:textId="77777777" w:rsidR="00FD5034" w:rsidRPr="003353A0" w:rsidRDefault="00FD5034" w:rsidP="00FD5034">
      <w:pPr>
        <w:autoSpaceDE w:val="0"/>
        <w:autoSpaceDN w:val="0"/>
        <w:adjustRightInd w:val="0"/>
        <w:spacing w:after="0" w:line="276" w:lineRule="auto"/>
        <w:rPr>
          <w:rFonts w:ascii="Arial" w:hAnsi="Arial" w:cs="Arial"/>
          <w:sz w:val="18"/>
          <w:szCs w:val="18"/>
        </w:rPr>
      </w:pPr>
    </w:p>
    <w:tbl>
      <w:tblPr>
        <w:tblW w:w="0" w:type="auto"/>
        <w:tblInd w:w="30" w:type="dxa"/>
        <w:tblLayout w:type="fixed"/>
        <w:tblCellMar>
          <w:left w:w="0" w:type="dxa"/>
          <w:right w:w="0" w:type="dxa"/>
        </w:tblCellMar>
        <w:tblLook w:val="0000" w:firstRow="0" w:lastRow="0" w:firstColumn="0" w:lastColumn="0" w:noHBand="0" w:noVBand="0"/>
      </w:tblPr>
      <w:tblGrid>
        <w:gridCol w:w="862"/>
        <w:gridCol w:w="1103"/>
        <w:gridCol w:w="1102"/>
        <w:gridCol w:w="1103"/>
        <w:gridCol w:w="1102"/>
        <w:gridCol w:w="1103"/>
        <w:gridCol w:w="1102"/>
      </w:tblGrid>
      <w:tr w:rsidR="00FD5034" w:rsidRPr="003353A0" w14:paraId="3EF443A0" w14:textId="77777777" w:rsidTr="00DE4E22">
        <w:trPr>
          <w:trHeight w:hRule="exact" w:val="90"/>
        </w:trPr>
        <w:tc>
          <w:tcPr>
            <w:tcW w:w="862" w:type="dxa"/>
            <w:tcBorders>
              <w:top w:val="nil"/>
              <w:left w:val="nil"/>
              <w:bottom w:val="double" w:sz="6" w:space="2" w:color="auto"/>
              <w:right w:val="nil"/>
            </w:tcBorders>
            <w:vAlign w:val="bottom"/>
          </w:tcPr>
          <w:p w14:paraId="6000E7C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1DC93E8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4C70641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0EBD605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1224A43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22BDCDC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668CB47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70099FBC" w14:textId="77777777" w:rsidTr="00DE4E22">
        <w:trPr>
          <w:trHeight w:hRule="exact" w:val="135"/>
        </w:trPr>
        <w:tc>
          <w:tcPr>
            <w:tcW w:w="862" w:type="dxa"/>
            <w:tcBorders>
              <w:top w:val="nil"/>
              <w:left w:val="nil"/>
              <w:bottom w:val="nil"/>
              <w:right w:val="nil"/>
            </w:tcBorders>
            <w:vAlign w:val="bottom"/>
          </w:tcPr>
          <w:p w14:paraId="3BD3176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2C35D92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28D8AE5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1BA5458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2E68300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E07E91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4086020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9055192" w14:textId="77777777" w:rsidTr="00DE4E22">
        <w:trPr>
          <w:trHeight w:val="225"/>
        </w:trPr>
        <w:tc>
          <w:tcPr>
            <w:tcW w:w="862" w:type="dxa"/>
            <w:tcBorders>
              <w:top w:val="nil"/>
              <w:left w:val="nil"/>
              <w:bottom w:val="nil"/>
              <w:right w:val="nil"/>
            </w:tcBorders>
            <w:vAlign w:val="bottom"/>
          </w:tcPr>
          <w:p w14:paraId="3C41E88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Lag</w:t>
            </w:r>
          </w:p>
        </w:tc>
        <w:tc>
          <w:tcPr>
            <w:tcW w:w="1103" w:type="dxa"/>
            <w:tcBorders>
              <w:top w:val="nil"/>
              <w:left w:val="nil"/>
              <w:bottom w:val="nil"/>
              <w:right w:val="nil"/>
            </w:tcBorders>
            <w:vAlign w:val="bottom"/>
          </w:tcPr>
          <w:p w14:paraId="47827F5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LogL</w:t>
            </w:r>
          </w:p>
        </w:tc>
        <w:tc>
          <w:tcPr>
            <w:tcW w:w="1102" w:type="dxa"/>
            <w:tcBorders>
              <w:top w:val="nil"/>
              <w:left w:val="nil"/>
              <w:bottom w:val="nil"/>
              <w:right w:val="nil"/>
            </w:tcBorders>
            <w:vAlign w:val="bottom"/>
          </w:tcPr>
          <w:p w14:paraId="745C604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LR</w:t>
            </w:r>
          </w:p>
        </w:tc>
        <w:tc>
          <w:tcPr>
            <w:tcW w:w="1103" w:type="dxa"/>
            <w:tcBorders>
              <w:top w:val="nil"/>
              <w:left w:val="nil"/>
              <w:bottom w:val="nil"/>
              <w:right w:val="nil"/>
            </w:tcBorders>
            <w:vAlign w:val="bottom"/>
          </w:tcPr>
          <w:p w14:paraId="16E69A0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FPE</w:t>
            </w:r>
          </w:p>
        </w:tc>
        <w:tc>
          <w:tcPr>
            <w:tcW w:w="1102" w:type="dxa"/>
            <w:tcBorders>
              <w:top w:val="nil"/>
              <w:left w:val="nil"/>
              <w:bottom w:val="nil"/>
              <w:right w:val="nil"/>
            </w:tcBorders>
            <w:vAlign w:val="bottom"/>
          </w:tcPr>
          <w:p w14:paraId="27AFB95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AIC</w:t>
            </w:r>
          </w:p>
        </w:tc>
        <w:tc>
          <w:tcPr>
            <w:tcW w:w="1103" w:type="dxa"/>
            <w:tcBorders>
              <w:top w:val="nil"/>
              <w:left w:val="nil"/>
              <w:bottom w:val="nil"/>
              <w:right w:val="nil"/>
            </w:tcBorders>
            <w:vAlign w:val="bottom"/>
          </w:tcPr>
          <w:p w14:paraId="1B66EED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SC</w:t>
            </w:r>
          </w:p>
        </w:tc>
        <w:tc>
          <w:tcPr>
            <w:tcW w:w="1102" w:type="dxa"/>
            <w:tcBorders>
              <w:top w:val="nil"/>
              <w:left w:val="nil"/>
              <w:bottom w:val="nil"/>
              <w:right w:val="nil"/>
            </w:tcBorders>
            <w:vAlign w:val="bottom"/>
          </w:tcPr>
          <w:p w14:paraId="56E48D1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HQ</w:t>
            </w:r>
          </w:p>
        </w:tc>
      </w:tr>
      <w:tr w:rsidR="00FD5034" w:rsidRPr="003353A0" w14:paraId="1D413E2B" w14:textId="77777777" w:rsidTr="00DE4E22">
        <w:trPr>
          <w:trHeight w:hRule="exact" w:val="90"/>
        </w:trPr>
        <w:tc>
          <w:tcPr>
            <w:tcW w:w="862" w:type="dxa"/>
            <w:tcBorders>
              <w:top w:val="nil"/>
              <w:left w:val="nil"/>
              <w:bottom w:val="double" w:sz="6" w:space="2" w:color="auto"/>
              <w:right w:val="nil"/>
            </w:tcBorders>
            <w:vAlign w:val="bottom"/>
          </w:tcPr>
          <w:p w14:paraId="7C1719F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1D4B0C7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632A09D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5EC9854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740AE9C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61B67FB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2" w:color="auto"/>
              <w:right w:val="nil"/>
            </w:tcBorders>
            <w:vAlign w:val="bottom"/>
          </w:tcPr>
          <w:p w14:paraId="314E207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F6A139D" w14:textId="77777777" w:rsidTr="00DE4E22">
        <w:trPr>
          <w:trHeight w:hRule="exact" w:val="135"/>
        </w:trPr>
        <w:tc>
          <w:tcPr>
            <w:tcW w:w="862" w:type="dxa"/>
            <w:tcBorders>
              <w:top w:val="nil"/>
              <w:left w:val="nil"/>
              <w:bottom w:val="nil"/>
              <w:right w:val="nil"/>
            </w:tcBorders>
            <w:vAlign w:val="bottom"/>
          </w:tcPr>
          <w:p w14:paraId="6AFABA8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2FD2D5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46468DF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1BC1A4D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6EDE5B1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35A8DE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2401AD8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921CA6A" w14:textId="77777777" w:rsidTr="00DE4E22">
        <w:trPr>
          <w:trHeight w:val="225"/>
        </w:trPr>
        <w:tc>
          <w:tcPr>
            <w:tcW w:w="862" w:type="dxa"/>
            <w:tcBorders>
              <w:top w:val="nil"/>
              <w:left w:val="nil"/>
              <w:bottom w:val="nil"/>
              <w:right w:val="nil"/>
            </w:tcBorders>
            <w:vAlign w:val="bottom"/>
          </w:tcPr>
          <w:p w14:paraId="537F618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0</w:t>
            </w:r>
          </w:p>
        </w:tc>
        <w:tc>
          <w:tcPr>
            <w:tcW w:w="1103" w:type="dxa"/>
            <w:tcBorders>
              <w:top w:val="nil"/>
              <w:left w:val="nil"/>
              <w:bottom w:val="nil"/>
              <w:right w:val="nil"/>
            </w:tcBorders>
            <w:vAlign w:val="bottom"/>
          </w:tcPr>
          <w:p w14:paraId="58CC41E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-233.035</w:t>
            </w:r>
          </w:p>
        </w:tc>
        <w:tc>
          <w:tcPr>
            <w:tcW w:w="1102" w:type="dxa"/>
            <w:tcBorders>
              <w:top w:val="nil"/>
              <w:left w:val="nil"/>
              <w:bottom w:val="nil"/>
              <w:right w:val="nil"/>
            </w:tcBorders>
            <w:vAlign w:val="bottom"/>
          </w:tcPr>
          <w:p w14:paraId="2F08B23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NA </w:t>
            </w:r>
          </w:p>
        </w:tc>
        <w:tc>
          <w:tcPr>
            <w:tcW w:w="1103" w:type="dxa"/>
            <w:tcBorders>
              <w:top w:val="nil"/>
              <w:left w:val="nil"/>
              <w:bottom w:val="nil"/>
              <w:right w:val="nil"/>
            </w:tcBorders>
            <w:vAlign w:val="bottom"/>
          </w:tcPr>
          <w:p w14:paraId="7BAA323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0.024</w:t>
            </w:r>
          </w:p>
        </w:tc>
        <w:tc>
          <w:tcPr>
            <w:tcW w:w="1102" w:type="dxa"/>
            <w:tcBorders>
              <w:top w:val="nil"/>
              <w:left w:val="nil"/>
              <w:bottom w:val="nil"/>
              <w:right w:val="nil"/>
            </w:tcBorders>
            <w:vAlign w:val="bottom"/>
          </w:tcPr>
          <w:p w14:paraId="4B5524F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13.280</w:t>
            </w:r>
          </w:p>
        </w:tc>
        <w:tc>
          <w:tcPr>
            <w:tcW w:w="1103" w:type="dxa"/>
            <w:tcBorders>
              <w:top w:val="nil"/>
              <w:left w:val="nil"/>
              <w:bottom w:val="nil"/>
              <w:right w:val="nil"/>
            </w:tcBorders>
            <w:vAlign w:val="bottom"/>
          </w:tcPr>
          <w:p w14:paraId="1C7838E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13.544</w:t>
            </w:r>
          </w:p>
        </w:tc>
        <w:tc>
          <w:tcPr>
            <w:tcW w:w="1102" w:type="dxa"/>
            <w:tcBorders>
              <w:top w:val="nil"/>
              <w:left w:val="nil"/>
              <w:bottom w:val="nil"/>
              <w:right w:val="nil"/>
            </w:tcBorders>
            <w:vAlign w:val="bottom"/>
          </w:tcPr>
          <w:p w14:paraId="4B2BC49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13.372</w:t>
            </w:r>
          </w:p>
        </w:tc>
      </w:tr>
      <w:tr w:rsidR="00FD5034" w:rsidRPr="003353A0" w14:paraId="61948196" w14:textId="77777777" w:rsidTr="00DE4E22">
        <w:trPr>
          <w:trHeight w:val="225"/>
        </w:trPr>
        <w:tc>
          <w:tcPr>
            <w:tcW w:w="862" w:type="dxa"/>
            <w:tcBorders>
              <w:top w:val="nil"/>
              <w:left w:val="nil"/>
              <w:bottom w:val="nil"/>
              <w:right w:val="nil"/>
            </w:tcBorders>
            <w:vAlign w:val="bottom"/>
          </w:tcPr>
          <w:p w14:paraId="505F447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1</w:t>
            </w:r>
          </w:p>
        </w:tc>
        <w:tc>
          <w:tcPr>
            <w:tcW w:w="1103" w:type="dxa"/>
            <w:tcBorders>
              <w:top w:val="nil"/>
              <w:left w:val="nil"/>
              <w:bottom w:val="nil"/>
              <w:right w:val="nil"/>
            </w:tcBorders>
            <w:vAlign w:val="bottom"/>
          </w:tcPr>
          <w:p w14:paraId="71D32C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-78.306</w:t>
            </w:r>
          </w:p>
        </w:tc>
        <w:tc>
          <w:tcPr>
            <w:tcW w:w="1102" w:type="dxa"/>
            <w:tcBorders>
              <w:top w:val="nil"/>
              <w:left w:val="nil"/>
              <w:bottom w:val="nil"/>
              <w:right w:val="nil"/>
            </w:tcBorders>
            <w:vAlign w:val="bottom"/>
          </w:tcPr>
          <w:p w14:paraId="4D52A01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249.285*</w:t>
            </w:r>
          </w:p>
        </w:tc>
        <w:tc>
          <w:tcPr>
            <w:tcW w:w="1103" w:type="dxa"/>
            <w:tcBorders>
              <w:top w:val="nil"/>
              <w:left w:val="nil"/>
              <w:bottom w:val="nil"/>
              <w:right w:val="nil"/>
            </w:tcBorders>
            <w:vAlign w:val="bottom"/>
          </w:tcPr>
          <w:p w14:paraId="75D4D2B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3.32e-05*</w:t>
            </w:r>
          </w:p>
        </w:tc>
        <w:tc>
          <w:tcPr>
            <w:tcW w:w="1102" w:type="dxa"/>
            <w:tcBorders>
              <w:top w:val="nil"/>
              <w:left w:val="nil"/>
              <w:bottom w:val="nil"/>
              <w:right w:val="nil"/>
            </w:tcBorders>
            <w:vAlign w:val="bottom"/>
          </w:tcPr>
          <w:p w14:paraId="00A3DAE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6.684*</w:t>
            </w:r>
          </w:p>
        </w:tc>
        <w:tc>
          <w:tcPr>
            <w:tcW w:w="1103" w:type="dxa"/>
            <w:tcBorders>
              <w:top w:val="nil"/>
              <w:left w:val="nil"/>
              <w:bottom w:val="nil"/>
              <w:right w:val="nil"/>
            </w:tcBorders>
            <w:vAlign w:val="bottom"/>
          </w:tcPr>
          <w:p w14:paraId="291244B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8.531*</w:t>
            </w:r>
          </w:p>
        </w:tc>
        <w:tc>
          <w:tcPr>
            <w:tcW w:w="1102" w:type="dxa"/>
            <w:tcBorders>
              <w:top w:val="nil"/>
              <w:left w:val="nil"/>
              <w:bottom w:val="nil"/>
              <w:right w:val="nil"/>
            </w:tcBorders>
            <w:vAlign w:val="bottom"/>
          </w:tcPr>
          <w:p w14:paraId="3CE2BDB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7.328*</w:t>
            </w:r>
          </w:p>
        </w:tc>
      </w:tr>
      <w:tr w:rsidR="00FD5034" w:rsidRPr="003353A0" w14:paraId="1E3BB2B0" w14:textId="77777777" w:rsidTr="00DE4E22">
        <w:trPr>
          <w:trHeight w:val="225"/>
        </w:trPr>
        <w:tc>
          <w:tcPr>
            <w:tcW w:w="862" w:type="dxa"/>
            <w:tcBorders>
              <w:top w:val="nil"/>
              <w:left w:val="nil"/>
              <w:bottom w:val="nil"/>
              <w:right w:val="nil"/>
            </w:tcBorders>
            <w:vAlign w:val="bottom"/>
          </w:tcPr>
          <w:p w14:paraId="193C3BE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2</w:t>
            </w:r>
          </w:p>
        </w:tc>
        <w:tc>
          <w:tcPr>
            <w:tcW w:w="1103" w:type="dxa"/>
            <w:tcBorders>
              <w:top w:val="nil"/>
              <w:left w:val="nil"/>
              <w:bottom w:val="nil"/>
              <w:right w:val="nil"/>
            </w:tcBorders>
            <w:vAlign w:val="bottom"/>
          </w:tcPr>
          <w:p w14:paraId="36D2A95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-44.397</w:t>
            </w:r>
          </w:p>
        </w:tc>
        <w:tc>
          <w:tcPr>
            <w:tcW w:w="1102" w:type="dxa"/>
            <w:tcBorders>
              <w:top w:val="nil"/>
              <w:left w:val="nil"/>
              <w:bottom w:val="nil"/>
              <w:right w:val="nil"/>
            </w:tcBorders>
            <w:vAlign w:val="bottom"/>
          </w:tcPr>
          <w:p w14:paraId="4AB65C3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43.329</w:t>
            </w:r>
          </w:p>
        </w:tc>
        <w:tc>
          <w:tcPr>
            <w:tcW w:w="1103" w:type="dxa"/>
            <w:tcBorders>
              <w:top w:val="nil"/>
              <w:left w:val="nil"/>
              <w:bottom w:val="nil"/>
              <w:right w:val="nil"/>
            </w:tcBorders>
            <w:vAlign w:val="bottom"/>
          </w:tcPr>
          <w:p w14:paraId="50FBC6D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4.44e-05</w:t>
            </w:r>
          </w:p>
        </w:tc>
        <w:tc>
          <w:tcPr>
            <w:tcW w:w="1102" w:type="dxa"/>
            <w:tcBorders>
              <w:top w:val="nil"/>
              <w:left w:val="nil"/>
              <w:bottom w:val="nil"/>
              <w:right w:val="nil"/>
            </w:tcBorders>
            <w:vAlign w:val="bottom"/>
          </w:tcPr>
          <w:p w14:paraId="6608671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6.800</w:t>
            </w:r>
          </w:p>
        </w:tc>
        <w:tc>
          <w:tcPr>
            <w:tcW w:w="1103" w:type="dxa"/>
            <w:tcBorders>
              <w:top w:val="nil"/>
              <w:left w:val="nil"/>
              <w:bottom w:val="nil"/>
              <w:right w:val="nil"/>
            </w:tcBorders>
            <w:vAlign w:val="bottom"/>
          </w:tcPr>
          <w:p w14:paraId="6B68E68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10.231</w:t>
            </w:r>
          </w:p>
        </w:tc>
        <w:tc>
          <w:tcPr>
            <w:tcW w:w="1102" w:type="dxa"/>
            <w:tcBorders>
              <w:top w:val="nil"/>
              <w:left w:val="nil"/>
              <w:bottom w:val="nil"/>
              <w:right w:val="nil"/>
            </w:tcBorders>
            <w:vAlign w:val="bottom"/>
          </w:tcPr>
          <w:p w14:paraId="325FBF5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7.997</w:t>
            </w:r>
          </w:p>
        </w:tc>
      </w:tr>
      <w:tr w:rsidR="00FD5034" w:rsidRPr="003353A0" w14:paraId="35D15BC9" w14:textId="77777777" w:rsidTr="00DE4E22">
        <w:trPr>
          <w:trHeight w:hRule="exact" w:val="90"/>
        </w:trPr>
        <w:tc>
          <w:tcPr>
            <w:tcW w:w="862" w:type="dxa"/>
            <w:tcBorders>
              <w:top w:val="nil"/>
              <w:left w:val="nil"/>
              <w:bottom w:val="double" w:sz="6" w:space="0" w:color="auto"/>
              <w:right w:val="nil"/>
            </w:tcBorders>
            <w:vAlign w:val="bottom"/>
          </w:tcPr>
          <w:p w14:paraId="7342D4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65D055F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0" w:color="auto"/>
              <w:right w:val="nil"/>
            </w:tcBorders>
            <w:vAlign w:val="bottom"/>
          </w:tcPr>
          <w:p w14:paraId="047FDC0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38298BF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0" w:color="auto"/>
              <w:right w:val="nil"/>
            </w:tcBorders>
            <w:vAlign w:val="bottom"/>
          </w:tcPr>
          <w:p w14:paraId="2CEBEAE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71A0A8F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double" w:sz="6" w:space="0" w:color="auto"/>
              <w:right w:val="nil"/>
            </w:tcBorders>
            <w:vAlign w:val="bottom"/>
          </w:tcPr>
          <w:p w14:paraId="3B7FEDC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DE85710" w14:textId="77777777" w:rsidTr="00DE4E22">
        <w:trPr>
          <w:trHeight w:hRule="exact" w:val="135"/>
        </w:trPr>
        <w:tc>
          <w:tcPr>
            <w:tcW w:w="862" w:type="dxa"/>
            <w:tcBorders>
              <w:top w:val="nil"/>
              <w:left w:val="nil"/>
              <w:bottom w:val="nil"/>
              <w:right w:val="nil"/>
            </w:tcBorders>
            <w:vAlign w:val="bottom"/>
          </w:tcPr>
          <w:p w14:paraId="3BBAF0D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0DB6DC4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3B2E28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74C814A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3ACCF70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42D8F6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2" w:type="dxa"/>
            <w:tcBorders>
              <w:top w:val="nil"/>
              <w:left w:val="nil"/>
              <w:bottom w:val="nil"/>
              <w:right w:val="nil"/>
            </w:tcBorders>
            <w:vAlign w:val="bottom"/>
          </w:tcPr>
          <w:p w14:paraId="42E31D5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bl>
    <w:p w14:paraId="7560C1D9" w14:textId="77777777" w:rsidR="00FD5034" w:rsidRPr="003353A0" w:rsidRDefault="00FD5034" w:rsidP="00FD5034">
      <w:pPr>
        <w:autoSpaceDE w:val="0"/>
        <w:autoSpaceDN w:val="0"/>
        <w:adjustRightInd w:val="0"/>
        <w:spacing w:line="276" w:lineRule="auto"/>
        <w:jc w:val="both"/>
        <w:rPr>
          <w:rFonts w:ascii="Times New Roman" w:hAnsi="Times New Roman"/>
          <w:b/>
          <w:sz w:val="24"/>
          <w:szCs w:val="24"/>
        </w:rPr>
      </w:pPr>
      <w:r w:rsidRPr="003353A0">
        <w:rPr>
          <w:rFonts w:ascii="Times New Roman" w:hAnsi="Times New Roman"/>
          <w:b/>
          <w:i/>
          <w:sz w:val="24"/>
          <w:szCs w:val="24"/>
          <w:lang w:eastAsia="zh-CN"/>
        </w:rPr>
        <w:t xml:space="preserve">Source: </w:t>
      </w:r>
      <w:r w:rsidRPr="003353A0">
        <w:rPr>
          <w:rFonts w:ascii="Times New Roman" w:hAnsi="Times New Roman"/>
          <w:b/>
          <w:sz w:val="24"/>
          <w:szCs w:val="24"/>
        </w:rPr>
        <w:t>Comput</w:t>
      </w:r>
      <w:r>
        <w:rPr>
          <w:rFonts w:ascii="Times New Roman" w:hAnsi="Times New Roman"/>
          <w:b/>
          <w:sz w:val="24"/>
          <w:szCs w:val="24"/>
        </w:rPr>
        <w:t>ed</w:t>
      </w:r>
      <w:r w:rsidRPr="003353A0">
        <w:rPr>
          <w:rFonts w:ascii="Times New Roman" w:hAnsi="Times New Roman"/>
          <w:b/>
          <w:sz w:val="24"/>
          <w:szCs w:val="24"/>
        </w:rPr>
        <w:t xml:space="preserve"> Using </w:t>
      </w:r>
      <w:proofErr w:type="spellStart"/>
      <w:r w:rsidRPr="003353A0">
        <w:rPr>
          <w:rFonts w:ascii="Times New Roman" w:hAnsi="Times New Roman"/>
          <w:b/>
          <w:sz w:val="24"/>
          <w:szCs w:val="24"/>
        </w:rPr>
        <w:t>Eviews</w:t>
      </w:r>
      <w:proofErr w:type="spellEnd"/>
      <w:r w:rsidRPr="003353A0">
        <w:rPr>
          <w:rFonts w:ascii="Times New Roman" w:hAnsi="Times New Roman"/>
          <w:b/>
          <w:sz w:val="24"/>
          <w:szCs w:val="24"/>
        </w:rPr>
        <w:t xml:space="preserve"> 1</w:t>
      </w:r>
      <w:r>
        <w:rPr>
          <w:rFonts w:ascii="Times New Roman" w:hAnsi="Times New Roman"/>
          <w:b/>
          <w:sz w:val="24"/>
          <w:szCs w:val="24"/>
        </w:rPr>
        <w:t>3</w:t>
      </w:r>
      <w:r w:rsidRPr="003353A0">
        <w:rPr>
          <w:rFonts w:ascii="Times New Roman" w:hAnsi="Times New Roman"/>
          <w:b/>
          <w:sz w:val="24"/>
          <w:szCs w:val="24"/>
        </w:rPr>
        <w:t>.</w:t>
      </w:r>
    </w:p>
    <w:p w14:paraId="1BF99526" w14:textId="1213AD8B" w:rsidR="00FD5034" w:rsidRPr="003353A0" w:rsidRDefault="00FD5034" w:rsidP="00FD5034">
      <w:pPr>
        <w:spacing w:line="276"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Table </w:t>
      </w:r>
      <w:r w:rsidR="009E19E4">
        <w:rPr>
          <w:rFonts w:ascii="Times New Roman" w:hAnsi="Times New Roman" w:cs="Times New Roman"/>
          <w:sz w:val="24"/>
          <w:szCs w:val="24"/>
        </w:rPr>
        <w:t>2</w:t>
      </w:r>
      <w:r w:rsidRPr="003353A0">
        <w:rPr>
          <w:rFonts w:ascii="Times New Roman" w:hAnsi="Times New Roman" w:cs="Times New Roman"/>
          <w:sz w:val="24"/>
          <w:szCs w:val="24"/>
        </w:rPr>
        <w:t xml:space="preserve"> shows different criteria from which a lag length of our model variables was selected. All four criteria: FPE, AIC, HQIC, and SBIC indicate the selection of a maximum of four (1) lags in our model as shown by the asterisk (</w:t>
      </w:r>
      <w:proofErr w:type="gramStart"/>
      <w:r w:rsidRPr="003353A0">
        <w:rPr>
          <w:rFonts w:ascii="Times New Roman" w:hAnsi="Times New Roman" w:cs="Times New Roman"/>
          <w:sz w:val="24"/>
          <w:szCs w:val="24"/>
        </w:rPr>
        <w:t>* )</w:t>
      </w:r>
      <w:proofErr w:type="gramEnd"/>
      <w:r w:rsidRPr="003353A0">
        <w:rPr>
          <w:rFonts w:ascii="Times New Roman" w:hAnsi="Times New Roman" w:cs="Times New Roman"/>
          <w:sz w:val="24"/>
          <w:szCs w:val="24"/>
        </w:rPr>
        <w:t xml:space="preserve"> along the fourth lag. The </w:t>
      </w:r>
      <w:proofErr w:type="gramStart"/>
      <w:r w:rsidRPr="003353A0">
        <w:rPr>
          <w:rFonts w:ascii="Times New Roman" w:hAnsi="Times New Roman" w:cs="Times New Roman"/>
          <w:sz w:val="24"/>
          <w:szCs w:val="24"/>
        </w:rPr>
        <w:t>AIC  was</w:t>
      </w:r>
      <w:proofErr w:type="gramEnd"/>
      <w:r w:rsidRPr="003353A0">
        <w:rPr>
          <w:rFonts w:ascii="Times New Roman" w:hAnsi="Times New Roman" w:cs="Times New Roman"/>
          <w:sz w:val="24"/>
          <w:szCs w:val="24"/>
        </w:rPr>
        <w:t xml:space="preserve"> selected to estimate the ARDL model.</w:t>
      </w:r>
    </w:p>
    <w:p w14:paraId="50DB9B42" w14:textId="4BD2D96A" w:rsidR="00FD5034" w:rsidRPr="003353A0" w:rsidRDefault="00FD5034" w:rsidP="00FD503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.4. ARDL Result</w:t>
      </w:r>
    </w:p>
    <w:p w14:paraId="13E0259F" w14:textId="54E2D618" w:rsidR="00FD5034" w:rsidRPr="003353A0" w:rsidRDefault="00FD5034" w:rsidP="00FD503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3353A0">
        <w:rPr>
          <w:rFonts w:ascii="Times New Roman" w:hAnsi="Times New Roman" w:cs="Times New Roman"/>
          <w:b/>
          <w:bCs/>
          <w:sz w:val="24"/>
          <w:szCs w:val="24"/>
        </w:rPr>
        <w:t>.4 ARDL Bounds Test</w:t>
      </w:r>
    </w:p>
    <w:p w14:paraId="190FF4CB" w14:textId="3DA9CA34" w:rsidR="00FD5034" w:rsidRDefault="00FD5034" w:rsidP="00FD5034">
      <w:pPr>
        <w:spacing w:after="0" w:line="276" w:lineRule="auto"/>
        <w:jc w:val="both"/>
        <w:rPr>
          <w:rFonts w:ascii="Times New Roman" w:hAnsi="Times New Roman" w:cs="Times New Roman"/>
          <w:sz w:val="24"/>
          <w:szCs w:val="24"/>
        </w:rPr>
      </w:pPr>
      <w:r w:rsidRPr="001B2C5A">
        <w:rPr>
          <w:rFonts w:ascii="Times New Roman" w:hAnsi="Times New Roman" w:cs="Times New Roman"/>
          <w:sz w:val="24"/>
          <w:szCs w:val="24"/>
        </w:rPr>
        <w:t xml:space="preserve">The possibility of the variable deviating from the long-run equilibrium is revealed by estimating the ARDL model in their initial difference. Thus, the ARDL Bounds test for cointegration was required to determine whether a long-term link between variables would exist. Table </w:t>
      </w:r>
      <w:r w:rsidR="009E19E4">
        <w:rPr>
          <w:rFonts w:ascii="Times New Roman" w:hAnsi="Times New Roman" w:cs="Times New Roman"/>
          <w:sz w:val="24"/>
          <w:szCs w:val="24"/>
        </w:rPr>
        <w:t>3</w:t>
      </w:r>
      <w:r w:rsidRPr="001B2C5A">
        <w:rPr>
          <w:rFonts w:ascii="Times New Roman" w:hAnsi="Times New Roman" w:cs="Times New Roman"/>
          <w:sz w:val="24"/>
          <w:szCs w:val="24"/>
        </w:rPr>
        <w:t xml:space="preserve"> presents the outcome.</w:t>
      </w:r>
    </w:p>
    <w:p w14:paraId="142ED3C9" w14:textId="77777777" w:rsidR="00FD5034" w:rsidRDefault="00FD5034" w:rsidP="00FD5034">
      <w:pPr>
        <w:spacing w:after="0" w:line="276" w:lineRule="auto"/>
        <w:jc w:val="both"/>
        <w:rPr>
          <w:rFonts w:ascii="Times New Roman" w:hAnsi="Times New Roman" w:cs="Times New Roman"/>
          <w:sz w:val="24"/>
          <w:szCs w:val="24"/>
        </w:rPr>
      </w:pPr>
    </w:p>
    <w:p w14:paraId="637F76CC" w14:textId="7D1B9DF9"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Table </w:t>
      </w:r>
      <w:r w:rsidR="009E19E4">
        <w:rPr>
          <w:rFonts w:ascii="Times New Roman" w:hAnsi="Times New Roman" w:cs="Times New Roman"/>
          <w:b/>
          <w:bCs/>
          <w:sz w:val="24"/>
          <w:szCs w:val="24"/>
        </w:rPr>
        <w:t>3</w:t>
      </w:r>
      <w:r w:rsidRPr="003353A0">
        <w:rPr>
          <w:rFonts w:ascii="Times New Roman" w:hAnsi="Times New Roman" w:cs="Times New Roman"/>
          <w:b/>
          <w:bCs/>
          <w:sz w:val="24"/>
          <w:szCs w:val="24"/>
        </w:rPr>
        <w:t>.</w:t>
      </w:r>
    </w:p>
    <w:p w14:paraId="2BFD5377" w14:textId="77777777"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ARDL Bounds Test</w:t>
      </w:r>
      <w:r>
        <w:rPr>
          <w:rFonts w:ascii="Times New Roman" w:hAnsi="Times New Roman" w:cs="Times New Roman"/>
          <w:b/>
          <w:bCs/>
          <w:sz w:val="24"/>
          <w:szCs w:val="24"/>
        </w:rPr>
        <w:t>.</w:t>
      </w:r>
    </w:p>
    <w:tbl>
      <w:tblPr>
        <w:tblW w:w="0" w:type="auto"/>
        <w:tblInd w:w="30" w:type="dxa"/>
        <w:tblLayout w:type="fixed"/>
        <w:tblCellMar>
          <w:left w:w="0" w:type="dxa"/>
          <w:right w:w="0" w:type="dxa"/>
        </w:tblCellMar>
        <w:tblLook w:val="0000" w:firstRow="0" w:lastRow="0" w:firstColumn="0" w:lastColumn="0" w:noHBand="0" w:noVBand="0"/>
      </w:tblPr>
      <w:tblGrid>
        <w:gridCol w:w="2227"/>
        <w:gridCol w:w="1103"/>
        <w:gridCol w:w="1207"/>
        <w:gridCol w:w="1208"/>
        <w:gridCol w:w="997"/>
      </w:tblGrid>
      <w:tr w:rsidR="00FD5034" w:rsidRPr="003353A0" w14:paraId="0E0A4F1A" w14:textId="77777777" w:rsidTr="00DE4E22">
        <w:trPr>
          <w:trHeight w:val="225"/>
        </w:trPr>
        <w:tc>
          <w:tcPr>
            <w:tcW w:w="3330" w:type="dxa"/>
            <w:gridSpan w:val="2"/>
            <w:tcBorders>
              <w:top w:val="nil"/>
              <w:left w:val="nil"/>
              <w:bottom w:val="nil"/>
              <w:right w:val="nil"/>
            </w:tcBorders>
            <w:vAlign w:val="bottom"/>
          </w:tcPr>
          <w:p w14:paraId="3077D087"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F-Bounds Test</w:t>
            </w:r>
          </w:p>
        </w:tc>
        <w:tc>
          <w:tcPr>
            <w:tcW w:w="3412" w:type="dxa"/>
            <w:gridSpan w:val="3"/>
            <w:tcBorders>
              <w:top w:val="nil"/>
              <w:left w:val="nil"/>
              <w:bottom w:val="nil"/>
              <w:right w:val="nil"/>
            </w:tcBorders>
            <w:vAlign w:val="bottom"/>
          </w:tcPr>
          <w:p w14:paraId="7F878BC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Null Hypothesis: No levels relationship</w:t>
            </w:r>
          </w:p>
        </w:tc>
      </w:tr>
      <w:tr w:rsidR="00FD5034" w:rsidRPr="003353A0" w14:paraId="4C1BD581" w14:textId="77777777" w:rsidTr="00DE4E22">
        <w:trPr>
          <w:trHeight w:hRule="exact" w:val="90"/>
        </w:trPr>
        <w:tc>
          <w:tcPr>
            <w:tcW w:w="2227" w:type="dxa"/>
            <w:tcBorders>
              <w:top w:val="nil"/>
              <w:left w:val="nil"/>
              <w:bottom w:val="double" w:sz="6" w:space="2" w:color="auto"/>
              <w:right w:val="nil"/>
            </w:tcBorders>
            <w:vAlign w:val="bottom"/>
          </w:tcPr>
          <w:p w14:paraId="3C894B0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7A0FEFF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50756E7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441C54D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0DF005D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B4B8652" w14:textId="77777777" w:rsidTr="00DE4E22">
        <w:trPr>
          <w:trHeight w:hRule="exact" w:val="135"/>
        </w:trPr>
        <w:tc>
          <w:tcPr>
            <w:tcW w:w="2227" w:type="dxa"/>
            <w:tcBorders>
              <w:top w:val="nil"/>
              <w:left w:val="nil"/>
              <w:bottom w:val="nil"/>
              <w:right w:val="nil"/>
            </w:tcBorders>
            <w:vAlign w:val="bottom"/>
          </w:tcPr>
          <w:p w14:paraId="62DA80A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7385F80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758A21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4F27B15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40CBF38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3A21FE3" w14:textId="77777777" w:rsidTr="00DE4E22">
        <w:trPr>
          <w:trHeight w:val="225"/>
        </w:trPr>
        <w:tc>
          <w:tcPr>
            <w:tcW w:w="2227" w:type="dxa"/>
            <w:tcBorders>
              <w:top w:val="nil"/>
              <w:left w:val="nil"/>
              <w:bottom w:val="nil"/>
              <w:right w:val="nil"/>
            </w:tcBorders>
            <w:vAlign w:val="bottom"/>
          </w:tcPr>
          <w:p w14:paraId="4B6CDBAB"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lastRenderedPageBreak/>
              <w:t>Test Statistic</w:t>
            </w:r>
          </w:p>
        </w:tc>
        <w:tc>
          <w:tcPr>
            <w:tcW w:w="1103" w:type="dxa"/>
            <w:tcBorders>
              <w:top w:val="nil"/>
              <w:left w:val="nil"/>
              <w:bottom w:val="nil"/>
              <w:right w:val="nil"/>
            </w:tcBorders>
            <w:vAlign w:val="bottom"/>
          </w:tcPr>
          <w:p w14:paraId="2A340DE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Value</w:t>
            </w:r>
          </w:p>
        </w:tc>
        <w:tc>
          <w:tcPr>
            <w:tcW w:w="1207" w:type="dxa"/>
            <w:tcBorders>
              <w:top w:val="nil"/>
              <w:left w:val="nil"/>
              <w:bottom w:val="nil"/>
              <w:right w:val="nil"/>
            </w:tcBorders>
            <w:vAlign w:val="bottom"/>
          </w:tcPr>
          <w:p w14:paraId="2A064E81"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Signif.</w:t>
            </w:r>
          </w:p>
        </w:tc>
        <w:tc>
          <w:tcPr>
            <w:tcW w:w="1208" w:type="dxa"/>
            <w:tcBorders>
              <w:top w:val="nil"/>
              <w:left w:val="nil"/>
              <w:bottom w:val="nil"/>
              <w:right w:val="nil"/>
            </w:tcBorders>
            <w:vAlign w:val="bottom"/>
          </w:tcPr>
          <w:p w14:paraId="4EFE80C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proofErr w:type="gramStart"/>
            <w:r w:rsidRPr="003353A0">
              <w:rPr>
                <w:rFonts w:ascii="Arial" w:hAnsi="Arial" w:cs="Arial"/>
                <w:sz w:val="18"/>
                <w:szCs w:val="18"/>
              </w:rPr>
              <w:t>I(</w:t>
            </w:r>
            <w:proofErr w:type="gramEnd"/>
            <w:r w:rsidRPr="003353A0">
              <w:rPr>
                <w:rFonts w:ascii="Arial" w:hAnsi="Arial" w:cs="Arial"/>
                <w:sz w:val="18"/>
                <w:szCs w:val="18"/>
              </w:rPr>
              <w:t>0)</w:t>
            </w:r>
          </w:p>
        </w:tc>
        <w:tc>
          <w:tcPr>
            <w:tcW w:w="997" w:type="dxa"/>
            <w:tcBorders>
              <w:top w:val="nil"/>
              <w:left w:val="nil"/>
              <w:bottom w:val="nil"/>
              <w:right w:val="nil"/>
            </w:tcBorders>
            <w:vAlign w:val="bottom"/>
          </w:tcPr>
          <w:p w14:paraId="14A045C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proofErr w:type="gramStart"/>
            <w:r w:rsidRPr="003353A0">
              <w:rPr>
                <w:rFonts w:ascii="Arial" w:hAnsi="Arial" w:cs="Arial"/>
                <w:sz w:val="18"/>
                <w:szCs w:val="18"/>
              </w:rPr>
              <w:t>I(</w:t>
            </w:r>
            <w:proofErr w:type="gramEnd"/>
            <w:r w:rsidRPr="003353A0">
              <w:rPr>
                <w:rFonts w:ascii="Arial" w:hAnsi="Arial" w:cs="Arial"/>
                <w:sz w:val="18"/>
                <w:szCs w:val="18"/>
              </w:rPr>
              <w:t>1)</w:t>
            </w:r>
          </w:p>
        </w:tc>
      </w:tr>
      <w:tr w:rsidR="00FD5034" w:rsidRPr="003353A0" w14:paraId="34563FEC" w14:textId="77777777" w:rsidTr="00DE4E22">
        <w:trPr>
          <w:trHeight w:hRule="exact" w:val="90"/>
        </w:trPr>
        <w:tc>
          <w:tcPr>
            <w:tcW w:w="2227" w:type="dxa"/>
            <w:tcBorders>
              <w:top w:val="nil"/>
              <w:left w:val="nil"/>
              <w:bottom w:val="double" w:sz="6" w:space="2" w:color="auto"/>
              <w:right w:val="nil"/>
            </w:tcBorders>
            <w:vAlign w:val="bottom"/>
          </w:tcPr>
          <w:p w14:paraId="5DAE289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7D57527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1A03688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0FCD35F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4E9B3BE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343FB933" w14:textId="77777777" w:rsidTr="00DE4E22">
        <w:trPr>
          <w:trHeight w:hRule="exact" w:val="135"/>
        </w:trPr>
        <w:tc>
          <w:tcPr>
            <w:tcW w:w="2227" w:type="dxa"/>
            <w:tcBorders>
              <w:top w:val="nil"/>
              <w:left w:val="nil"/>
              <w:bottom w:val="nil"/>
              <w:right w:val="nil"/>
            </w:tcBorders>
            <w:vAlign w:val="bottom"/>
          </w:tcPr>
          <w:p w14:paraId="6BDF184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8B22F1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16C51EC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2339C20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79D67B2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2546973D" w14:textId="77777777" w:rsidTr="00DE4E22">
        <w:trPr>
          <w:trHeight w:val="225"/>
        </w:trPr>
        <w:tc>
          <w:tcPr>
            <w:tcW w:w="2227" w:type="dxa"/>
            <w:tcBorders>
              <w:top w:val="nil"/>
              <w:left w:val="nil"/>
              <w:bottom w:val="nil"/>
              <w:right w:val="nil"/>
            </w:tcBorders>
            <w:vAlign w:val="bottom"/>
          </w:tcPr>
          <w:p w14:paraId="0BB0A32F"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F-statistic</w:t>
            </w:r>
          </w:p>
        </w:tc>
        <w:tc>
          <w:tcPr>
            <w:tcW w:w="1103" w:type="dxa"/>
            <w:tcBorders>
              <w:top w:val="nil"/>
              <w:left w:val="nil"/>
              <w:bottom w:val="nil"/>
              <w:right w:val="nil"/>
            </w:tcBorders>
            <w:vAlign w:val="bottom"/>
          </w:tcPr>
          <w:p w14:paraId="12710AC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 15.93427</w:t>
            </w:r>
          </w:p>
        </w:tc>
        <w:tc>
          <w:tcPr>
            <w:tcW w:w="1207" w:type="dxa"/>
            <w:tcBorders>
              <w:top w:val="nil"/>
              <w:left w:val="nil"/>
              <w:bottom w:val="nil"/>
              <w:right w:val="nil"/>
            </w:tcBorders>
            <w:vAlign w:val="bottom"/>
          </w:tcPr>
          <w:p w14:paraId="15B66F4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10</w:t>
            </w:r>
            <w:r>
              <w:rPr>
                <w:rFonts w:ascii="Arial" w:hAnsi="Arial" w:cs="Arial"/>
                <w:sz w:val="18"/>
                <w:szCs w:val="18"/>
              </w:rPr>
              <w:t>percent</w:t>
            </w:r>
            <w:r w:rsidRPr="003353A0">
              <w:rPr>
                <w:rFonts w:ascii="Arial" w:hAnsi="Arial" w:cs="Arial"/>
                <w:sz w:val="18"/>
                <w:szCs w:val="18"/>
              </w:rPr>
              <w:t>  </w:t>
            </w:r>
          </w:p>
        </w:tc>
        <w:tc>
          <w:tcPr>
            <w:tcW w:w="1208" w:type="dxa"/>
            <w:tcBorders>
              <w:top w:val="nil"/>
              <w:left w:val="nil"/>
              <w:bottom w:val="nil"/>
              <w:right w:val="nil"/>
            </w:tcBorders>
            <w:vAlign w:val="bottom"/>
          </w:tcPr>
          <w:p w14:paraId="12D880A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2.08</w:t>
            </w:r>
          </w:p>
        </w:tc>
        <w:tc>
          <w:tcPr>
            <w:tcW w:w="997" w:type="dxa"/>
            <w:tcBorders>
              <w:top w:val="nil"/>
              <w:left w:val="nil"/>
              <w:bottom w:val="nil"/>
              <w:right w:val="nil"/>
            </w:tcBorders>
            <w:vAlign w:val="bottom"/>
          </w:tcPr>
          <w:p w14:paraId="16CBD8B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w:t>
            </w:r>
          </w:p>
        </w:tc>
      </w:tr>
      <w:tr w:rsidR="00FD5034" w:rsidRPr="003353A0" w14:paraId="12883D69" w14:textId="77777777" w:rsidTr="00DE4E22">
        <w:trPr>
          <w:trHeight w:val="225"/>
        </w:trPr>
        <w:tc>
          <w:tcPr>
            <w:tcW w:w="2227" w:type="dxa"/>
            <w:tcBorders>
              <w:top w:val="nil"/>
              <w:left w:val="nil"/>
              <w:bottom w:val="nil"/>
              <w:right w:val="nil"/>
            </w:tcBorders>
            <w:vAlign w:val="bottom"/>
          </w:tcPr>
          <w:p w14:paraId="2024CB11"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K</w:t>
            </w:r>
          </w:p>
        </w:tc>
        <w:tc>
          <w:tcPr>
            <w:tcW w:w="1103" w:type="dxa"/>
            <w:tcBorders>
              <w:top w:val="nil"/>
              <w:left w:val="nil"/>
              <w:bottom w:val="nil"/>
              <w:right w:val="nil"/>
            </w:tcBorders>
            <w:vAlign w:val="bottom"/>
          </w:tcPr>
          <w:p w14:paraId="3E8EFEB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5</w:t>
            </w:r>
          </w:p>
        </w:tc>
        <w:tc>
          <w:tcPr>
            <w:tcW w:w="1207" w:type="dxa"/>
            <w:tcBorders>
              <w:top w:val="nil"/>
              <w:left w:val="nil"/>
              <w:bottom w:val="nil"/>
              <w:right w:val="nil"/>
            </w:tcBorders>
            <w:vAlign w:val="bottom"/>
          </w:tcPr>
          <w:p w14:paraId="0ECEFE3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5</w:t>
            </w:r>
            <w:r>
              <w:rPr>
                <w:rFonts w:ascii="Arial" w:hAnsi="Arial" w:cs="Arial"/>
                <w:sz w:val="18"/>
                <w:szCs w:val="18"/>
              </w:rPr>
              <w:t>percent</w:t>
            </w:r>
            <w:r w:rsidRPr="003353A0">
              <w:rPr>
                <w:rFonts w:ascii="Arial" w:hAnsi="Arial" w:cs="Arial"/>
                <w:sz w:val="18"/>
                <w:szCs w:val="18"/>
              </w:rPr>
              <w:t>  </w:t>
            </w:r>
          </w:p>
        </w:tc>
        <w:tc>
          <w:tcPr>
            <w:tcW w:w="1208" w:type="dxa"/>
            <w:tcBorders>
              <w:top w:val="nil"/>
              <w:left w:val="nil"/>
              <w:bottom w:val="nil"/>
              <w:right w:val="nil"/>
            </w:tcBorders>
            <w:vAlign w:val="bottom"/>
          </w:tcPr>
          <w:p w14:paraId="35FB32E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2.39</w:t>
            </w:r>
          </w:p>
        </w:tc>
        <w:tc>
          <w:tcPr>
            <w:tcW w:w="997" w:type="dxa"/>
            <w:tcBorders>
              <w:top w:val="nil"/>
              <w:left w:val="nil"/>
              <w:bottom w:val="nil"/>
              <w:right w:val="nil"/>
            </w:tcBorders>
            <w:vAlign w:val="bottom"/>
          </w:tcPr>
          <w:p w14:paraId="00DBFD1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3.38</w:t>
            </w:r>
          </w:p>
        </w:tc>
      </w:tr>
      <w:tr w:rsidR="00FD5034" w:rsidRPr="003353A0" w14:paraId="2CF7B32B" w14:textId="77777777" w:rsidTr="00DE4E22">
        <w:trPr>
          <w:trHeight w:val="225"/>
        </w:trPr>
        <w:tc>
          <w:tcPr>
            <w:tcW w:w="2227" w:type="dxa"/>
            <w:tcBorders>
              <w:top w:val="nil"/>
              <w:left w:val="nil"/>
              <w:bottom w:val="nil"/>
              <w:right w:val="nil"/>
            </w:tcBorders>
            <w:vAlign w:val="bottom"/>
          </w:tcPr>
          <w:p w14:paraId="0FA89C8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5289623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7B89832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2.5</w:t>
            </w:r>
            <w:r>
              <w:rPr>
                <w:rFonts w:ascii="Arial" w:hAnsi="Arial" w:cs="Arial"/>
                <w:sz w:val="18"/>
                <w:szCs w:val="18"/>
              </w:rPr>
              <w:t>percent</w:t>
            </w:r>
            <w:r w:rsidRPr="003353A0">
              <w:rPr>
                <w:rFonts w:ascii="Arial" w:hAnsi="Arial" w:cs="Arial"/>
                <w:sz w:val="18"/>
                <w:szCs w:val="18"/>
              </w:rPr>
              <w:t>  </w:t>
            </w:r>
          </w:p>
        </w:tc>
        <w:tc>
          <w:tcPr>
            <w:tcW w:w="1208" w:type="dxa"/>
            <w:tcBorders>
              <w:top w:val="nil"/>
              <w:left w:val="nil"/>
              <w:bottom w:val="nil"/>
              <w:right w:val="nil"/>
            </w:tcBorders>
            <w:vAlign w:val="bottom"/>
          </w:tcPr>
          <w:p w14:paraId="657A3780"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2.7</w:t>
            </w:r>
          </w:p>
        </w:tc>
        <w:tc>
          <w:tcPr>
            <w:tcW w:w="997" w:type="dxa"/>
            <w:tcBorders>
              <w:top w:val="nil"/>
              <w:left w:val="nil"/>
              <w:bottom w:val="nil"/>
              <w:right w:val="nil"/>
            </w:tcBorders>
            <w:vAlign w:val="bottom"/>
          </w:tcPr>
          <w:p w14:paraId="1CB027E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3.73</w:t>
            </w:r>
          </w:p>
        </w:tc>
      </w:tr>
      <w:tr w:rsidR="00FD5034" w:rsidRPr="003353A0" w14:paraId="35C9EF05" w14:textId="77777777" w:rsidTr="00DE4E22">
        <w:trPr>
          <w:trHeight w:val="225"/>
        </w:trPr>
        <w:tc>
          <w:tcPr>
            <w:tcW w:w="2227" w:type="dxa"/>
            <w:tcBorders>
              <w:top w:val="nil"/>
              <w:left w:val="nil"/>
              <w:bottom w:val="nil"/>
              <w:right w:val="nil"/>
            </w:tcBorders>
            <w:vAlign w:val="bottom"/>
          </w:tcPr>
          <w:p w14:paraId="35A141D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0667274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3E5995C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1</w:t>
            </w:r>
            <w:r>
              <w:rPr>
                <w:rFonts w:ascii="Arial" w:hAnsi="Arial" w:cs="Arial"/>
                <w:sz w:val="18"/>
                <w:szCs w:val="18"/>
              </w:rPr>
              <w:t>percent</w:t>
            </w:r>
            <w:r w:rsidRPr="003353A0">
              <w:rPr>
                <w:rFonts w:ascii="Arial" w:hAnsi="Arial" w:cs="Arial"/>
                <w:sz w:val="18"/>
                <w:szCs w:val="18"/>
              </w:rPr>
              <w:t>  </w:t>
            </w:r>
          </w:p>
        </w:tc>
        <w:tc>
          <w:tcPr>
            <w:tcW w:w="1208" w:type="dxa"/>
            <w:tcBorders>
              <w:top w:val="nil"/>
              <w:left w:val="nil"/>
              <w:bottom w:val="nil"/>
              <w:right w:val="nil"/>
            </w:tcBorders>
            <w:vAlign w:val="bottom"/>
          </w:tcPr>
          <w:p w14:paraId="0DD47AE5"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3.06</w:t>
            </w:r>
          </w:p>
        </w:tc>
        <w:tc>
          <w:tcPr>
            <w:tcW w:w="997" w:type="dxa"/>
            <w:tcBorders>
              <w:top w:val="nil"/>
              <w:left w:val="nil"/>
              <w:bottom w:val="nil"/>
              <w:right w:val="nil"/>
            </w:tcBorders>
            <w:vAlign w:val="bottom"/>
          </w:tcPr>
          <w:p w14:paraId="2B7B571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4.15</w:t>
            </w:r>
          </w:p>
        </w:tc>
      </w:tr>
      <w:tr w:rsidR="00FD5034" w:rsidRPr="003353A0" w14:paraId="75AB1BF8" w14:textId="77777777" w:rsidTr="00DE4E22">
        <w:trPr>
          <w:trHeight w:hRule="exact" w:val="90"/>
        </w:trPr>
        <w:tc>
          <w:tcPr>
            <w:tcW w:w="2227" w:type="dxa"/>
            <w:tcBorders>
              <w:top w:val="nil"/>
              <w:left w:val="nil"/>
              <w:bottom w:val="double" w:sz="6" w:space="2" w:color="auto"/>
              <w:right w:val="nil"/>
            </w:tcBorders>
            <w:vAlign w:val="bottom"/>
          </w:tcPr>
          <w:p w14:paraId="1EE3537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1206662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1A89E98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37D056C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4E9CEFD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D19D1F8" w14:textId="77777777" w:rsidTr="00DE4E22">
        <w:trPr>
          <w:trHeight w:hRule="exact" w:val="135"/>
        </w:trPr>
        <w:tc>
          <w:tcPr>
            <w:tcW w:w="2227" w:type="dxa"/>
            <w:tcBorders>
              <w:top w:val="nil"/>
              <w:left w:val="nil"/>
              <w:bottom w:val="nil"/>
              <w:right w:val="nil"/>
            </w:tcBorders>
            <w:vAlign w:val="bottom"/>
          </w:tcPr>
          <w:p w14:paraId="405CF0C1" w14:textId="77777777" w:rsidR="00FD5034" w:rsidRPr="003353A0" w:rsidRDefault="00FD5034" w:rsidP="00DE4E22">
            <w:pPr>
              <w:autoSpaceDE w:val="0"/>
              <w:autoSpaceDN w:val="0"/>
              <w:adjustRightInd w:val="0"/>
              <w:spacing w:after="0" w:line="276" w:lineRule="auto"/>
              <w:rPr>
                <w:rFonts w:ascii="Arial" w:hAnsi="Arial" w:cs="Arial"/>
                <w:sz w:val="18"/>
                <w:szCs w:val="18"/>
              </w:rPr>
            </w:pPr>
          </w:p>
          <w:p w14:paraId="488CF91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633D1DE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3AB02CD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13B5D1E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41419C6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bl>
    <w:p w14:paraId="3298D390" w14:textId="77777777"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Source: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w:t>
      </w:r>
      <w:r>
        <w:rPr>
          <w:rFonts w:ascii="Times New Roman" w:hAnsi="Times New Roman" w:cs="Times New Roman"/>
          <w:b/>
          <w:bCs/>
          <w:sz w:val="24"/>
          <w:szCs w:val="24"/>
        </w:rPr>
        <w:t>3</w:t>
      </w:r>
      <w:r w:rsidRPr="003353A0">
        <w:rPr>
          <w:rFonts w:ascii="Times New Roman" w:hAnsi="Times New Roman" w:cs="Times New Roman"/>
          <w:b/>
          <w:bCs/>
          <w:sz w:val="24"/>
          <w:szCs w:val="24"/>
        </w:rPr>
        <w:t>.</w:t>
      </w:r>
    </w:p>
    <w:p w14:paraId="2BF90531" w14:textId="77777777" w:rsidR="00FD5034" w:rsidRDefault="00FD5034" w:rsidP="00FD5034">
      <w:pPr>
        <w:spacing w:line="276" w:lineRule="auto"/>
        <w:jc w:val="both"/>
        <w:rPr>
          <w:rFonts w:ascii="Times New Roman" w:hAnsi="Times New Roman" w:cs="Times New Roman"/>
          <w:sz w:val="24"/>
          <w:szCs w:val="24"/>
        </w:rPr>
      </w:pPr>
      <w:r w:rsidRPr="003353A0">
        <w:rPr>
          <w:rFonts w:ascii="Times New Roman" w:hAnsi="Times New Roman" w:cs="Times New Roman"/>
          <w:sz w:val="24"/>
          <w:szCs w:val="24"/>
        </w:rPr>
        <w:t>The ARDL Bounds test in Table 4 shows an F-statistic of 15.93, exceeding the upper bound, indicating cointegration and a long-run relationship among the variables. Consequently, it is essential to estimate and interpret the long-run model and the relationships between the independent and dependent variables. Additionally, the short-run estimate of the ARDL model is necessary to determine how the model adjusts to short-term shocks.</w:t>
      </w:r>
    </w:p>
    <w:p w14:paraId="0B490664" w14:textId="32E1F138"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Table </w:t>
      </w:r>
      <w:r w:rsidR="009E19E4">
        <w:rPr>
          <w:rFonts w:ascii="Times New Roman" w:hAnsi="Times New Roman" w:cs="Times New Roman"/>
          <w:b/>
          <w:bCs/>
          <w:sz w:val="24"/>
          <w:szCs w:val="24"/>
        </w:rPr>
        <w:t>4</w:t>
      </w:r>
      <w:r w:rsidRPr="003353A0">
        <w:rPr>
          <w:rFonts w:ascii="Times New Roman" w:hAnsi="Times New Roman" w:cs="Times New Roman"/>
          <w:b/>
          <w:bCs/>
          <w:sz w:val="24"/>
          <w:szCs w:val="24"/>
        </w:rPr>
        <w:t>.</w:t>
      </w:r>
    </w:p>
    <w:p w14:paraId="0B86D8CA" w14:textId="77777777" w:rsidR="00FD5034" w:rsidRPr="003353A0" w:rsidRDefault="00FD5034" w:rsidP="00FD5034">
      <w:pPr>
        <w:spacing w:after="0"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ARDL Long Run Result</w:t>
      </w:r>
    </w:p>
    <w:p w14:paraId="4F37622C" w14:textId="77777777" w:rsidR="00FD5034" w:rsidRPr="003353A0" w:rsidRDefault="00FD5034" w:rsidP="00FD5034">
      <w:pPr>
        <w:spacing w:after="0" w:line="240" w:lineRule="auto"/>
        <w:jc w:val="both"/>
        <w:rPr>
          <w:rFonts w:ascii="Times New Roman" w:hAnsi="Times New Roman" w:cs="Times New Roman"/>
          <w:b/>
          <w:bCs/>
          <w:sz w:val="24"/>
          <w:szCs w:val="24"/>
        </w:rPr>
      </w:pPr>
    </w:p>
    <w:tbl>
      <w:tblPr>
        <w:tblpPr w:leftFromText="180" w:rightFromText="180" w:vertAnchor="page" w:horzAnchor="margin" w:tblpY="8491"/>
        <w:tblW w:w="5000" w:type="pct"/>
        <w:tblCellMar>
          <w:left w:w="0" w:type="dxa"/>
          <w:right w:w="0" w:type="dxa"/>
        </w:tblCellMar>
        <w:tblLook w:val="0000" w:firstRow="0" w:lastRow="0" w:firstColumn="0" w:lastColumn="0" w:noHBand="0" w:noVBand="0"/>
      </w:tblPr>
      <w:tblGrid>
        <w:gridCol w:w="3094"/>
        <w:gridCol w:w="1531"/>
        <w:gridCol w:w="1675"/>
        <w:gridCol w:w="1677"/>
        <w:gridCol w:w="1383"/>
      </w:tblGrid>
      <w:tr w:rsidR="004116DD" w:rsidRPr="003353A0" w14:paraId="12F0B8A7" w14:textId="77777777" w:rsidTr="004116DD">
        <w:trPr>
          <w:trHeight w:val="225"/>
        </w:trPr>
        <w:tc>
          <w:tcPr>
            <w:tcW w:w="5000" w:type="pct"/>
            <w:gridSpan w:val="5"/>
            <w:tcBorders>
              <w:top w:val="nil"/>
              <w:left w:val="nil"/>
              <w:bottom w:val="nil"/>
              <w:right w:val="nil"/>
            </w:tcBorders>
            <w:vAlign w:val="bottom"/>
          </w:tcPr>
          <w:p w14:paraId="4D215618"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Levels Equation</w:t>
            </w:r>
          </w:p>
        </w:tc>
      </w:tr>
      <w:tr w:rsidR="004116DD" w:rsidRPr="003353A0" w14:paraId="728E6C57" w14:textId="77777777" w:rsidTr="004116DD">
        <w:trPr>
          <w:trHeight w:val="225"/>
        </w:trPr>
        <w:tc>
          <w:tcPr>
            <w:tcW w:w="5000" w:type="pct"/>
            <w:gridSpan w:val="5"/>
            <w:tcBorders>
              <w:top w:val="nil"/>
              <w:left w:val="nil"/>
              <w:bottom w:val="nil"/>
              <w:right w:val="nil"/>
            </w:tcBorders>
            <w:vAlign w:val="bottom"/>
          </w:tcPr>
          <w:p w14:paraId="37E8A1A8"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Case 2: Restricted Constant and No Trend</w:t>
            </w:r>
          </w:p>
        </w:tc>
      </w:tr>
      <w:tr w:rsidR="004116DD" w:rsidRPr="003353A0" w14:paraId="42D7534F" w14:textId="77777777" w:rsidTr="004116DD">
        <w:trPr>
          <w:trHeight w:hRule="exact" w:val="90"/>
        </w:trPr>
        <w:tc>
          <w:tcPr>
            <w:tcW w:w="1652" w:type="pct"/>
            <w:tcBorders>
              <w:top w:val="nil"/>
              <w:left w:val="nil"/>
              <w:bottom w:val="double" w:sz="6" w:space="2" w:color="auto"/>
              <w:right w:val="nil"/>
            </w:tcBorders>
            <w:vAlign w:val="bottom"/>
          </w:tcPr>
          <w:p w14:paraId="5CDF3C4A"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18" w:type="pct"/>
            <w:tcBorders>
              <w:top w:val="nil"/>
              <w:left w:val="nil"/>
              <w:bottom w:val="double" w:sz="6" w:space="2" w:color="auto"/>
              <w:right w:val="nil"/>
            </w:tcBorders>
            <w:vAlign w:val="bottom"/>
          </w:tcPr>
          <w:p w14:paraId="7B18D84B"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5" w:type="pct"/>
            <w:tcBorders>
              <w:top w:val="nil"/>
              <w:left w:val="nil"/>
              <w:bottom w:val="double" w:sz="6" w:space="2" w:color="auto"/>
              <w:right w:val="nil"/>
            </w:tcBorders>
            <w:vAlign w:val="bottom"/>
          </w:tcPr>
          <w:p w14:paraId="032EA74A"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6" w:type="pct"/>
            <w:tcBorders>
              <w:top w:val="nil"/>
              <w:left w:val="nil"/>
              <w:bottom w:val="double" w:sz="6" w:space="2" w:color="auto"/>
              <w:right w:val="nil"/>
            </w:tcBorders>
            <w:vAlign w:val="bottom"/>
          </w:tcPr>
          <w:p w14:paraId="2FD4870B"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739" w:type="pct"/>
            <w:tcBorders>
              <w:top w:val="nil"/>
              <w:left w:val="nil"/>
              <w:bottom w:val="double" w:sz="6" w:space="2" w:color="auto"/>
              <w:right w:val="nil"/>
            </w:tcBorders>
            <w:vAlign w:val="bottom"/>
          </w:tcPr>
          <w:p w14:paraId="074D7D94"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r>
      <w:tr w:rsidR="004116DD" w:rsidRPr="003353A0" w14:paraId="3479C4C0" w14:textId="77777777" w:rsidTr="004116DD">
        <w:trPr>
          <w:trHeight w:hRule="exact" w:val="135"/>
        </w:trPr>
        <w:tc>
          <w:tcPr>
            <w:tcW w:w="1652" w:type="pct"/>
            <w:tcBorders>
              <w:top w:val="nil"/>
              <w:left w:val="nil"/>
              <w:bottom w:val="nil"/>
              <w:right w:val="nil"/>
            </w:tcBorders>
            <w:vAlign w:val="bottom"/>
          </w:tcPr>
          <w:p w14:paraId="59A3CE8C"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18" w:type="pct"/>
            <w:tcBorders>
              <w:top w:val="nil"/>
              <w:left w:val="nil"/>
              <w:bottom w:val="nil"/>
              <w:right w:val="nil"/>
            </w:tcBorders>
            <w:vAlign w:val="bottom"/>
          </w:tcPr>
          <w:p w14:paraId="7C37AA52"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5" w:type="pct"/>
            <w:tcBorders>
              <w:top w:val="nil"/>
              <w:left w:val="nil"/>
              <w:bottom w:val="nil"/>
              <w:right w:val="nil"/>
            </w:tcBorders>
            <w:vAlign w:val="bottom"/>
          </w:tcPr>
          <w:p w14:paraId="7E8E0758"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6" w:type="pct"/>
            <w:tcBorders>
              <w:top w:val="nil"/>
              <w:left w:val="nil"/>
              <w:bottom w:val="nil"/>
              <w:right w:val="nil"/>
            </w:tcBorders>
            <w:vAlign w:val="bottom"/>
          </w:tcPr>
          <w:p w14:paraId="29BCA90A"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739" w:type="pct"/>
            <w:tcBorders>
              <w:top w:val="nil"/>
              <w:left w:val="nil"/>
              <w:bottom w:val="nil"/>
              <w:right w:val="nil"/>
            </w:tcBorders>
            <w:vAlign w:val="bottom"/>
          </w:tcPr>
          <w:p w14:paraId="45ADB807"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r>
      <w:tr w:rsidR="004116DD" w:rsidRPr="003353A0" w14:paraId="037A76D7" w14:textId="77777777" w:rsidTr="004116DD">
        <w:trPr>
          <w:trHeight w:val="225"/>
        </w:trPr>
        <w:tc>
          <w:tcPr>
            <w:tcW w:w="1652" w:type="pct"/>
            <w:tcBorders>
              <w:top w:val="nil"/>
              <w:left w:val="nil"/>
              <w:bottom w:val="nil"/>
              <w:right w:val="nil"/>
            </w:tcBorders>
            <w:vAlign w:val="bottom"/>
          </w:tcPr>
          <w:p w14:paraId="3E7DDC48"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Variable</w:t>
            </w:r>
          </w:p>
        </w:tc>
        <w:tc>
          <w:tcPr>
            <w:tcW w:w="818" w:type="pct"/>
            <w:tcBorders>
              <w:top w:val="nil"/>
              <w:left w:val="nil"/>
              <w:bottom w:val="nil"/>
              <w:right w:val="nil"/>
            </w:tcBorders>
            <w:vAlign w:val="bottom"/>
          </w:tcPr>
          <w:p w14:paraId="7D788A86"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Coefficient</w:t>
            </w:r>
          </w:p>
        </w:tc>
        <w:tc>
          <w:tcPr>
            <w:tcW w:w="895" w:type="pct"/>
            <w:tcBorders>
              <w:top w:val="nil"/>
              <w:left w:val="nil"/>
              <w:bottom w:val="nil"/>
              <w:right w:val="nil"/>
            </w:tcBorders>
            <w:vAlign w:val="bottom"/>
          </w:tcPr>
          <w:p w14:paraId="146724C1"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Std. Error</w:t>
            </w:r>
          </w:p>
        </w:tc>
        <w:tc>
          <w:tcPr>
            <w:tcW w:w="896" w:type="pct"/>
            <w:tcBorders>
              <w:top w:val="nil"/>
              <w:left w:val="nil"/>
              <w:bottom w:val="nil"/>
              <w:right w:val="nil"/>
            </w:tcBorders>
            <w:vAlign w:val="bottom"/>
          </w:tcPr>
          <w:p w14:paraId="53F9AD25"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t-Statistic</w:t>
            </w:r>
          </w:p>
        </w:tc>
        <w:tc>
          <w:tcPr>
            <w:tcW w:w="739" w:type="pct"/>
            <w:tcBorders>
              <w:top w:val="nil"/>
              <w:left w:val="nil"/>
              <w:bottom w:val="nil"/>
              <w:right w:val="nil"/>
            </w:tcBorders>
            <w:vAlign w:val="bottom"/>
          </w:tcPr>
          <w:p w14:paraId="2C7444A7"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Prob.   </w:t>
            </w:r>
          </w:p>
        </w:tc>
      </w:tr>
      <w:tr w:rsidR="004116DD" w:rsidRPr="003353A0" w14:paraId="76E5EBC6" w14:textId="77777777" w:rsidTr="004116DD">
        <w:trPr>
          <w:trHeight w:hRule="exact" w:val="90"/>
        </w:trPr>
        <w:tc>
          <w:tcPr>
            <w:tcW w:w="1652" w:type="pct"/>
            <w:tcBorders>
              <w:top w:val="nil"/>
              <w:left w:val="nil"/>
              <w:bottom w:val="double" w:sz="6" w:space="2" w:color="auto"/>
              <w:right w:val="nil"/>
            </w:tcBorders>
            <w:vAlign w:val="bottom"/>
          </w:tcPr>
          <w:p w14:paraId="0C2DC41D"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18" w:type="pct"/>
            <w:tcBorders>
              <w:top w:val="nil"/>
              <w:left w:val="nil"/>
              <w:bottom w:val="double" w:sz="6" w:space="2" w:color="auto"/>
              <w:right w:val="nil"/>
            </w:tcBorders>
            <w:vAlign w:val="bottom"/>
          </w:tcPr>
          <w:p w14:paraId="52C9543E"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5" w:type="pct"/>
            <w:tcBorders>
              <w:top w:val="nil"/>
              <w:left w:val="nil"/>
              <w:bottom w:val="double" w:sz="6" w:space="2" w:color="auto"/>
              <w:right w:val="nil"/>
            </w:tcBorders>
            <w:vAlign w:val="bottom"/>
          </w:tcPr>
          <w:p w14:paraId="10B1A1D9"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6" w:type="pct"/>
            <w:tcBorders>
              <w:top w:val="nil"/>
              <w:left w:val="nil"/>
              <w:bottom w:val="double" w:sz="6" w:space="2" w:color="auto"/>
              <w:right w:val="nil"/>
            </w:tcBorders>
            <w:vAlign w:val="bottom"/>
          </w:tcPr>
          <w:p w14:paraId="099AB4B6"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739" w:type="pct"/>
            <w:tcBorders>
              <w:top w:val="nil"/>
              <w:left w:val="nil"/>
              <w:bottom w:val="double" w:sz="6" w:space="2" w:color="auto"/>
              <w:right w:val="nil"/>
            </w:tcBorders>
            <w:vAlign w:val="bottom"/>
          </w:tcPr>
          <w:p w14:paraId="0F136A69"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r>
      <w:tr w:rsidR="004116DD" w:rsidRPr="003353A0" w14:paraId="5B2D94ED" w14:textId="77777777" w:rsidTr="004116DD">
        <w:trPr>
          <w:trHeight w:hRule="exact" w:val="135"/>
        </w:trPr>
        <w:tc>
          <w:tcPr>
            <w:tcW w:w="1652" w:type="pct"/>
            <w:tcBorders>
              <w:top w:val="nil"/>
              <w:left w:val="nil"/>
              <w:bottom w:val="nil"/>
              <w:right w:val="nil"/>
            </w:tcBorders>
            <w:vAlign w:val="bottom"/>
          </w:tcPr>
          <w:p w14:paraId="6D92FC85"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18" w:type="pct"/>
            <w:tcBorders>
              <w:top w:val="nil"/>
              <w:left w:val="nil"/>
              <w:bottom w:val="nil"/>
              <w:right w:val="nil"/>
            </w:tcBorders>
            <w:vAlign w:val="bottom"/>
          </w:tcPr>
          <w:p w14:paraId="3AEE623E"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5" w:type="pct"/>
            <w:tcBorders>
              <w:top w:val="nil"/>
              <w:left w:val="nil"/>
              <w:bottom w:val="nil"/>
              <w:right w:val="nil"/>
            </w:tcBorders>
            <w:vAlign w:val="bottom"/>
          </w:tcPr>
          <w:p w14:paraId="663BBBF6"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6" w:type="pct"/>
            <w:tcBorders>
              <w:top w:val="nil"/>
              <w:left w:val="nil"/>
              <w:bottom w:val="nil"/>
              <w:right w:val="nil"/>
            </w:tcBorders>
            <w:vAlign w:val="bottom"/>
          </w:tcPr>
          <w:p w14:paraId="1CA6CB99"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739" w:type="pct"/>
            <w:tcBorders>
              <w:top w:val="nil"/>
              <w:left w:val="nil"/>
              <w:bottom w:val="nil"/>
              <w:right w:val="nil"/>
            </w:tcBorders>
            <w:vAlign w:val="bottom"/>
          </w:tcPr>
          <w:p w14:paraId="45DD7064"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r>
      <w:tr w:rsidR="004116DD" w:rsidRPr="003353A0" w14:paraId="462F9147" w14:textId="77777777" w:rsidTr="004116DD">
        <w:trPr>
          <w:trHeight w:val="225"/>
        </w:trPr>
        <w:tc>
          <w:tcPr>
            <w:tcW w:w="1652" w:type="pct"/>
            <w:tcBorders>
              <w:top w:val="nil"/>
              <w:left w:val="nil"/>
              <w:bottom w:val="nil"/>
              <w:right w:val="nil"/>
            </w:tcBorders>
            <w:vAlign w:val="bottom"/>
          </w:tcPr>
          <w:p w14:paraId="7EB737D0"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LNBEF</w:t>
            </w:r>
          </w:p>
        </w:tc>
        <w:tc>
          <w:tcPr>
            <w:tcW w:w="818" w:type="pct"/>
            <w:tcBorders>
              <w:top w:val="nil"/>
              <w:left w:val="nil"/>
              <w:bottom w:val="nil"/>
              <w:right w:val="nil"/>
            </w:tcBorders>
            <w:vAlign w:val="bottom"/>
          </w:tcPr>
          <w:p w14:paraId="55E52018"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895" w:type="pct"/>
            <w:tcBorders>
              <w:top w:val="nil"/>
              <w:left w:val="nil"/>
              <w:bottom w:val="nil"/>
              <w:right w:val="nil"/>
            </w:tcBorders>
            <w:vAlign w:val="bottom"/>
          </w:tcPr>
          <w:p w14:paraId="520D2A89"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0.003</w:t>
            </w:r>
          </w:p>
        </w:tc>
        <w:tc>
          <w:tcPr>
            <w:tcW w:w="896" w:type="pct"/>
            <w:tcBorders>
              <w:top w:val="nil"/>
              <w:left w:val="nil"/>
              <w:bottom w:val="nil"/>
              <w:right w:val="nil"/>
            </w:tcBorders>
            <w:vAlign w:val="bottom"/>
          </w:tcPr>
          <w:p w14:paraId="5E25A03C"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3.492</w:t>
            </w:r>
          </w:p>
        </w:tc>
        <w:tc>
          <w:tcPr>
            <w:tcW w:w="739" w:type="pct"/>
            <w:tcBorders>
              <w:top w:val="nil"/>
              <w:left w:val="nil"/>
              <w:bottom w:val="nil"/>
              <w:right w:val="nil"/>
            </w:tcBorders>
            <w:vAlign w:val="bottom"/>
          </w:tcPr>
          <w:p w14:paraId="64810F29"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0.025</w:t>
            </w:r>
          </w:p>
        </w:tc>
      </w:tr>
      <w:tr w:rsidR="004116DD" w:rsidRPr="003353A0" w14:paraId="62A9E4A1" w14:textId="77777777" w:rsidTr="004116DD">
        <w:trPr>
          <w:trHeight w:val="225"/>
        </w:trPr>
        <w:tc>
          <w:tcPr>
            <w:tcW w:w="1652" w:type="pct"/>
            <w:tcBorders>
              <w:top w:val="nil"/>
              <w:left w:val="nil"/>
              <w:bottom w:val="nil"/>
              <w:right w:val="nil"/>
            </w:tcBorders>
            <w:vAlign w:val="bottom"/>
          </w:tcPr>
          <w:p w14:paraId="29E53486"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LNSEF</w:t>
            </w:r>
          </w:p>
        </w:tc>
        <w:tc>
          <w:tcPr>
            <w:tcW w:w="818" w:type="pct"/>
            <w:tcBorders>
              <w:top w:val="nil"/>
              <w:left w:val="nil"/>
              <w:bottom w:val="nil"/>
              <w:right w:val="nil"/>
            </w:tcBorders>
            <w:vAlign w:val="bottom"/>
          </w:tcPr>
          <w:p w14:paraId="591CC974"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0.038</w:t>
            </w:r>
          </w:p>
        </w:tc>
        <w:tc>
          <w:tcPr>
            <w:tcW w:w="895" w:type="pct"/>
            <w:tcBorders>
              <w:top w:val="nil"/>
              <w:left w:val="nil"/>
              <w:bottom w:val="nil"/>
              <w:right w:val="nil"/>
            </w:tcBorders>
            <w:vAlign w:val="bottom"/>
          </w:tcPr>
          <w:p w14:paraId="406939A3"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896" w:type="pct"/>
            <w:tcBorders>
              <w:top w:val="nil"/>
              <w:left w:val="nil"/>
              <w:bottom w:val="nil"/>
              <w:right w:val="nil"/>
            </w:tcBorders>
            <w:vAlign w:val="bottom"/>
          </w:tcPr>
          <w:p w14:paraId="1FD4FB88"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3.401</w:t>
            </w:r>
          </w:p>
        </w:tc>
        <w:tc>
          <w:tcPr>
            <w:tcW w:w="739" w:type="pct"/>
            <w:tcBorders>
              <w:top w:val="nil"/>
              <w:left w:val="nil"/>
              <w:bottom w:val="nil"/>
              <w:right w:val="nil"/>
            </w:tcBorders>
            <w:vAlign w:val="bottom"/>
          </w:tcPr>
          <w:p w14:paraId="48C257AA"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4116DD" w:rsidRPr="003353A0" w14:paraId="3E433A89" w14:textId="77777777" w:rsidTr="004116DD">
        <w:trPr>
          <w:trHeight w:val="225"/>
        </w:trPr>
        <w:tc>
          <w:tcPr>
            <w:tcW w:w="1652" w:type="pct"/>
            <w:tcBorders>
              <w:top w:val="nil"/>
              <w:left w:val="nil"/>
              <w:bottom w:val="nil"/>
              <w:right w:val="nil"/>
            </w:tcBorders>
            <w:vAlign w:val="bottom"/>
          </w:tcPr>
          <w:p w14:paraId="2AB4E675"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LNGEF</w:t>
            </w:r>
          </w:p>
        </w:tc>
        <w:tc>
          <w:tcPr>
            <w:tcW w:w="818" w:type="pct"/>
            <w:tcBorders>
              <w:top w:val="nil"/>
              <w:left w:val="nil"/>
              <w:bottom w:val="nil"/>
              <w:right w:val="nil"/>
            </w:tcBorders>
            <w:vAlign w:val="bottom"/>
          </w:tcPr>
          <w:p w14:paraId="78F9D48B"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0.002</w:t>
            </w:r>
          </w:p>
        </w:tc>
        <w:tc>
          <w:tcPr>
            <w:tcW w:w="895" w:type="pct"/>
            <w:tcBorders>
              <w:top w:val="nil"/>
              <w:left w:val="nil"/>
              <w:bottom w:val="nil"/>
              <w:right w:val="nil"/>
            </w:tcBorders>
            <w:vAlign w:val="bottom"/>
          </w:tcPr>
          <w:p w14:paraId="235BC19F"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896" w:type="pct"/>
            <w:tcBorders>
              <w:top w:val="nil"/>
              <w:left w:val="nil"/>
              <w:bottom w:val="nil"/>
              <w:right w:val="nil"/>
            </w:tcBorders>
            <w:vAlign w:val="bottom"/>
          </w:tcPr>
          <w:p w14:paraId="121FC49C"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0.220</w:t>
            </w:r>
          </w:p>
        </w:tc>
        <w:tc>
          <w:tcPr>
            <w:tcW w:w="739" w:type="pct"/>
            <w:tcBorders>
              <w:top w:val="nil"/>
              <w:left w:val="nil"/>
              <w:bottom w:val="nil"/>
              <w:right w:val="nil"/>
            </w:tcBorders>
            <w:vAlign w:val="bottom"/>
          </w:tcPr>
          <w:p w14:paraId="67C651F6"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0.837</w:t>
            </w:r>
          </w:p>
        </w:tc>
      </w:tr>
      <w:tr w:rsidR="004116DD" w:rsidRPr="003353A0" w14:paraId="1F7D4F74" w14:textId="77777777" w:rsidTr="004116DD">
        <w:trPr>
          <w:trHeight w:val="225"/>
        </w:trPr>
        <w:tc>
          <w:tcPr>
            <w:tcW w:w="1652" w:type="pct"/>
            <w:tcBorders>
              <w:top w:val="nil"/>
              <w:left w:val="nil"/>
              <w:bottom w:val="nil"/>
              <w:right w:val="nil"/>
            </w:tcBorders>
            <w:vAlign w:val="bottom"/>
          </w:tcPr>
          <w:p w14:paraId="34297063"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LNCEF</w:t>
            </w:r>
          </w:p>
        </w:tc>
        <w:tc>
          <w:tcPr>
            <w:tcW w:w="818" w:type="pct"/>
            <w:tcBorders>
              <w:top w:val="nil"/>
              <w:left w:val="nil"/>
              <w:bottom w:val="nil"/>
              <w:right w:val="nil"/>
            </w:tcBorders>
            <w:vAlign w:val="bottom"/>
          </w:tcPr>
          <w:p w14:paraId="34C95EE8"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0.037</w:t>
            </w:r>
          </w:p>
        </w:tc>
        <w:tc>
          <w:tcPr>
            <w:tcW w:w="895" w:type="pct"/>
            <w:tcBorders>
              <w:top w:val="nil"/>
              <w:left w:val="nil"/>
              <w:bottom w:val="nil"/>
              <w:right w:val="nil"/>
            </w:tcBorders>
            <w:vAlign w:val="bottom"/>
          </w:tcPr>
          <w:p w14:paraId="2C4AB510"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896" w:type="pct"/>
            <w:tcBorders>
              <w:top w:val="nil"/>
              <w:left w:val="nil"/>
              <w:bottom w:val="nil"/>
              <w:right w:val="nil"/>
            </w:tcBorders>
            <w:vAlign w:val="bottom"/>
          </w:tcPr>
          <w:p w14:paraId="4910E4EE"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3.361</w:t>
            </w:r>
          </w:p>
        </w:tc>
        <w:tc>
          <w:tcPr>
            <w:tcW w:w="739" w:type="pct"/>
            <w:tcBorders>
              <w:top w:val="nil"/>
              <w:left w:val="nil"/>
              <w:bottom w:val="nil"/>
              <w:right w:val="nil"/>
            </w:tcBorders>
            <w:vAlign w:val="bottom"/>
          </w:tcPr>
          <w:p w14:paraId="282B4831"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0.028</w:t>
            </w:r>
          </w:p>
        </w:tc>
      </w:tr>
      <w:tr w:rsidR="004116DD" w:rsidRPr="003353A0" w14:paraId="7713F441" w14:textId="77777777" w:rsidTr="004116DD">
        <w:trPr>
          <w:trHeight w:val="225"/>
        </w:trPr>
        <w:tc>
          <w:tcPr>
            <w:tcW w:w="1652" w:type="pct"/>
            <w:tcBorders>
              <w:top w:val="nil"/>
              <w:left w:val="nil"/>
              <w:bottom w:val="nil"/>
              <w:right w:val="nil"/>
            </w:tcBorders>
            <w:vAlign w:val="bottom"/>
          </w:tcPr>
          <w:p w14:paraId="255DCBD7"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LNFEF</w:t>
            </w:r>
          </w:p>
        </w:tc>
        <w:tc>
          <w:tcPr>
            <w:tcW w:w="818" w:type="pct"/>
            <w:tcBorders>
              <w:top w:val="nil"/>
              <w:left w:val="nil"/>
              <w:bottom w:val="nil"/>
              <w:right w:val="nil"/>
            </w:tcBorders>
            <w:vAlign w:val="bottom"/>
          </w:tcPr>
          <w:p w14:paraId="1A61C183"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0.030</w:t>
            </w:r>
          </w:p>
        </w:tc>
        <w:tc>
          <w:tcPr>
            <w:tcW w:w="895" w:type="pct"/>
            <w:tcBorders>
              <w:top w:val="nil"/>
              <w:left w:val="nil"/>
              <w:bottom w:val="nil"/>
              <w:right w:val="nil"/>
            </w:tcBorders>
            <w:vAlign w:val="bottom"/>
          </w:tcPr>
          <w:p w14:paraId="3349803A"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0.004</w:t>
            </w:r>
          </w:p>
        </w:tc>
        <w:tc>
          <w:tcPr>
            <w:tcW w:w="896" w:type="pct"/>
            <w:tcBorders>
              <w:top w:val="nil"/>
              <w:left w:val="nil"/>
              <w:bottom w:val="nil"/>
              <w:right w:val="nil"/>
            </w:tcBorders>
            <w:vAlign w:val="bottom"/>
          </w:tcPr>
          <w:p w14:paraId="25C90F68"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6.860</w:t>
            </w:r>
          </w:p>
        </w:tc>
        <w:tc>
          <w:tcPr>
            <w:tcW w:w="739" w:type="pct"/>
            <w:tcBorders>
              <w:top w:val="nil"/>
              <w:left w:val="nil"/>
              <w:bottom w:val="nil"/>
              <w:right w:val="nil"/>
            </w:tcBorders>
            <w:vAlign w:val="bottom"/>
          </w:tcPr>
          <w:p w14:paraId="2D60D68F"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0.002</w:t>
            </w:r>
          </w:p>
        </w:tc>
      </w:tr>
      <w:tr w:rsidR="004116DD" w:rsidRPr="003353A0" w14:paraId="0A7614D5" w14:textId="77777777" w:rsidTr="004116DD">
        <w:trPr>
          <w:trHeight w:val="225"/>
        </w:trPr>
        <w:tc>
          <w:tcPr>
            <w:tcW w:w="1652" w:type="pct"/>
            <w:tcBorders>
              <w:top w:val="nil"/>
              <w:left w:val="nil"/>
              <w:bottom w:val="nil"/>
              <w:right w:val="nil"/>
            </w:tcBorders>
            <w:vAlign w:val="bottom"/>
          </w:tcPr>
          <w:p w14:paraId="538E4651"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LNELC</w:t>
            </w:r>
          </w:p>
        </w:tc>
        <w:tc>
          <w:tcPr>
            <w:tcW w:w="818" w:type="pct"/>
            <w:tcBorders>
              <w:top w:val="nil"/>
              <w:left w:val="nil"/>
              <w:bottom w:val="nil"/>
              <w:right w:val="nil"/>
            </w:tcBorders>
            <w:vAlign w:val="bottom"/>
          </w:tcPr>
          <w:p w14:paraId="142C7010"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0.626</w:t>
            </w:r>
          </w:p>
        </w:tc>
        <w:tc>
          <w:tcPr>
            <w:tcW w:w="895" w:type="pct"/>
            <w:tcBorders>
              <w:top w:val="nil"/>
              <w:left w:val="nil"/>
              <w:bottom w:val="nil"/>
              <w:right w:val="nil"/>
            </w:tcBorders>
            <w:vAlign w:val="bottom"/>
          </w:tcPr>
          <w:p w14:paraId="07D3D91A"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0.026</w:t>
            </w:r>
          </w:p>
        </w:tc>
        <w:tc>
          <w:tcPr>
            <w:tcW w:w="896" w:type="pct"/>
            <w:tcBorders>
              <w:top w:val="nil"/>
              <w:left w:val="nil"/>
              <w:bottom w:val="nil"/>
              <w:right w:val="nil"/>
            </w:tcBorders>
            <w:vAlign w:val="bottom"/>
          </w:tcPr>
          <w:p w14:paraId="653C7244"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24.00</w:t>
            </w:r>
          </w:p>
        </w:tc>
        <w:tc>
          <w:tcPr>
            <w:tcW w:w="739" w:type="pct"/>
            <w:tcBorders>
              <w:top w:val="nil"/>
              <w:left w:val="nil"/>
              <w:bottom w:val="nil"/>
              <w:right w:val="nil"/>
            </w:tcBorders>
            <w:vAlign w:val="bottom"/>
          </w:tcPr>
          <w:p w14:paraId="5AF880E7"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4116DD" w:rsidRPr="003353A0" w14:paraId="5775DBAD" w14:textId="77777777" w:rsidTr="004116DD">
        <w:trPr>
          <w:trHeight w:val="225"/>
        </w:trPr>
        <w:tc>
          <w:tcPr>
            <w:tcW w:w="1652" w:type="pct"/>
            <w:tcBorders>
              <w:top w:val="nil"/>
              <w:left w:val="nil"/>
              <w:bottom w:val="nil"/>
              <w:right w:val="nil"/>
            </w:tcBorders>
            <w:vAlign w:val="bottom"/>
          </w:tcPr>
          <w:p w14:paraId="6F09ECF8"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C</w:t>
            </w:r>
          </w:p>
        </w:tc>
        <w:tc>
          <w:tcPr>
            <w:tcW w:w="818" w:type="pct"/>
            <w:tcBorders>
              <w:top w:val="nil"/>
              <w:left w:val="nil"/>
              <w:bottom w:val="nil"/>
              <w:right w:val="nil"/>
            </w:tcBorders>
            <w:vAlign w:val="bottom"/>
          </w:tcPr>
          <w:p w14:paraId="6AD4CBC5"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0.734</w:t>
            </w:r>
          </w:p>
        </w:tc>
        <w:tc>
          <w:tcPr>
            <w:tcW w:w="895" w:type="pct"/>
            <w:tcBorders>
              <w:top w:val="nil"/>
              <w:left w:val="nil"/>
              <w:bottom w:val="nil"/>
              <w:right w:val="nil"/>
            </w:tcBorders>
            <w:vAlign w:val="bottom"/>
          </w:tcPr>
          <w:p w14:paraId="009A3124"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0.114</w:t>
            </w:r>
          </w:p>
        </w:tc>
        <w:tc>
          <w:tcPr>
            <w:tcW w:w="896" w:type="pct"/>
            <w:tcBorders>
              <w:top w:val="nil"/>
              <w:left w:val="nil"/>
              <w:bottom w:val="nil"/>
              <w:right w:val="nil"/>
            </w:tcBorders>
            <w:vAlign w:val="bottom"/>
          </w:tcPr>
          <w:p w14:paraId="365BED33"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6.439</w:t>
            </w:r>
          </w:p>
        </w:tc>
        <w:tc>
          <w:tcPr>
            <w:tcW w:w="739" w:type="pct"/>
            <w:tcBorders>
              <w:top w:val="nil"/>
              <w:left w:val="nil"/>
              <w:bottom w:val="nil"/>
              <w:right w:val="nil"/>
            </w:tcBorders>
            <w:vAlign w:val="bottom"/>
          </w:tcPr>
          <w:p w14:paraId="7FA77D10" w14:textId="77777777" w:rsidR="004116DD" w:rsidRPr="003353A0" w:rsidRDefault="004116DD" w:rsidP="004116DD">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0.003</w:t>
            </w:r>
          </w:p>
        </w:tc>
      </w:tr>
      <w:tr w:rsidR="004116DD" w:rsidRPr="003353A0" w14:paraId="14D58CBE" w14:textId="77777777" w:rsidTr="004116DD">
        <w:trPr>
          <w:trHeight w:hRule="exact" w:val="90"/>
        </w:trPr>
        <w:tc>
          <w:tcPr>
            <w:tcW w:w="1652" w:type="pct"/>
            <w:tcBorders>
              <w:top w:val="nil"/>
              <w:left w:val="nil"/>
              <w:bottom w:val="double" w:sz="6" w:space="2" w:color="auto"/>
              <w:right w:val="nil"/>
            </w:tcBorders>
            <w:vAlign w:val="bottom"/>
          </w:tcPr>
          <w:p w14:paraId="5F796844" w14:textId="77777777" w:rsidR="004116DD" w:rsidRDefault="004116DD" w:rsidP="004116DD">
            <w:pPr>
              <w:autoSpaceDE w:val="0"/>
              <w:autoSpaceDN w:val="0"/>
              <w:adjustRightInd w:val="0"/>
              <w:spacing w:after="0" w:line="276" w:lineRule="auto"/>
              <w:jc w:val="center"/>
              <w:rPr>
                <w:rFonts w:ascii="Arial" w:hAnsi="Arial" w:cs="Arial"/>
                <w:sz w:val="18"/>
                <w:szCs w:val="18"/>
              </w:rPr>
            </w:pPr>
          </w:p>
          <w:p w14:paraId="4FA1F289"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18" w:type="pct"/>
            <w:tcBorders>
              <w:top w:val="nil"/>
              <w:left w:val="nil"/>
              <w:bottom w:val="double" w:sz="6" w:space="2" w:color="auto"/>
              <w:right w:val="nil"/>
            </w:tcBorders>
            <w:vAlign w:val="bottom"/>
          </w:tcPr>
          <w:p w14:paraId="12E258F3"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5" w:type="pct"/>
            <w:tcBorders>
              <w:top w:val="nil"/>
              <w:left w:val="nil"/>
              <w:bottom w:val="double" w:sz="6" w:space="2" w:color="auto"/>
              <w:right w:val="nil"/>
            </w:tcBorders>
            <w:vAlign w:val="bottom"/>
          </w:tcPr>
          <w:p w14:paraId="107B1A54"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896" w:type="pct"/>
            <w:tcBorders>
              <w:top w:val="nil"/>
              <w:left w:val="nil"/>
              <w:bottom w:val="double" w:sz="6" w:space="2" w:color="auto"/>
              <w:right w:val="nil"/>
            </w:tcBorders>
            <w:vAlign w:val="bottom"/>
          </w:tcPr>
          <w:p w14:paraId="5DADB6E5"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c>
          <w:tcPr>
            <w:tcW w:w="739" w:type="pct"/>
            <w:tcBorders>
              <w:top w:val="nil"/>
              <w:left w:val="nil"/>
              <w:bottom w:val="double" w:sz="6" w:space="2" w:color="auto"/>
              <w:right w:val="nil"/>
            </w:tcBorders>
            <w:vAlign w:val="bottom"/>
          </w:tcPr>
          <w:p w14:paraId="6C4E59BD" w14:textId="77777777" w:rsidR="004116DD" w:rsidRPr="003353A0" w:rsidRDefault="004116DD" w:rsidP="004116DD">
            <w:pPr>
              <w:autoSpaceDE w:val="0"/>
              <w:autoSpaceDN w:val="0"/>
              <w:adjustRightInd w:val="0"/>
              <w:spacing w:after="0" w:line="276" w:lineRule="auto"/>
              <w:jc w:val="center"/>
              <w:rPr>
                <w:rFonts w:ascii="Arial" w:hAnsi="Arial" w:cs="Arial"/>
                <w:sz w:val="18"/>
                <w:szCs w:val="18"/>
              </w:rPr>
            </w:pPr>
          </w:p>
        </w:tc>
      </w:tr>
    </w:tbl>
    <w:p w14:paraId="68360D06" w14:textId="77777777" w:rsidR="00FD5034" w:rsidRPr="003353A0" w:rsidRDefault="00FD5034" w:rsidP="00FD5034">
      <w:pPr>
        <w:spacing w:after="0" w:line="240" w:lineRule="auto"/>
        <w:jc w:val="both"/>
        <w:rPr>
          <w:rFonts w:ascii="Times New Roman" w:hAnsi="Times New Roman" w:cs="Times New Roman"/>
          <w:b/>
          <w:bCs/>
          <w:sz w:val="24"/>
          <w:szCs w:val="24"/>
        </w:rPr>
      </w:pPr>
    </w:p>
    <w:p w14:paraId="7C9E8EF8" w14:textId="77777777" w:rsidR="00FD5034" w:rsidRDefault="00FD5034" w:rsidP="00FD5034">
      <w:pPr>
        <w:spacing w:after="0" w:line="240" w:lineRule="auto"/>
        <w:jc w:val="both"/>
        <w:rPr>
          <w:rFonts w:ascii="Times New Roman" w:hAnsi="Times New Roman" w:cs="Times New Roman"/>
          <w:b/>
          <w:bCs/>
          <w:sz w:val="24"/>
          <w:szCs w:val="24"/>
        </w:rPr>
      </w:pPr>
    </w:p>
    <w:p w14:paraId="69DFC098" w14:textId="77777777" w:rsidR="00FD5034" w:rsidRDefault="00FD5034" w:rsidP="00FD5034">
      <w:pPr>
        <w:spacing w:after="0" w:line="240" w:lineRule="auto"/>
        <w:jc w:val="both"/>
        <w:rPr>
          <w:rFonts w:ascii="Times New Roman" w:hAnsi="Times New Roman" w:cs="Times New Roman"/>
          <w:b/>
          <w:bCs/>
          <w:sz w:val="24"/>
          <w:szCs w:val="24"/>
        </w:rPr>
      </w:pPr>
    </w:p>
    <w:p w14:paraId="47EC74D7" w14:textId="77777777" w:rsidR="00FD5034" w:rsidRDefault="00FD5034" w:rsidP="00FD5034">
      <w:pPr>
        <w:spacing w:after="0" w:line="240" w:lineRule="auto"/>
        <w:jc w:val="both"/>
        <w:rPr>
          <w:rFonts w:ascii="Times New Roman" w:hAnsi="Times New Roman" w:cs="Times New Roman"/>
          <w:b/>
          <w:bCs/>
          <w:sz w:val="24"/>
          <w:szCs w:val="24"/>
        </w:rPr>
      </w:pPr>
    </w:p>
    <w:p w14:paraId="554B2BFA" w14:textId="77777777" w:rsidR="00FD5034" w:rsidRDefault="00FD5034" w:rsidP="00FD5034">
      <w:pPr>
        <w:spacing w:after="0" w:line="240" w:lineRule="auto"/>
        <w:jc w:val="both"/>
        <w:rPr>
          <w:rFonts w:ascii="Times New Roman" w:hAnsi="Times New Roman" w:cs="Times New Roman"/>
          <w:b/>
          <w:bCs/>
          <w:sz w:val="24"/>
          <w:szCs w:val="24"/>
        </w:rPr>
      </w:pPr>
    </w:p>
    <w:p w14:paraId="3FE307C9" w14:textId="77777777" w:rsidR="00FD5034" w:rsidRDefault="00FD5034" w:rsidP="00FD5034">
      <w:pPr>
        <w:spacing w:after="0" w:line="240" w:lineRule="auto"/>
        <w:jc w:val="both"/>
        <w:rPr>
          <w:rFonts w:ascii="Times New Roman" w:hAnsi="Times New Roman" w:cs="Times New Roman"/>
          <w:b/>
          <w:bCs/>
          <w:sz w:val="24"/>
          <w:szCs w:val="24"/>
        </w:rPr>
      </w:pPr>
    </w:p>
    <w:p w14:paraId="03AE8E6D" w14:textId="77777777" w:rsidR="00FD5034" w:rsidRDefault="00FD5034" w:rsidP="00FD5034">
      <w:pPr>
        <w:spacing w:after="0" w:line="240" w:lineRule="auto"/>
        <w:jc w:val="both"/>
        <w:rPr>
          <w:rFonts w:ascii="Times New Roman" w:hAnsi="Times New Roman" w:cs="Times New Roman"/>
          <w:b/>
          <w:bCs/>
          <w:sz w:val="24"/>
          <w:szCs w:val="24"/>
        </w:rPr>
      </w:pPr>
    </w:p>
    <w:p w14:paraId="5A9AAE5C" w14:textId="77777777" w:rsidR="00FD5034" w:rsidRDefault="00FD5034" w:rsidP="00FD5034">
      <w:pPr>
        <w:spacing w:after="0" w:line="240" w:lineRule="auto"/>
        <w:jc w:val="both"/>
        <w:rPr>
          <w:rFonts w:ascii="Times New Roman" w:hAnsi="Times New Roman" w:cs="Times New Roman"/>
          <w:b/>
          <w:bCs/>
          <w:sz w:val="24"/>
          <w:szCs w:val="24"/>
        </w:rPr>
      </w:pPr>
    </w:p>
    <w:p w14:paraId="7B1FD330" w14:textId="77777777" w:rsidR="00FD5034" w:rsidRDefault="00FD5034" w:rsidP="00FD5034">
      <w:pPr>
        <w:spacing w:after="0" w:line="240" w:lineRule="auto"/>
        <w:jc w:val="both"/>
        <w:rPr>
          <w:rFonts w:ascii="Times New Roman" w:hAnsi="Times New Roman" w:cs="Times New Roman"/>
          <w:b/>
          <w:bCs/>
          <w:sz w:val="24"/>
          <w:szCs w:val="24"/>
        </w:rPr>
      </w:pPr>
    </w:p>
    <w:p w14:paraId="0EF5DB7E" w14:textId="77777777" w:rsidR="00FD5034" w:rsidRDefault="00FD5034" w:rsidP="00FD5034">
      <w:pPr>
        <w:spacing w:after="0" w:line="240" w:lineRule="auto"/>
        <w:jc w:val="both"/>
        <w:rPr>
          <w:rFonts w:ascii="Times New Roman" w:hAnsi="Times New Roman" w:cs="Times New Roman"/>
          <w:b/>
          <w:bCs/>
          <w:sz w:val="24"/>
          <w:szCs w:val="24"/>
        </w:rPr>
      </w:pPr>
    </w:p>
    <w:p w14:paraId="08F2186A" w14:textId="77777777" w:rsidR="00FD5034" w:rsidRDefault="00FD5034" w:rsidP="00FD5034">
      <w:pPr>
        <w:spacing w:after="0" w:line="240" w:lineRule="auto"/>
        <w:jc w:val="both"/>
        <w:rPr>
          <w:rFonts w:ascii="Times New Roman" w:hAnsi="Times New Roman" w:cs="Times New Roman"/>
          <w:b/>
          <w:bCs/>
          <w:sz w:val="24"/>
          <w:szCs w:val="24"/>
        </w:rPr>
      </w:pPr>
    </w:p>
    <w:p w14:paraId="4A9F515B" w14:textId="77777777" w:rsidR="00FD5034" w:rsidRDefault="00FD5034" w:rsidP="00FD5034">
      <w:pPr>
        <w:spacing w:after="0" w:line="240" w:lineRule="auto"/>
        <w:jc w:val="both"/>
        <w:rPr>
          <w:rFonts w:ascii="Times New Roman" w:hAnsi="Times New Roman" w:cs="Times New Roman"/>
          <w:b/>
          <w:bCs/>
          <w:sz w:val="24"/>
          <w:szCs w:val="24"/>
        </w:rPr>
      </w:pPr>
    </w:p>
    <w:p w14:paraId="5D00E866" w14:textId="73B08A32" w:rsidR="00FD5034" w:rsidRPr="003353A0" w:rsidRDefault="00FD5034" w:rsidP="00FD5034">
      <w:pPr>
        <w:spacing w:after="0" w:line="240"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Source:</w:t>
      </w:r>
      <w:r>
        <w:rPr>
          <w:rFonts w:ascii="Times New Roman" w:hAnsi="Times New Roman" w:cs="Times New Roman"/>
          <w:b/>
          <w:bCs/>
          <w:sz w:val="24"/>
          <w:szCs w:val="24"/>
        </w:rPr>
        <w:t xml:space="preserve"> </w:t>
      </w:r>
      <w:r w:rsidRPr="003353A0">
        <w:rPr>
          <w:rFonts w:ascii="Times New Roman" w:hAnsi="Times New Roman" w:cs="Times New Roman"/>
          <w:b/>
          <w:bCs/>
          <w:sz w:val="24"/>
          <w:szCs w:val="24"/>
        </w:rPr>
        <w:t>Comput</w:t>
      </w:r>
      <w:r>
        <w:rPr>
          <w:rFonts w:ascii="Times New Roman" w:hAnsi="Times New Roman" w:cs="Times New Roman"/>
          <w:b/>
          <w:bCs/>
          <w:sz w:val="24"/>
          <w:szCs w:val="24"/>
        </w:rPr>
        <w:t>ed</w:t>
      </w:r>
      <w:r w:rsidRPr="003353A0">
        <w:rPr>
          <w:rFonts w:ascii="Times New Roman" w:hAnsi="Times New Roman" w:cs="Times New Roman"/>
          <w:b/>
          <w:bCs/>
          <w:sz w:val="24"/>
          <w:szCs w:val="24"/>
        </w:rPr>
        <w:t xml:space="preserve"> using E</w:t>
      </w:r>
      <w:r w:rsidR="009E19E4">
        <w:rPr>
          <w:rFonts w:ascii="Times New Roman" w:hAnsi="Times New Roman" w:cs="Times New Roman"/>
          <w:b/>
          <w:bCs/>
          <w:sz w:val="24"/>
          <w:szCs w:val="24"/>
        </w:rPr>
        <w:t xml:space="preserve"> </w:t>
      </w:r>
      <w:r w:rsidRPr="003353A0">
        <w:rPr>
          <w:rFonts w:ascii="Times New Roman" w:hAnsi="Times New Roman" w:cs="Times New Roman"/>
          <w:b/>
          <w:bCs/>
          <w:sz w:val="24"/>
          <w:szCs w:val="24"/>
        </w:rPr>
        <w:t>views 1</w:t>
      </w:r>
      <w:r>
        <w:rPr>
          <w:rFonts w:ascii="Times New Roman" w:hAnsi="Times New Roman" w:cs="Times New Roman"/>
          <w:b/>
          <w:bCs/>
          <w:sz w:val="24"/>
          <w:szCs w:val="24"/>
        </w:rPr>
        <w:t>3</w:t>
      </w:r>
      <w:r w:rsidRPr="003353A0">
        <w:rPr>
          <w:rFonts w:ascii="Times New Roman" w:hAnsi="Times New Roman" w:cs="Times New Roman"/>
          <w:b/>
          <w:bCs/>
          <w:sz w:val="24"/>
          <w:szCs w:val="24"/>
        </w:rPr>
        <w:t>.</w:t>
      </w:r>
    </w:p>
    <w:p w14:paraId="06E070D1" w14:textId="1554DD0A"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ARDL long run result in </w:t>
      </w:r>
      <w:r w:rsidRPr="003353A0">
        <w:rPr>
          <w:rFonts w:ascii="Times New Roman" w:eastAsia="Times New Roman" w:hAnsi="Times New Roman" w:cs="Times New Roman"/>
          <w:sz w:val="24"/>
          <w:szCs w:val="24"/>
        </w:rPr>
        <w:t xml:space="preserve">Table </w:t>
      </w:r>
      <w:r w:rsidR="009E19E4">
        <w:rPr>
          <w:rFonts w:ascii="Times New Roman" w:eastAsia="Times New Roman" w:hAnsi="Times New Roman" w:cs="Times New Roman"/>
          <w:sz w:val="24"/>
          <w:szCs w:val="24"/>
        </w:rPr>
        <w:t>4</w:t>
      </w:r>
      <w:r w:rsidRPr="003353A0">
        <w:rPr>
          <w:rFonts w:ascii="Times New Roman" w:eastAsia="Times New Roman" w:hAnsi="Times New Roman" w:cs="Times New Roman"/>
          <w:sz w:val="24"/>
          <w:szCs w:val="24"/>
        </w:rPr>
        <w:t xml:space="preserve"> highlight</w:t>
      </w:r>
      <w:r>
        <w:rPr>
          <w:rFonts w:ascii="Times New Roman" w:eastAsia="Times New Roman" w:hAnsi="Times New Roman" w:cs="Times New Roman"/>
          <w:sz w:val="24"/>
          <w:szCs w:val="24"/>
        </w:rPr>
        <w:t xml:space="preserve">ed </w:t>
      </w:r>
      <w:r w:rsidRPr="003353A0">
        <w:rPr>
          <w:rFonts w:ascii="Times New Roman" w:eastAsia="Times New Roman" w:hAnsi="Times New Roman" w:cs="Times New Roman"/>
          <w:sz w:val="24"/>
          <w:szCs w:val="24"/>
        </w:rPr>
        <w:t xml:space="preserve">the relationships between individual independent variables and electricity generation in Nigeria. The findings indicate significant long-run relationships between biofuel finance, commercial banks' energy finance, foreign aid energy </w:t>
      </w:r>
      <w:r w:rsidRPr="003353A0">
        <w:rPr>
          <w:rFonts w:ascii="Times New Roman" w:eastAsia="Times New Roman" w:hAnsi="Times New Roman" w:cs="Times New Roman"/>
          <w:sz w:val="24"/>
          <w:szCs w:val="24"/>
        </w:rPr>
        <w:lastRenderedPageBreak/>
        <w:t>finance, and electricity consumption with electricity generation, as shown by probability values of the estimated coefficients being less than 5</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However, the estimated coefficient for government expenditure on the electricity sector does not show a significant long-run relationship, as its prob value is greater than 5</w:t>
      </w:r>
      <w:r>
        <w:rPr>
          <w:rFonts w:ascii="Times New Roman" w:eastAsia="Times New Roman" w:hAnsi="Times New Roman" w:cs="Times New Roman"/>
          <w:sz w:val="24"/>
          <w:szCs w:val="24"/>
        </w:rPr>
        <w:t xml:space="preserve"> percent</w:t>
      </w:r>
      <w:r w:rsidRPr="003353A0">
        <w:rPr>
          <w:rFonts w:ascii="Times New Roman" w:eastAsia="Times New Roman" w:hAnsi="Times New Roman" w:cs="Times New Roman"/>
          <w:sz w:val="24"/>
          <w:szCs w:val="24"/>
        </w:rPr>
        <w:t xml:space="preserve">. The result revealed that in the long-run,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biomass energy finance, on the average, brought about 0.01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solar energy finance on the average, brought about 0.04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The estimated coefficient of government expenditure on electricity is not significant but contribute to about 0.002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The estimated coefficient of commercial banks energy finance is significant and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on the average brings about 0.0</w:t>
      </w:r>
      <w:r>
        <w:rPr>
          <w:rFonts w:ascii="Times New Roman" w:eastAsia="Times New Roman" w:hAnsi="Times New Roman" w:cs="Times New Roman"/>
          <w:sz w:val="24"/>
          <w:szCs w:val="24"/>
        </w:rPr>
        <w:t>4</w:t>
      </w:r>
      <w:r w:rsidRPr="003353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3353A0">
        <w:rPr>
          <w:rFonts w:ascii="Times New Roman" w:eastAsia="Times New Roman" w:hAnsi="Times New Roman" w:cs="Times New Roman"/>
          <w:sz w:val="24"/>
          <w:szCs w:val="24"/>
        </w:rPr>
        <w:t xml:space="preserve">electricity generation in Nigeria. Similarly, the estimated coefficient of energy finance from foreign aid is significant. It also shows that,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foreign contribute to about 0.03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The estimated long-run ARDL result further revealed that the estimated coefficient of electricity consumption in Nigeria is significant. Also,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consumption on the average brought about 0.6</w:t>
      </w:r>
      <w:r>
        <w:rPr>
          <w:rFonts w:ascii="Times New Roman" w:eastAsia="Times New Roman" w:hAnsi="Times New Roman" w:cs="Times New Roman"/>
          <w:sz w:val="24"/>
          <w:szCs w:val="24"/>
        </w:rPr>
        <w:t>3</w:t>
      </w:r>
      <w:r w:rsidRPr="003353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w:t>
      </w:r>
    </w:p>
    <w:p w14:paraId="6B54BAA5" w14:textId="25D1EF9C"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 xml:space="preserve">Following the establishment of these long-run relationships, the study also estimated the short-run dynamics of the ARDL model to determine the speed of adjustment to long-run equilibrium after a short-term shock. The short-run ARDL model results are presented in Table </w:t>
      </w:r>
      <w:r w:rsidR="009E19E4">
        <w:rPr>
          <w:rFonts w:ascii="Times New Roman" w:eastAsia="Times New Roman" w:hAnsi="Times New Roman" w:cs="Times New Roman"/>
          <w:sz w:val="24"/>
          <w:szCs w:val="24"/>
        </w:rPr>
        <w:t>5</w:t>
      </w:r>
      <w:r w:rsidRPr="003353A0">
        <w:rPr>
          <w:rFonts w:ascii="Times New Roman" w:eastAsia="Times New Roman" w:hAnsi="Times New Roman" w:cs="Times New Roman"/>
          <w:sz w:val="24"/>
          <w:szCs w:val="24"/>
        </w:rPr>
        <w:t>.</w:t>
      </w:r>
    </w:p>
    <w:tbl>
      <w:tblPr>
        <w:tblW w:w="0" w:type="auto"/>
        <w:tblInd w:w="30" w:type="dxa"/>
        <w:tblLayout w:type="fixed"/>
        <w:tblCellMar>
          <w:left w:w="0" w:type="dxa"/>
          <w:right w:w="0" w:type="dxa"/>
        </w:tblCellMar>
        <w:tblLook w:val="0000" w:firstRow="0" w:lastRow="0" w:firstColumn="0" w:lastColumn="0" w:noHBand="0" w:noVBand="0"/>
      </w:tblPr>
      <w:tblGrid>
        <w:gridCol w:w="2227"/>
        <w:gridCol w:w="153"/>
        <w:gridCol w:w="950"/>
        <w:gridCol w:w="1207"/>
        <w:gridCol w:w="1208"/>
        <w:gridCol w:w="997"/>
      </w:tblGrid>
      <w:tr w:rsidR="00FD5034" w:rsidRPr="003353A0" w14:paraId="2DD3BC9E" w14:textId="77777777" w:rsidTr="00DE4E22">
        <w:trPr>
          <w:trHeight w:val="225"/>
        </w:trPr>
        <w:tc>
          <w:tcPr>
            <w:tcW w:w="5745" w:type="dxa"/>
            <w:gridSpan w:val="5"/>
            <w:tcBorders>
              <w:top w:val="nil"/>
              <w:left w:val="nil"/>
              <w:bottom w:val="nil"/>
              <w:right w:val="nil"/>
            </w:tcBorders>
            <w:vAlign w:val="bottom"/>
          </w:tcPr>
          <w:p w14:paraId="2C89390A" w14:textId="52CC4A35" w:rsidR="00FD5034" w:rsidRPr="003353A0" w:rsidRDefault="00FD5034" w:rsidP="00DE4E22">
            <w:pPr>
              <w:autoSpaceDE w:val="0"/>
              <w:autoSpaceDN w:val="0"/>
              <w:adjustRightInd w:val="0"/>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 xml:space="preserve">Table </w:t>
            </w:r>
            <w:r w:rsidR="009E19E4">
              <w:rPr>
                <w:rFonts w:ascii="Times New Roman" w:hAnsi="Times New Roman" w:cs="Times New Roman"/>
                <w:b/>
                <w:bCs/>
                <w:sz w:val="24"/>
                <w:szCs w:val="24"/>
              </w:rPr>
              <w:t>5</w:t>
            </w:r>
            <w:r w:rsidRPr="003353A0">
              <w:rPr>
                <w:rFonts w:ascii="Times New Roman" w:hAnsi="Times New Roman" w:cs="Times New Roman"/>
                <w:b/>
                <w:bCs/>
                <w:sz w:val="24"/>
                <w:szCs w:val="24"/>
              </w:rPr>
              <w:t>.</w:t>
            </w:r>
          </w:p>
          <w:p w14:paraId="275DFA18"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Times New Roman" w:hAnsi="Times New Roman" w:cs="Times New Roman"/>
                <w:b/>
                <w:bCs/>
                <w:sz w:val="24"/>
                <w:szCs w:val="24"/>
              </w:rPr>
              <w:t>ARDL Error Correction Regression</w:t>
            </w:r>
          </w:p>
        </w:tc>
        <w:tc>
          <w:tcPr>
            <w:tcW w:w="997" w:type="dxa"/>
            <w:tcBorders>
              <w:top w:val="nil"/>
              <w:left w:val="nil"/>
              <w:bottom w:val="nil"/>
              <w:right w:val="nil"/>
            </w:tcBorders>
            <w:vAlign w:val="bottom"/>
          </w:tcPr>
          <w:p w14:paraId="5B502CC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A959834" w14:textId="77777777" w:rsidTr="00DE4E22">
        <w:trPr>
          <w:trHeight w:val="225"/>
        </w:trPr>
        <w:tc>
          <w:tcPr>
            <w:tcW w:w="4537" w:type="dxa"/>
            <w:gridSpan w:val="4"/>
            <w:tcBorders>
              <w:top w:val="nil"/>
              <w:left w:val="nil"/>
              <w:bottom w:val="nil"/>
              <w:right w:val="nil"/>
            </w:tcBorders>
            <w:vAlign w:val="bottom"/>
          </w:tcPr>
          <w:p w14:paraId="2EF7D4D0"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Dependent Variable: D(LNELG)</w:t>
            </w:r>
          </w:p>
        </w:tc>
        <w:tc>
          <w:tcPr>
            <w:tcW w:w="1208" w:type="dxa"/>
            <w:tcBorders>
              <w:top w:val="nil"/>
              <w:left w:val="nil"/>
              <w:bottom w:val="nil"/>
              <w:right w:val="nil"/>
            </w:tcBorders>
            <w:vAlign w:val="bottom"/>
          </w:tcPr>
          <w:p w14:paraId="74ABFA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04A7207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47821267" w14:textId="77777777" w:rsidTr="00DE4E22">
        <w:trPr>
          <w:trHeight w:val="225"/>
        </w:trPr>
        <w:tc>
          <w:tcPr>
            <w:tcW w:w="4537" w:type="dxa"/>
            <w:gridSpan w:val="4"/>
            <w:tcBorders>
              <w:top w:val="nil"/>
              <w:left w:val="nil"/>
              <w:bottom w:val="nil"/>
              <w:right w:val="nil"/>
            </w:tcBorders>
            <w:vAlign w:val="bottom"/>
          </w:tcPr>
          <w:p w14:paraId="77FCB8FC"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Included observations: 37</w:t>
            </w:r>
          </w:p>
        </w:tc>
        <w:tc>
          <w:tcPr>
            <w:tcW w:w="1208" w:type="dxa"/>
            <w:tcBorders>
              <w:top w:val="nil"/>
              <w:left w:val="nil"/>
              <w:bottom w:val="nil"/>
              <w:right w:val="nil"/>
            </w:tcBorders>
            <w:vAlign w:val="bottom"/>
          </w:tcPr>
          <w:p w14:paraId="3551A14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17A59CE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D71D237" w14:textId="77777777" w:rsidTr="00DE4E22">
        <w:trPr>
          <w:trHeight w:hRule="exact" w:val="90"/>
        </w:trPr>
        <w:tc>
          <w:tcPr>
            <w:tcW w:w="2227" w:type="dxa"/>
            <w:tcBorders>
              <w:top w:val="nil"/>
              <w:left w:val="nil"/>
              <w:bottom w:val="double" w:sz="6" w:space="2" w:color="auto"/>
              <w:right w:val="nil"/>
            </w:tcBorders>
            <w:vAlign w:val="bottom"/>
          </w:tcPr>
          <w:p w14:paraId="6408DF3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14:paraId="436947F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38FA543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767D0C5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364EF09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44B194C1" w14:textId="77777777" w:rsidTr="00DE4E22">
        <w:trPr>
          <w:trHeight w:hRule="exact" w:val="135"/>
        </w:trPr>
        <w:tc>
          <w:tcPr>
            <w:tcW w:w="2227" w:type="dxa"/>
            <w:tcBorders>
              <w:top w:val="nil"/>
              <w:left w:val="nil"/>
              <w:bottom w:val="nil"/>
              <w:right w:val="nil"/>
            </w:tcBorders>
            <w:vAlign w:val="bottom"/>
          </w:tcPr>
          <w:p w14:paraId="629A424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52ED5D6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772540C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6B334F5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2A777AD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20955B1A" w14:textId="77777777" w:rsidTr="00DE4E22">
        <w:trPr>
          <w:trHeight w:val="225"/>
        </w:trPr>
        <w:tc>
          <w:tcPr>
            <w:tcW w:w="6742" w:type="dxa"/>
            <w:gridSpan w:val="6"/>
            <w:tcBorders>
              <w:top w:val="nil"/>
              <w:left w:val="nil"/>
              <w:bottom w:val="nil"/>
              <w:right w:val="nil"/>
            </w:tcBorders>
            <w:vAlign w:val="bottom"/>
          </w:tcPr>
          <w:p w14:paraId="6BA47E7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ECM Regression</w:t>
            </w:r>
          </w:p>
        </w:tc>
      </w:tr>
      <w:tr w:rsidR="00FD5034" w:rsidRPr="003353A0" w14:paraId="6F09B417" w14:textId="77777777" w:rsidTr="00DE4E22">
        <w:trPr>
          <w:trHeight w:hRule="exact" w:val="90"/>
        </w:trPr>
        <w:tc>
          <w:tcPr>
            <w:tcW w:w="2227" w:type="dxa"/>
            <w:tcBorders>
              <w:top w:val="nil"/>
              <w:left w:val="nil"/>
              <w:bottom w:val="double" w:sz="6" w:space="2" w:color="auto"/>
              <w:right w:val="nil"/>
            </w:tcBorders>
            <w:vAlign w:val="bottom"/>
          </w:tcPr>
          <w:p w14:paraId="1CD4B84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14:paraId="27AD7E3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45CFCD5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50052F6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71F8C0C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D9572FF" w14:textId="77777777" w:rsidTr="00DE4E22">
        <w:trPr>
          <w:trHeight w:hRule="exact" w:val="135"/>
        </w:trPr>
        <w:tc>
          <w:tcPr>
            <w:tcW w:w="2227" w:type="dxa"/>
            <w:tcBorders>
              <w:top w:val="nil"/>
              <w:left w:val="nil"/>
              <w:bottom w:val="nil"/>
              <w:right w:val="nil"/>
            </w:tcBorders>
            <w:vAlign w:val="bottom"/>
          </w:tcPr>
          <w:p w14:paraId="624ECFF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048D091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31A20FA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313EFC7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58674A2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5DAE81C" w14:textId="77777777" w:rsidTr="00DE4E22">
        <w:trPr>
          <w:trHeight w:val="225"/>
        </w:trPr>
        <w:tc>
          <w:tcPr>
            <w:tcW w:w="2227" w:type="dxa"/>
            <w:tcBorders>
              <w:top w:val="nil"/>
              <w:left w:val="nil"/>
              <w:bottom w:val="nil"/>
              <w:right w:val="nil"/>
            </w:tcBorders>
            <w:vAlign w:val="bottom"/>
          </w:tcPr>
          <w:p w14:paraId="3969618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Variable</w:t>
            </w:r>
          </w:p>
        </w:tc>
        <w:tc>
          <w:tcPr>
            <w:tcW w:w="1103" w:type="dxa"/>
            <w:gridSpan w:val="2"/>
            <w:tcBorders>
              <w:top w:val="nil"/>
              <w:left w:val="nil"/>
              <w:bottom w:val="nil"/>
              <w:right w:val="nil"/>
            </w:tcBorders>
            <w:vAlign w:val="bottom"/>
          </w:tcPr>
          <w:p w14:paraId="1ACF370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Coefficient</w:t>
            </w:r>
          </w:p>
        </w:tc>
        <w:tc>
          <w:tcPr>
            <w:tcW w:w="1207" w:type="dxa"/>
            <w:tcBorders>
              <w:top w:val="nil"/>
              <w:left w:val="nil"/>
              <w:bottom w:val="nil"/>
              <w:right w:val="nil"/>
            </w:tcBorders>
            <w:vAlign w:val="bottom"/>
          </w:tcPr>
          <w:p w14:paraId="1A800B1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Std. Error</w:t>
            </w:r>
          </w:p>
        </w:tc>
        <w:tc>
          <w:tcPr>
            <w:tcW w:w="1208" w:type="dxa"/>
            <w:tcBorders>
              <w:top w:val="nil"/>
              <w:left w:val="nil"/>
              <w:bottom w:val="nil"/>
              <w:right w:val="nil"/>
            </w:tcBorders>
            <w:vAlign w:val="bottom"/>
          </w:tcPr>
          <w:p w14:paraId="3D359C7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t-Statistic</w:t>
            </w:r>
          </w:p>
        </w:tc>
        <w:tc>
          <w:tcPr>
            <w:tcW w:w="997" w:type="dxa"/>
            <w:tcBorders>
              <w:top w:val="nil"/>
              <w:left w:val="nil"/>
              <w:bottom w:val="nil"/>
              <w:right w:val="nil"/>
            </w:tcBorders>
            <w:vAlign w:val="bottom"/>
          </w:tcPr>
          <w:p w14:paraId="4CC03C6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Prob.   </w:t>
            </w:r>
          </w:p>
        </w:tc>
      </w:tr>
      <w:tr w:rsidR="00FD5034" w:rsidRPr="003353A0" w14:paraId="00C6EE56" w14:textId="77777777" w:rsidTr="00DE4E22">
        <w:trPr>
          <w:trHeight w:hRule="exact" w:val="90"/>
        </w:trPr>
        <w:tc>
          <w:tcPr>
            <w:tcW w:w="2227" w:type="dxa"/>
            <w:tcBorders>
              <w:top w:val="nil"/>
              <w:left w:val="nil"/>
              <w:bottom w:val="double" w:sz="6" w:space="2" w:color="auto"/>
              <w:right w:val="nil"/>
            </w:tcBorders>
            <w:vAlign w:val="bottom"/>
          </w:tcPr>
          <w:p w14:paraId="3A072AB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14:paraId="3FFEF00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324AD07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7B2C97E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78CD8DD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74BA6CE5" w14:textId="77777777" w:rsidTr="00DE4E22">
        <w:trPr>
          <w:trHeight w:hRule="exact" w:val="135"/>
        </w:trPr>
        <w:tc>
          <w:tcPr>
            <w:tcW w:w="2227" w:type="dxa"/>
            <w:tcBorders>
              <w:top w:val="nil"/>
              <w:left w:val="nil"/>
              <w:bottom w:val="nil"/>
              <w:right w:val="nil"/>
            </w:tcBorders>
            <w:vAlign w:val="bottom"/>
          </w:tcPr>
          <w:p w14:paraId="6AB2178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4D3CADE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2BE7FD1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7DE4249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345D275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18D731B" w14:textId="77777777" w:rsidTr="00DE4E22">
        <w:trPr>
          <w:trHeight w:val="225"/>
        </w:trPr>
        <w:tc>
          <w:tcPr>
            <w:tcW w:w="2227" w:type="dxa"/>
            <w:tcBorders>
              <w:top w:val="nil"/>
              <w:left w:val="nil"/>
              <w:bottom w:val="nil"/>
              <w:right w:val="nil"/>
            </w:tcBorders>
            <w:vAlign w:val="bottom"/>
          </w:tcPr>
          <w:p w14:paraId="2EF093E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C</w:t>
            </w:r>
          </w:p>
        </w:tc>
        <w:tc>
          <w:tcPr>
            <w:tcW w:w="1103" w:type="dxa"/>
            <w:gridSpan w:val="2"/>
            <w:tcBorders>
              <w:top w:val="nil"/>
              <w:left w:val="nil"/>
              <w:bottom w:val="nil"/>
              <w:right w:val="nil"/>
            </w:tcBorders>
            <w:vAlign w:val="bottom"/>
          </w:tcPr>
          <w:p w14:paraId="5E67424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0.254</w:t>
            </w:r>
          </w:p>
        </w:tc>
        <w:tc>
          <w:tcPr>
            <w:tcW w:w="1207" w:type="dxa"/>
            <w:tcBorders>
              <w:top w:val="nil"/>
              <w:left w:val="nil"/>
              <w:bottom w:val="nil"/>
              <w:right w:val="nil"/>
            </w:tcBorders>
            <w:vAlign w:val="bottom"/>
          </w:tcPr>
          <w:p w14:paraId="3A65DE6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0.061</w:t>
            </w:r>
          </w:p>
        </w:tc>
        <w:tc>
          <w:tcPr>
            <w:tcW w:w="1208" w:type="dxa"/>
            <w:tcBorders>
              <w:top w:val="nil"/>
              <w:left w:val="nil"/>
              <w:bottom w:val="nil"/>
              <w:right w:val="nil"/>
            </w:tcBorders>
            <w:vAlign w:val="bottom"/>
          </w:tcPr>
          <w:p w14:paraId="7111FBF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4.198</w:t>
            </w:r>
          </w:p>
        </w:tc>
        <w:tc>
          <w:tcPr>
            <w:tcW w:w="997" w:type="dxa"/>
            <w:tcBorders>
              <w:top w:val="nil"/>
              <w:left w:val="nil"/>
              <w:bottom w:val="nil"/>
              <w:right w:val="nil"/>
            </w:tcBorders>
            <w:vAlign w:val="bottom"/>
          </w:tcPr>
          <w:p w14:paraId="59FD32A9"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FD5034" w:rsidRPr="003353A0" w14:paraId="05D48691" w14:textId="77777777" w:rsidTr="00DE4E22">
        <w:trPr>
          <w:trHeight w:val="225"/>
        </w:trPr>
        <w:tc>
          <w:tcPr>
            <w:tcW w:w="2380" w:type="dxa"/>
            <w:gridSpan w:val="2"/>
            <w:tcBorders>
              <w:top w:val="nil"/>
              <w:left w:val="nil"/>
              <w:bottom w:val="nil"/>
              <w:right w:val="nil"/>
            </w:tcBorders>
            <w:vAlign w:val="bottom"/>
          </w:tcPr>
          <w:p w14:paraId="0A85BA5D" w14:textId="77777777" w:rsidR="00FD5034" w:rsidRPr="003353A0" w:rsidRDefault="00FD5034" w:rsidP="00DE4E22">
            <w:pPr>
              <w:autoSpaceDE w:val="0"/>
              <w:autoSpaceDN w:val="0"/>
              <w:adjustRightInd w:val="0"/>
              <w:spacing w:after="0" w:line="240" w:lineRule="auto"/>
              <w:jc w:val="center"/>
              <w:rPr>
                <w:rFonts w:ascii="Arial" w:hAnsi="Arial" w:cs="Arial"/>
                <w:sz w:val="18"/>
                <w:szCs w:val="18"/>
              </w:rPr>
            </w:pPr>
            <w:r w:rsidRPr="003353A0">
              <w:rPr>
                <w:rFonts w:ascii="Arial" w:hAnsi="Arial" w:cs="Arial"/>
                <w:sz w:val="18"/>
                <w:szCs w:val="18"/>
              </w:rPr>
              <w:t>D(</w:t>
            </w:r>
            <w:proofErr w:type="gramStart"/>
            <w:r w:rsidRPr="003353A0">
              <w:rPr>
                <w:rFonts w:ascii="Arial" w:hAnsi="Arial" w:cs="Arial"/>
                <w:sz w:val="18"/>
                <w:szCs w:val="18"/>
              </w:rPr>
              <w:t>LNSEF(</w:t>
            </w:r>
            <w:proofErr w:type="gramEnd"/>
            <w:r w:rsidRPr="003353A0">
              <w:rPr>
                <w:rFonts w:ascii="Arial" w:hAnsi="Arial" w:cs="Arial"/>
                <w:sz w:val="18"/>
                <w:szCs w:val="18"/>
              </w:rPr>
              <w:t>-1))</w:t>
            </w:r>
          </w:p>
        </w:tc>
        <w:tc>
          <w:tcPr>
            <w:tcW w:w="950" w:type="dxa"/>
            <w:tcBorders>
              <w:top w:val="nil"/>
              <w:left w:val="nil"/>
              <w:bottom w:val="nil"/>
              <w:right w:val="nil"/>
            </w:tcBorders>
            <w:vAlign w:val="bottom"/>
          </w:tcPr>
          <w:p w14:paraId="474B364F"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rPr>
              <w:t>0.012</w:t>
            </w:r>
          </w:p>
        </w:tc>
        <w:tc>
          <w:tcPr>
            <w:tcW w:w="1207" w:type="dxa"/>
            <w:tcBorders>
              <w:top w:val="nil"/>
              <w:left w:val="nil"/>
              <w:bottom w:val="nil"/>
              <w:right w:val="nil"/>
            </w:tcBorders>
            <w:vAlign w:val="bottom"/>
          </w:tcPr>
          <w:p w14:paraId="2B6F5B34"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rPr>
              <w:t>0.004</w:t>
            </w:r>
          </w:p>
        </w:tc>
        <w:tc>
          <w:tcPr>
            <w:tcW w:w="1208" w:type="dxa"/>
            <w:tcBorders>
              <w:top w:val="nil"/>
              <w:left w:val="nil"/>
              <w:bottom w:val="nil"/>
              <w:right w:val="nil"/>
            </w:tcBorders>
            <w:vAlign w:val="bottom"/>
          </w:tcPr>
          <w:p w14:paraId="6A0A9FF2"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rPr>
              <w:t>3.265</w:t>
            </w:r>
          </w:p>
        </w:tc>
        <w:tc>
          <w:tcPr>
            <w:tcW w:w="997" w:type="dxa"/>
            <w:tcBorders>
              <w:top w:val="nil"/>
              <w:left w:val="nil"/>
              <w:bottom w:val="nil"/>
              <w:right w:val="nil"/>
            </w:tcBorders>
            <w:vAlign w:val="bottom"/>
          </w:tcPr>
          <w:p w14:paraId="34A700C0" w14:textId="77777777" w:rsidR="00FD5034" w:rsidRPr="003353A0" w:rsidRDefault="00FD5034" w:rsidP="00DE4E22">
            <w:pPr>
              <w:autoSpaceDE w:val="0"/>
              <w:autoSpaceDN w:val="0"/>
              <w:adjustRightInd w:val="0"/>
              <w:spacing w:after="0" w:line="240" w:lineRule="auto"/>
              <w:ind w:right="10"/>
              <w:jc w:val="right"/>
              <w:rPr>
                <w:rFonts w:ascii="Arial" w:hAnsi="Arial" w:cs="Arial"/>
                <w:sz w:val="18"/>
                <w:szCs w:val="18"/>
              </w:rPr>
            </w:pPr>
            <w:r w:rsidRPr="003353A0">
              <w:rPr>
                <w:rFonts w:ascii="Arial" w:hAnsi="Arial" w:cs="Arial"/>
                <w:sz w:val="18"/>
                <w:szCs w:val="18"/>
              </w:rPr>
              <w:t>0.005</w:t>
            </w:r>
          </w:p>
        </w:tc>
      </w:tr>
      <w:tr w:rsidR="00FD5034" w:rsidRPr="003353A0" w14:paraId="27A19A68" w14:textId="77777777" w:rsidTr="00DE4E22">
        <w:trPr>
          <w:trHeight w:val="225"/>
        </w:trPr>
        <w:tc>
          <w:tcPr>
            <w:tcW w:w="2227" w:type="dxa"/>
            <w:tcBorders>
              <w:top w:val="nil"/>
              <w:left w:val="nil"/>
              <w:bottom w:val="nil"/>
              <w:right w:val="nil"/>
            </w:tcBorders>
            <w:vAlign w:val="bottom"/>
          </w:tcPr>
          <w:p w14:paraId="453B20B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D(LNBEF)</w:t>
            </w:r>
          </w:p>
        </w:tc>
        <w:tc>
          <w:tcPr>
            <w:tcW w:w="1103" w:type="dxa"/>
            <w:gridSpan w:val="2"/>
            <w:tcBorders>
              <w:top w:val="nil"/>
              <w:left w:val="nil"/>
              <w:bottom w:val="nil"/>
              <w:right w:val="nil"/>
            </w:tcBorders>
            <w:vAlign w:val="bottom"/>
          </w:tcPr>
          <w:p w14:paraId="08632DF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0.002</w:t>
            </w:r>
          </w:p>
        </w:tc>
        <w:tc>
          <w:tcPr>
            <w:tcW w:w="1207" w:type="dxa"/>
            <w:tcBorders>
              <w:top w:val="nil"/>
              <w:left w:val="nil"/>
              <w:bottom w:val="nil"/>
              <w:right w:val="nil"/>
            </w:tcBorders>
            <w:vAlign w:val="bottom"/>
          </w:tcPr>
          <w:p w14:paraId="5FE6ADD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0.004</w:t>
            </w:r>
          </w:p>
        </w:tc>
        <w:tc>
          <w:tcPr>
            <w:tcW w:w="1208" w:type="dxa"/>
            <w:tcBorders>
              <w:top w:val="nil"/>
              <w:left w:val="nil"/>
              <w:bottom w:val="nil"/>
              <w:right w:val="nil"/>
            </w:tcBorders>
            <w:vAlign w:val="bottom"/>
          </w:tcPr>
          <w:p w14:paraId="2FA75CB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3.852</w:t>
            </w:r>
          </w:p>
        </w:tc>
        <w:tc>
          <w:tcPr>
            <w:tcW w:w="997" w:type="dxa"/>
            <w:tcBorders>
              <w:top w:val="nil"/>
              <w:left w:val="nil"/>
              <w:bottom w:val="nil"/>
              <w:right w:val="nil"/>
            </w:tcBorders>
            <w:vAlign w:val="bottom"/>
          </w:tcPr>
          <w:p w14:paraId="429D4D0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0.661</w:t>
            </w:r>
          </w:p>
        </w:tc>
      </w:tr>
      <w:tr w:rsidR="00FD5034" w:rsidRPr="003353A0" w14:paraId="61D6B46F" w14:textId="77777777" w:rsidTr="00DE4E22">
        <w:trPr>
          <w:trHeight w:val="225"/>
        </w:trPr>
        <w:tc>
          <w:tcPr>
            <w:tcW w:w="2227" w:type="dxa"/>
            <w:tcBorders>
              <w:top w:val="nil"/>
              <w:left w:val="nil"/>
              <w:bottom w:val="nil"/>
              <w:right w:val="nil"/>
            </w:tcBorders>
            <w:vAlign w:val="bottom"/>
          </w:tcPr>
          <w:p w14:paraId="7DAD417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D(LNGEF)</w:t>
            </w:r>
          </w:p>
        </w:tc>
        <w:tc>
          <w:tcPr>
            <w:tcW w:w="1103" w:type="dxa"/>
            <w:gridSpan w:val="2"/>
            <w:tcBorders>
              <w:top w:val="nil"/>
              <w:left w:val="nil"/>
              <w:bottom w:val="nil"/>
              <w:right w:val="nil"/>
            </w:tcBorders>
            <w:vAlign w:val="bottom"/>
          </w:tcPr>
          <w:p w14:paraId="7AB5B9E9"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0.624</w:t>
            </w:r>
          </w:p>
        </w:tc>
        <w:tc>
          <w:tcPr>
            <w:tcW w:w="1207" w:type="dxa"/>
            <w:tcBorders>
              <w:top w:val="nil"/>
              <w:left w:val="nil"/>
              <w:bottom w:val="nil"/>
              <w:right w:val="nil"/>
            </w:tcBorders>
            <w:vAlign w:val="bottom"/>
          </w:tcPr>
          <w:p w14:paraId="28AA22B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0.204</w:t>
            </w:r>
          </w:p>
        </w:tc>
        <w:tc>
          <w:tcPr>
            <w:tcW w:w="1208" w:type="dxa"/>
            <w:tcBorders>
              <w:top w:val="nil"/>
              <w:left w:val="nil"/>
              <w:bottom w:val="nil"/>
              <w:right w:val="nil"/>
            </w:tcBorders>
            <w:vAlign w:val="bottom"/>
          </w:tcPr>
          <w:p w14:paraId="2201D4A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3.064</w:t>
            </w:r>
          </w:p>
        </w:tc>
        <w:tc>
          <w:tcPr>
            <w:tcW w:w="997" w:type="dxa"/>
            <w:tcBorders>
              <w:top w:val="nil"/>
              <w:left w:val="nil"/>
              <w:bottom w:val="nil"/>
              <w:right w:val="nil"/>
            </w:tcBorders>
            <w:vAlign w:val="bottom"/>
          </w:tcPr>
          <w:p w14:paraId="3B485AF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0.244</w:t>
            </w:r>
          </w:p>
        </w:tc>
      </w:tr>
      <w:tr w:rsidR="00FD5034" w:rsidRPr="003353A0" w14:paraId="0928F9A6" w14:textId="77777777" w:rsidTr="00DE4E22">
        <w:trPr>
          <w:trHeight w:val="225"/>
        </w:trPr>
        <w:tc>
          <w:tcPr>
            <w:tcW w:w="2227" w:type="dxa"/>
            <w:tcBorders>
              <w:top w:val="nil"/>
              <w:left w:val="nil"/>
              <w:bottom w:val="nil"/>
              <w:right w:val="nil"/>
            </w:tcBorders>
            <w:vAlign w:val="bottom"/>
          </w:tcPr>
          <w:p w14:paraId="04D4E61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D(LNCEF)</w:t>
            </w:r>
          </w:p>
        </w:tc>
        <w:tc>
          <w:tcPr>
            <w:tcW w:w="1103" w:type="dxa"/>
            <w:gridSpan w:val="2"/>
            <w:tcBorders>
              <w:top w:val="nil"/>
              <w:left w:val="nil"/>
              <w:bottom w:val="nil"/>
              <w:right w:val="nil"/>
            </w:tcBorders>
            <w:vAlign w:val="bottom"/>
          </w:tcPr>
          <w:p w14:paraId="768B92B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0.314</w:t>
            </w:r>
          </w:p>
        </w:tc>
        <w:tc>
          <w:tcPr>
            <w:tcW w:w="1207" w:type="dxa"/>
            <w:tcBorders>
              <w:top w:val="nil"/>
              <w:left w:val="nil"/>
              <w:bottom w:val="nil"/>
              <w:right w:val="nil"/>
            </w:tcBorders>
            <w:vAlign w:val="bottom"/>
          </w:tcPr>
          <w:p w14:paraId="63883D3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0.111</w:t>
            </w:r>
          </w:p>
        </w:tc>
        <w:tc>
          <w:tcPr>
            <w:tcW w:w="1208" w:type="dxa"/>
            <w:tcBorders>
              <w:top w:val="nil"/>
              <w:left w:val="nil"/>
              <w:bottom w:val="nil"/>
              <w:right w:val="nil"/>
            </w:tcBorders>
            <w:vAlign w:val="bottom"/>
          </w:tcPr>
          <w:p w14:paraId="7CA12C70"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2.830</w:t>
            </w:r>
          </w:p>
        </w:tc>
        <w:tc>
          <w:tcPr>
            <w:tcW w:w="997" w:type="dxa"/>
            <w:tcBorders>
              <w:top w:val="nil"/>
              <w:left w:val="nil"/>
              <w:bottom w:val="nil"/>
              <w:right w:val="nil"/>
            </w:tcBorders>
            <w:vAlign w:val="bottom"/>
          </w:tcPr>
          <w:p w14:paraId="4E32AD2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0.217</w:t>
            </w:r>
          </w:p>
        </w:tc>
      </w:tr>
      <w:tr w:rsidR="00FD5034" w:rsidRPr="003353A0" w14:paraId="689D0FCB" w14:textId="77777777" w:rsidTr="00DE4E22">
        <w:trPr>
          <w:trHeight w:val="225"/>
        </w:trPr>
        <w:tc>
          <w:tcPr>
            <w:tcW w:w="2227" w:type="dxa"/>
            <w:tcBorders>
              <w:top w:val="nil"/>
              <w:left w:val="nil"/>
              <w:bottom w:val="nil"/>
              <w:right w:val="nil"/>
            </w:tcBorders>
            <w:vAlign w:val="bottom"/>
          </w:tcPr>
          <w:p w14:paraId="03FE184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D(LNFEF)</w:t>
            </w:r>
          </w:p>
        </w:tc>
        <w:tc>
          <w:tcPr>
            <w:tcW w:w="1103" w:type="dxa"/>
            <w:gridSpan w:val="2"/>
            <w:tcBorders>
              <w:top w:val="nil"/>
              <w:left w:val="nil"/>
              <w:bottom w:val="nil"/>
              <w:right w:val="nil"/>
            </w:tcBorders>
            <w:vAlign w:val="bottom"/>
          </w:tcPr>
          <w:p w14:paraId="45F6B78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0.002</w:t>
            </w:r>
          </w:p>
        </w:tc>
        <w:tc>
          <w:tcPr>
            <w:tcW w:w="1207" w:type="dxa"/>
            <w:tcBorders>
              <w:top w:val="nil"/>
              <w:left w:val="nil"/>
              <w:bottom w:val="nil"/>
              <w:right w:val="nil"/>
            </w:tcBorders>
            <w:vAlign w:val="bottom"/>
          </w:tcPr>
          <w:p w14:paraId="24ECB94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0.011</w:t>
            </w:r>
          </w:p>
        </w:tc>
        <w:tc>
          <w:tcPr>
            <w:tcW w:w="1208" w:type="dxa"/>
            <w:tcBorders>
              <w:top w:val="nil"/>
              <w:left w:val="nil"/>
              <w:bottom w:val="nil"/>
              <w:right w:val="nil"/>
            </w:tcBorders>
            <w:vAlign w:val="bottom"/>
          </w:tcPr>
          <w:p w14:paraId="288C817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0.169</w:t>
            </w:r>
          </w:p>
        </w:tc>
        <w:tc>
          <w:tcPr>
            <w:tcW w:w="997" w:type="dxa"/>
            <w:tcBorders>
              <w:top w:val="nil"/>
              <w:left w:val="nil"/>
              <w:bottom w:val="nil"/>
              <w:right w:val="nil"/>
            </w:tcBorders>
            <w:vAlign w:val="bottom"/>
          </w:tcPr>
          <w:p w14:paraId="3150175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0.867</w:t>
            </w:r>
          </w:p>
        </w:tc>
      </w:tr>
      <w:tr w:rsidR="00FD5034" w:rsidRPr="003353A0" w14:paraId="72D14135" w14:textId="77777777" w:rsidTr="00DE4E22">
        <w:trPr>
          <w:trHeight w:val="225"/>
        </w:trPr>
        <w:tc>
          <w:tcPr>
            <w:tcW w:w="2227" w:type="dxa"/>
            <w:tcBorders>
              <w:top w:val="nil"/>
              <w:left w:val="nil"/>
              <w:bottom w:val="nil"/>
              <w:right w:val="nil"/>
            </w:tcBorders>
            <w:vAlign w:val="bottom"/>
          </w:tcPr>
          <w:p w14:paraId="6C73C3B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r w:rsidRPr="003353A0">
              <w:rPr>
                <w:rFonts w:ascii="Arial" w:hAnsi="Arial" w:cs="Arial"/>
                <w:sz w:val="18"/>
                <w:szCs w:val="18"/>
              </w:rPr>
              <w:t>D(LNELC)</w:t>
            </w:r>
          </w:p>
        </w:tc>
        <w:tc>
          <w:tcPr>
            <w:tcW w:w="1103" w:type="dxa"/>
            <w:gridSpan w:val="2"/>
            <w:tcBorders>
              <w:top w:val="nil"/>
              <w:left w:val="nil"/>
              <w:bottom w:val="nil"/>
              <w:right w:val="nil"/>
            </w:tcBorders>
            <w:vAlign w:val="bottom"/>
          </w:tcPr>
          <w:p w14:paraId="302970E5"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0.607</w:t>
            </w:r>
          </w:p>
        </w:tc>
        <w:tc>
          <w:tcPr>
            <w:tcW w:w="1207" w:type="dxa"/>
            <w:tcBorders>
              <w:top w:val="nil"/>
              <w:left w:val="nil"/>
              <w:bottom w:val="nil"/>
              <w:right w:val="nil"/>
            </w:tcBorders>
            <w:vAlign w:val="bottom"/>
          </w:tcPr>
          <w:p w14:paraId="40DCDA6E"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0.104</w:t>
            </w:r>
          </w:p>
        </w:tc>
        <w:tc>
          <w:tcPr>
            <w:tcW w:w="1208" w:type="dxa"/>
            <w:tcBorders>
              <w:top w:val="nil"/>
              <w:left w:val="nil"/>
              <w:bottom w:val="nil"/>
              <w:right w:val="nil"/>
            </w:tcBorders>
            <w:vAlign w:val="bottom"/>
          </w:tcPr>
          <w:p w14:paraId="73B4949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5.821</w:t>
            </w:r>
          </w:p>
        </w:tc>
        <w:tc>
          <w:tcPr>
            <w:tcW w:w="997" w:type="dxa"/>
            <w:tcBorders>
              <w:top w:val="nil"/>
              <w:left w:val="nil"/>
              <w:bottom w:val="nil"/>
              <w:right w:val="nil"/>
            </w:tcBorders>
            <w:vAlign w:val="bottom"/>
          </w:tcPr>
          <w:p w14:paraId="71B61F0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FD5034" w:rsidRPr="003353A0" w14:paraId="1E977E36" w14:textId="77777777" w:rsidTr="00DE4E22">
        <w:trPr>
          <w:trHeight w:val="225"/>
        </w:trPr>
        <w:tc>
          <w:tcPr>
            <w:tcW w:w="2227" w:type="dxa"/>
            <w:tcBorders>
              <w:top w:val="nil"/>
              <w:left w:val="nil"/>
              <w:bottom w:val="nil"/>
              <w:right w:val="nil"/>
            </w:tcBorders>
            <w:vAlign w:val="bottom"/>
          </w:tcPr>
          <w:p w14:paraId="60BF7D3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roofErr w:type="gramStart"/>
            <w:r w:rsidRPr="003353A0">
              <w:rPr>
                <w:rFonts w:ascii="Arial" w:hAnsi="Arial" w:cs="Arial"/>
                <w:sz w:val="18"/>
                <w:szCs w:val="18"/>
              </w:rPr>
              <w:t>ECT(</w:t>
            </w:r>
            <w:proofErr w:type="gramEnd"/>
            <w:r w:rsidRPr="003353A0">
              <w:rPr>
                <w:rFonts w:ascii="Arial" w:hAnsi="Arial" w:cs="Arial"/>
                <w:sz w:val="18"/>
                <w:szCs w:val="18"/>
              </w:rPr>
              <w:t>-1)*</w:t>
            </w:r>
          </w:p>
        </w:tc>
        <w:tc>
          <w:tcPr>
            <w:tcW w:w="1103" w:type="dxa"/>
            <w:gridSpan w:val="2"/>
            <w:tcBorders>
              <w:top w:val="nil"/>
              <w:left w:val="nil"/>
              <w:bottom w:val="nil"/>
              <w:right w:val="nil"/>
            </w:tcBorders>
            <w:vAlign w:val="bottom"/>
          </w:tcPr>
          <w:p w14:paraId="2D33CDF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-0.522</w:t>
            </w:r>
          </w:p>
        </w:tc>
        <w:tc>
          <w:tcPr>
            <w:tcW w:w="1207" w:type="dxa"/>
            <w:tcBorders>
              <w:top w:val="nil"/>
              <w:left w:val="nil"/>
              <w:bottom w:val="nil"/>
              <w:right w:val="nil"/>
            </w:tcBorders>
            <w:vAlign w:val="bottom"/>
          </w:tcPr>
          <w:p w14:paraId="377284C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0.119</w:t>
            </w:r>
          </w:p>
        </w:tc>
        <w:tc>
          <w:tcPr>
            <w:tcW w:w="1208" w:type="dxa"/>
            <w:tcBorders>
              <w:top w:val="nil"/>
              <w:left w:val="nil"/>
              <w:bottom w:val="nil"/>
              <w:right w:val="nil"/>
            </w:tcBorders>
            <w:vAlign w:val="bottom"/>
          </w:tcPr>
          <w:p w14:paraId="3F5BC72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-4.377</w:t>
            </w:r>
          </w:p>
        </w:tc>
        <w:tc>
          <w:tcPr>
            <w:tcW w:w="997" w:type="dxa"/>
            <w:tcBorders>
              <w:top w:val="nil"/>
              <w:left w:val="nil"/>
              <w:bottom w:val="nil"/>
              <w:right w:val="nil"/>
            </w:tcBorders>
            <w:vAlign w:val="bottom"/>
          </w:tcPr>
          <w:p w14:paraId="3EF3808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r>
      <w:tr w:rsidR="00FD5034" w:rsidRPr="003353A0" w14:paraId="1D55732B" w14:textId="77777777" w:rsidTr="00DE4E22">
        <w:trPr>
          <w:trHeight w:hRule="exact" w:val="90"/>
        </w:trPr>
        <w:tc>
          <w:tcPr>
            <w:tcW w:w="2227" w:type="dxa"/>
            <w:tcBorders>
              <w:top w:val="nil"/>
              <w:left w:val="nil"/>
              <w:bottom w:val="double" w:sz="6" w:space="2" w:color="auto"/>
              <w:right w:val="nil"/>
            </w:tcBorders>
            <w:vAlign w:val="bottom"/>
          </w:tcPr>
          <w:p w14:paraId="34D1A10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2" w:color="auto"/>
              <w:right w:val="nil"/>
            </w:tcBorders>
            <w:vAlign w:val="bottom"/>
          </w:tcPr>
          <w:p w14:paraId="691C5BD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7FFC4B6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0CE68C4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039F9CF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F2A49CE" w14:textId="77777777" w:rsidTr="00DE4E22">
        <w:trPr>
          <w:trHeight w:hRule="exact" w:val="135"/>
        </w:trPr>
        <w:tc>
          <w:tcPr>
            <w:tcW w:w="2227" w:type="dxa"/>
            <w:tcBorders>
              <w:top w:val="nil"/>
              <w:left w:val="nil"/>
              <w:bottom w:val="nil"/>
              <w:right w:val="nil"/>
            </w:tcBorders>
            <w:vAlign w:val="bottom"/>
          </w:tcPr>
          <w:p w14:paraId="722FFE6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363EAD3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1D874EFA"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6AED914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36EC37E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34FC02B" w14:textId="77777777" w:rsidTr="00DE4E22">
        <w:trPr>
          <w:trHeight w:val="225"/>
        </w:trPr>
        <w:tc>
          <w:tcPr>
            <w:tcW w:w="2227" w:type="dxa"/>
            <w:tcBorders>
              <w:top w:val="nil"/>
              <w:left w:val="nil"/>
              <w:bottom w:val="nil"/>
              <w:right w:val="nil"/>
            </w:tcBorders>
            <w:vAlign w:val="bottom"/>
          </w:tcPr>
          <w:p w14:paraId="345E1AFC"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R-squared</w:t>
            </w:r>
          </w:p>
        </w:tc>
        <w:tc>
          <w:tcPr>
            <w:tcW w:w="1103" w:type="dxa"/>
            <w:gridSpan w:val="2"/>
            <w:tcBorders>
              <w:top w:val="nil"/>
              <w:left w:val="nil"/>
              <w:bottom w:val="nil"/>
              <w:right w:val="nil"/>
            </w:tcBorders>
            <w:vAlign w:val="bottom"/>
          </w:tcPr>
          <w:p w14:paraId="193E036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0.689</w:t>
            </w:r>
          </w:p>
        </w:tc>
        <w:tc>
          <w:tcPr>
            <w:tcW w:w="2415" w:type="dxa"/>
            <w:gridSpan w:val="2"/>
            <w:tcBorders>
              <w:top w:val="nil"/>
              <w:left w:val="nil"/>
              <w:bottom w:val="nil"/>
              <w:right w:val="nil"/>
            </w:tcBorders>
            <w:vAlign w:val="bottom"/>
          </w:tcPr>
          <w:p w14:paraId="7B152F53"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Mean dependent var</w:t>
            </w:r>
          </w:p>
        </w:tc>
        <w:tc>
          <w:tcPr>
            <w:tcW w:w="997" w:type="dxa"/>
            <w:tcBorders>
              <w:top w:val="nil"/>
              <w:left w:val="nil"/>
              <w:bottom w:val="nil"/>
              <w:right w:val="nil"/>
            </w:tcBorders>
            <w:vAlign w:val="bottom"/>
          </w:tcPr>
          <w:p w14:paraId="76C58A1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0.031</w:t>
            </w:r>
          </w:p>
        </w:tc>
      </w:tr>
      <w:tr w:rsidR="00FD5034" w:rsidRPr="003353A0" w14:paraId="16707476" w14:textId="77777777" w:rsidTr="00DE4E22">
        <w:trPr>
          <w:trHeight w:val="225"/>
        </w:trPr>
        <w:tc>
          <w:tcPr>
            <w:tcW w:w="2227" w:type="dxa"/>
            <w:tcBorders>
              <w:top w:val="nil"/>
              <w:left w:val="nil"/>
              <w:bottom w:val="nil"/>
              <w:right w:val="nil"/>
            </w:tcBorders>
            <w:vAlign w:val="bottom"/>
          </w:tcPr>
          <w:p w14:paraId="758BF86D"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Adjusted R-squared</w:t>
            </w:r>
          </w:p>
        </w:tc>
        <w:tc>
          <w:tcPr>
            <w:tcW w:w="1103" w:type="dxa"/>
            <w:gridSpan w:val="2"/>
            <w:tcBorders>
              <w:top w:val="nil"/>
              <w:left w:val="nil"/>
              <w:bottom w:val="nil"/>
              <w:right w:val="nil"/>
            </w:tcBorders>
            <w:vAlign w:val="bottom"/>
          </w:tcPr>
          <w:p w14:paraId="15C66064"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0.627</w:t>
            </w:r>
          </w:p>
        </w:tc>
        <w:tc>
          <w:tcPr>
            <w:tcW w:w="2415" w:type="dxa"/>
            <w:gridSpan w:val="2"/>
            <w:tcBorders>
              <w:top w:val="nil"/>
              <w:left w:val="nil"/>
              <w:bottom w:val="nil"/>
              <w:right w:val="nil"/>
            </w:tcBorders>
            <w:vAlign w:val="bottom"/>
          </w:tcPr>
          <w:p w14:paraId="766C9A4A"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S.D. dependent var</w:t>
            </w:r>
          </w:p>
        </w:tc>
        <w:tc>
          <w:tcPr>
            <w:tcW w:w="997" w:type="dxa"/>
            <w:tcBorders>
              <w:top w:val="nil"/>
              <w:left w:val="nil"/>
              <w:bottom w:val="nil"/>
              <w:right w:val="nil"/>
            </w:tcBorders>
            <w:vAlign w:val="bottom"/>
          </w:tcPr>
          <w:p w14:paraId="3F681167"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0.093</w:t>
            </w:r>
          </w:p>
        </w:tc>
      </w:tr>
      <w:tr w:rsidR="00FD5034" w:rsidRPr="003353A0" w14:paraId="01DE0C3F" w14:textId="77777777" w:rsidTr="00DE4E22">
        <w:trPr>
          <w:trHeight w:val="225"/>
        </w:trPr>
        <w:tc>
          <w:tcPr>
            <w:tcW w:w="2227" w:type="dxa"/>
            <w:tcBorders>
              <w:top w:val="nil"/>
              <w:left w:val="nil"/>
              <w:bottom w:val="nil"/>
              <w:right w:val="nil"/>
            </w:tcBorders>
            <w:vAlign w:val="bottom"/>
          </w:tcPr>
          <w:p w14:paraId="733096C0"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S.E. of regression</w:t>
            </w:r>
          </w:p>
        </w:tc>
        <w:tc>
          <w:tcPr>
            <w:tcW w:w="1103" w:type="dxa"/>
            <w:gridSpan w:val="2"/>
            <w:tcBorders>
              <w:top w:val="nil"/>
              <w:left w:val="nil"/>
              <w:bottom w:val="nil"/>
              <w:right w:val="nil"/>
            </w:tcBorders>
            <w:vAlign w:val="bottom"/>
          </w:tcPr>
          <w:p w14:paraId="2A14335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0.057</w:t>
            </w:r>
          </w:p>
        </w:tc>
        <w:tc>
          <w:tcPr>
            <w:tcW w:w="2415" w:type="dxa"/>
            <w:gridSpan w:val="2"/>
            <w:tcBorders>
              <w:top w:val="nil"/>
              <w:left w:val="nil"/>
              <w:bottom w:val="nil"/>
              <w:right w:val="nil"/>
            </w:tcBorders>
            <w:vAlign w:val="bottom"/>
          </w:tcPr>
          <w:p w14:paraId="64019619"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Akaike info criterion</w:t>
            </w:r>
          </w:p>
        </w:tc>
        <w:tc>
          <w:tcPr>
            <w:tcW w:w="997" w:type="dxa"/>
            <w:tcBorders>
              <w:top w:val="nil"/>
              <w:left w:val="nil"/>
              <w:bottom w:val="nil"/>
              <w:right w:val="nil"/>
            </w:tcBorders>
            <w:vAlign w:val="bottom"/>
          </w:tcPr>
          <w:p w14:paraId="2BE81799"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-2.735</w:t>
            </w:r>
          </w:p>
        </w:tc>
      </w:tr>
      <w:tr w:rsidR="00FD5034" w:rsidRPr="003353A0" w14:paraId="12E4C31F" w14:textId="77777777" w:rsidTr="00DE4E22">
        <w:trPr>
          <w:trHeight w:val="225"/>
        </w:trPr>
        <w:tc>
          <w:tcPr>
            <w:tcW w:w="2227" w:type="dxa"/>
            <w:tcBorders>
              <w:top w:val="nil"/>
              <w:left w:val="nil"/>
              <w:bottom w:val="nil"/>
              <w:right w:val="nil"/>
            </w:tcBorders>
            <w:vAlign w:val="bottom"/>
          </w:tcPr>
          <w:p w14:paraId="3E888130"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Sum squared resid</w:t>
            </w:r>
          </w:p>
        </w:tc>
        <w:tc>
          <w:tcPr>
            <w:tcW w:w="1103" w:type="dxa"/>
            <w:gridSpan w:val="2"/>
            <w:tcBorders>
              <w:top w:val="nil"/>
              <w:left w:val="nil"/>
              <w:bottom w:val="nil"/>
              <w:right w:val="nil"/>
            </w:tcBorders>
            <w:vAlign w:val="bottom"/>
          </w:tcPr>
          <w:p w14:paraId="15D0E00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0.096</w:t>
            </w:r>
          </w:p>
        </w:tc>
        <w:tc>
          <w:tcPr>
            <w:tcW w:w="2415" w:type="dxa"/>
            <w:gridSpan w:val="2"/>
            <w:tcBorders>
              <w:top w:val="nil"/>
              <w:left w:val="nil"/>
              <w:bottom w:val="nil"/>
              <w:right w:val="nil"/>
            </w:tcBorders>
            <w:vAlign w:val="bottom"/>
          </w:tcPr>
          <w:p w14:paraId="092FA2B3"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Schwarz criterion</w:t>
            </w:r>
          </w:p>
        </w:tc>
        <w:tc>
          <w:tcPr>
            <w:tcW w:w="997" w:type="dxa"/>
            <w:tcBorders>
              <w:top w:val="nil"/>
              <w:left w:val="nil"/>
              <w:bottom w:val="nil"/>
              <w:right w:val="nil"/>
            </w:tcBorders>
            <w:vAlign w:val="bottom"/>
          </w:tcPr>
          <w:p w14:paraId="03814FF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-2.430</w:t>
            </w:r>
          </w:p>
        </w:tc>
      </w:tr>
      <w:tr w:rsidR="00FD5034" w:rsidRPr="003353A0" w14:paraId="3E3FCC99" w14:textId="77777777" w:rsidTr="00DE4E22">
        <w:trPr>
          <w:trHeight w:val="225"/>
        </w:trPr>
        <w:tc>
          <w:tcPr>
            <w:tcW w:w="2227" w:type="dxa"/>
            <w:tcBorders>
              <w:top w:val="nil"/>
              <w:left w:val="nil"/>
              <w:bottom w:val="nil"/>
              <w:right w:val="nil"/>
            </w:tcBorders>
            <w:vAlign w:val="bottom"/>
          </w:tcPr>
          <w:p w14:paraId="6D1E2552"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Log likelihood</w:t>
            </w:r>
          </w:p>
        </w:tc>
        <w:tc>
          <w:tcPr>
            <w:tcW w:w="1103" w:type="dxa"/>
            <w:gridSpan w:val="2"/>
            <w:tcBorders>
              <w:top w:val="nil"/>
              <w:left w:val="nil"/>
              <w:bottom w:val="nil"/>
              <w:right w:val="nil"/>
            </w:tcBorders>
            <w:vAlign w:val="bottom"/>
          </w:tcPr>
          <w:p w14:paraId="388AA94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57.602</w:t>
            </w:r>
          </w:p>
        </w:tc>
        <w:tc>
          <w:tcPr>
            <w:tcW w:w="2415" w:type="dxa"/>
            <w:gridSpan w:val="2"/>
            <w:tcBorders>
              <w:top w:val="nil"/>
              <w:left w:val="nil"/>
              <w:bottom w:val="nil"/>
              <w:right w:val="nil"/>
            </w:tcBorders>
            <w:vAlign w:val="bottom"/>
          </w:tcPr>
          <w:p w14:paraId="3A8E128B"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Hannan-Quinn criter.</w:t>
            </w:r>
          </w:p>
        </w:tc>
        <w:tc>
          <w:tcPr>
            <w:tcW w:w="997" w:type="dxa"/>
            <w:tcBorders>
              <w:top w:val="nil"/>
              <w:left w:val="nil"/>
              <w:bottom w:val="nil"/>
              <w:right w:val="nil"/>
            </w:tcBorders>
            <w:vAlign w:val="bottom"/>
          </w:tcPr>
          <w:p w14:paraId="776A25F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-2.628</w:t>
            </w:r>
          </w:p>
        </w:tc>
      </w:tr>
      <w:tr w:rsidR="00FD5034" w:rsidRPr="003353A0" w14:paraId="2B6E3A0B" w14:textId="77777777" w:rsidTr="00DE4E22">
        <w:trPr>
          <w:trHeight w:val="225"/>
        </w:trPr>
        <w:tc>
          <w:tcPr>
            <w:tcW w:w="2227" w:type="dxa"/>
            <w:tcBorders>
              <w:top w:val="nil"/>
              <w:left w:val="nil"/>
              <w:bottom w:val="nil"/>
              <w:right w:val="nil"/>
            </w:tcBorders>
            <w:vAlign w:val="bottom"/>
          </w:tcPr>
          <w:p w14:paraId="3098EF43"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F-statistic</w:t>
            </w:r>
          </w:p>
        </w:tc>
        <w:tc>
          <w:tcPr>
            <w:tcW w:w="1103" w:type="dxa"/>
            <w:gridSpan w:val="2"/>
            <w:tcBorders>
              <w:top w:val="nil"/>
              <w:left w:val="nil"/>
              <w:bottom w:val="nil"/>
              <w:right w:val="nil"/>
            </w:tcBorders>
            <w:vAlign w:val="bottom"/>
          </w:tcPr>
          <w:p w14:paraId="761FA37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11.097</w:t>
            </w:r>
          </w:p>
        </w:tc>
        <w:tc>
          <w:tcPr>
            <w:tcW w:w="2415" w:type="dxa"/>
            <w:gridSpan w:val="2"/>
            <w:tcBorders>
              <w:top w:val="nil"/>
              <w:left w:val="nil"/>
              <w:bottom w:val="nil"/>
              <w:right w:val="nil"/>
            </w:tcBorders>
            <w:vAlign w:val="bottom"/>
          </w:tcPr>
          <w:p w14:paraId="36CF3365"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Durbin-Watson stat</w:t>
            </w:r>
          </w:p>
        </w:tc>
        <w:tc>
          <w:tcPr>
            <w:tcW w:w="997" w:type="dxa"/>
            <w:tcBorders>
              <w:top w:val="nil"/>
              <w:left w:val="nil"/>
              <w:bottom w:val="nil"/>
              <w:right w:val="nil"/>
            </w:tcBorders>
            <w:vAlign w:val="bottom"/>
          </w:tcPr>
          <w:p w14:paraId="45F38CD2"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2.1214</w:t>
            </w:r>
          </w:p>
        </w:tc>
      </w:tr>
      <w:tr w:rsidR="00FD5034" w:rsidRPr="003353A0" w14:paraId="2418B21B" w14:textId="77777777" w:rsidTr="00DE4E22">
        <w:trPr>
          <w:trHeight w:val="225"/>
        </w:trPr>
        <w:tc>
          <w:tcPr>
            <w:tcW w:w="2227" w:type="dxa"/>
            <w:tcBorders>
              <w:top w:val="nil"/>
              <w:left w:val="nil"/>
              <w:bottom w:val="nil"/>
              <w:right w:val="nil"/>
            </w:tcBorders>
            <w:vAlign w:val="bottom"/>
          </w:tcPr>
          <w:p w14:paraId="3EB58519"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Prob(F-statistic)</w:t>
            </w:r>
          </w:p>
        </w:tc>
        <w:tc>
          <w:tcPr>
            <w:tcW w:w="1103" w:type="dxa"/>
            <w:gridSpan w:val="2"/>
            <w:tcBorders>
              <w:top w:val="nil"/>
              <w:left w:val="nil"/>
              <w:bottom w:val="nil"/>
              <w:right w:val="nil"/>
            </w:tcBorders>
            <w:vAlign w:val="bottom"/>
          </w:tcPr>
          <w:p w14:paraId="54BFE666"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0.000</w:t>
            </w:r>
          </w:p>
        </w:tc>
        <w:tc>
          <w:tcPr>
            <w:tcW w:w="1207" w:type="dxa"/>
            <w:tcBorders>
              <w:top w:val="nil"/>
              <w:left w:val="nil"/>
              <w:bottom w:val="nil"/>
              <w:right w:val="nil"/>
            </w:tcBorders>
            <w:vAlign w:val="bottom"/>
          </w:tcPr>
          <w:p w14:paraId="60F6BA7C" w14:textId="77777777" w:rsidR="00FD5034" w:rsidRPr="003353A0" w:rsidRDefault="00FD5034" w:rsidP="00DE4E22">
            <w:pPr>
              <w:autoSpaceDE w:val="0"/>
              <w:autoSpaceDN w:val="0"/>
              <w:adjustRightInd w:val="0"/>
              <w:spacing w:after="0" w:line="276" w:lineRule="auto"/>
              <w:ind w:right="10"/>
              <w:jc w:val="center"/>
              <w:rPr>
                <w:rFonts w:ascii="Arial" w:hAnsi="Arial" w:cs="Arial"/>
                <w:sz w:val="18"/>
                <w:szCs w:val="18"/>
              </w:rPr>
            </w:pPr>
          </w:p>
        </w:tc>
        <w:tc>
          <w:tcPr>
            <w:tcW w:w="1208" w:type="dxa"/>
            <w:tcBorders>
              <w:top w:val="nil"/>
              <w:left w:val="nil"/>
              <w:bottom w:val="nil"/>
              <w:right w:val="nil"/>
            </w:tcBorders>
            <w:vAlign w:val="bottom"/>
          </w:tcPr>
          <w:p w14:paraId="745D024F" w14:textId="77777777" w:rsidR="00FD5034" w:rsidRPr="003353A0" w:rsidRDefault="00FD5034" w:rsidP="00DE4E22">
            <w:pPr>
              <w:autoSpaceDE w:val="0"/>
              <w:autoSpaceDN w:val="0"/>
              <w:adjustRightInd w:val="0"/>
              <w:spacing w:after="0" w:line="276" w:lineRule="auto"/>
              <w:ind w:right="10"/>
              <w:jc w:val="center"/>
              <w:rPr>
                <w:rFonts w:ascii="Arial" w:hAnsi="Arial" w:cs="Arial"/>
                <w:sz w:val="18"/>
                <w:szCs w:val="18"/>
              </w:rPr>
            </w:pPr>
          </w:p>
        </w:tc>
        <w:tc>
          <w:tcPr>
            <w:tcW w:w="997" w:type="dxa"/>
            <w:tcBorders>
              <w:top w:val="nil"/>
              <w:left w:val="nil"/>
              <w:bottom w:val="nil"/>
              <w:right w:val="nil"/>
            </w:tcBorders>
            <w:vAlign w:val="bottom"/>
          </w:tcPr>
          <w:p w14:paraId="2F2E73AE" w14:textId="77777777" w:rsidR="00FD5034" w:rsidRPr="003353A0" w:rsidRDefault="00FD5034" w:rsidP="00DE4E22">
            <w:pPr>
              <w:autoSpaceDE w:val="0"/>
              <w:autoSpaceDN w:val="0"/>
              <w:adjustRightInd w:val="0"/>
              <w:spacing w:after="0" w:line="276" w:lineRule="auto"/>
              <w:ind w:right="10"/>
              <w:jc w:val="center"/>
              <w:rPr>
                <w:rFonts w:ascii="Arial" w:hAnsi="Arial" w:cs="Arial"/>
                <w:sz w:val="18"/>
                <w:szCs w:val="18"/>
              </w:rPr>
            </w:pPr>
          </w:p>
        </w:tc>
      </w:tr>
      <w:tr w:rsidR="00FD5034" w:rsidRPr="003353A0" w14:paraId="2B2CA980" w14:textId="77777777" w:rsidTr="00DE4E22">
        <w:trPr>
          <w:trHeight w:hRule="exact" w:val="90"/>
        </w:trPr>
        <w:tc>
          <w:tcPr>
            <w:tcW w:w="2227" w:type="dxa"/>
            <w:tcBorders>
              <w:top w:val="nil"/>
              <w:left w:val="nil"/>
              <w:bottom w:val="double" w:sz="6" w:space="0" w:color="auto"/>
              <w:right w:val="nil"/>
            </w:tcBorders>
            <w:vAlign w:val="bottom"/>
          </w:tcPr>
          <w:p w14:paraId="62756BC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double" w:sz="6" w:space="0" w:color="auto"/>
              <w:right w:val="nil"/>
            </w:tcBorders>
            <w:vAlign w:val="bottom"/>
          </w:tcPr>
          <w:p w14:paraId="4DB3C2E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0449C29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1CBAA8B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3FE7657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14CFF36" w14:textId="77777777" w:rsidTr="00DE4E22">
        <w:trPr>
          <w:trHeight w:hRule="exact" w:val="135"/>
        </w:trPr>
        <w:tc>
          <w:tcPr>
            <w:tcW w:w="2227" w:type="dxa"/>
            <w:tcBorders>
              <w:top w:val="nil"/>
              <w:left w:val="nil"/>
              <w:bottom w:val="nil"/>
              <w:right w:val="nil"/>
            </w:tcBorders>
            <w:vAlign w:val="bottom"/>
          </w:tcPr>
          <w:p w14:paraId="6B6F657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gridSpan w:val="2"/>
            <w:tcBorders>
              <w:top w:val="nil"/>
              <w:left w:val="nil"/>
              <w:bottom w:val="nil"/>
              <w:right w:val="nil"/>
            </w:tcBorders>
            <w:vAlign w:val="bottom"/>
          </w:tcPr>
          <w:p w14:paraId="2B94A1D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001232B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553150E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5FF8A7D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bl>
    <w:p w14:paraId="61E7955B" w14:textId="77777777"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sz w:val="24"/>
          <w:szCs w:val="24"/>
        </w:rPr>
        <w:lastRenderedPageBreak/>
        <w:t>S</w:t>
      </w:r>
      <w:r w:rsidRPr="003353A0">
        <w:rPr>
          <w:rFonts w:ascii="Times New Roman" w:hAnsi="Times New Roman" w:cs="Times New Roman"/>
          <w:b/>
          <w:bCs/>
          <w:sz w:val="24"/>
          <w:szCs w:val="24"/>
        </w:rPr>
        <w:t xml:space="preserve">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10.</w:t>
      </w:r>
    </w:p>
    <w:p w14:paraId="0C599CA1"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 xml:space="preserve">The ARDL error correction model in Table 6 investigates the short-run dynamics between electricity generation and independent variables; solar energy finance in Nigeria and Biomass energy finance and other control variables, namely: government energy finance, commercial banks' energy finance, energy finance from foreign aid, and electricity consumption in Nigeria. The error correction term </w:t>
      </w:r>
      <w:proofErr w:type="spellStart"/>
      <w:r w:rsidRPr="003353A0">
        <w:rPr>
          <w:rFonts w:ascii="Times New Roman" w:eastAsia="Times New Roman" w:hAnsi="Times New Roman" w:cs="Times New Roman"/>
          <w:sz w:val="24"/>
          <w:szCs w:val="24"/>
        </w:rPr>
        <w:t>ect</w:t>
      </w:r>
      <w:proofErr w:type="spellEnd"/>
      <w:r w:rsidRPr="003353A0">
        <w:rPr>
          <w:rFonts w:ascii="Times New Roman" w:eastAsia="Times New Roman" w:hAnsi="Times New Roman" w:cs="Times New Roman"/>
          <w:sz w:val="24"/>
          <w:szCs w:val="24"/>
        </w:rPr>
        <w:t xml:space="preserve"> has an estimated coefficient of -0.52 with a highly significant p-value of 0.00, this indicate that deviations from long-run equilibrium are corrected at a rate of 52.2</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per period, underscoring the model's stability and reliability for policy analysis. The estimated short-run coefficients reveal that the estimated coefficient of solar energy finance is 0.01 and significant. This shows that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solar energy finance contributed to about 0.01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to electricity generation in Nigeria. Biofuel energy finance is 0.002 and not significant. The result however shows that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biomass energy finance on the average contribute to about 0.002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The result of the independent variables shows that solar energy finance contributes more to electricity generation in Nigeria. This could be attributed to the increasing awareness of the importance of solar energy and possible government commitment towards encouraging rural electrification project and providing green energy. </w:t>
      </w:r>
    </w:p>
    <w:p w14:paraId="64DA746C"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 xml:space="preserve">The results of the control variables revealed that, the estimated coefficient of government expenditure on electricity is 0.62 and not statistically significant. The result indicates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government expenditure, on the average brings about 0.62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Also, the estimated coefficient of Commercial banks' energy finance was not significant. The result however revealed that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commercial banks’ energy finance on the average, brings about 0.31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Coefficient of energy finance from foreign aid was estimated to have a value of 0.002 and not statistically significant. Nevertheless, the result shows that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energy finance from foreign aid contributed to about 0.002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generation in nigeria. significant short-run impact. Contrary to the estimated coefficients of other control variables, the estimated coefficient electricity consumption is 0.61 and highly significant. The result indicates that a 1 </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increase in electricity consumption in Nigeria on the average contributed to electricity generation in Nigeria. This further expressed the relevance of increasing electricity consumption towards stimulating generation capacity in Nigeria. </w:t>
      </w:r>
    </w:p>
    <w:p w14:paraId="2BB14C52"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The summary statistics of the short-run ARDL model revealed R-squared value of 0.6</w:t>
      </w:r>
      <w:r>
        <w:rPr>
          <w:rFonts w:ascii="Times New Roman" w:eastAsia="Times New Roman" w:hAnsi="Times New Roman" w:cs="Times New Roman"/>
          <w:sz w:val="24"/>
          <w:szCs w:val="24"/>
        </w:rPr>
        <w:t>9</w:t>
      </w:r>
      <w:r w:rsidRPr="003353A0">
        <w:rPr>
          <w:rFonts w:ascii="Times New Roman" w:eastAsia="Times New Roman" w:hAnsi="Times New Roman" w:cs="Times New Roman"/>
          <w:sz w:val="24"/>
          <w:szCs w:val="24"/>
        </w:rPr>
        <w:t>, indicating that approximately 69</w:t>
      </w:r>
      <w:r>
        <w:rPr>
          <w:rFonts w:ascii="Times New Roman" w:eastAsia="Times New Roman" w:hAnsi="Times New Roman" w:cs="Times New Roman"/>
          <w:sz w:val="24"/>
          <w:szCs w:val="24"/>
        </w:rPr>
        <w:t xml:space="preserve"> percent</w:t>
      </w:r>
      <w:r w:rsidRPr="003353A0">
        <w:rPr>
          <w:rFonts w:ascii="Times New Roman" w:eastAsia="Times New Roman" w:hAnsi="Times New Roman" w:cs="Times New Roman"/>
          <w:sz w:val="24"/>
          <w:szCs w:val="24"/>
        </w:rPr>
        <w:t xml:space="preserve"> of the variability in electricity generation is explained by the variables model. After accounting for the number of predictors, the adjusted R-squared is 0.6</w:t>
      </w:r>
      <w:r>
        <w:rPr>
          <w:rFonts w:ascii="Times New Roman" w:eastAsia="Times New Roman" w:hAnsi="Times New Roman" w:cs="Times New Roman"/>
          <w:sz w:val="24"/>
          <w:szCs w:val="24"/>
        </w:rPr>
        <w:t>3</w:t>
      </w:r>
      <w:r w:rsidRPr="003353A0">
        <w:rPr>
          <w:rFonts w:ascii="Times New Roman" w:eastAsia="Times New Roman" w:hAnsi="Times New Roman" w:cs="Times New Roman"/>
          <w:sz w:val="24"/>
          <w:szCs w:val="24"/>
        </w:rPr>
        <w:t>. The standard error of regression is 0.0</w:t>
      </w:r>
      <w:r>
        <w:rPr>
          <w:rFonts w:ascii="Times New Roman" w:eastAsia="Times New Roman" w:hAnsi="Times New Roman" w:cs="Times New Roman"/>
          <w:sz w:val="24"/>
          <w:szCs w:val="24"/>
        </w:rPr>
        <w:t>6</w:t>
      </w:r>
      <w:r w:rsidRPr="003353A0">
        <w:rPr>
          <w:rFonts w:ascii="Times New Roman" w:eastAsia="Times New Roman" w:hAnsi="Times New Roman" w:cs="Times New Roman"/>
          <w:sz w:val="24"/>
          <w:szCs w:val="24"/>
        </w:rPr>
        <w:t>, suggesting that observed values deviate from the regression line by nearly 6</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The F-statistic value of 11.08 with a p-value of around 0.00 shows the model is statistically significant at the 5</w:t>
      </w:r>
      <w:r>
        <w:rPr>
          <w:rFonts w:ascii="Times New Roman" w:eastAsia="Times New Roman" w:hAnsi="Times New Roman" w:cs="Times New Roman"/>
          <w:sz w:val="24"/>
          <w:szCs w:val="24"/>
        </w:rPr>
        <w:t>percent</w:t>
      </w:r>
      <w:r w:rsidRPr="003353A0">
        <w:rPr>
          <w:rFonts w:ascii="Times New Roman" w:eastAsia="Times New Roman" w:hAnsi="Times New Roman" w:cs="Times New Roman"/>
          <w:sz w:val="24"/>
          <w:szCs w:val="24"/>
        </w:rPr>
        <w:t xml:space="preserve"> level. The Durbin-Watson statistic of approximately 2.12 suggests no serial correlation among the residuals.</w:t>
      </w:r>
    </w:p>
    <w:p w14:paraId="4BC9ADA5" w14:textId="2AF15AAC" w:rsidR="00FD5034" w:rsidRPr="003353A0" w:rsidRDefault="00FD5034" w:rsidP="00FD503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3353A0">
        <w:rPr>
          <w:rFonts w:ascii="Times New Roman" w:hAnsi="Times New Roman" w:cs="Times New Roman"/>
          <w:b/>
          <w:bCs/>
          <w:sz w:val="24"/>
          <w:szCs w:val="24"/>
        </w:rPr>
        <w:t>.4 Diagnostic Test on the Estimated ARDL Model</w:t>
      </w:r>
    </w:p>
    <w:p w14:paraId="13177434" w14:textId="77777777" w:rsidR="00FD5034" w:rsidRPr="003353A0" w:rsidRDefault="00FD5034" w:rsidP="00FD5034">
      <w:pPr>
        <w:spacing w:line="276"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A diagnostic test was conducted to examine the reliability of the ARDL model. The study employed the Jarque-Bera Normality test, the Breusch-Godfrey serial correlation test and the Breusch-Pagan-Godfrey heteroskedasticity test to test the underpinning assumption of the disturbance term. The results of the diagnostic test are presented in Table 5, 6 </w:t>
      </w:r>
      <w:proofErr w:type="gramStart"/>
      <w:r w:rsidRPr="003353A0">
        <w:rPr>
          <w:rFonts w:ascii="Times New Roman" w:hAnsi="Times New Roman" w:cs="Times New Roman"/>
          <w:sz w:val="24"/>
          <w:szCs w:val="24"/>
        </w:rPr>
        <w:t>and  7</w:t>
      </w:r>
      <w:proofErr w:type="gramEnd"/>
      <w:r w:rsidRPr="003353A0">
        <w:rPr>
          <w:rFonts w:ascii="Times New Roman" w:hAnsi="Times New Roman" w:cs="Times New Roman"/>
          <w:sz w:val="24"/>
          <w:szCs w:val="24"/>
        </w:rPr>
        <w:t>, respectively.</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FD5034" w:rsidRPr="003353A0" w14:paraId="51F99F94" w14:textId="77777777" w:rsidTr="00DE4E22">
        <w:trPr>
          <w:trHeight w:val="225"/>
        </w:trPr>
        <w:tc>
          <w:tcPr>
            <w:tcW w:w="6532" w:type="dxa"/>
            <w:gridSpan w:val="5"/>
            <w:tcBorders>
              <w:top w:val="nil"/>
              <w:left w:val="nil"/>
              <w:bottom w:val="nil"/>
              <w:right w:val="nil"/>
            </w:tcBorders>
            <w:vAlign w:val="bottom"/>
          </w:tcPr>
          <w:p w14:paraId="05D19987" w14:textId="77777777" w:rsidR="00FD5034" w:rsidRPr="003353A0" w:rsidRDefault="00FD5034" w:rsidP="00DE4E22">
            <w:pPr>
              <w:autoSpaceDE w:val="0"/>
              <w:autoSpaceDN w:val="0"/>
              <w:adjustRightInd w:val="0"/>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 xml:space="preserve">Table 5. </w:t>
            </w:r>
          </w:p>
          <w:p w14:paraId="54FB9114" w14:textId="77777777" w:rsidR="00FD5034" w:rsidRPr="003353A0" w:rsidRDefault="00FD5034" w:rsidP="00DE4E22">
            <w:pPr>
              <w:autoSpaceDE w:val="0"/>
              <w:autoSpaceDN w:val="0"/>
              <w:adjustRightInd w:val="0"/>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Jarque-Bera Normality Test</w:t>
            </w:r>
          </w:p>
        </w:tc>
      </w:tr>
      <w:tr w:rsidR="00FD5034" w:rsidRPr="003353A0" w14:paraId="034FFF7F" w14:textId="77777777" w:rsidTr="00DE4E22">
        <w:trPr>
          <w:trHeight w:hRule="exact" w:val="90"/>
        </w:trPr>
        <w:tc>
          <w:tcPr>
            <w:tcW w:w="2017" w:type="dxa"/>
            <w:tcBorders>
              <w:top w:val="nil"/>
              <w:left w:val="nil"/>
              <w:bottom w:val="double" w:sz="6" w:space="2" w:color="auto"/>
              <w:right w:val="nil"/>
            </w:tcBorders>
            <w:vAlign w:val="bottom"/>
          </w:tcPr>
          <w:p w14:paraId="706BDF82" w14:textId="77777777" w:rsidR="00FD5034" w:rsidRPr="003353A0" w:rsidRDefault="00FD5034" w:rsidP="00DE4E22">
            <w:pPr>
              <w:autoSpaceDE w:val="0"/>
              <w:autoSpaceDN w:val="0"/>
              <w:adjustRightInd w:val="0"/>
              <w:spacing w:after="0" w:line="276" w:lineRule="auto"/>
              <w:jc w:val="center"/>
              <w:rPr>
                <w:rFonts w:ascii="Times New Roman" w:hAnsi="Times New Roman" w:cs="Times New Roman"/>
                <w:b/>
                <w:bCs/>
                <w:sz w:val="24"/>
                <w:szCs w:val="24"/>
              </w:rPr>
            </w:pPr>
          </w:p>
        </w:tc>
        <w:tc>
          <w:tcPr>
            <w:tcW w:w="1103" w:type="dxa"/>
            <w:tcBorders>
              <w:top w:val="nil"/>
              <w:left w:val="nil"/>
              <w:bottom w:val="double" w:sz="6" w:space="2" w:color="auto"/>
              <w:right w:val="nil"/>
            </w:tcBorders>
            <w:vAlign w:val="bottom"/>
          </w:tcPr>
          <w:p w14:paraId="756A69E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0E6D772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1880912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174D15F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A6B2CCC" w14:textId="77777777" w:rsidTr="00DE4E22">
        <w:trPr>
          <w:trHeight w:hRule="exact" w:val="135"/>
        </w:trPr>
        <w:tc>
          <w:tcPr>
            <w:tcW w:w="2017" w:type="dxa"/>
            <w:tcBorders>
              <w:top w:val="nil"/>
              <w:left w:val="nil"/>
              <w:bottom w:val="nil"/>
              <w:right w:val="nil"/>
            </w:tcBorders>
            <w:vAlign w:val="bottom"/>
          </w:tcPr>
          <w:p w14:paraId="2F09540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13EA30F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1A648391"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1D18086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3E061547"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4A1AE4D" w14:textId="77777777" w:rsidTr="00DE4E22">
        <w:trPr>
          <w:trHeight w:val="225"/>
        </w:trPr>
        <w:tc>
          <w:tcPr>
            <w:tcW w:w="2017" w:type="dxa"/>
            <w:tcBorders>
              <w:top w:val="nil"/>
              <w:left w:val="nil"/>
              <w:bottom w:val="nil"/>
              <w:right w:val="nil"/>
            </w:tcBorders>
            <w:vAlign w:val="bottom"/>
          </w:tcPr>
          <w:p w14:paraId="4CA24615"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Jarque-Bera Statistic</w:t>
            </w:r>
          </w:p>
        </w:tc>
        <w:tc>
          <w:tcPr>
            <w:tcW w:w="1103" w:type="dxa"/>
            <w:tcBorders>
              <w:top w:val="nil"/>
              <w:left w:val="nil"/>
              <w:bottom w:val="nil"/>
              <w:right w:val="nil"/>
            </w:tcBorders>
            <w:vAlign w:val="bottom"/>
          </w:tcPr>
          <w:p w14:paraId="08676168"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0.261</w:t>
            </w:r>
          </w:p>
        </w:tc>
        <w:tc>
          <w:tcPr>
            <w:tcW w:w="2415" w:type="dxa"/>
            <w:gridSpan w:val="2"/>
            <w:tcBorders>
              <w:top w:val="nil"/>
              <w:left w:val="nil"/>
              <w:bottom w:val="nil"/>
              <w:right w:val="nil"/>
            </w:tcBorders>
            <w:vAlign w:val="bottom"/>
          </w:tcPr>
          <w:p w14:paraId="01109B17"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Prob.</w:t>
            </w:r>
          </w:p>
        </w:tc>
        <w:tc>
          <w:tcPr>
            <w:tcW w:w="997" w:type="dxa"/>
            <w:tcBorders>
              <w:top w:val="nil"/>
              <w:left w:val="nil"/>
              <w:bottom w:val="nil"/>
              <w:right w:val="nil"/>
            </w:tcBorders>
            <w:vAlign w:val="bottom"/>
          </w:tcPr>
          <w:p w14:paraId="751A7FB1"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0.877</w:t>
            </w:r>
          </w:p>
        </w:tc>
      </w:tr>
      <w:tr w:rsidR="00FD5034" w:rsidRPr="003353A0" w14:paraId="6EBB5C1D" w14:textId="77777777" w:rsidTr="00DE4E22">
        <w:trPr>
          <w:trHeight w:hRule="exact" w:val="90"/>
        </w:trPr>
        <w:tc>
          <w:tcPr>
            <w:tcW w:w="2017" w:type="dxa"/>
            <w:tcBorders>
              <w:top w:val="nil"/>
              <w:left w:val="nil"/>
              <w:bottom w:val="double" w:sz="6" w:space="0" w:color="auto"/>
              <w:right w:val="nil"/>
            </w:tcBorders>
            <w:vAlign w:val="bottom"/>
          </w:tcPr>
          <w:p w14:paraId="19A88EE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727DE51D"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62CB7D2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338CFF2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43249D82"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0177AEA" w14:textId="77777777" w:rsidTr="00DE4E22">
        <w:trPr>
          <w:trHeight w:val="225"/>
        </w:trPr>
        <w:tc>
          <w:tcPr>
            <w:tcW w:w="5535" w:type="dxa"/>
            <w:gridSpan w:val="4"/>
            <w:tcBorders>
              <w:top w:val="nil"/>
              <w:left w:val="nil"/>
              <w:bottom w:val="nil"/>
              <w:right w:val="nil"/>
            </w:tcBorders>
            <w:vAlign w:val="bottom"/>
          </w:tcPr>
          <w:p w14:paraId="24C9C736" w14:textId="77777777" w:rsidR="00FD5034" w:rsidRPr="003353A0" w:rsidRDefault="00FD5034" w:rsidP="00DE4E22">
            <w:pPr>
              <w:spacing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Source: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10.</w:t>
            </w:r>
          </w:p>
          <w:p w14:paraId="6BEC3410" w14:textId="77777777" w:rsidR="00FD5034" w:rsidRPr="003353A0" w:rsidRDefault="00FD5034" w:rsidP="00DE4E22">
            <w:pPr>
              <w:autoSpaceDE w:val="0"/>
              <w:autoSpaceDN w:val="0"/>
              <w:adjustRightInd w:val="0"/>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 xml:space="preserve">Table 6. </w:t>
            </w:r>
          </w:p>
          <w:p w14:paraId="5F9634A9" w14:textId="77777777" w:rsidR="00FD5034" w:rsidRPr="003353A0" w:rsidRDefault="00FD5034" w:rsidP="00DE4E22">
            <w:pPr>
              <w:autoSpaceDE w:val="0"/>
              <w:autoSpaceDN w:val="0"/>
              <w:adjustRightInd w:val="0"/>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Breusch-Godfrey Serial Correlation LM Test:</w:t>
            </w:r>
          </w:p>
        </w:tc>
        <w:tc>
          <w:tcPr>
            <w:tcW w:w="997" w:type="dxa"/>
            <w:tcBorders>
              <w:top w:val="nil"/>
              <w:left w:val="nil"/>
              <w:bottom w:val="nil"/>
              <w:right w:val="nil"/>
            </w:tcBorders>
            <w:vAlign w:val="bottom"/>
          </w:tcPr>
          <w:p w14:paraId="206F122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081FF626" w14:textId="77777777" w:rsidTr="00DE4E22">
        <w:trPr>
          <w:trHeight w:hRule="exact" w:val="90"/>
        </w:trPr>
        <w:tc>
          <w:tcPr>
            <w:tcW w:w="2017" w:type="dxa"/>
            <w:tcBorders>
              <w:top w:val="nil"/>
              <w:left w:val="nil"/>
              <w:bottom w:val="double" w:sz="6" w:space="2" w:color="auto"/>
              <w:right w:val="nil"/>
            </w:tcBorders>
            <w:vAlign w:val="bottom"/>
          </w:tcPr>
          <w:p w14:paraId="7FD357AB" w14:textId="77777777" w:rsidR="00FD5034" w:rsidRPr="003353A0" w:rsidRDefault="00FD5034" w:rsidP="00DE4E22">
            <w:pPr>
              <w:autoSpaceDE w:val="0"/>
              <w:autoSpaceDN w:val="0"/>
              <w:adjustRightInd w:val="0"/>
              <w:spacing w:after="0" w:line="276" w:lineRule="auto"/>
              <w:jc w:val="center"/>
              <w:rPr>
                <w:rFonts w:ascii="Times New Roman" w:hAnsi="Times New Roman" w:cs="Times New Roman"/>
                <w:b/>
                <w:bCs/>
                <w:sz w:val="24"/>
                <w:szCs w:val="24"/>
              </w:rPr>
            </w:pPr>
          </w:p>
        </w:tc>
        <w:tc>
          <w:tcPr>
            <w:tcW w:w="1103" w:type="dxa"/>
            <w:tcBorders>
              <w:top w:val="nil"/>
              <w:left w:val="nil"/>
              <w:bottom w:val="double" w:sz="6" w:space="2" w:color="auto"/>
              <w:right w:val="nil"/>
            </w:tcBorders>
            <w:vAlign w:val="bottom"/>
          </w:tcPr>
          <w:p w14:paraId="69D73434" w14:textId="77777777" w:rsidR="00FD5034" w:rsidRPr="003353A0" w:rsidRDefault="00FD5034" w:rsidP="00DE4E22">
            <w:pPr>
              <w:autoSpaceDE w:val="0"/>
              <w:autoSpaceDN w:val="0"/>
              <w:adjustRightInd w:val="0"/>
              <w:spacing w:after="0" w:line="276" w:lineRule="auto"/>
              <w:jc w:val="center"/>
              <w:rPr>
                <w:rFonts w:ascii="Arial" w:hAnsi="Arial" w:cs="Arial"/>
                <w:b/>
                <w:bCs/>
                <w:sz w:val="18"/>
                <w:szCs w:val="18"/>
              </w:rPr>
            </w:pPr>
          </w:p>
        </w:tc>
        <w:tc>
          <w:tcPr>
            <w:tcW w:w="1207" w:type="dxa"/>
            <w:tcBorders>
              <w:top w:val="nil"/>
              <w:left w:val="nil"/>
              <w:bottom w:val="double" w:sz="6" w:space="2" w:color="auto"/>
              <w:right w:val="nil"/>
            </w:tcBorders>
            <w:vAlign w:val="bottom"/>
          </w:tcPr>
          <w:p w14:paraId="7FFA9D1B"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4C6A1C6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1DD1791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2B93BB25" w14:textId="77777777" w:rsidTr="00DE4E22">
        <w:trPr>
          <w:trHeight w:hRule="exact" w:val="135"/>
        </w:trPr>
        <w:tc>
          <w:tcPr>
            <w:tcW w:w="2017" w:type="dxa"/>
            <w:tcBorders>
              <w:top w:val="nil"/>
              <w:left w:val="nil"/>
              <w:bottom w:val="nil"/>
              <w:right w:val="nil"/>
            </w:tcBorders>
            <w:vAlign w:val="bottom"/>
          </w:tcPr>
          <w:p w14:paraId="4D32D48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320F951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1AD72B43"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4BA35AA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54D9335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58B792A6" w14:textId="77777777" w:rsidTr="00DE4E22">
        <w:trPr>
          <w:trHeight w:val="225"/>
        </w:trPr>
        <w:tc>
          <w:tcPr>
            <w:tcW w:w="2017" w:type="dxa"/>
            <w:tcBorders>
              <w:top w:val="nil"/>
              <w:left w:val="nil"/>
              <w:bottom w:val="nil"/>
              <w:right w:val="nil"/>
            </w:tcBorders>
            <w:vAlign w:val="bottom"/>
          </w:tcPr>
          <w:p w14:paraId="5D7F3DCD"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F-statistic</w:t>
            </w:r>
          </w:p>
        </w:tc>
        <w:tc>
          <w:tcPr>
            <w:tcW w:w="1103" w:type="dxa"/>
            <w:tcBorders>
              <w:top w:val="nil"/>
              <w:left w:val="nil"/>
              <w:bottom w:val="nil"/>
              <w:right w:val="nil"/>
            </w:tcBorders>
            <w:vAlign w:val="bottom"/>
          </w:tcPr>
          <w:p w14:paraId="7572C69F"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0.137</w:t>
            </w:r>
          </w:p>
        </w:tc>
        <w:tc>
          <w:tcPr>
            <w:tcW w:w="2415" w:type="dxa"/>
            <w:gridSpan w:val="2"/>
            <w:tcBorders>
              <w:top w:val="nil"/>
              <w:left w:val="nil"/>
              <w:bottom w:val="nil"/>
              <w:right w:val="nil"/>
            </w:tcBorders>
            <w:vAlign w:val="bottom"/>
          </w:tcPr>
          <w:p w14:paraId="4F3ACA35"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xml:space="preserve">    Prob. </w:t>
            </w:r>
            <w:proofErr w:type="gramStart"/>
            <w:r w:rsidRPr="003353A0">
              <w:rPr>
                <w:rFonts w:ascii="Arial" w:hAnsi="Arial" w:cs="Arial"/>
                <w:sz w:val="18"/>
                <w:szCs w:val="18"/>
              </w:rPr>
              <w:t>F(</w:t>
            </w:r>
            <w:proofErr w:type="gramEnd"/>
            <w:r w:rsidRPr="003353A0">
              <w:rPr>
                <w:rFonts w:ascii="Arial" w:hAnsi="Arial" w:cs="Arial"/>
                <w:sz w:val="18"/>
                <w:szCs w:val="18"/>
              </w:rPr>
              <w:t>2,21)</w:t>
            </w:r>
          </w:p>
        </w:tc>
        <w:tc>
          <w:tcPr>
            <w:tcW w:w="997" w:type="dxa"/>
            <w:tcBorders>
              <w:top w:val="nil"/>
              <w:left w:val="nil"/>
              <w:bottom w:val="nil"/>
              <w:right w:val="nil"/>
            </w:tcBorders>
            <w:vAlign w:val="bottom"/>
          </w:tcPr>
          <w:p w14:paraId="1D6C2441"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0.873</w:t>
            </w:r>
          </w:p>
        </w:tc>
      </w:tr>
      <w:tr w:rsidR="00FD5034" w:rsidRPr="003353A0" w14:paraId="41EE5D5D" w14:textId="77777777" w:rsidTr="00DE4E22">
        <w:trPr>
          <w:trHeight w:val="225"/>
        </w:trPr>
        <w:tc>
          <w:tcPr>
            <w:tcW w:w="2017" w:type="dxa"/>
            <w:tcBorders>
              <w:top w:val="nil"/>
              <w:left w:val="nil"/>
              <w:bottom w:val="nil"/>
              <w:right w:val="nil"/>
            </w:tcBorders>
            <w:vAlign w:val="bottom"/>
          </w:tcPr>
          <w:p w14:paraId="1581DD9F"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Obs*R-squared</w:t>
            </w:r>
          </w:p>
        </w:tc>
        <w:tc>
          <w:tcPr>
            <w:tcW w:w="1103" w:type="dxa"/>
            <w:tcBorders>
              <w:top w:val="nil"/>
              <w:left w:val="nil"/>
              <w:bottom w:val="nil"/>
              <w:right w:val="nil"/>
            </w:tcBorders>
            <w:vAlign w:val="bottom"/>
          </w:tcPr>
          <w:p w14:paraId="321FE525"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0.462</w:t>
            </w:r>
          </w:p>
        </w:tc>
        <w:tc>
          <w:tcPr>
            <w:tcW w:w="2415" w:type="dxa"/>
            <w:gridSpan w:val="2"/>
            <w:tcBorders>
              <w:top w:val="nil"/>
              <w:left w:val="nil"/>
              <w:bottom w:val="nil"/>
              <w:right w:val="nil"/>
            </w:tcBorders>
            <w:vAlign w:val="bottom"/>
          </w:tcPr>
          <w:p w14:paraId="0CA681C1"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Prob. Chi-</w:t>
            </w:r>
            <w:proofErr w:type="gramStart"/>
            <w:r w:rsidRPr="003353A0">
              <w:rPr>
                <w:rFonts w:ascii="Arial" w:hAnsi="Arial" w:cs="Arial"/>
                <w:sz w:val="18"/>
                <w:szCs w:val="18"/>
              </w:rPr>
              <w:t>Square(</w:t>
            </w:r>
            <w:proofErr w:type="gramEnd"/>
            <w:r w:rsidRPr="003353A0">
              <w:rPr>
                <w:rFonts w:ascii="Arial" w:hAnsi="Arial" w:cs="Arial"/>
                <w:sz w:val="18"/>
                <w:szCs w:val="18"/>
              </w:rPr>
              <w:t>2)</w:t>
            </w:r>
          </w:p>
        </w:tc>
        <w:tc>
          <w:tcPr>
            <w:tcW w:w="997" w:type="dxa"/>
            <w:tcBorders>
              <w:top w:val="nil"/>
              <w:left w:val="nil"/>
              <w:bottom w:val="nil"/>
              <w:right w:val="nil"/>
            </w:tcBorders>
            <w:vAlign w:val="bottom"/>
          </w:tcPr>
          <w:p w14:paraId="6ACC7D43"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0.794</w:t>
            </w:r>
          </w:p>
        </w:tc>
      </w:tr>
      <w:tr w:rsidR="00FD5034" w:rsidRPr="003353A0" w14:paraId="2434F67D" w14:textId="77777777" w:rsidTr="00DE4E22">
        <w:trPr>
          <w:trHeight w:hRule="exact" w:val="90"/>
        </w:trPr>
        <w:tc>
          <w:tcPr>
            <w:tcW w:w="2017" w:type="dxa"/>
            <w:tcBorders>
              <w:top w:val="nil"/>
              <w:left w:val="nil"/>
              <w:bottom w:val="double" w:sz="6" w:space="0" w:color="auto"/>
              <w:right w:val="nil"/>
            </w:tcBorders>
            <w:vAlign w:val="bottom"/>
          </w:tcPr>
          <w:p w14:paraId="7080938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0FA8544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47B4C35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7CB69AE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04614F8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bl>
    <w:p w14:paraId="1EE0EA56" w14:textId="77777777"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Source: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10.</w:t>
      </w:r>
    </w:p>
    <w:p w14:paraId="358A9F50" w14:textId="77777777" w:rsidR="00FD5034" w:rsidRPr="003353A0" w:rsidRDefault="00FD5034" w:rsidP="00FD5034">
      <w:pPr>
        <w:autoSpaceDE w:val="0"/>
        <w:autoSpaceDN w:val="0"/>
        <w:adjustRightInd w:val="0"/>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Table 7.</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FD5034" w:rsidRPr="003353A0" w14:paraId="23E2B3B9" w14:textId="77777777" w:rsidTr="00DE4E22">
        <w:trPr>
          <w:trHeight w:val="225"/>
        </w:trPr>
        <w:tc>
          <w:tcPr>
            <w:tcW w:w="6532" w:type="dxa"/>
            <w:gridSpan w:val="5"/>
            <w:tcBorders>
              <w:top w:val="nil"/>
              <w:left w:val="nil"/>
              <w:bottom w:val="nil"/>
              <w:right w:val="nil"/>
            </w:tcBorders>
            <w:vAlign w:val="bottom"/>
          </w:tcPr>
          <w:p w14:paraId="220E9123" w14:textId="77777777" w:rsidR="00FD5034" w:rsidRPr="003353A0" w:rsidRDefault="00FD5034" w:rsidP="00DE4E22">
            <w:pPr>
              <w:autoSpaceDE w:val="0"/>
              <w:autoSpaceDN w:val="0"/>
              <w:adjustRightInd w:val="0"/>
              <w:spacing w:after="0" w:line="276" w:lineRule="auto"/>
              <w:rPr>
                <w:rFonts w:ascii="Times New Roman" w:hAnsi="Times New Roman" w:cs="Times New Roman"/>
                <w:b/>
                <w:bCs/>
                <w:sz w:val="24"/>
                <w:szCs w:val="24"/>
              </w:rPr>
            </w:pPr>
            <w:r w:rsidRPr="003353A0">
              <w:rPr>
                <w:rFonts w:ascii="Times New Roman" w:hAnsi="Times New Roman" w:cs="Times New Roman"/>
                <w:b/>
                <w:bCs/>
                <w:sz w:val="24"/>
                <w:szCs w:val="24"/>
              </w:rPr>
              <w:t>Heteroskedasticity Test: Breusch-Pagan-Godfrey</w:t>
            </w:r>
          </w:p>
        </w:tc>
      </w:tr>
      <w:tr w:rsidR="00FD5034" w:rsidRPr="003353A0" w14:paraId="4AF70E5A" w14:textId="77777777" w:rsidTr="00DE4E22">
        <w:trPr>
          <w:trHeight w:hRule="exact" w:val="90"/>
        </w:trPr>
        <w:tc>
          <w:tcPr>
            <w:tcW w:w="2017" w:type="dxa"/>
            <w:tcBorders>
              <w:top w:val="nil"/>
              <w:left w:val="nil"/>
              <w:bottom w:val="double" w:sz="6" w:space="2" w:color="auto"/>
              <w:right w:val="nil"/>
            </w:tcBorders>
            <w:vAlign w:val="bottom"/>
          </w:tcPr>
          <w:p w14:paraId="4B15890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2" w:color="auto"/>
              <w:right w:val="nil"/>
            </w:tcBorders>
            <w:vAlign w:val="bottom"/>
          </w:tcPr>
          <w:p w14:paraId="14370D6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2" w:color="auto"/>
              <w:right w:val="nil"/>
            </w:tcBorders>
            <w:vAlign w:val="bottom"/>
          </w:tcPr>
          <w:p w14:paraId="1F09771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2" w:color="auto"/>
              <w:right w:val="nil"/>
            </w:tcBorders>
            <w:vAlign w:val="bottom"/>
          </w:tcPr>
          <w:p w14:paraId="492B7FC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2" w:color="auto"/>
              <w:right w:val="nil"/>
            </w:tcBorders>
            <w:vAlign w:val="bottom"/>
          </w:tcPr>
          <w:p w14:paraId="24D2EDB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64B95C7F" w14:textId="77777777" w:rsidTr="00DE4E22">
        <w:trPr>
          <w:trHeight w:hRule="exact" w:val="135"/>
        </w:trPr>
        <w:tc>
          <w:tcPr>
            <w:tcW w:w="2017" w:type="dxa"/>
            <w:tcBorders>
              <w:top w:val="nil"/>
              <w:left w:val="nil"/>
              <w:bottom w:val="nil"/>
              <w:right w:val="nil"/>
            </w:tcBorders>
            <w:vAlign w:val="bottom"/>
          </w:tcPr>
          <w:p w14:paraId="02EE705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10592ED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486701DE"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32BF739F"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75C369A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14D2F4BD" w14:textId="77777777" w:rsidTr="00DE4E22">
        <w:trPr>
          <w:trHeight w:val="225"/>
        </w:trPr>
        <w:tc>
          <w:tcPr>
            <w:tcW w:w="2017" w:type="dxa"/>
            <w:tcBorders>
              <w:top w:val="nil"/>
              <w:left w:val="nil"/>
              <w:bottom w:val="nil"/>
              <w:right w:val="nil"/>
            </w:tcBorders>
            <w:vAlign w:val="bottom"/>
          </w:tcPr>
          <w:p w14:paraId="361E67C1"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F-statistic</w:t>
            </w:r>
          </w:p>
        </w:tc>
        <w:tc>
          <w:tcPr>
            <w:tcW w:w="1103" w:type="dxa"/>
            <w:tcBorders>
              <w:top w:val="nil"/>
              <w:left w:val="nil"/>
              <w:bottom w:val="nil"/>
              <w:right w:val="nil"/>
            </w:tcBorders>
            <w:vAlign w:val="bottom"/>
          </w:tcPr>
          <w:p w14:paraId="477F1501"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2.525</w:t>
            </w:r>
          </w:p>
        </w:tc>
        <w:tc>
          <w:tcPr>
            <w:tcW w:w="2415" w:type="dxa"/>
            <w:gridSpan w:val="2"/>
            <w:tcBorders>
              <w:top w:val="nil"/>
              <w:left w:val="nil"/>
              <w:bottom w:val="nil"/>
              <w:right w:val="nil"/>
            </w:tcBorders>
            <w:vAlign w:val="bottom"/>
          </w:tcPr>
          <w:p w14:paraId="7155A28C"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xml:space="preserve">    Prob. </w:t>
            </w:r>
            <w:proofErr w:type="gramStart"/>
            <w:r w:rsidRPr="003353A0">
              <w:rPr>
                <w:rFonts w:ascii="Arial" w:hAnsi="Arial" w:cs="Arial"/>
                <w:sz w:val="18"/>
                <w:szCs w:val="18"/>
              </w:rPr>
              <w:t>F(</w:t>
            </w:r>
            <w:proofErr w:type="gramEnd"/>
            <w:r w:rsidRPr="003353A0">
              <w:rPr>
                <w:rFonts w:ascii="Arial" w:hAnsi="Arial" w:cs="Arial"/>
                <w:sz w:val="18"/>
                <w:szCs w:val="18"/>
              </w:rPr>
              <w:t>11,24)</w:t>
            </w:r>
          </w:p>
        </w:tc>
        <w:tc>
          <w:tcPr>
            <w:tcW w:w="997" w:type="dxa"/>
            <w:tcBorders>
              <w:top w:val="nil"/>
              <w:left w:val="nil"/>
              <w:bottom w:val="nil"/>
              <w:right w:val="nil"/>
            </w:tcBorders>
            <w:vAlign w:val="bottom"/>
          </w:tcPr>
          <w:p w14:paraId="7D49D73B"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0.068</w:t>
            </w:r>
          </w:p>
        </w:tc>
      </w:tr>
      <w:tr w:rsidR="00FD5034" w:rsidRPr="003353A0" w14:paraId="2AFD4697" w14:textId="77777777" w:rsidTr="00DE4E22">
        <w:trPr>
          <w:trHeight w:val="225"/>
        </w:trPr>
        <w:tc>
          <w:tcPr>
            <w:tcW w:w="2017" w:type="dxa"/>
            <w:tcBorders>
              <w:top w:val="nil"/>
              <w:left w:val="nil"/>
              <w:bottom w:val="nil"/>
              <w:right w:val="nil"/>
            </w:tcBorders>
            <w:vAlign w:val="bottom"/>
          </w:tcPr>
          <w:p w14:paraId="7C03A556"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Obs*R-squared</w:t>
            </w:r>
          </w:p>
        </w:tc>
        <w:tc>
          <w:tcPr>
            <w:tcW w:w="1103" w:type="dxa"/>
            <w:tcBorders>
              <w:top w:val="nil"/>
              <w:left w:val="nil"/>
              <w:bottom w:val="nil"/>
              <w:right w:val="nil"/>
            </w:tcBorders>
            <w:vAlign w:val="bottom"/>
          </w:tcPr>
          <w:p w14:paraId="32EADAAA"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19.313</w:t>
            </w:r>
          </w:p>
        </w:tc>
        <w:tc>
          <w:tcPr>
            <w:tcW w:w="2415" w:type="dxa"/>
            <w:gridSpan w:val="2"/>
            <w:tcBorders>
              <w:top w:val="nil"/>
              <w:left w:val="nil"/>
              <w:bottom w:val="nil"/>
              <w:right w:val="nil"/>
            </w:tcBorders>
            <w:vAlign w:val="bottom"/>
          </w:tcPr>
          <w:p w14:paraId="76D38080"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Prob. Chi-</w:t>
            </w:r>
            <w:proofErr w:type="gramStart"/>
            <w:r w:rsidRPr="003353A0">
              <w:rPr>
                <w:rFonts w:ascii="Arial" w:hAnsi="Arial" w:cs="Arial"/>
                <w:sz w:val="18"/>
                <w:szCs w:val="18"/>
              </w:rPr>
              <w:t>Square(</w:t>
            </w:r>
            <w:proofErr w:type="gramEnd"/>
            <w:r w:rsidRPr="003353A0">
              <w:rPr>
                <w:rFonts w:ascii="Arial" w:hAnsi="Arial" w:cs="Arial"/>
                <w:sz w:val="18"/>
                <w:szCs w:val="18"/>
              </w:rPr>
              <w:t>11)</w:t>
            </w:r>
          </w:p>
        </w:tc>
        <w:tc>
          <w:tcPr>
            <w:tcW w:w="997" w:type="dxa"/>
            <w:tcBorders>
              <w:top w:val="nil"/>
              <w:left w:val="nil"/>
              <w:bottom w:val="nil"/>
              <w:right w:val="nil"/>
            </w:tcBorders>
            <w:vAlign w:val="bottom"/>
          </w:tcPr>
          <w:p w14:paraId="2AF5990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0.056</w:t>
            </w:r>
          </w:p>
        </w:tc>
      </w:tr>
      <w:tr w:rsidR="00FD5034" w:rsidRPr="003353A0" w14:paraId="4DA6F0FF" w14:textId="77777777" w:rsidTr="00DE4E22">
        <w:trPr>
          <w:trHeight w:val="225"/>
        </w:trPr>
        <w:tc>
          <w:tcPr>
            <w:tcW w:w="2017" w:type="dxa"/>
            <w:tcBorders>
              <w:top w:val="nil"/>
              <w:left w:val="nil"/>
              <w:bottom w:val="nil"/>
              <w:right w:val="nil"/>
            </w:tcBorders>
            <w:vAlign w:val="bottom"/>
          </w:tcPr>
          <w:p w14:paraId="5189D18A" w14:textId="77777777" w:rsidR="00FD5034" w:rsidRPr="003353A0" w:rsidRDefault="00FD5034" w:rsidP="00DE4E22">
            <w:pPr>
              <w:autoSpaceDE w:val="0"/>
              <w:autoSpaceDN w:val="0"/>
              <w:adjustRightInd w:val="0"/>
              <w:spacing w:after="0" w:line="276" w:lineRule="auto"/>
              <w:rPr>
                <w:rFonts w:ascii="Arial" w:hAnsi="Arial" w:cs="Arial"/>
                <w:sz w:val="18"/>
                <w:szCs w:val="18"/>
              </w:rPr>
            </w:pPr>
            <w:r w:rsidRPr="003353A0">
              <w:rPr>
                <w:rFonts w:ascii="Arial" w:hAnsi="Arial" w:cs="Arial"/>
                <w:sz w:val="18"/>
                <w:szCs w:val="18"/>
              </w:rPr>
              <w:t>Scaled explained SS</w:t>
            </w:r>
          </w:p>
        </w:tc>
        <w:tc>
          <w:tcPr>
            <w:tcW w:w="1103" w:type="dxa"/>
            <w:tcBorders>
              <w:top w:val="nil"/>
              <w:left w:val="nil"/>
              <w:bottom w:val="nil"/>
              <w:right w:val="nil"/>
            </w:tcBorders>
            <w:vAlign w:val="bottom"/>
          </w:tcPr>
          <w:p w14:paraId="2F388E4D"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12.451</w:t>
            </w:r>
          </w:p>
        </w:tc>
        <w:tc>
          <w:tcPr>
            <w:tcW w:w="2415" w:type="dxa"/>
            <w:gridSpan w:val="2"/>
            <w:tcBorders>
              <w:top w:val="nil"/>
              <w:left w:val="nil"/>
              <w:bottom w:val="nil"/>
              <w:right w:val="nil"/>
            </w:tcBorders>
            <w:vAlign w:val="bottom"/>
          </w:tcPr>
          <w:p w14:paraId="27B7DA6B" w14:textId="77777777" w:rsidR="00FD5034" w:rsidRPr="003353A0" w:rsidRDefault="00FD5034" w:rsidP="00DE4E22">
            <w:pPr>
              <w:autoSpaceDE w:val="0"/>
              <w:autoSpaceDN w:val="0"/>
              <w:adjustRightInd w:val="0"/>
              <w:spacing w:after="0" w:line="276" w:lineRule="auto"/>
              <w:ind w:right="10"/>
              <w:rPr>
                <w:rFonts w:ascii="Arial" w:hAnsi="Arial" w:cs="Arial"/>
                <w:sz w:val="18"/>
                <w:szCs w:val="18"/>
              </w:rPr>
            </w:pPr>
            <w:r w:rsidRPr="003353A0">
              <w:rPr>
                <w:rFonts w:ascii="Arial" w:hAnsi="Arial" w:cs="Arial"/>
                <w:sz w:val="18"/>
                <w:szCs w:val="18"/>
              </w:rPr>
              <w:t>    Prob. Chi-</w:t>
            </w:r>
            <w:proofErr w:type="gramStart"/>
            <w:r w:rsidRPr="003353A0">
              <w:rPr>
                <w:rFonts w:ascii="Arial" w:hAnsi="Arial" w:cs="Arial"/>
                <w:sz w:val="18"/>
                <w:szCs w:val="18"/>
              </w:rPr>
              <w:t>Square(</w:t>
            </w:r>
            <w:proofErr w:type="gramEnd"/>
            <w:r w:rsidRPr="003353A0">
              <w:rPr>
                <w:rFonts w:ascii="Arial" w:hAnsi="Arial" w:cs="Arial"/>
                <w:sz w:val="18"/>
                <w:szCs w:val="18"/>
              </w:rPr>
              <w:t>11)</w:t>
            </w:r>
          </w:p>
        </w:tc>
        <w:tc>
          <w:tcPr>
            <w:tcW w:w="997" w:type="dxa"/>
            <w:tcBorders>
              <w:top w:val="nil"/>
              <w:left w:val="nil"/>
              <w:bottom w:val="nil"/>
              <w:right w:val="nil"/>
            </w:tcBorders>
            <w:vAlign w:val="bottom"/>
          </w:tcPr>
          <w:p w14:paraId="5343086C" w14:textId="77777777" w:rsidR="00FD5034" w:rsidRPr="003353A0" w:rsidRDefault="00FD5034" w:rsidP="00DE4E22">
            <w:pPr>
              <w:autoSpaceDE w:val="0"/>
              <w:autoSpaceDN w:val="0"/>
              <w:adjustRightInd w:val="0"/>
              <w:spacing w:after="0" w:line="276" w:lineRule="auto"/>
              <w:ind w:right="10"/>
              <w:jc w:val="right"/>
              <w:rPr>
                <w:rFonts w:ascii="Arial" w:hAnsi="Arial" w:cs="Arial"/>
                <w:sz w:val="18"/>
                <w:szCs w:val="18"/>
              </w:rPr>
            </w:pPr>
            <w:r w:rsidRPr="003353A0">
              <w:rPr>
                <w:rFonts w:ascii="Arial" w:hAnsi="Arial" w:cs="Arial"/>
                <w:sz w:val="18"/>
                <w:szCs w:val="18"/>
              </w:rPr>
              <w:t>0.331</w:t>
            </w:r>
          </w:p>
        </w:tc>
      </w:tr>
      <w:tr w:rsidR="00FD5034" w:rsidRPr="003353A0" w14:paraId="4CCA42F2" w14:textId="77777777" w:rsidTr="00DE4E22">
        <w:trPr>
          <w:trHeight w:hRule="exact" w:val="90"/>
        </w:trPr>
        <w:tc>
          <w:tcPr>
            <w:tcW w:w="2017" w:type="dxa"/>
            <w:tcBorders>
              <w:top w:val="nil"/>
              <w:left w:val="nil"/>
              <w:bottom w:val="double" w:sz="6" w:space="0" w:color="auto"/>
              <w:right w:val="nil"/>
            </w:tcBorders>
            <w:vAlign w:val="bottom"/>
          </w:tcPr>
          <w:p w14:paraId="187857B5"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double" w:sz="6" w:space="0" w:color="auto"/>
              <w:right w:val="nil"/>
            </w:tcBorders>
            <w:vAlign w:val="bottom"/>
          </w:tcPr>
          <w:p w14:paraId="5BC971E6"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double" w:sz="6" w:space="0" w:color="auto"/>
              <w:right w:val="nil"/>
            </w:tcBorders>
            <w:vAlign w:val="bottom"/>
          </w:tcPr>
          <w:p w14:paraId="5A2378C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double" w:sz="6" w:space="0" w:color="auto"/>
              <w:right w:val="nil"/>
            </w:tcBorders>
            <w:vAlign w:val="bottom"/>
          </w:tcPr>
          <w:p w14:paraId="1DDCECD8"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double" w:sz="6" w:space="0" w:color="auto"/>
              <w:right w:val="nil"/>
            </w:tcBorders>
            <w:vAlign w:val="bottom"/>
          </w:tcPr>
          <w:p w14:paraId="3F76D4B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r w:rsidR="00FD5034" w:rsidRPr="003353A0" w14:paraId="56BF8B56" w14:textId="77777777" w:rsidTr="00DE4E22">
        <w:trPr>
          <w:trHeight w:hRule="exact" w:val="135"/>
        </w:trPr>
        <w:tc>
          <w:tcPr>
            <w:tcW w:w="2017" w:type="dxa"/>
            <w:tcBorders>
              <w:top w:val="nil"/>
              <w:left w:val="nil"/>
              <w:bottom w:val="nil"/>
              <w:right w:val="nil"/>
            </w:tcBorders>
            <w:vAlign w:val="bottom"/>
          </w:tcPr>
          <w:p w14:paraId="0677240C"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103" w:type="dxa"/>
            <w:tcBorders>
              <w:top w:val="nil"/>
              <w:left w:val="nil"/>
              <w:bottom w:val="nil"/>
              <w:right w:val="nil"/>
            </w:tcBorders>
            <w:vAlign w:val="bottom"/>
          </w:tcPr>
          <w:p w14:paraId="23AE8394"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7" w:type="dxa"/>
            <w:tcBorders>
              <w:top w:val="nil"/>
              <w:left w:val="nil"/>
              <w:bottom w:val="nil"/>
              <w:right w:val="nil"/>
            </w:tcBorders>
            <w:vAlign w:val="bottom"/>
          </w:tcPr>
          <w:p w14:paraId="78FA867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1208" w:type="dxa"/>
            <w:tcBorders>
              <w:top w:val="nil"/>
              <w:left w:val="nil"/>
              <w:bottom w:val="nil"/>
              <w:right w:val="nil"/>
            </w:tcBorders>
            <w:vAlign w:val="bottom"/>
          </w:tcPr>
          <w:p w14:paraId="3E05DBA0"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c>
          <w:tcPr>
            <w:tcW w:w="997" w:type="dxa"/>
            <w:tcBorders>
              <w:top w:val="nil"/>
              <w:left w:val="nil"/>
              <w:bottom w:val="nil"/>
              <w:right w:val="nil"/>
            </w:tcBorders>
            <w:vAlign w:val="bottom"/>
          </w:tcPr>
          <w:p w14:paraId="01C752C9" w14:textId="77777777" w:rsidR="00FD5034" w:rsidRPr="003353A0" w:rsidRDefault="00FD5034" w:rsidP="00DE4E22">
            <w:pPr>
              <w:autoSpaceDE w:val="0"/>
              <w:autoSpaceDN w:val="0"/>
              <w:adjustRightInd w:val="0"/>
              <w:spacing w:after="0" w:line="276" w:lineRule="auto"/>
              <w:jc w:val="center"/>
              <w:rPr>
                <w:rFonts w:ascii="Arial" w:hAnsi="Arial" w:cs="Arial"/>
                <w:sz w:val="18"/>
                <w:szCs w:val="18"/>
              </w:rPr>
            </w:pPr>
          </w:p>
        </w:tc>
      </w:tr>
    </w:tbl>
    <w:p w14:paraId="0D51436E" w14:textId="77777777" w:rsidR="00FD5034" w:rsidRPr="003353A0" w:rsidRDefault="00FD5034" w:rsidP="00FD5034">
      <w:pPr>
        <w:spacing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Source: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10.</w:t>
      </w:r>
    </w:p>
    <w:p w14:paraId="01948DA2"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D22D8E">
        <w:rPr>
          <w:rFonts w:ascii="Times New Roman" w:eastAsia="Times New Roman" w:hAnsi="Times New Roman" w:cs="Times New Roman"/>
          <w:sz w:val="24"/>
          <w:szCs w:val="24"/>
        </w:rPr>
        <w:t>The Jarque-Bera normalcy test, serial correlation test, and heteroskedasticity test probability values are all higher than the 0.05 or 5</w:t>
      </w:r>
      <w:r>
        <w:rPr>
          <w:rFonts w:ascii="Times New Roman" w:eastAsia="Times New Roman" w:hAnsi="Times New Roman" w:cs="Times New Roman"/>
          <w:sz w:val="24"/>
          <w:szCs w:val="24"/>
        </w:rPr>
        <w:t>percent</w:t>
      </w:r>
      <w:r w:rsidRPr="00D22D8E">
        <w:rPr>
          <w:rFonts w:ascii="Times New Roman" w:eastAsia="Times New Roman" w:hAnsi="Times New Roman" w:cs="Times New Roman"/>
          <w:sz w:val="24"/>
          <w:szCs w:val="24"/>
        </w:rPr>
        <w:t xml:space="preserve"> significance level, according to the diagnostic test results. This suggests that the ARDL model's disturbance term is homoscedastic, uncorrelated, and normally distributed. The study used the Cusum-Sum of Squares test to further investigate the stability of the model. The outcome, which is displayed in Figure 2, shows that the trend is inside the 5</w:t>
      </w:r>
      <w:r>
        <w:rPr>
          <w:rFonts w:ascii="Times New Roman" w:eastAsia="Times New Roman" w:hAnsi="Times New Roman" w:cs="Times New Roman"/>
          <w:sz w:val="24"/>
          <w:szCs w:val="24"/>
        </w:rPr>
        <w:t>percent</w:t>
      </w:r>
      <w:r w:rsidRPr="00D22D8E">
        <w:rPr>
          <w:rFonts w:ascii="Times New Roman" w:eastAsia="Times New Roman" w:hAnsi="Times New Roman" w:cs="Times New Roman"/>
          <w:sz w:val="24"/>
          <w:szCs w:val="24"/>
        </w:rPr>
        <w:t xml:space="preserve"> range. This proves that the estimated ARDL model is reliable for developing policies.</w:t>
      </w:r>
    </w:p>
    <w:p w14:paraId="3B0A3BF2" w14:textId="77777777" w:rsidR="00FD5034" w:rsidRPr="003353A0" w:rsidRDefault="00FD5034" w:rsidP="00FD5034">
      <w:pPr>
        <w:autoSpaceDE w:val="0"/>
        <w:autoSpaceDN w:val="0"/>
        <w:adjustRightInd w:val="0"/>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4.5 Stability Test of the ARDL Estimated Model</w:t>
      </w:r>
    </w:p>
    <w:p w14:paraId="12AA8052" w14:textId="77777777" w:rsidR="00FD5034" w:rsidRPr="003353A0" w:rsidRDefault="00FD5034" w:rsidP="00FD5034">
      <w:pPr>
        <w:autoSpaceDE w:val="0"/>
        <w:autoSpaceDN w:val="0"/>
        <w:adjustRightInd w:val="0"/>
        <w:spacing w:after="0" w:line="276" w:lineRule="auto"/>
      </w:pPr>
      <w:r w:rsidRPr="003353A0">
        <w:object w:dxaOrig="7276" w:dyaOrig="5115" w14:anchorId="3FA3B707">
          <v:shape id="_x0000_i1027" type="#_x0000_t75" style="width:406pt;height:152.5pt" o:ole="">
            <v:imagedata r:id="rId12" o:title=""/>
          </v:shape>
          <o:OLEObject Type="Embed" ProgID="EViews.Workfile.2" ShapeID="_x0000_i1027" DrawAspect="Content" ObjectID="_1834318785" r:id="rId13"/>
        </w:object>
      </w:r>
    </w:p>
    <w:p w14:paraId="32097AB8" w14:textId="77777777"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Figure 2: </w:t>
      </w:r>
      <w:proofErr w:type="spellStart"/>
      <w:r w:rsidRPr="003353A0">
        <w:rPr>
          <w:rFonts w:ascii="Times New Roman" w:hAnsi="Times New Roman" w:cs="Times New Roman"/>
          <w:b/>
          <w:bCs/>
          <w:sz w:val="24"/>
          <w:szCs w:val="24"/>
        </w:rPr>
        <w:t>Cusum</w:t>
      </w:r>
      <w:proofErr w:type="spellEnd"/>
      <w:r w:rsidRPr="003353A0">
        <w:rPr>
          <w:rFonts w:ascii="Times New Roman" w:hAnsi="Times New Roman" w:cs="Times New Roman"/>
          <w:b/>
          <w:bCs/>
          <w:sz w:val="24"/>
          <w:szCs w:val="24"/>
        </w:rPr>
        <w:t xml:space="preserve"> of Squares test for Stability</w:t>
      </w:r>
    </w:p>
    <w:p w14:paraId="30B5AFC6" w14:textId="77777777" w:rsidR="00FD5034" w:rsidRPr="003353A0" w:rsidRDefault="00FD5034" w:rsidP="00FD5034">
      <w:pPr>
        <w:spacing w:after="0" w:line="276" w:lineRule="auto"/>
        <w:jc w:val="both"/>
        <w:rPr>
          <w:rFonts w:ascii="Times New Roman" w:hAnsi="Times New Roman" w:cs="Times New Roman"/>
          <w:b/>
          <w:bCs/>
          <w:sz w:val="24"/>
          <w:szCs w:val="24"/>
        </w:rPr>
      </w:pPr>
      <w:r w:rsidRPr="003353A0">
        <w:rPr>
          <w:rFonts w:ascii="Times New Roman" w:hAnsi="Times New Roman" w:cs="Times New Roman"/>
          <w:b/>
          <w:bCs/>
          <w:sz w:val="24"/>
          <w:szCs w:val="24"/>
        </w:rPr>
        <w:t xml:space="preserve">Source: Author’s computation using </w:t>
      </w:r>
      <w:proofErr w:type="spellStart"/>
      <w:r w:rsidRPr="003353A0">
        <w:rPr>
          <w:rFonts w:ascii="Times New Roman" w:hAnsi="Times New Roman" w:cs="Times New Roman"/>
          <w:b/>
          <w:bCs/>
          <w:sz w:val="24"/>
          <w:szCs w:val="24"/>
        </w:rPr>
        <w:t>Eviews</w:t>
      </w:r>
      <w:proofErr w:type="spellEnd"/>
      <w:r w:rsidRPr="003353A0">
        <w:rPr>
          <w:rFonts w:ascii="Times New Roman" w:hAnsi="Times New Roman" w:cs="Times New Roman"/>
          <w:b/>
          <w:bCs/>
          <w:sz w:val="24"/>
          <w:szCs w:val="24"/>
        </w:rPr>
        <w:t xml:space="preserve"> 10.</w:t>
      </w:r>
    </w:p>
    <w:p w14:paraId="45250AFB" w14:textId="77777777" w:rsidR="00FD5034" w:rsidRPr="003353A0" w:rsidRDefault="00FD5034" w:rsidP="00FD5034">
      <w:pPr>
        <w:spacing w:line="276" w:lineRule="auto"/>
        <w:jc w:val="both"/>
        <w:rPr>
          <w:rFonts w:ascii="Times New Roman" w:eastAsia="Times New Roman" w:hAnsi="Times New Roman" w:cs="Times New Roman"/>
          <w:b/>
          <w:bCs/>
          <w:sz w:val="24"/>
          <w:szCs w:val="24"/>
        </w:rPr>
      </w:pPr>
    </w:p>
    <w:p w14:paraId="39232709" w14:textId="42A6443C" w:rsidR="00FD5034" w:rsidRPr="003353A0" w:rsidRDefault="00FD5034" w:rsidP="00FD503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3.5 </w:t>
      </w:r>
      <w:r w:rsidRPr="003353A0">
        <w:rPr>
          <w:rFonts w:ascii="Times New Roman" w:eastAsia="Times New Roman" w:hAnsi="Times New Roman" w:cs="Times New Roman"/>
          <w:b/>
          <w:bCs/>
          <w:sz w:val="24"/>
          <w:szCs w:val="24"/>
        </w:rPr>
        <w:t>Policy Implications of findings</w:t>
      </w:r>
    </w:p>
    <w:p w14:paraId="149D54AC"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The strong and significant short-term influence of electricity consumption on electricity generation indicates that energy demand is a crucial determinant of electricity generation in Nigeria. This highlights a pressing need for electricity generation companies in Nigeria to increase their capacity to meet the rising demand.</w:t>
      </w:r>
    </w:p>
    <w:p w14:paraId="72C5FA23"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 xml:space="preserve">The lack of notable short-term effects from biofuel energy finance, government expenditure on electricity, commercial banks' energy finance, and foreign aid energy finance suggests that these funding sources may not be effectively contributing to electricity generation in the immediate future. However, government expenditure on electricity and commercial banks’ energy finance shows that both variables contribute more to electricity generation. This shows that the long-term commitment of government and commercial banks towards  </w:t>
      </w:r>
    </w:p>
    <w:p w14:paraId="3019FEA3"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The substantial error correction term suggests that although short-term impacts are limited, there is a significant mechanism adjusting towards long-term equilibrium. Consequently, policies aimed at promoting long-term electricity generation through renewable energy financing should be encouraged.</w:t>
      </w:r>
    </w:p>
    <w:p w14:paraId="704A78AC" w14:textId="2DAF5994" w:rsidR="00FD5034" w:rsidRPr="003353A0" w:rsidRDefault="00FD5034" w:rsidP="00FD5034">
      <w:pPr>
        <w:spacing w:before="100" w:beforeAutospacing="1" w:after="100" w:afterAutospacing="1"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Pr="003353A0">
        <w:rPr>
          <w:rFonts w:ascii="Times New Roman" w:eastAsia="Times New Roman" w:hAnsi="Times New Roman" w:cs="Times New Roman"/>
          <w:b/>
          <w:bCs/>
          <w:sz w:val="24"/>
          <w:szCs w:val="24"/>
        </w:rPr>
        <w:t xml:space="preserve">CONCLUSION </w:t>
      </w:r>
    </w:p>
    <w:p w14:paraId="740446EE" w14:textId="77777777" w:rsidR="00FD5034"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D22D8E">
        <w:rPr>
          <w:rFonts w:ascii="Times New Roman" w:eastAsia="Times New Roman" w:hAnsi="Times New Roman" w:cs="Times New Roman"/>
          <w:sz w:val="24"/>
          <w:szCs w:val="24"/>
        </w:rPr>
        <w:t>It is impossible to overstate the importance of electricity to the expansion and development of a developing country like Nigeria. It is crucial to acknowledge this role and comprehend the different sources of electricity, which are divided into renewable and non-renewable sources. However, without sufficient funding, these sources cannot be efficiently utili</w:t>
      </w:r>
      <w:r>
        <w:rPr>
          <w:rFonts w:ascii="Times New Roman" w:eastAsia="Times New Roman" w:hAnsi="Times New Roman" w:cs="Times New Roman"/>
          <w:sz w:val="24"/>
          <w:szCs w:val="24"/>
        </w:rPr>
        <w:t>z</w:t>
      </w:r>
      <w:r w:rsidRPr="00D22D8E">
        <w:rPr>
          <w:rFonts w:ascii="Times New Roman" w:eastAsia="Times New Roman" w:hAnsi="Times New Roman" w:cs="Times New Roman"/>
          <w:sz w:val="24"/>
          <w:szCs w:val="24"/>
        </w:rPr>
        <w:t>ed. This study investigates the effects of biomass energy financing on electricity generation in Nigeria, utili</w:t>
      </w:r>
      <w:r>
        <w:rPr>
          <w:rFonts w:ascii="Times New Roman" w:eastAsia="Times New Roman" w:hAnsi="Times New Roman" w:cs="Times New Roman"/>
          <w:sz w:val="24"/>
          <w:szCs w:val="24"/>
        </w:rPr>
        <w:t>z</w:t>
      </w:r>
      <w:r w:rsidRPr="00D22D8E">
        <w:rPr>
          <w:rFonts w:ascii="Times New Roman" w:eastAsia="Times New Roman" w:hAnsi="Times New Roman" w:cs="Times New Roman"/>
          <w:sz w:val="24"/>
          <w:szCs w:val="24"/>
        </w:rPr>
        <w:t>ing the nation's plentiful renewable energy resources, in light of the difficulties the Nigerian electricity sector faces, such as unpredictable supply, substantial shortfalls in meeting demand, and funding issues.</w:t>
      </w:r>
    </w:p>
    <w:p w14:paraId="632220C1"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lastRenderedPageBreak/>
        <w:t>As an agrarian nation with prominent animal production, Nigeria has substantial potential to utilize biomass from agricultural activities for electricity generation. Despite extensive research on the determinants of electricity generation in Nigeria, specific aspects of renewable energy financing, particularly biomass energy finance, have not received sufficient attention in energy economics research. Addressing this gap, this study investigates the significance of biomass energy financing on electricity generation in Nigeria.</w:t>
      </w:r>
    </w:p>
    <w:p w14:paraId="2F4F758A" w14:textId="77777777" w:rsidR="00FD5034" w:rsidRPr="00D22D8E" w:rsidRDefault="00FD5034" w:rsidP="00FD5034">
      <w:pPr>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Other variables examined include government expenditure on electricity, commercial banks' renewable energy finance, and energy finance from foreign aid. Additionally, the influence of electricity consumption on electricity generation is considered</w:t>
      </w:r>
      <w:r>
        <w:rPr>
          <w:rFonts w:ascii="Times New Roman" w:eastAsia="Times New Roman" w:hAnsi="Times New Roman" w:cs="Times New Roman"/>
          <w:sz w:val="24"/>
          <w:szCs w:val="24"/>
        </w:rPr>
        <w:t xml:space="preserve">. </w:t>
      </w:r>
      <w:r w:rsidRPr="00D22D8E">
        <w:rPr>
          <w:rFonts w:ascii="Times New Roman" w:eastAsia="Times New Roman" w:hAnsi="Times New Roman" w:cs="Times New Roman"/>
          <w:sz w:val="24"/>
          <w:szCs w:val="24"/>
        </w:rPr>
        <w:t xml:space="preserve">Pre-estimation studies, such as unit root tests to evaluate the series' stochastic properties, showed that the series are cointegrated and integrated of order </w:t>
      </w:r>
      <w:proofErr w:type="gramStart"/>
      <w:r w:rsidRPr="00D22D8E">
        <w:rPr>
          <w:rFonts w:ascii="Times New Roman" w:eastAsia="Times New Roman" w:hAnsi="Times New Roman" w:cs="Times New Roman"/>
          <w:sz w:val="24"/>
          <w:szCs w:val="24"/>
        </w:rPr>
        <w:t>I(</w:t>
      </w:r>
      <w:proofErr w:type="gramEnd"/>
      <w:r w:rsidRPr="00D22D8E">
        <w:rPr>
          <w:rFonts w:ascii="Times New Roman" w:eastAsia="Times New Roman" w:hAnsi="Times New Roman" w:cs="Times New Roman"/>
          <w:sz w:val="24"/>
          <w:szCs w:val="24"/>
        </w:rPr>
        <w:t>0) and I(1). The Autoregressive Distributed Lag (ARDL) model estimate method was therefore required.</w:t>
      </w:r>
    </w:p>
    <w:p w14:paraId="165CF86A" w14:textId="77777777" w:rsidR="00FD5034" w:rsidRPr="00D22D8E" w:rsidRDefault="00FD5034" w:rsidP="00FD5034">
      <w:pPr>
        <w:spacing w:after="0" w:line="240" w:lineRule="auto"/>
        <w:jc w:val="both"/>
        <w:rPr>
          <w:rFonts w:ascii="Times New Roman" w:eastAsia="Times New Roman" w:hAnsi="Times New Roman" w:cs="Times New Roman"/>
          <w:sz w:val="24"/>
          <w:szCs w:val="24"/>
        </w:rPr>
      </w:pPr>
      <w:r w:rsidRPr="00D22D8E">
        <w:rPr>
          <w:rFonts w:ascii="Times New Roman" w:eastAsia="Times New Roman" w:hAnsi="Times New Roman" w:cs="Times New Roman"/>
          <w:sz w:val="24"/>
          <w:szCs w:val="24"/>
        </w:rPr>
        <w:t>The results of the ARDL long-run model show that government spending on the electricity sector, biomass energy funding, historical electricity generation values, and renewable energy financing from commercial banks all have a major long-term impact on Nigerian electricity generation. On the other hand, foreign aid financing for renewable energy has little effect on the production of electricity. Additionally, the study finds that both short-term and long-term power generation are strongly impacted by electricity use. All things considered, energy finance factors may eventually affect the production of electricity.</w:t>
      </w:r>
    </w:p>
    <w:p w14:paraId="07B2C6B7" w14:textId="77777777" w:rsidR="00FD5034" w:rsidRDefault="00FD5034" w:rsidP="00FD5034">
      <w:pPr>
        <w:spacing w:line="360" w:lineRule="auto"/>
        <w:jc w:val="both"/>
        <w:rPr>
          <w:rFonts w:ascii="Times New Roman" w:hAnsi="Times New Roman" w:cs="Times New Roman"/>
          <w:sz w:val="24"/>
          <w:szCs w:val="24"/>
        </w:rPr>
      </w:pPr>
    </w:p>
    <w:p w14:paraId="707E038A" w14:textId="77777777" w:rsidR="00FD5034" w:rsidRPr="003353A0" w:rsidRDefault="00FD5034" w:rsidP="00FD5034">
      <w:pPr>
        <w:spacing w:line="360" w:lineRule="auto"/>
        <w:jc w:val="both"/>
        <w:rPr>
          <w:rFonts w:ascii="Times New Roman" w:hAnsi="Times New Roman" w:cs="Times New Roman"/>
          <w:sz w:val="24"/>
          <w:szCs w:val="24"/>
        </w:rPr>
      </w:pPr>
      <w:r w:rsidRPr="003353A0">
        <w:rPr>
          <w:rFonts w:ascii="Times New Roman" w:hAnsi="Times New Roman" w:cs="Times New Roman"/>
          <w:sz w:val="24"/>
          <w:szCs w:val="24"/>
        </w:rPr>
        <w:t>Th</w:t>
      </w:r>
      <w:r>
        <w:rPr>
          <w:rFonts w:ascii="Times New Roman" w:hAnsi="Times New Roman" w:cs="Times New Roman"/>
          <w:sz w:val="24"/>
          <w:szCs w:val="24"/>
        </w:rPr>
        <w:t>e</w:t>
      </w:r>
      <w:r w:rsidRPr="003353A0">
        <w:rPr>
          <w:rFonts w:ascii="Times New Roman" w:hAnsi="Times New Roman" w:cs="Times New Roman"/>
          <w:sz w:val="24"/>
          <w:szCs w:val="24"/>
        </w:rPr>
        <w:t xml:space="preserve"> study recommended as follows:</w:t>
      </w:r>
    </w:p>
    <w:p w14:paraId="2D5AB3A7"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bookmarkStart w:id="4" w:name="_Hlk181872908"/>
      <w:r w:rsidRPr="003353A0">
        <w:rPr>
          <w:rFonts w:ascii="Times New Roman" w:eastAsia="Times New Roman" w:hAnsi="Times New Roman" w:cs="Times New Roman"/>
          <w:sz w:val="24"/>
          <w:szCs w:val="24"/>
        </w:rPr>
        <w:t>Policy makers and electricity regulatory agencies such as the National Electricity Regulatory Commission and the Rural Electrification Agency in Nigeria should develop policies that prioritize increasing electricity consumption. This can be achieved by expanding access to electricity, increasing disposable income, providing subsidies on electricity consumption for households and industries, improving reliability, and promoting efficient use of electricity in the country.</w:t>
      </w:r>
    </w:p>
    <w:p w14:paraId="0BAAE483"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To ensure both short-term and long-term impacts of various energy finance sources, policymakers should assess the effectiveness and allocation of funds designated for electricity generation to guarantee</w:t>
      </w:r>
      <w:r>
        <w:rPr>
          <w:rFonts w:ascii="Times New Roman" w:eastAsia="Times New Roman" w:hAnsi="Times New Roman" w:cs="Times New Roman"/>
          <w:sz w:val="24"/>
          <w:szCs w:val="24"/>
        </w:rPr>
        <w:t xml:space="preserve"> that</w:t>
      </w:r>
      <w:r w:rsidRPr="003353A0">
        <w:rPr>
          <w:rFonts w:ascii="Times New Roman" w:eastAsia="Times New Roman" w:hAnsi="Times New Roman" w:cs="Times New Roman"/>
          <w:sz w:val="24"/>
          <w:szCs w:val="24"/>
        </w:rPr>
        <w:t xml:space="preserve"> they are used effectively. As an alternative to government funding, renewable energy finance by commercial banks and private investors should be encouraged through tax relief on capital allowances for investing in renewable energy.</w:t>
      </w:r>
    </w:p>
    <w:p w14:paraId="360D3D13"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As a long-term strategy, policymakers and regulators of the Nigerian electricity sector should create policies that attract foreign investors with technical expertise in renewable energy for electricity generation. Additionally, the monetary authority should promote concessional interest rates for renewable energy investors in Nigeria, which will encourage electricity generation to meet future demand.</w:t>
      </w:r>
    </w:p>
    <w:p w14:paraId="34ECC052" w14:textId="77777777" w:rsidR="00FD5034" w:rsidRPr="003353A0"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lastRenderedPageBreak/>
        <w:t>Given the significant role of electricity consumption in an emerging economy like Nigeria, the government and its electricity regulatory agencies should implement policies to enhance the infrastructure and capacity of the electricity sector. This includes investing in renewable energy sources, upgrading the national grid, and improving maintenance practices to ensure sustainable electricity generation.</w:t>
      </w:r>
    </w:p>
    <w:p w14:paraId="799AC906" w14:textId="77777777" w:rsidR="00FD5034" w:rsidRDefault="00FD5034" w:rsidP="00FD5034">
      <w:pPr>
        <w:spacing w:before="100" w:beforeAutospacing="1" w:after="100" w:afterAutospacing="1" w:line="276" w:lineRule="auto"/>
        <w:jc w:val="both"/>
        <w:rPr>
          <w:rFonts w:ascii="Times New Roman" w:eastAsia="Times New Roman" w:hAnsi="Times New Roman" w:cs="Times New Roman"/>
          <w:sz w:val="24"/>
          <w:szCs w:val="24"/>
        </w:rPr>
      </w:pPr>
      <w:r w:rsidRPr="003353A0">
        <w:rPr>
          <w:rFonts w:ascii="Times New Roman" w:eastAsia="Times New Roman" w:hAnsi="Times New Roman" w:cs="Times New Roman"/>
          <w:sz w:val="24"/>
          <w:szCs w:val="24"/>
        </w:rPr>
        <w:t>By addressing these areas, Nigeria can increase its electricity generation capacity and provide a more reliable and sustainable energy supply for its agricultural and industrial sectors, ultimately driving economic growth and development.</w:t>
      </w:r>
    </w:p>
    <w:bookmarkEnd w:id="4"/>
    <w:p w14:paraId="5739CEB6" w14:textId="77777777" w:rsidR="00913D0F" w:rsidRDefault="00913D0F" w:rsidP="00FD5034">
      <w:pPr>
        <w:spacing w:line="276" w:lineRule="auto"/>
        <w:jc w:val="both"/>
        <w:rPr>
          <w:rStyle w:val="SubtleEmphasis"/>
          <w:rFonts w:ascii="Times New Roman" w:hAnsi="Times New Roman" w:cs="Times New Roman"/>
          <w:b/>
          <w:bCs/>
          <w:color w:val="auto"/>
          <w:sz w:val="24"/>
          <w:szCs w:val="24"/>
        </w:rPr>
      </w:pPr>
    </w:p>
    <w:p w14:paraId="4C657381" w14:textId="2ED908F8" w:rsidR="00FD5034" w:rsidRPr="0085279A" w:rsidRDefault="00FD5034" w:rsidP="00FD5034">
      <w:pPr>
        <w:spacing w:line="276" w:lineRule="auto"/>
        <w:jc w:val="both"/>
        <w:rPr>
          <w:rFonts w:ascii="Times New Roman" w:hAnsi="Times New Roman" w:cs="Times New Roman"/>
          <w:b/>
          <w:bCs/>
          <w:sz w:val="24"/>
          <w:szCs w:val="24"/>
        </w:rPr>
      </w:pPr>
      <w:r w:rsidRPr="005065C0">
        <w:rPr>
          <w:rStyle w:val="SubtleEmphasis"/>
          <w:rFonts w:ascii="Times New Roman" w:hAnsi="Times New Roman" w:cs="Times New Roman"/>
          <w:b/>
          <w:bCs/>
          <w:color w:val="auto"/>
          <w:sz w:val="24"/>
          <w:szCs w:val="24"/>
        </w:rPr>
        <w:t>REFERENCES</w:t>
      </w:r>
    </w:p>
    <w:p w14:paraId="6B0CFFD1"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Abdallah, S.M.., </w:t>
      </w:r>
      <w:proofErr w:type="spellStart"/>
      <w:r w:rsidRPr="003353A0">
        <w:rPr>
          <w:rFonts w:ascii="Times New Roman" w:hAnsi="Times New Roman" w:cs="Times New Roman"/>
          <w:sz w:val="24"/>
          <w:szCs w:val="24"/>
        </w:rPr>
        <w:t>Bressers</w:t>
      </w:r>
      <w:proofErr w:type="spellEnd"/>
      <w:r w:rsidRPr="003353A0">
        <w:rPr>
          <w:rFonts w:ascii="Times New Roman" w:hAnsi="Times New Roman" w:cs="Times New Roman"/>
          <w:sz w:val="24"/>
          <w:szCs w:val="24"/>
        </w:rPr>
        <w:t>, H.., Clancy, J.S. (2015) Energy reforms in the developing world: Sustainable development compromised?</w:t>
      </w:r>
      <w:r w:rsidRPr="003353A0">
        <w:rPr>
          <w:rFonts w:ascii="Times New Roman" w:hAnsi="Times New Roman" w:cs="Times New Roman"/>
          <w:i/>
          <w:iCs/>
          <w:sz w:val="24"/>
          <w:szCs w:val="24"/>
        </w:rPr>
        <w:t xml:space="preserve"> Int. J. Sustain. Energy </w:t>
      </w:r>
      <w:proofErr w:type="spellStart"/>
      <w:r w:rsidRPr="003353A0">
        <w:rPr>
          <w:rFonts w:ascii="Times New Roman" w:hAnsi="Times New Roman" w:cs="Times New Roman"/>
          <w:i/>
          <w:iCs/>
          <w:sz w:val="24"/>
          <w:szCs w:val="24"/>
        </w:rPr>
        <w:t>Plann</w:t>
      </w:r>
      <w:proofErr w:type="spellEnd"/>
      <w:r w:rsidRPr="003353A0">
        <w:rPr>
          <w:rFonts w:ascii="Times New Roman" w:hAnsi="Times New Roman" w:cs="Times New Roman"/>
          <w:i/>
          <w:iCs/>
          <w:sz w:val="24"/>
          <w:szCs w:val="24"/>
        </w:rPr>
        <w:t>. Manag.</w:t>
      </w:r>
      <w:r w:rsidRPr="003353A0">
        <w:rPr>
          <w:rFonts w:ascii="Times New Roman" w:hAnsi="Times New Roman" w:cs="Times New Roman"/>
          <w:sz w:val="24"/>
          <w:szCs w:val="24"/>
        </w:rPr>
        <w:t xml:space="preserve"> 5, 41–56.  </w:t>
      </w:r>
    </w:p>
    <w:p w14:paraId="6CBEDA9A" w14:textId="77777777" w:rsidR="00FD5034" w:rsidRPr="003353A0" w:rsidRDefault="00FD5034"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Abolhosseini</w:t>
      </w:r>
      <w:proofErr w:type="spellEnd"/>
      <w:r w:rsidRPr="003353A0">
        <w:rPr>
          <w:rFonts w:ascii="Times New Roman" w:hAnsi="Times New Roman" w:cs="Times New Roman"/>
          <w:sz w:val="24"/>
          <w:szCs w:val="24"/>
        </w:rPr>
        <w:t xml:space="preserve">, S., Heshmati, A., Altmann, J. A (2014) Review of Renewable Energy Supply and Energy Efficiency Technologies; IZA Institute for the Study of </w:t>
      </w:r>
      <w:proofErr w:type="spellStart"/>
      <w:r w:rsidRPr="003353A0">
        <w:rPr>
          <w:rFonts w:ascii="Times New Roman" w:hAnsi="Times New Roman" w:cs="Times New Roman"/>
          <w:sz w:val="24"/>
          <w:szCs w:val="24"/>
        </w:rPr>
        <w:t>Labour</w:t>
      </w:r>
      <w:proofErr w:type="spellEnd"/>
      <w:r w:rsidRPr="003353A0">
        <w:rPr>
          <w:rFonts w:ascii="Times New Roman" w:hAnsi="Times New Roman" w:cs="Times New Roman"/>
          <w:sz w:val="24"/>
          <w:szCs w:val="24"/>
        </w:rPr>
        <w:t xml:space="preserve"> Economics: Bonn, Germany.</w:t>
      </w:r>
    </w:p>
    <w:p w14:paraId="70D53284" w14:textId="77777777" w:rsidR="00FD5034" w:rsidRDefault="00FD5034"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Abolhosseini</w:t>
      </w:r>
      <w:proofErr w:type="spellEnd"/>
      <w:r w:rsidRPr="003353A0">
        <w:rPr>
          <w:rFonts w:ascii="Times New Roman" w:hAnsi="Times New Roman" w:cs="Times New Roman"/>
          <w:sz w:val="24"/>
          <w:szCs w:val="24"/>
        </w:rPr>
        <w:t xml:space="preserve">, S.; Heshmati, A.; Altmann, J. A (2014) Review of Renewable Energy Supply and Energy Efficiency Technologies; IZA Institute for the Study of </w:t>
      </w:r>
      <w:proofErr w:type="spellStart"/>
      <w:r w:rsidRPr="003353A0">
        <w:rPr>
          <w:rFonts w:ascii="Times New Roman" w:hAnsi="Times New Roman" w:cs="Times New Roman"/>
          <w:sz w:val="24"/>
          <w:szCs w:val="24"/>
        </w:rPr>
        <w:t>Labour</w:t>
      </w:r>
      <w:proofErr w:type="spellEnd"/>
      <w:r w:rsidRPr="003353A0">
        <w:rPr>
          <w:rFonts w:ascii="Times New Roman" w:hAnsi="Times New Roman" w:cs="Times New Roman"/>
          <w:sz w:val="24"/>
          <w:szCs w:val="24"/>
        </w:rPr>
        <w:t xml:space="preserve"> Economics: Bonn, Germany.</w:t>
      </w:r>
    </w:p>
    <w:p w14:paraId="3DFFD36F" w14:textId="77777777" w:rsidR="00FD5034" w:rsidRPr="00B35562" w:rsidRDefault="00FD5034" w:rsidP="00FD5034">
      <w:pPr>
        <w:spacing w:after="0" w:line="240" w:lineRule="auto"/>
        <w:jc w:val="both"/>
        <w:rPr>
          <w:rFonts w:ascii="Times New Roman" w:hAnsi="Times New Roman" w:cs="Times New Roman"/>
          <w:sz w:val="24"/>
          <w:szCs w:val="24"/>
        </w:rPr>
      </w:pPr>
      <w:r w:rsidRPr="008A6DE7">
        <w:rPr>
          <w:rFonts w:ascii="Times New Roman" w:eastAsia="Times New Roman" w:hAnsi="Times New Roman" w:cs="Times New Roman"/>
          <w:sz w:val="24"/>
          <w:szCs w:val="24"/>
        </w:rPr>
        <w:t xml:space="preserve">Adebayo, T., et al. (2020). </w:t>
      </w:r>
      <w:r w:rsidRPr="008A6DE7">
        <w:rPr>
          <w:rFonts w:ascii="Times New Roman" w:eastAsia="Times New Roman" w:hAnsi="Times New Roman" w:cs="Times New Roman"/>
          <w:i/>
          <w:iCs/>
          <w:sz w:val="24"/>
          <w:szCs w:val="24"/>
        </w:rPr>
        <w:t>Renewable energy potential in Nigeria: A review of the status, policies, and obstacles</w:t>
      </w:r>
      <w:r w:rsidRPr="008A6DE7">
        <w:rPr>
          <w:rFonts w:ascii="Times New Roman" w:eastAsia="Times New Roman" w:hAnsi="Times New Roman" w:cs="Times New Roman"/>
          <w:sz w:val="24"/>
          <w:szCs w:val="24"/>
        </w:rPr>
        <w:t>. Renewable and Sustainable Energy Reviews.</w:t>
      </w:r>
    </w:p>
    <w:p w14:paraId="1A5F2F4E"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Ajayi, O.O. (2009). Assessment of utilization of wind energy resources in Nigeria. </w:t>
      </w:r>
      <w:r w:rsidRPr="003353A0">
        <w:rPr>
          <w:rFonts w:ascii="Times New Roman" w:hAnsi="Times New Roman" w:cs="Times New Roman"/>
          <w:i/>
          <w:iCs/>
          <w:sz w:val="24"/>
          <w:szCs w:val="24"/>
        </w:rPr>
        <w:t>Energy Policy,</w:t>
      </w:r>
      <w:r w:rsidRPr="003353A0">
        <w:rPr>
          <w:rFonts w:ascii="Times New Roman" w:hAnsi="Times New Roman" w:cs="Times New Roman"/>
          <w:sz w:val="24"/>
          <w:szCs w:val="24"/>
        </w:rPr>
        <w:t xml:space="preserve"> 37, 750–753. </w:t>
      </w:r>
    </w:p>
    <w:p w14:paraId="50A67EFA" w14:textId="77777777" w:rsidR="00FD5034" w:rsidRPr="003353A0" w:rsidRDefault="00FD5034" w:rsidP="00FD5034">
      <w:pPr>
        <w:spacing w:after="0" w:line="240" w:lineRule="auto"/>
        <w:jc w:val="both"/>
        <w:rPr>
          <w:rFonts w:ascii="Times New Roman" w:eastAsia="Times New Roman" w:hAnsi="Times New Roman" w:cs="Times New Roman"/>
          <w:sz w:val="24"/>
          <w:szCs w:val="24"/>
        </w:rPr>
      </w:pPr>
      <w:proofErr w:type="spellStart"/>
      <w:r w:rsidRPr="003353A0">
        <w:rPr>
          <w:rFonts w:ascii="Times New Roman" w:eastAsia="Times New Roman" w:hAnsi="Times New Roman" w:cs="Times New Roman"/>
          <w:sz w:val="24"/>
          <w:szCs w:val="24"/>
        </w:rPr>
        <w:t>Atchike</w:t>
      </w:r>
      <w:proofErr w:type="spellEnd"/>
      <w:r w:rsidRPr="003353A0">
        <w:rPr>
          <w:rFonts w:ascii="Times New Roman" w:eastAsia="Times New Roman" w:hAnsi="Times New Roman" w:cs="Times New Roman"/>
          <w:sz w:val="24"/>
          <w:szCs w:val="24"/>
        </w:rPr>
        <w:t xml:space="preserve">, D. W., Zhao, Z., &amp; Bao, G. (2020). The relationship between electricity consumption, foreign direct investment and economic growth. </w:t>
      </w:r>
      <w:r w:rsidRPr="003353A0">
        <w:rPr>
          <w:rFonts w:ascii="Times New Roman" w:eastAsia="Times New Roman" w:hAnsi="Times New Roman" w:cs="Times New Roman"/>
          <w:i/>
          <w:sz w:val="24"/>
          <w:szCs w:val="24"/>
        </w:rPr>
        <w:t>International Journal of Energy Economics and Policy 10</w:t>
      </w:r>
      <w:r w:rsidRPr="003353A0">
        <w:rPr>
          <w:rFonts w:ascii="Times New Roman" w:eastAsia="Times New Roman" w:hAnsi="Times New Roman" w:cs="Times New Roman"/>
          <w:sz w:val="24"/>
          <w:szCs w:val="24"/>
        </w:rPr>
        <w:t>(4), 507-515.</w:t>
      </w:r>
    </w:p>
    <w:p w14:paraId="1E622D24" w14:textId="77777777" w:rsidR="00FD5034" w:rsidRDefault="00FD5034" w:rsidP="00FD5034">
      <w:pPr>
        <w:shd w:val="clear" w:color="auto" w:fill="FFFFFF"/>
        <w:spacing w:after="0" w:line="240" w:lineRule="auto"/>
        <w:jc w:val="both"/>
        <w:rPr>
          <w:rFonts w:ascii="Times New Roman" w:hAnsi="Times New Roman" w:cs="Times New Roman"/>
          <w:color w:val="333333"/>
          <w:sz w:val="24"/>
          <w:szCs w:val="24"/>
        </w:rPr>
      </w:pPr>
      <w:r w:rsidRPr="005065C0">
        <w:rPr>
          <w:rFonts w:ascii="Times New Roman" w:hAnsi="Times New Roman" w:cs="Times New Roman"/>
          <w:color w:val="333333"/>
          <w:sz w:val="24"/>
          <w:szCs w:val="24"/>
        </w:rPr>
        <w:t>Awogbemi, O. &amp; Komolafe, C.A. 2011. Potential for sustainable renewable energy development in Nigeria. Pacific Journal of Science and Technology 10(1)</w:t>
      </w:r>
      <w:r>
        <w:rPr>
          <w:rFonts w:ascii="Times New Roman" w:hAnsi="Times New Roman" w:cs="Times New Roman"/>
          <w:color w:val="333333"/>
          <w:sz w:val="24"/>
          <w:szCs w:val="24"/>
        </w:rPr>
        <w:t>,</w:t>
      </w:r>
      <w:r w:rsidRPr="005065C0">
        <w:rPr>
          <w:rFonts w:ascii="Times New Roman" w:hAnsi="Times New Roman" w:cs="Times New Roman"/>
          <w:color w:val="333333"/>
          <w:sz w:val="24"/>
          <w:szCs w:val="24"/>
        </w:rPr>
        <w:t xml:space="preserve"> 161-169.</w:t>
      </w:r>
    </w:p>
    <w:p w14:paraId="376A7C45" w14:textId="77777777" w:rsidR="00FD5034" w:rsidRDefault="00FD5034" w:rsidP="00FD5034">
      <w:pPr>
        <w:shd w:val="clear" w:color="auto" w:fill="FFFFFF"/>
        <w:spacing w:after="0" w:line="240" w:lineRule="auto"/>
        <w:jc w:val="both"/>
        <w:rPr>
          <w:rFonts w:ascii="Times New Roman" w:hAnsi="Times New Roman" w:cs="Times New Roman"/>
          <w:color w:val="333333"/>
          <w:sz w:val="24"/>
          <w:szCs w:val="24"/>
        </w:rPr>
      </w:pPr>
      <w:r w:rsidRPr="003E2758">
        <w:rPr>
          <w:rFonts w:ascii="Times New Roman" w:hAnsi="Times New Roman" w:cs="Times New Roman"/>
          <w:color w:val="333333"/>
          <w:sz w:val="24"/>
          <w:szCs w:val="24"/>
        </w:rPr>
        <w:t xml:space="preserve">Babatunde, M. A., &amp; </w:t>
      </w:r>
      <w:proofErr w:type="spellStart"/>
      <w:r w:rsidRPr="003E2758">
        <w:rPr>
          <w:rFonts w:ascii="Times New Roman" w:hAnsi="Times New Roman" w:cs="Times New Roman"/>
          <w:color w:val="333333"/>
          <w:sz w:val="24"/>
          <w:szCs w:val="24"/>
        </w:rPr>
        <w:t>Shauibu</w:t>
      </w:r>
      <w:proofErr w:type="spellEnd"/>
      <w:r w:rsidRPr="003E2758">
        <w:rPr>
          <w:rFonts w:ascii="Times New Roman" w:hAnsi="Times New Roman" w:cs="Times New Roman"/>
          <w:color w:val="333333"/>
          <w:sz w:val="24"/>
          <w:szCs w:val="24"/>
        </w:rPr>
        <w:t xml:space="preserve">, M. I. (2011). The Demand for Residential Electricity in Nigeria. </w:t>
      </w:r>
      <w:r w:rsidRPr="003E2758">
        <w:rPr>
          <w:rFonts w:ascii="Times New Roman" w:hAnsi="Times New Roman" w:cs="Times New Roman"/>
          <w:i/>
          <w:iCs/>
          <w:color w:val="333333"/>
          <w:sz w:val="24"/>
          <w:szCs w:val="24"/>
        </w:rPr>
        <w:t>Pakistan J. Appl. Econ.</w:t>
      </w:r>
      <w:r w:rsidRPr="003E2758">
        <w:rPr>
          <w:rFonts w:ascii="Times New Roman" w:hAnsi="Times New Roman" w:cs="Times New Roman"/>
          <w:color w:val="333333"/>
          <w:sz w:val="24"/>
          <w:szCs w:val="24"/>
        </w:rPr>
        <w:t>, 21, 1–13</w:t>
      </w:r>
      <w:r>
        <w:rPr>
          <w:rFonts w:ascii="Times New Roman" w:hAnsi="Times New Roman" w:cs="Times New Roman"/>
          <w:color w:val="333333"/>
          <w:sz w:val="24"/>
          <w:szCs w:val="24"/>
        </w:rPr>
        <w:t>.</w:t>
      </w:r>
    </w:p>
    <w:p w14:paraId="0B2E33C5" w14:textId="77777777" w:rsidR="00FD5034" w:rsidRPr="003353A0" w:rsidRDefault="00FD5034" w:rsidP="00FD5034">
      <w:pPr>
        <w:spacing w:after="0" w:line="240" w:lineRule="auto"/>
        <w:jc w:val="both"/>
        <w:rPr>
          <w:rStyle w:val="Hyperlink"/>
          <w:sz w:val="24"/>
          <w:szCs w:val="24"/>
        </w:rPr>
      </w:pPr>
      <w:r w:rsidRPr="003353A0">
        <w:rPr>
          <w:rFonts w:ascii="Times New Roman" w:hAnsi="Times New Roman"/>
          <w:bCs/>
          <w:sz w:val="24"/>
          <w:szCs w:val="24"/>
        </w:rPr>
        <w:t>Bernard, O. A.</w:t>
      </w:r>
      <w:r w:rsidRPr="003353A0">
        <w:rPr>
          <w:rFonts w:ascii="Times New Roman" w:hAnsi="Times New Roman"/>
          <w:sz w:val="24"/>
          <w:szCs w:val="24"/>
        </w:rPr>
        <w:t xml:space="preserve"> &amp; Adenuga, O. (2016).  Is Energy consumption relevant to   Industrial output in Nigeria? </w:t>
      </w:r>
      <w:r w:rsidRPr="003353A0">
        <w:rPr>
          <w:rFonts w:ascii="Times New Roman" w:hAnsi="Times New Roman"/>
          <w:i/>
          <w:sz w:val="24"/>
          <w:szCs w:val="24"/>
        </w:rPr>
        <w:t xml:space="preserve">European Journal of Research in Social Sciences, </w:t>
      </w:r>
      <w:r w:rsidRPr="003353A0">
        <w:rPr>
          <w:rFonts w:ascii="Times New Roman" w:hAnsi="Times New Roman"/>
          <w:sz w:val="24"/>
          <w:szCs w:val="24"/>
        </w:rPr>
        <w:t>4 (4), 1-14</w:t>
      </w:r>
      <w:r w:rsidRPr="003353A0">
        <w:rPr>
          <w:rFonts w:ascii="Times New Roman" w:hAnsi="Times New Roman"/>
          <w:i/>
          <w:sz w:val="24"/>
          <w:szCs w:val="24"/>
        </w:rPr>
        <w:t>.</w:t>
      </w:r>
      <w:r w:rsidRPr="003353A0">
        <w:rPr>
          <w:rFonts w:ascii="Times New Roman" w:hAnsi="Times New Roman" w:cs="Times New Roman"/>
          <w:sz w:val="24"/>
          <w:szCs w:val="24"/>
          <w:shd w:val="clear" w:color="auto" w:fill="FFFFFF"/>
        </w:rPr>
        <w:t xml:space="preserve"> </w:t>
      </w:r>
      <w:r w:rsidRPr="00E86F2A">
        <w:rPr>
          <w:rStyle w:val="Strong"/>
          <w:sz w:val="24"/>
          <w:szCs w:val="24"/>
          <w:shd w:val="clear" w:color="auto" w:fill="FFFFFF"/>
        </w:rPr>
        <w:t>ISSN 2056-5429</w:t>
      </w:r>
      <w:r w:rsidRPr="003353A0">
        <w:rPr>
          <w:rStyle w:val="Strong"/>
          <w:sz w:val="24"/>
          <w:szCs w:val="24"/>
          <w:shd w:val="clear" w:color="auto" w:fill="FFFFFF"/>
        </w:rPr>
        <w:t>.</w:t>
      </w:r>
      <w:r w:rsidRPr="003353A0">
        <w:rPr>
          <w:rFonts w:ascii="Times New Roman" w:hAnsi="Times New Roman"/>
          <w:sz w:val="24"/>
          <w:szCs w:val="24"/>
        </w:rPr>
        <w:t xml:space="preserve"> Retrieved from: </w:t>
      </w:r>
      <w:hyperlink r:id="rId14" w:history="1">
        <w:r w:rsidRPr="003353A0">
          <w:rPr>
            <w:rStyle w:val="Hyperlink"/>
            <w:sz w:val="24"/>
            <w:szCs w:val="24"/>
          </w:rPr>
          <w:t>http://www.idpublications.org/wp-content/uploads/2016/04/</w:t>
        </w:r>
      </w:hyperlink>
      <w:r w:rsidRPr="003353A0">
        <w:rPr>
          <w:rStyle w:val="Hyperlink"/>
          <w:sz w:val="24"/>
          <w:szCs w:val="24"/>
        </w:rPr>
        <w:t>.</w:t>
      </w:r>
    </w:p>
    <w:p w14:paraId="0684B1BC" w14:textId="77777777" w:rsidR="00FD5034" w:rsidRPr="005065C0" w:rsidRDefault="00FD5034" w:rsidP="00FD5034">
      <w:pPr>
        <w:shd w:val="clear" w:color="auto" w:fill="FFFFFF"/>
        <w:spacing w:after="0" w:line="240" w:lineRule="auto"/>
        <w:jc w:val="both"/>
        <w:rPr>
          <w:rStyle w:val="Hyperlink"/>
          <w:rFonts w:ascii="Times New Roman" w:hAnsi="Times New Roman" w:cs="Times New Roman"/>
          <w:color w:val="3377AA"/>
          <w:sz w:val="24"/>
          <w:szCs w:val="24"/>
        </w:rPr>
      </w:pPr>
      <w:proofErr w:type="spellStart"/>
      <w:r w:rsidRPr="005065C0">
        <w:rPr>
          <w:rFonts w:ascii="Times New Roman" w:hAnsi="Times New Roman" w:cs="Times New Roman"/>
          <w:color w:val="333333"/>
          <w:sz w:val="24"/>
          <w:szCs w:val="24"/>
        </w:rPr>
        <w:t>BioEnergy</w:t>
      </w:r>
      <w:proofErr w:type="spellEnd"/>
      <w:r w:rsidRPr="005065C0">
        <w:rPr>
          <w:rFonts w:ascii="Times New Roman" w:hAnsi="Times New Roman" w:cs="Times New Roman"/>
          <w:color w:val="333333"/>
          <w:sz w:val="24"/>
          <w:szCs w:val="24"/>
        </w:rPr>
        <w:t xml:space="preserve"> Consult, (2021).</w:t>
      </w:r>
      <w:hyperlink r:id="rId15" w:tgtFrame="_blank" w:history="1">
        <w:r w:rsidRPr="005065C0">
          <w:rPr>
            <w:rStyle w:val="Hyperlink"/>
            <w:rFonts w:ascii="Times New Roman" w:hAnsi="Times New Roman" w:cs="Times New Roman"/>
            <w:color w:val="3377AA"/>
            <w:sz w:val="24"/>
            <w:szCs w:val="24"/>
          </w:rPr>
          <w:t>https://www.bioenergyconsult.com/biomass-energy-in-nigeria/</w:t>
        </w:r>
      </w:hyperlink>
    </w:p>
    <w:p w14:paraId="2BA3305F" w14:textId="77777777" w:rsidR="00FD5034" w:rsidRPr="003E2758" w:rsidRDefault="00FD5034" w:rsidP="00FD5034">
      <w:pPr>
        <w:autoSpaceDE w:val="0"/>
        <w:autoSpaceDN w:val="0"/>
        <w:adjustRightInd w:val="0"/>
        <w:spacing w:after="0" w:line="240" w:lineRule="auto"/>
        <w:jc w:val="both"/>
        <w:rPr>
          <w:rFonts w:ascii="Times New Roman" w:eastAsia="MyriadPro-Light" w:hAnsi="Times New Roman" w:cs="Times New Roman"/>
          <w:sz w:val="24"/>
          <w:szCs w:val="24"/>
        </w:rPr>
      </w:pPr>
      <w:r w:rsidRPr="003E2758">
        <w:rPr>
          <w:rFonts w:ascii="Times New Roman" w:hAnsi="Times New Roman" w:cs="Times New Roman"/>
        </w:rPr>
        <w:t xml:space="preserve">Donastorg, A., </w:t>
      </w:r>
      <w:proofErr w:type="spellStart"/>
      <w:r w:rsidRPr="003E2758">
        <w:rPr>
          <w:rFonts w:ascii="Times New Roman" w:hAnsi="Times New Roman" w:cs="Times New Roman"/>
        </w:rPr>
        <w:t>Renukappa</w:t>
      </w:r>
      <w:proofErr w:type="spellEnd"/>
      <w:r w:rsidRPr="003E2758">
        <w:rPr>
          <w:rFonts w:ascii="Times New Roman" w:hAnsi="Times New Roman" w:cs="Times New Roman"/>
        </w:rPr>
        <w:t>, S. &amp; Suresh, S</w:t>
      </w:r>
      <w:r w:rsidRPr="003E2758">
        <w:rPr>
          <w:rFonts w:ascii="Times New Roman" w:hAnsi="Times New Roman" w:cs="Times New Roman"/>
          <w:i/>
          <w:iCs/>
        </w:rPr>
        <w:t xml:space="preserve"> </w:t>
      </w:r>
      <w:r w:rsidRPr="003E2758">
        <w:rPr>
          <w:rFonts w:ascii="Times New Roman" w:hAnsi="Times New Roman" w:cs="Times New Roman"/>
        </w:rPr>
        <w:t xml:space="preserve">(2017). Financing Renewable Energy Projects in Developing Countries: A Critical Review. IOP Conf. Series: Earth and Environmental Science </w:t>
      </w:r>
      <w:r w:rsidRPr="003E2758">
        <w:rPr>
          <w:rFonts w:ascii="Times New Roman" w:hAnsi="Times New Roman" w:cs="Times New Roman"/>
          <w:b/>
          <w:bCs/>
        </w:rPr>
        <w:t xml:space="preserve">83 </w:t>
      </w:r>
      <w:r w:rsidRPr="003E2758">
        <w:rPr>
          <w:rFonts w:ascii="Times New Roman" w:hAnsi="Times New Roman" w:cs="Times New Roman"/>
        </w:rPr>
        <w:t>(2017) 012012 do i :10.1088/1755-1315/83/1/012012</w:t>
      </w:r>
    </w:p>
    <w:p w14:paraId="2E837365" w14:textId="77777777" w:rsidR="00FD5034" w:rsidRPr="005065C0" w:rsidRDefault="00FD5034" w:rsidP="00FD5034">
      <w:pPr>
        <w:shd w:val="clear" w:color="auto" w:fill="FFFFFF"/>
        <w:spacing w:after="0" w:line="240" w:lineRule="auto"/>
        <w:jc w:val="both"/>
        <w:rPr>
          <w:rFonts w:ascii="Times New Roman" w:hAnsi="Times New Roman" w:cs="Times New Roman"/>
          <w:color w:val="333333"/>
          <w:sz w:val="24"/>
          <w:szCs w:val="24"/>
        </w:rPr>
      </w:pPr>
      <w:proofErr w:type="spellStart"/>
      <w:r w:rsidRPr="005065C0">
        <w:rPr>
          <w:rFonts w:ascii="Times New Roman" w:hAnsi="Times New Roman" w:cs="Times New Roman"/>
          <w:color w:val="333333"/>
          <w:sz w:val="24"/>
          <w:szCs w:val="24"/>
        </w:rPr>
        <w:t>Esi-africa</w:t>
      </w:r>
      <w:proofErr w:type="spellEnd"/>
      <w:r w:rsidRPr="005065C0">
        <w:rPr>
          <w:rFonts w:ascii="Times New Roman" w:hAnsi="Times New Roman" w:cs="Times New Roman"/>
          <w:color w:val="333333"/>
          <w:sz w:val="24"/>
          <w:szCs w:val="24"/>
        </w:rPr>
        <w:t>, (2021). Katsina wind farm makes headway for Nigeria’s abandoned projects </w:t>
      </w:r>
      <w:hyperlink r:id="rId16" w:tgtFrame="_blank" w:history="1">
        <w:r w:rsidRPr="005065C0">
          <w:rPr>
            <w:rStyle w:val="Hyperlink"/>
            <w:rFonts w:ascii="Times New Roman" w:hAnsi="Times New Roman" w:cs="Times New Roman"/>
            <w:color w:val="3377AA"/>
            <w:sz w:val="24"/>
            <w:szCs w:val="24"/>
          </w:rPr>
          <w:t>https://www.esi-africa.com/industry-sectors/renewable-energy/katsina-wind-farm-makes-headway-for-nigerias-abandoned-projects/</w:t>
        </w:r>
      </w:hyperlink>
    </w:p>
    <w:p w14:paraId="03EEBD17" w14:textId="77777777" w:rsidR="00FD5034" w:rsidRPr="003353A0" w:rsidRDefault="00FD5034" w:rsidP="00FD5034">
      <w:pPr>
        <w:spacing w:after="0" w:line="240" w:lineRule="auto"/>
        <w:jc w:val="both"/>
        <w:rPr>
          <w:rFonts w:ascii="Times New Roman" w:eastAsia="Times New Roman" w:hAnsi="Times New Roman" w:cs="Times New Roman"/>
          <w:sz w:val="24"/>
          <w:szCs w:val="24"/>
        </w:rPr>
      </w:pPr>
      <w:proofErr w:type="spellStart"/>
      <w:r w:rsidRPr="003353A0">
        <w:rPr>
          <w:rFonts w:ascii="Times New Roman" w:eastAsia="Times New Roman" w:hAnsi="Times New Roman" w:cs="Times New Roman"/>
          <w:sz w:val="24"/>
          <w:szCs w:val="24"/>
        </w:rPr>
        <w:t>Giartkasari</w:t>
      </w:r>
      <w:proofErr w:type="spellEnd"/>
      <w:r w:rsidRPr="003353A0">
        <w:rPr>
          <w:rFonts w:ascii="Times New Roman" w:eastAsia="Times New Roman" w:hAnsi="Times New Roman" w:cs="Times New Roman"/>
          <w:sz w:val="24"/>
          <w:szCs w:val="24"/>
        </w:rPr>
        <w:t xml:space="preserve">, G &amp; </w:t>
      </w:r>
      <w:proofErr w:type="spellStart"/>
      <w:r w:rsidRPr="003353A0">
        <w:rPr>
          <w:rFonts w:ascii="Times New Roman" w:eastAsia="Times New Roman" w:hAnsi="Times New Roman" w:cs="Times New Roman"/>
          <w:sz w:val="24"/>
          <w:szCs w:val="24"/>
        </w:rPr>
        <w:t>Nikensari</w:t>
      </w:r>
      <w:proofErr w:type="spellEnd"/>
      <w:r w:rsidRPr="003353A0">
        <w:rPr>
          <w:rFonts w:ascii="Times New Roman" w:eastAsia="Times New Roman" w:hAnsi="Times New Roman" w:cs="Times New Roman"/>
          <w:sz w:val="24"/>
          <w:szCs w:val="24"/>
        </w:rPr>
        <w:t>, S.I.  (2022). The causal relationship between renewable energy</w:t>
      </w:r>
      <w:r w:rsidRPr="003353A0">
        <w:rPr>
          <w:rFonts w:ascii="Times New Roman" w:hAnsi="Times New Roman" w:cs="Times New Roman"/>
          <w:sz w:val="24"/>
          <w:szCs w:val="24"/>
        </w:rPr>
        <w:t xml:space="preserve"> </w:t>
      </w:r>
      <w:r w:rsidRPr="003353A0">
        <w:rPr>
          <w:rFonts w:ascii="Times New Roman" w:eastAsia="Times New Roman" w:hAnsi="Times New Roman" w:cs="Times New Roman"/>
          <w:sz w:val="24"/>
          <w:szCs w:val="24"/>
        </w:rPr>
        <w:t xml:space="preserve">Consumption, economic welfare, and foreign direct investment in 6 ASEAN countries. </w:t>
      </w:r>
      <w:proofErr w:type="spellStart"/>
      <w:r w:rsidRPr="003353A0">
        <w:rPr>
          <w:rFonts w:ascii="Times New Roman" w:eastAsia="Times New Roman" w:hAnsi="Times New Roman" w:cs="Times New Roman"/>
          <w:i/>
          <w:iCs/>
          <w:sz w:val="24"/>
          <w:szCs w:val="24"/>
        </w:rPr>
        <w:t>Jurnal</w:t>
      </w:r>
      <w:proofErr w:type="spellEnd"/>
      <w:r w:rsidRPr="003353A0">
        <w:rPr>
          <w:rFonts w:ascii="Times New Roman" w:eastAsia="Times New Roman" w:hAnsi="Times New Roman" w:cs="Times New Roman"/>
          <w:i/>
          <w:iCs/>
          <w:sz w:val="24"/>
          <w:szCs w:val="24"/>
        </w:rPr>
        <w:t xml:space="preserve"> </w:t>
      </w:r>
      <w:r w:rsidRPr="003353A0">
        <w:rPr>
          <w:rFonts w:ascii="Times New Roman" w:eastAsia="Times New Roman" w:hAnsi="Times New Roman" w:cs="Times New Roman"/>
          <w:i/>
          <w:iCs/>
          <w:sz w:val="24"/>
          <w:szCs w:val="24"/>
        </w:rPr>
        <w:lastRenderedPageBreak/>
        <w:t xml:space="preserve">Pendidikan </w:t>
      </w:r>
      <w:proofErr w:type="spellStart"/>
      <w:r w:rsidRPr="003353A0">
        <w:rPr>
          <w:rFonts w:ascii="Times New Roman" w:eastAsia="Times New Roman" w:hAnsi="Times New Roman" w:cs="Times New Roman"/>
          <w:i/>
          <w:iCs/>
          <w:sz w:val="24"/>
          <w:szCs w:val="24"/>
        </w:rPr>
        <w:t>Ekonomi</w:t>
      </w:r>
      <w:proofErr w:type="spellEnd"/>
      <w:r w:rsidRPr="003353A0">
        <w:rPr>
          <w:rFonts w:ascii="Times New Roman" w:eastAsia="Times New Roman" w:hAnsi="Times New Roman" w:cs="Times New Roman"/>
          <w:i/>
          <w:iCs/>
          <w:sz w:val="24"/>
          <w:szCs w:val="24"/>
        </w:rPr>
        <w:t xml:space="preserve">, </w:t>
      </w:r>
      <w:proofErr w:type="spellStart"/>
      <w:r w:rsidRPr="003353A0">
        <w:rPr>
          <w:rFonts w:ascii="Times New Roman" w:eastAsia="Times New Roman" w:hAnsi="Times New Roman" w:cs="Times New Roman"/>
          <w:i/>
          <w:iCs/>
          <w:sz w:val="24"/>
          <w:szCs w:val="24"/>
        </w:rPr>
        <w:t>Perkantoran</w:t>
      </w:r>
      <w:proofErr w:type="spellEnd"/>
      <w:r w:rsidRPr="003353A0">
        <w:rPr>
          <w:rFonts w:ascii="Times New Roman" w:eastAsia="Times New Roman" w:hAnsi="Times New Roman" w:cs="Times New Roman"/>
          <w:i/>
          <w:iCs/>
          <w:sz w:val="24"/>
          <w:szCs w:val="24"/>
        </w:rPr>
        <w:t xml:space="preserve"> Dan Akuntansi,</w:t>
      </w:r>
      <w:r w:rsidRPr="003353A0">
        <w:rPr>
          <w:rFonts w:ascii="Times New Roman" w:eastAsia="Times New Roman" w:hAnsi="Times New Roman" w:cs="Times New Roman"/>
          <w:sz w:val="24"/>
          <w:szCs w:val="24"/>
        </w:rPr>
        <w:t xml:space="preserve"> </w:t>
      </w:r>
      <w:r w:rsidRPr="003353A0">
        <w:rPr>
          <w:rFonts w:ascii="Times New Roman" w:eastAsia="Times New Roman" w:hAnsi="Times New Roman" w:cs="Times New Roman"/>
          <w:i/>
          <w:iCs/>
          <w:sz w:val="24"/>
          <w:szCs w:val="24"/>
        </w:rPr>
        <w:t>7</w:t>
      </w:r>
      <w:r w:rsidRPr="003353A0">
        <w:rPr>
          <w:rFonts w:ascii="Times New Roman" w:eastAsia="Times New Roman" w:hAnsi="Times New Roman" w:cs="Times New Roman"/>
          <w:sz w:val="24"/>
          <w:szCs w:val="24"/>
        </w:rPr>
        <w:t xml:space="preserve">(4), 120-128. </w:t>
      </w:r>
      <w:proofErr w:type="gramStart"/>
      <w:r w:rsidRPr="003353A0">
        <w:rPr>
          <w:rFonts w:ascii="Times New Roman" w:eastAsia="Times New Roman" w:hAnsi="Times New Roman" w:cs="Times New Roman"/>
          <w:sz w:val="24"/>
          <w:szCs w:val="24"/>
        </w:rPr>
        <w:t>DOI:doi.org</w:t>
      </w:r>
      <w:proofErr w:type="gramEnd"/>
      <w:r w:rsidRPr="003353A0">
        <w:rPr>
          <w:rFonts w:ascii="Times New Roman" w:eastAsia="Times New Roman" w:hAnsi="Times New Roman" w:cs="Times New Roman"/>
          <w:sz w:val="24"/>
          <w:szCs w:val="24"/>
        </w:rPr>
        <w:t>/10.21009/JPEPA.007.x.x.</w:t>
      </w:r>
    </w:p>
    <w:p w14:paraId="78D8D532" w14:textId="77777777" w:rsidR="00FD5034" w:rsidRPr="003353A0" w:rsidRDefault="00FD5034"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Gujba</w:t>
      </w:r>
      <w:proofErr w:type="spellEnd"/>
      <w:r w:rsidRPr="003353A0">
        <w:rPr>
          <w:rFonts w:ascii="Times New Roman" w:hAnsi="Times New Roman" w:cs="Times New Roman"/>
          <w:sz w:val="24"/>
          <w:szCs w:val="24"/>
        </w:rPr>
        <w:t xml:space="preserve">, H.; </w:t>
      </w:r>
      <w:proofErr w:type="spellStart"/>
      <w:r w:rsidRPr="003353A0">
        <w:rPr>
          <w:rFonts w:ascii="Times New Roman" w:hAnsi="Times New Roman" w:cs="Times New Roman"/>
          <w:sz w:val="24"/>
          <w:szCs w:val="24"/>
        </w:rPr>
        <w:t>Mulugetta</w:t>
      </w:r>
      <w:proofErr w:type="spellEnd"/>
      <w:r w:rsidRPr="003353A0">
        <w:rPr>
          <w:rFonts w:ascii="Times New Roman" w:hAnsi="Times New Roman" w:cs="Times New Roman"/>
          <w:sz w:val="24"/>
          <w:szCs w:val="24"/>
        </w:rPr>
        <w:t xml:space="preserve">, Y.; Azapagic, A. (2015) The household cooking sector in Nigeria: Environmental and economic sustainability assessment. Resources, </w:t>
      </w:r>
      <w:r w:rsidRPr="003353A0">
        <w:rPr>
          <w:rFonts w:ascii="Times New Roman" w:hAnsi="Times New Roman" w:cs="Times New Roman"/>
          <w:i/>
          <w:iCs/>
          <w:sz w:val="24"/>
          <w:szCs w:val="24"/>
        </w:rPr>
        <w:t>4,</w:t>
      </w:r>
      <w:r w:rsidRPr="003353A0">
        <w:rPr>
          <w:rFonts w:ascii="Times New Roman" w:hAnsi="Times New Roman" w:cs="Times New Roman"/>
          <w:sz w:val="24"/>
          <w:szCs w:val="24"/>
        </w:rPr>
        <w:t xml:space="preserve"> 412–433.</w:t>
      </w:r>
    </w:p>
    <w:p w14:paraId="3177E80F" w14:textId="77777777" w:rsidR="00FD5034" w:rsidRPr="005065C0" w:rsidRDefault="00FD5034" w:rsidP="00FD5034">
      <w:pPr>
        <w:shd w:val="clear" w:color="auto" w:fill="FFFFFF"/>
        <w:spacing w:after="0" w:line="240" w:lineRule="auto"/>
        <w:jc w:val="both"/>
        <w:rPr>
          <w:rStyle w:val="Hyperlink"/>
          <w:rFonts w:ascii="Times New Roman" w:hAnsi="Times New Roman" w:cs="Times New Roman"/>
          <w:color w:val="3377AA"/>
          <w:sz w:val="24"/>
          <w:szCs w:val="24"/>
        </w:rPr>
      </w:pPr>
      <w:r w:rsidRPr="005065C0">
        <w:rPr>
          <w:rFonts w:ascii="Times New Roman" w:hAnsi="Times New Roman" w:cs="Times New Roman"/>
          <w:color w:val="333333"/>
          <w:sz w:val="24"/>
          <w:szCs w:val="24"/>
        </w:rPr>
        <w:t>Hydropower Status Report, (2018) </w:t>
      </w:r>
      <w:hyperlink r:id="rId17" w:tgtFrame="_blank" w:history="1">
        <w:r w:rsidRPr="005065C0">
          <w:rPr>
            <w:rStyle w:val="Hyperlink"/>
            <w:rFonts w:ascii="Times New Roman" w:hAnsi="Times New Roman" w:cs="Times New Roman"/>
            <w:color w:val="3377AA"/>
            <w:sz w:val="24"/>
            <w:szCs w:val="24"/>
          </w:rPr>
          <w:t>https://www.hydropower.org/country-profiles/nigeria</w:t>
        </w:r>
      </w:hyperlink>
    </w:p>
    <w:p w14:paraId="600E5BE4"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Idoko, C. (2021). Impact of government expenditure on electricity supply in Nigeria: 1990 – 2017. </w:t>
      </w:r>
      <w:r w:rsidRPr="003353A0">
        <w:rPr>
          <w:rFonts w:ascii="Times New Roman" w:hAnsi="Times New Roman" w:cs="Times New Roman"/>
          <w:i/>
          <w:iCs/>
          <w:sz w:val="24"/>
          <w:szCs w:val="24"/>
        </w:rPr>
        <w:t>Journal of Humanities and Social Sciences Research, 4</w:t>
      </w:r>
      <w:r w:rsidRPr="003353A0">
        <w:rPr>
          <w:rFonts w:ascii="Times New Roman" w:hAnsi="Times New Roman" w:cs="Times New Roman"/>
          <w:sz w:val="24"/>
          <w:szCs w:val="24"/>
        </w:rPr>
        <w:t>(1), 64-74.</w:t>
      </w:r>
    </w:p>
    <w:p w14:paraId="21E82EDE" w14:textId="77777777" w:rsidR="00FD5034" w:rsidRPr="003353A0" w:rsidRDefault="00FD5034" w:rsidP="00FD5034">
      <w:pPr>
        <w:spacing w:after="0" w:line="240" w:lineRule="auto"/>
        <w:rPr>
          <w:rFonts w:ascii="Times New Roman" w:hAnsi="Times New Roman" w:cs="Times New Roman"/>
          <w:sz w:val="24"/>
          <w:szCs w:val="24"/>
        </w:rPr>
      </w:pPr>
      <w:r w:rsidRPr="003353A0">
        <w:rPr>
          <w:rFonts w:ascii="Times New Roman" w:hAnsi="Times New Roman" w:cs="Times New Roman"/>
          <w:sz w:val="24"/>
          <w:szCs w:val="24"/>
        </w:rPr>
        <w:t xml:space="preserve">Idoko, C. (2021). Impact of government expenditure on electricity supply in Nigeria: 1990 – 2017. </w:t>
      </w:r>
      <w:r w:rsidRPr="003353A0">
        <w:rPr>
          <w:rFonts w:ascii="Times New Roman" w:hAnsi="Times New Roman" w:cs="Times New Roman"/>
          <w:i/>
          <w:iCs/>
          <w:sz w:val="24"/>
          <w:szCs w:val="24"/>
        </w:rPr>
        <w:t>Journal of Humanities and Social Sciences Research, 4</w:t>
      </w:r>
      <w:r w:rsidRPr="003353A0">
        <w:rPr>
          <w:rFonts w:ascii="Times New Roman" w:hAnsi="Times New Roman" w:cs="Times New Roman"/>
          <w:sz w:val="24"/>
          <w:szCs w:val="24"/>
        </w:rPr>
        <w:t>(1), 64-74.</w:t>
      </w:r>
    </w:p>
    <w:p w14:paraId="635AC9D9"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eastAsia="Times New Roman" w:hAnsi="Times New Roman" w:cs="Times New Roman"/>
          <w:spacing w:val="-7"/>
          <w:kern w:val="36"/>
          <w:sz w:val="24"/>
          <w:szCs w:val="24"/>
        </w:rPr>
        <w:t xml:space="preserve">IEA (2017). Renewable Energy Policy Network for the 21st Century (REN21) Retrieved from: </w:t>
      </w:r>
      <w:hyperlink r:id="rId18" w:history="1">
        <w:r w:rsidRPr="003353A0">
          <w:rPr>
            <w:rStyle w:val="Hyperlink"/>
            <w:spacing w:val="-7"/>
            <w:kern w:val="36"/>
            <w:sz w:val="24"/>
            <w:szCs w:val="24"/>
          </w:rPr>
          <w:t>https://www.iea.org/policies/</w:t>
        </w:r>
      </w:hyperlink>
      <w:r w:rsidRPr="003353A0">
        <w:rPr>
          <w:rFonts w:ascii="Times New Roman" w:eastAsia="Times New Roman" w:hAnsi="Times New Roman" w:cs="Times New Roman"/>
          <w:spacing w:val="-7"/>
          <w:kern w:val="36"/>
          <w:sz w:val="24"/>
          <w:szCs w:val="24"/>
        </w:rPr>
        <w:t>.</w:t>
      </w:r>
    </w:p>
    <w:p w14:paraId="2CFE6373"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IEA (2021). World Energy Outlook. Retrieved from: </w:t>
      </w:r>
      <w:hyperlink r:id="rId19" w:history="1">
        <w:r w:rsidRPr="003353A0">
          <w:rPr>
            <w:rStyle w:val="Hyperlink"/>
            <w:sz w:val="24"/>
            <w:szCs w:val="24"/>
          </w:rPr>
          <w:t>https://www.iea.org/reports/world-energy-outlook-2021</w:t>
        </w:r>
      </w:hyperlink>
    </w:p>
    <w:p w14:paraId="3639EF8C" w14:textId="77777777" w:rsidR="00FD5034"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Imo, E. E., Chukwu, C. B., &amp; Abode, I. I. (2017). Statistical analysis of electricity generation in Nigeria using multiple linear regression model and Box-Jenkins’ autoregressive model of order 1. International Journal of Energy and Power Engineering, 6(3), 28- 33. DOI: 10.11648/j.ijepe.20170603.12</w:t>
      </w:r>
    </w:p>
    <w:p w14:paraId="67A78D3F" w14:textId="77777777" w:rsidR="00FD5034" w:rsidRDefault="00FD5034" w:rsidP="00FD5034">
      <w:pPr>
        <w:shd w:val="clear" w:color="auto" w:fill="FFFFFF"/>
        <w:spacing w:after="0" w:line="240" w:lineRule="auto"/>
        <w:jc w:val="both"/>
        <w:rPr>
          <w:rFonts w:ascii="Times New Roman" w:hAnsi="Times New Roman" w:cs="Times New Roman"/>
          <w:color w:val="333333"/>
          <w:sz w:val="24"/>
          <w:szCs w:val="24"/>
        </w:rPr>
      </w:pPr>
      <w:r w:rsidRPr="005065C0">
        <w:rPr>
          <w:rFonts w:ascii="Times New Roman" w:hAnsi="Times New Roman" w:cs="Times New Roman"/>
          <w:color w:val="333333"/>
          <w:sz w:val="24"/>
          <w:szCs w:val="24"/>
        </w:rPr>
        <w:t>International Energy Agency. (2016). World Energy Outlook. Paris, France, 2016.</w:t>
      </w:r>
    </w:p>
    <w:p w14:paraId="21E29D5A" w14:textId="77777777" w:rsidR="00FD5034" w:rsidRPr="003E2758" w:rsidRDefault="00FD5034" w:rsidP="00FD5034">
      <w:pPr>
        <w:shd w:val="clear" w:color="auto" w:fill="FFFFFF"/>
        <w:spacing w:after="0" w:line="240" w:lineRule="auto"/>
        <w:jc w:val="both"/>
        <w:rPr>
          <w:rFonts w:ascii="Times New Roman" w:hAnsi="Times New Roman" w:cs="Times New Roman"/>
          <w:color w:val="333333"/>
          <w:sz w:val="24"/>
          <w:szCs w:val="24"/>
        </w:rPr>
      </w:pPr>
      <w:r w:rsidRPr="003E2758">
        <w:rPr>
          <w:rFonts w:ascii="Times New Roman" w:eastAsia="MyriadPro-Light" w:hAnsi="Times New Roman" w:cs="Times New Roman"/>
          <w:sz w:val="24"/>
          <w:szCs w:val="24"/>
        </w:rPr>
        <w:t xml:space="preserve">Isah, A., Michael O.D., Ramit, D., Magnus C. A., &amp; Hemen M. B. (2023). </w:t>
      </w:r>
      <w:r w:rsidRPr="003E2758">
        <w:rPr>
          <w:rFonts w:ascii="Times New Roman" w:hAnsi="Times New Roman" w:cs="Times New Roman"/>
          <w:sz w:val="24"/>
          <w:szCs w:val="24"/>
        </w:rPr>
        <w:t xml:space="preserve">Financing renewable energy: policy insights from Brazil and Nigeria. </w:t>
      </w:r>
      <w:r w:rsidRPr="003E2758">
        <w:rPr>
          <w:rFonts w:ascii="Times New Roman" w:hAnsi="Times New Roman" w:cs="Times New Roman"/>
          <w:i/>
          <w:iCs/>
          <w:sz w:val="24"/>
          <w:szCs w:val="24"/>
        </w:rPr>
        <w:t xml:space="preserve">Energy, Sustainability and Society, 13(2), </w:t>
      </w:r>
      <w:r w:rsidRPr="003E2758">
        <w:rPr>
          <w:rFonts w:ascii="Times New Roman" w:hAnsi="Times New Roman" w:cs="Times New Roman"/>
          <w:sz w:val="24"/>
          <w:szCs w:val="24"/>
        </w:rPr>
        <w:t>2-16.</w:t>
      </w:r>
      <w:r w:rsidRPr="003E2758">
        <w:rPr>
          <w:rFonts w:ascii="Times New Roman" w:hAnsi="Times New Roman" w:cs="Times New Roman"/>
          <w:i/>
          <w:iCs/>
          <w:sz w:val="24"/>
          <w:szCs w:val="24"/>
        </w:rPr>
        <w:t xml:space="preserve"> </w:t>
      </w:r>
      <w:r w:rsidRPr="003E2758">
        <w:rPr>
          <w:rFonts w:ascii="Times New Roman" w:hAnsi="Times New Roman" w:cs="Times New Roman"/>
          <w:sz w:val="24"/>
          <w:szCs w:val="24"/>
        </w:rPr>
        <w:t>doi.org/10.1186/s13705-022-00379-9</w:t>
      </w:r>
    </w:p>
    <w:p w14:paraId="0DBB5C04"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Ismail, S., </w:t>
      </w:r>
      <w:proofErr w:type="spellStart"/>
      <w:r w:rsidRPr="003353A0">
        <w:rPr>
          <w:rFonts w:ascii="Times New Roman" w:hAnsi="Times New Roman" w:cs="Times New Roman"/>
          <w:sz w:val="24"/>
          <w:szCs w:val="24"/>
        </w:rPr>
        <w:t>Ojolo</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J., Olusegun, F. (2014). Design of an office table solar-DC powered fan.</w:t>
      </w:r>
      <w:r w:rsidRPr="003353A0">
        <w:rPr>
          <w:rFonts w:ascii="Times New Roman" w:hAnsi="Times New Roman" w:cs="Times New Roman"/>
          <w:i/>
          <w:iCs/>
          <w:sz w:val="24"/>
          <w:szCs w:val="24"/>
        </w:rPr>
        <w:t xml:space="preserve"> J. Emerg. Trends Eng. Appl. Sci.</w:t>
      </w:r>
      <w:r w:rsidRPr="003353A0">
        <w:rPr>
          <w:rFonts w:ascii="Times New Roman" w:hAnsi="Times New Roman" w:cs="Times New Roman"/>
          <w:sz w:val="24"/>
          <w:szCs w:val="24"/>
        </w:rPr>
        <w:t xml:space="preserve">, 5, 1–5. </w:t>
      </w:r>
    </w:p>
    <w:p w14:paraId="67C5C285"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Ismail, S.; </w:t>
      </w:r>
      <w:proofErr w:type="spellStart"/>
      <w:r w:rsidRPr="003353A0">
        <w:rPr>
          <w:rFonts w:ascii="Times New Roman" w:hAnsi="Times New Roman" w:cs="Times New Roman"/>
          <w:sz w:val="24"/>
          <w:szCs w:val="24"/>
        </w:rPr>
        <w:t>Ojolo</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xml:space="preserve">, J.; </w:t>
      </w:r>
      <w:proofErr w:type="spellStart"/>
      <w:r w:rsidRPr="003353A0">
        <w:rPr>
          <w:rFonts w:ascii="Times New Roman" w:hAnsi="Times New Roman" w:cs="Times New Roman"/>
          <w:sz w:val="24"/>
          <w:szCs w:val="24"/>
        </w:rPr>
        <w:t>Alogbo</w:t>
      </w:r>
      <w:proofErr w:type="spellEnd"/>
      <w:r w:rsidRPr="003353A0">
        <w:rPr>
          <w:rFonts w:ascii="Times New Roman" w:hAnsi="Times New Roman" w:cs="Times New Roman"/>
          <w:sz w:val="24"/>
          <w:szCs w:val="24"/>
        </w:rPr>
        <w:t>, A. (2013). Design and development of a dual solar water purifier.</w:t>
      </w:r>
      <w:r w:rsidRPr="003353A0">
        <w:rPr>
          <w:rFonts w:ascii="Times New Roman" w:hAnsi="Times New Roman" w:cs="Times New Roman"/>
          <w:i/>
          <w:iCs/>
          <w:sz w:val="24"/>
          <w:szCs w:val="24"/>
        </w:rPr>
        <w:t xml:space="preserve"> Int. J. Adv. Sci. Eng. Technol. Res.</w:t>
      </w:r>
      <w:r w:rsidRPr="003353A0">
        <w:rPr>
          <w:rFonts w:ascii="Times New Roman" w:hAnsi="Times New Roman" w:cs="Times New Roman"/>
          <w:sz w:val="24"/>
          <w:szCs w:val="24"/>
        </w:rPr>
        <w:t xml:space="preserve"> 2, 8–17. </w:t>
      </w:r>
    </w:p>
    <w:p w14:paraId="28C44395"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Keles, S.; Bilgen, S.; Kaygusuz, K. (2017). Biomass energy source in developing countries.</w:t>
      </w:r>
      <w:r w:rsidRPr="003353A0">
        <w:rPr>
          <w:rFonts w:ascii="Times New Roman" w:hAnsi="Times New Roman" w:cs="Times New Roman"/>
          <w:i/>
          <w:iCs/>
          <w:sz w:val="24"/>
          <w:szCs w:val="24"/>
        </w:rPr>
        <w:t xml:space="preserve"> J. Eng. Res. Appl. Sci., 6,</w:t>
      </w:r>
      <w:r w:rsidRPr="003353A0">
        <w:rPr>
          <w:rFonts w:ascii="Times New Roman" w:hAnsi="Times New Roman" w:cs="Times New Roman"/>
          <w:sz w:val="24"/>
          <w:szCs w:val="24"/>
        </w:rPr>
        <w:t xml:space="preserve"> 566–576.</w:t>
      </w:r>
    </w:p>
    <w:p w14:paraId="0C6167C0"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Lior, N. (2012). Sustainable energy development with some game-changers. </w:t>
      </w:r>
      <w:r w:rsidRPr="003353A0">
        <w:rPr>
          <w:rFonts w:ascii="Times New Roman" w:hAnsi="Times New Roman" w:cs="Times New Roman"/>
          <w:i/>
          <w:iCs/>
          <w:sz w:val="24"/>
          <w:szCs w:val="24"/>
        </w:rPr>
        <w:t>Energy</w:t>
      </w:r>
      <w:r w:rsidRPr="003353A0">
        <w:rPr>
          <w:rFonts w:ascii="Times New Roman" w:hAnsi="Times New Roman" w:cs="Times New Roman"/>
          <w:sz w:val="24"/>
          <w:szCs w:val="24"/>
        </w:rPr>
        <w:t>, 40, 3–18. [</w:t>
      </w:r>
      <w:proofErr w:type="spellStart"/>
      <w:r w:rsidRPr="003353A0">
        <w:rPr>
          <w:rFonts w:ascii="Times New Roman" w:hAnsi="Times New Roman" w:cs="Times New Roman"/>
          <w:sz w:val="24"/>
          <w:szCs w:val="24"/>
        </w:rPr>
        <w:t>CrossRef</w:t>
      </w:r>
      <w:proofErr w:type="spellEnd"/>
      <w:r w:rsidRPr="003353A0">
        <w:rPr>
          <w:rFonts w:ascii="Times New Roman" w:hAnsi="Times New Roman" w:cs="Times New Roman"/>
          <w:sz w:val="24"/>
          <w:szCs w:val="24"/>
        </w:rPr>
        <w:t xml:space="preserve">] </w:t>
      </w:r>
    </w:p>
    <w:p w14:paraId="0FD5E235"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Lior, N. (2012). Sustainable energy development: The present situation and possible paths to the future. </w:t>
      </w:r>
      <w:r w:rsidRPr="003353A0">
        <w:rPr>
          <w:rFonts w:ascii="Times New Roman" w:hAnsi="Times New Roman" w:cs="Times New Roman"/>
          <w:i/>
          <w:iCs/>
          <w:sz w:val="24"/>
          <w:szCs w:val="24"/>
        </w:rPr>
        <w:t>Energy</w:t>
      </w:r>
      <w:r w:rsidRPr="003353A0">
        <w:rPr>
          <w:rFonts w:ascii="Times New Roman" w:hAnsi="Times New Roman" w:cs="Times New Roman"/>
          <w:sz w:val="24"/>
          <w:szCs w:val="24"/>
        </w:rPr>
        <w:t>, 43, 174–191. [</w:t>
      </w:r>
      <w:proofErr w:type="spellStart"/>
      <w:r w:rsidRPr="003353A0">
        <w:rPr>
          <w:rFonts w:ascii="Times New Roman" w:hAnsi="Times New Roman" w:cs="Times New Roman"/>
          <w:sz w:val="24"/>
          <w:szCs w:val="24"/>
        </w:rPr>
        <w:t>CrossRef</w:t>
      </w:r>
      <w:proofErr w:type="spellEnd"/>
      <w:r w:rsidRPr="003353A0">
        <w:rPr>
          <w:rFonts w:ascii="Times New Roman" w:hAnsi="Times New Roman" w:cs="Times New Roman"/>
          <w:sz w:val="24"/>
          <w:szCs w:val="24"/>
        </w:rPr>
        <w:t xml:space="preserve">] </w:t>
      </w:r>
    </w:p>
    <w:p w14:paraId="1B53BA3D" w14:textId="77777777" w:rsidR="00FD5034" w:rsidRPr="003353A0" w:rsidRDefault="00FD5034" w:rsidP="00FD5034">
      <w:pPr>
        <w:shd w:val="clear" w:color="auto" w:fill="FFFFFF"/>
        <w:spacing w:after="0" w:line="240" w:lineRule="auto"/>
        <w:jc w:val="both"/>
        <w:rPr>
          <w:rFonts w:ascii="Times New Roman" w:hAnsi="Times New Roman" w:cs="Times New Roman"/>
          <w:sz w:val="24"/>
          <w:szCs w:val="24"/>
          <w:u w:val="single"/>
        </w:rPr>
      </w:pPr>
      <w:r w:rsidRPr="003353A0">
        <w:rPr>
          <w:rFonts w:ascii="Times New Roman" w:hAnsi="Times New Roman" w:cs="Times New Roman"/>
          <w:sz w:val="24"/>
          <w:szCs w:val="24"/>
        </w:rPr>
        <w:t xml:space="preserve">Longe, A. E., Adebayo, E.O., Shehu, M., &amp; </w:t>
      </w:r>
      <w:proofErr w:type="spellStart"/>
      <w:r w:rsidRPr="003353A0">
        <w:rPr>
          <w:rFonts w:ascii="Times New Roman" w:hAnsi="Times New Roman" w:cs="Times New Roman"/>
          <w:sz w:val="24"/>
          <w:szCs w:val="24"/>
        </w:rPr>
        <w:t>Adelokun</w:t>
      </w:r>
      <w:proofErr w:type="spellEnd"/>
      <w:r w:rsidRPr="003353A0">
        <w:rPr>
          <w:rFonts w:ascii="Times New Roman" w:hAnsi="Times New Roman" w:cs="Times New Roman"/>
          <w:sz w:val="24"/>
          <w:szCs w:val="24"/>
        </w:rPr>
        <w:t xml:space="preserve">, O.O. (2020). Energy consumption and foreign direct investment in Nigeria: </w:t>
      </w:r>
      <w:r w:rsidRPr="003353A0">
        <w:rPr>
          <w:rFonts w:ascii="Times New Roman" w:hAnsi="Times New Roman" w:cs="Times New Roman"/>
          <w:i/>
          <w:sz w:val="24"/>
          <w:szCs w:val="24"/>
        </w:rPr>
        <w:t>A structural break analysis. Economic Themes, 58</w:t>
      </w:r>
      <w:r w:rsidRPr="003353A0">
        <w:rPr>
          <w:rFonts w:ascii="Times New Roman" w:hAnsi="Times New Roman" w:cs="Times New Roman"/>
          <w:sz w:val="24"/>
          <w:szCs w:val="24"/>
        </w:rPr>
        <w:t xml:space="preserve">(2), 187 – 201. </w:t>
      </w:r>
      <w:hyperlink r:id="rId20" w:history="1">
        <w:r w:rsidRPr="003353A0">
          <w:rPr>
            <w:rStyle w:val="Hyperlink"/>
            <w:sz w:val="24"/>
            <w:szCs w:val="24"/>
          </w:rPr>
          <w:t>https://doi.org/10.2478/ethemes-2020-0011</w:t>
        </w:r>
      </w:hyperlink>
    </w:p>
    <w:p w14:paraId="761C655D"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Mansur, B. (2023). Modelling the Economic Determinants of Electricity Generation in Nigeria. </w:t>
      </w:r>
      <w:r w:rsidRPr="003353A0">
        <w:rPr>
          <w:rFonts w:ascii="Times New Roman" w:hAnsi="Times New Roman" w:cs="Times New Roman"/>
          <w:i/>
          <w:iCs/>
          <w:sz w:val="24"/>
          <w:szCs w:val="24"/>
        </w:rPr>
        <w:t>Lafia Journal of Economics and Management Sciences,</w:t>
      </w:r>
      <w:r w:rsidRPr="003353A0">
        <w:rPr>
          <w:rFonts w:ascii="Times New Roman" w:hAnsi="Times New Roman" w:cs="Times New Roman"/>
          <w:sz w:val="24"/>
          <w:szCs w:val="24"/>
        </w:rPr>
        <w:t xml:space="preserve"> 8(2), 226-246.</w:t>
      </w:r>
    </w:p>
    <w:p w14:paraId="3A698B42" w14:textId="77777777" w:rsidR="00FD5034" w:rsidRPr="003353A0" w:rsidRDefault="00FD5034"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Mas’ud</w:t>
      </w:r>
      <w:proofErr w:type="spellEnd"/>
      <w:r w:rsidRPr="003353A0">
        <w:rPr>
          <w:rFonts w:ascii="Times New Roman" w:hAnsi="Times New Roman" w:cs="Times New Roman"/>
          <w:sz w:val="24"/>
          <w:szCs w:val="24"/>
        </w:rPr>
        <w:t xml:space="preserve">, A.A.; </w:t>
      </w:r>
      <w:proofErr w:type="spellStart"/>
      <w:r w:rsidRPr="003353A0">
        <w:rPr>
          <w:rFonts w:ascii="Times New Roman" w:hAnsi="Times New Roman" w:cs="Times New Roman"/>
          <w:sz w:val="24"/>
          <w:szCs w:val="24"/>
        </w:rPr>
        <w:t>Vernyuy</w:t>
      </w:r>
      <w:proofErr w:type="spellEnd"/>
      <w:r w:rsidRPr="003353A0">
        <w:rPr>
          <w:rFonts w:ascii="Times New Roman" w:hAnsi="Times New Roman" w:cs="Times New Roman"/>
          <w:sz w:val="24"/>
          <w:szCs w:val="24"/>
        </w:rPr>
        <w:t xml:space="preserve"> </w:t>
      </w:r>
      <w:proofErr w:type="spellStart"/>
      <w:r w:rsidRPr="003353A0">
        <w:rPr>
          <w:rFonts w:ascii="Times New Roman" w:hAnsi="Times New Roman" w:cs="Times New Roman"/>
          <w:sz w:val="24"/>
          <w:szCs w:val="24"/>
        </w:rPr>
        <w:t>Wirba</w:t>
      </w:r>
      <w:proofErr w:type="spellEnd"/>
      <w:r w:rsidRPr="003353A0">
        <w:rPr>
          <w:rFonts w:ascii="Times New Roman" w:hAnsi="Times New Roman" w:cs="Times New Roman"/>
          <w:sz w:val="24"/>
          <w:szCs w:val="24"/>
        </w:rPr>
        <w:t>, A.; Muhammad-</w:t>
      </w:r>
      <w:proofErr w:type="spellStart"/>
      <w:r w:rsidRPr="003353A0">
        <w:rPr>
          <w:rFonts w:ascii="Times New Roman" w:hAnsi="Times New Roman" w:cs="Times New Roman"/>
          <w:sz w:val="24"/>
          <w:szCs w:val="24"/>
        </w:rPr>
        <w:t>Sukki</w:t>
      </w:r>
      <w:proofErr w:type="spellEnd"/>
      <w:r w:rsidRPr="003353A0">
        <w:rPr>
          <w:rFonts w:ascii="Times New Roman" w:hAnsi="Times New Roman" w:cs="Times New Roman"/>
          <w:sz w:val="24"/>
          <w:szCs w:val="24"/>
        </w:rPr>
        <w:t xml:space="preserve">, F.; Mas’ud, I.A.; Munir, A.B.; Md Yunus, N. (2015). An assessment of renewable energy readiness in Africa: Case study of Nigeria and Cameroon. </w:t>
      </w:r>
      <w:r w:rsidRPr="003353A0">
        <w:rPr>
          <w:rFonts w:ascii="Times New Roman" w:hAnsi="Times New Roman" w:cs="Times New Roman"/>
          <w:i/>
          <w:iCs/>
          <w:sz w:val="24"/>
          <w:szCs w:val="24"/>
        </w:rPr>
        <w:t>Renew. Sustain. Energy Rev</w:t>
      </w:r>
      <w:r w:rsidRPr="003353A0">
        <w:rPr>
          <w:rFonts w:ascii="Times New Roman" w:hAnsi="Times New Roman" w:cs="Times New Roman"/>
          <w:sz w:val="24"/>
          <w:szCs w:val="24"/>
        </w:rPr>
        <w:t xml:space="preserve">., </w:t>
      </w:r>
      <w:r w:rsidRPr="003353A0">
        <w:rPr>
          <w:rFonts w:ascii="Times New Roman" w:hAnsi="Times New Roman" w:cs="Times New Roman"/>
          <w:i/>
          <w:iCs/>
          <w:sz w:val="24"/>
          <w:szCs w:val="24"/>
        </w:rPr>
        <w:t>51</w:t>
      </w:r>
      <w:r w:rsidRPr="003353A0">
        <w:rPr>
          <w:rFonts w:ascii="Times New Roman" w:hAnsi="Times New Roman" w:cs="Times New Roman"/>
          <w:sz w:val="24"/>
          <w:szCs w:val="24"/>
        </w:rPr>
        <w:t xml:space="preserve">, 775–784. </w:t>
      </w:r>
    </w:p>
    <w:p w14:paraId="7E104128" w14:textId="77777777" w:rsidR="00FD5034" w:rsidRPr="003353A0" w:rsidRDefault="00FD5034" w:rsidP="00FD5034">
      <w:pPr>
        <w:shd w:val="clear" w:color="auto" w:fill="FFFFFF"/>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Mesagan</w:t>
      </w:r>
      <w:proofErr w:type="spellEnd"/>
      <w:r w:rsidRPr="003353A0">
        <w:rPr>
          <w:rFonts w:ascii="Times New Roman" w:hAnsi="Times New Roman" w:cs="Times New Roman"/>
          <w:sz w:val="24"/>
          <w:szCs w:val="24"/>
        </w:rPr>
        <w:t xml:space="preserve">, E., </w:t>
      </w:r>
      <w:proofErr w:type="spellStart"/>
      <w:r w:rsidRPr="003353A0">
        <w:rPr>
          <w:rFonts w:ascii="Times New Roman" w:hAnsi="Times New Roman" w:cs="Times New Roman"/>
          <w:sz w:val="24"/>
          <w:szCs w:val="24"/>
        </w:rPr>
        <w:t>Ajide</w:t>
      </w:r>
      <w:proofErr w:type="spellEnd"/>
      <w:r w:rsidRPr="003353A0">
        <w:rPr>
          <w:rFonts w:ascii="Times New Roman" w:hAnsi="Times New Roman" w:cs="Times New Roman"/>
          <w:sz w:val="24"/>
          <w:szCs w:val="24"/>
        </w:rPr>
        <w:t xml:space="preserve">, K., &amp; Vinh, X. (2021). Dynamic heterogeneous analysis of pollution reduction in SANEM countries: Lessons from the energy-investment interaction. </w:t>
      </w:r>
      <w:r w:rsidRPr="003353A0">
        <w:rPr>
          <w:rFonts w:ascii="Times New Roman" w:hAnsi="Times New Roman" w:cs="Times New Roman"/>
          <w:i/>
          <w:sz w:val="24"/>
          <w:szCs w:val="24"/>
        </w:rPr>
        <w:t>Environment Science and Pollution Research, 6</w:t>
      </w:r>
      <w:r w:rsidRPr="003353A0">
        <w:rPr>
          <w:rFonts w:ascii="Times New Roman" w:hAnsi="Times New Roman" w:cs="Times New Roman"/>
          <w:sz w:val="24"/>
          <w:szCs w:val="24"/>
        </w:rPr>
        <w:t>(2), 66-79.</w:t>
      </w:r>
    </w:p>
    <w:p w14:paraId="50A0A819" w14:textId="77777777" w:rsidR="00FD5034" w:rsidRDefault="00FD5034" w:rsidP="00FD5034">
      <w:pPr>
        <w:spacing w:after="0" w:line="240" w:lineRule="auto"/>
        <w:jc w:val="both"/>
        <w:rPr>
          <w:rFonts w:ascii="Times New Roman" w:hAnsi="Times New Roman" w:cs="Times New Roman"/>
          <w:sz w:val="24"/>
          <w:szCs w:val="24"/>
        </w:rPr>
      </w:pPr>
      <w:proofErr w:type="spellStart"/>
      <w:r w:rsidRPr="004F4A60">
        <w:rPr>
          <w:rFonts w:ascii="Times New Roman" w:hAnsi="Times New Roman" w:cs="Times New Roman"/>
          <w:sz w:val="24"/>
          <w:szCs w:val="24"/>
        </w:rPr>
        <w:t>Mas’ud</w:t>
      </w:r>
      <w:proofErr w:type="spellEnd"/>
      <w:r w:rsidRPr="004F4A60">
        <w:rPr>
          <w:rFonts w:ascii="Times New Roman" w:hAnsi="Times New Roman" w:cs="Times New Roman"/>
          <w:sz w:val="24"/>
          <w:szCs w:val="24"/>
        </w:rPr>
        <w:t xml:space="preserve">, A.A. </w:t>
      </w:r>
      <w:proofErr w:type="spellStart"/>
      <w:r w:rsidRPr="004F4A60">
        <w:rPr>
          <w:rFonts w:ascii="Times New Roman" w:hAnsi="Times New Roman" w:cs="Times New Roman"/>
          <w:sz w:val="24"/>
          <w:szCs w:val="24"/>
        </w:rPr>
        <w:t>Wirba</w:t>
      </w:r>
      <w:proofErr w:type="spellEnd"/>
      <w:r w:rsidRPr="004F4A60">
        <w:rPr>
          <w:rFonts w:ascii="Times New Roman" w:hAnsi="Times New Roman" w:cs="Times New Roman"/>
          <w:sz w:val="24"/>
          <w:szCs w:val="24"/>
        </w:rPr>
        <w:t>, A.V. Muhammad-</w:t>
      </w:r>
      <w:proofErr w:type="spellStart"/>
      <w:r w:rsidRPr="004F4A60">
        <w:rPr>
          <w:rFonts w:ascii="Times New Roman" w:hAnsi="Times New Roman" w:cs="Times New Roman"/>
          <w:sz w:val="24"/>
          <w:szCs w:val="24"/>
        </w:rPr>
        <w:t>Sukki</w:t>
      </w:r>
      <w:proofErr w:type="spellEnd"/>
      <w:r w:rsidRPr="004F4A60">
        <w:rPr>
          <w:rFonts w:ascii="Times New Roman" w:hAnsi="Times New Roman" w:cs="Times New Roman"/>
          <w:sz w:val="24"/>
          <w:szCs w:val="24"/>
        </w:rPr>
        <w:t>, F. Mas’ud, I.A., Munir, A.B. &amp; Yunus, N.M.</w:t>
      </w:r>
      <w:r>
        <w:rPr>
          <w:rFonts w:ascii="Times New Roman" w:hAnsi="Times New Roman" w:cs="Times New Roman"/>
          <w:sz w:val="24"/>
          <w:szCs w:val="24"/>
        </w:rPr>
        <w:t xml:space="preserve"> </w:t>
      </w:r>
      <w:r w:rsidRPr="004F4A60">
        <w:rPr>
          <w:rFonts w:ascii="Times New Roman" w:hAnsi="Times New Roman" w:cs="Times New Roman"/>
          <w:sz w:val="24"/>
          <w:szCs w:val="24"/>
        </w:rPr>
        <w:t>(2015)</w:t>
      </w:r>
      <w:r>
        <w:rPr>
          <w:rFonts w:ascii="Times New Roman" w:hAnsi="Times New Roman" w:cs="Times New Roman"/>
          <w:sz w:val="24"/>
          <w:szCs w:val="24"/>
        </w:rPr>
        <w:t xml:space="preserve">. </w:t>
      </w:r>
      <w:r w:rsidRPr="004F4A60">
        <w:rPr>
          <w:rFonts w:ascii="Times New Roman" w:hAnsi="Times New Roman" w:cs="Times New Roman"/>
          <w:sz w:val="24"/>
          <w:szCs w:val="24"/>
        </w:rPr>
        <w:t>An assessment of renewable energy readiness in Africa: Case study of Nigeria and Cameroon,</w:t>
      </w:r>
      <w:r>
        <w:rPr>
          <w:rFonts w:ascii="Times New Roman" w:hAnsi="Times New Roman" w:cs="Times New Roman"/>
          <w:sz w:val="24"/>
          <w:szCs w:val="24"/>
        </w:rPr>
        <w:t xml:space="preserve"> </w:t>
      </w:r>
      <w:r w:rsidRPr="004F4A60">
        <w:rPr>
          <w:rFonts w:ascii="Times New Roman" w:hAnsi="Times New Roman" w:cs="Times New Roman"/>
          <w:sz w:val="24"/>
          <w:szCs w:val="24"/>
        </w:rPr>
        <w:t>Renewable and Sustainable Energy Reviews,</w:t>
      </w:r>
      <w:r>
        <w:rPr>
          <w:rFonts w:ascii="Times New Roman" w:hAnsi="Times New Roman" w:cs="Times New Roman"/>
          <w:sz w:val="24"/>
          <w:szCs w:val="24"/>
        </w:rPr>
        <w:t xml:space="preserve"> </w:t>
      </w:r>
      <w:r w:rsidRPr="004F4A60">
        <w:rPr>
          <w:rFonts w:ascii="Times New Roman" w:hAnsi="Times New Roman" w:cs="Times New Roman"/>
          <w:sz w:val="24"/>
          <w:szCs w:val="24"/>
        </w:rPr>
        <w:t>51, 775-784.</w:t>
      </w:r>
      <w:r>
        <w:rPr>
          <w:rFonts w:ascii="Times New Roman" w:hAnsi="Times New Roman" w:cs="Times New Roman"/>
          <w:sz w:val="24"/>
          <w:szCs w:val="24"/>
        </w:rPr>
        <w:t xml:space="preserve"> </w:t>
      </w:r>
      <w:r w:rsidRPr="004F4A60">
        <w:rPr>
          <w:rFonts w:ascii="Times New Roman" w:hAnsi="Times New Roman" w:cs="Times New Roman"/>
          <w:sz w:val="24"/>
          <w:szCs w:val="24"/>
        </w:rPr>
        <w:t>https://doi.org/10.1016/j.rser.2015.06.045.</w:t>
      </w:r>
    </w:p>
    <w:p w14:paraId="3E5D97A1" w14:textId="77777777" w:rsidR="00FD5034" w:rsidRPr="00B35562" w:rsidRDefault="00FD5034" w:rsidP="00FD5034">
      <w:pPr>
        <w:spacing w:after="0" w:line="240" w:lineRule="auto"/>
        <w:rPr>
          <w:rFonts w:ascii="Times New Roman" w:hAnsi="Times New Roman" w:cs="Times New Roman"/>
          <w:sz w:val="24"/>
          <w:szCs w:val="24"/>
        </w:rPr>
      </w:pPr>
      <w:r w:rsidRPr="008A6DE7">
        <w:rPr>
          <w:rFonts w:ascii="Times New Roman" w:eastAsia="Times New Roman" w:hAnsi="Times New Roman" w:cs="Times New Roman"/>
          <w:sz w:val="24"/>
          <w:szCs w:val="24"/>
        </w:rPr>
        <w:lastRenderedPageBreak/>
        <w:t xml:space="preserve">Oboh, G., et al. (2021). </w:t>
      </w:r>
      <w:r w:rsidRPr="008A6DE7">
        <w:rPr>
          <w:rFonts w:ascii="Times New Roman" w:eastAsia="Times New Roman" w:hAnsi="Times New Roman" w:cs="Times New Roman"/>
          <w:i/>
          <w:iCs/>
          <w:sz w:val="24"/>
          <w:szCs w:val="24"/>
        </w:rPr>
        <w:t>The role of multilateral finance in renewable energy development: Insights from Nigeria’s solar projects</w:t>
      </w:r>
      <w:r w:rsidRPr="008A6DE7">
        <w:rPr>
          <w:rFonts w:ascii="Times New Roman" w:eastAsia="Times New Roman" w:hAnsi="Times New Roman" w:cs="Times New Roman"/>
          <w:sz w:val="24"/>
          <w:szCs w:val="24"/>
        </w:rPr>
        <w:t>. Journal of Development Studies.</w:t>
      </w:r>
    </w:p>
    <w:p w14:paraId="278EDF72"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Oladiran, J.O., </w:t>
      </w:r>
      <w:proofErr w:type="spellStart"/>
      <w:r w:rsidRPr="003353A0">
        <w:rPr>
          <w:rFonts w:ascii="Times New Roman" w:hAnsi="Times New Roman" w:cs="Times New Roman"/>
          <w:sz w:val="24"/>
          <w:szCs w:val="24"/>
        </w:rPr>
        <w:t>Ogunniyi</w:t>
      </w:r>
      <w:proofErr w:type="spellEnd"/>
      <w:r w:rsidRPr="003353A0">
        <w:rPr>
          <w:rFonts w:ascii="Times New Roman" w:hAnsi="Times New Roman" w:cs="Times New Roman"/>
          <w:sz w:val="24"/>
          <w:szCs w:val="24"/>
        </w:rPr>
        <w:t xml:space="preserve">, L.T., &amp; </w:t>
      </w:r>
      <w:proofErr w:type="spellStart"/>
      <w:r w:rsidRPr="003353A0">
        <w:rPr>
          <w:rFonts w:ascii="Times New Roman" w:hAnsi="Times New Roman" w:cs="Times New Roman"/>
          <w:sz w:val="24"/>
          <w:szCs w:val="24"/>
        </w:rPr>
        <w:t>Fanifosi</w:t>
      </w:r>
      <w:proofErr w:type="spellEnd"/>
      <w:r w:rsidRPr="003353A0">
        <w:rPr>
          <w:rFonts w:ascii="Times New Roman" w:hAnsi="Times New Roman" w:cs="Times New Roman"/>
          <w:sz w:val="24"/>
          <w:szCs w:val="24"/>
        </w:rPr>
        <w:t xml:space="preserve"> GE (2020). Factors Influencing Market Participation among Food Crop Farmers in Oyo State: A Double Hurdle Approach. </w:t>
      </w:r>
      <w:r w:rsidRPr="003353A0">
        <w:rPr>
          <w:rFonts w:ascii="Times New Roman" w:hAnsi="Times New Roman" w:cs="Times New Roman"/>
          <w:i/>
          <w:iCs/>
          <w:sz w:val="24"/>
          <w:szCs w:val="24"/>
        </w:rPr>
        <w:t>South Asian Research Journal of Agriculture and Fisheries, 2</w:t>
      </w:r>
      <w:r w:rsidRPr="003353A0">
        <w:rPr>
          <w:rFonts w:ascii="Times New Roman" w:hAnsi="Times New Roman" w:cs="Times New Roman"/>
          <w:sz w:val="24"/>
          <w:szCs w:val="24"/>
        </w:rPr>
        <w:t>(4), 85-92.</w:t>
      </w:r>
    </w:p>
    <w:p w14:paraId="2F1ED7BB" w14:textId="77777777" w:rsidR="00FD5034" w:rsidRPr="003353A0" w:rsidRDefault="00FD5034" w:rsidP="00FD5034">
      <w:pPr>
        <w:shd w:val="clear" w:color="auto" w:fill="FFFFFF"/>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Onabote</w:t>
      </w:r>
      <w:proofErr w:type="spellEnd"/>
      <w:r w:rsidRPr="003353A0">
        <w:rPr>
          <w:rFonts w:ascii="Times New Roman" w:hAnsi="Times New Roman" w:cs="Times New Roman"/>
          <w:sz w:val="24"/>
          <w:szCs w:val="24"/>
        </w:rPr>
        <w:t xml:space="preserve">, A., </w:t>
      </w:r>
      <w:proofErr w:type="spellStart"/>
      <w:r w:rsidRPr="003353A0">
        <w:rPr>
          <w:rFonts w:ascii="Times New Roman" w:hAnsi="Times New Roman" w:cs="Times New Roman"/>
          <w:sz w:val="24"/>
          <w:szCs w:val="24"/>
        </w:rPr>
        <w:t>Jolaade</w:t>
      </w:r>
      <w:proofErr w:type="spellEnd"/>
      <w:r w:rsidRPr="003353A0">
        <w:rPr>
          <w:rFonts w:ascii="Times New Roman" w:hAnsi="Times New Roman" w:cs="Times New Roman"/>
          <w:sz w:val="24"/>
          <w:szCs w:val="24"/>
        </w:rPr>
        <w:t xml:space="preserve">, A., </w:t>
      </w:r>
      <w:proofErr w:type="spellStart"/>
      <w:r w:rsidRPr="003353A0">
        <w:rPr>
          <w:rFonts w:ascii="Times New Roman" w:hAnsi="Times New Roman" w:cs="Times New Roman"/>
          <w:sz w:val="24"/>
          <w:szCs w:val="24"/>
        </w:rPr>
        <w:t>Osabohien</w:t>
      </w:r>
      <w:proofErr w:type="spellEnd"/>
      <w:r w:rsidRPr="003353A0">
        <w:rPr>
          <w:rFonts w:ascii="Times New Roman" w:hAnsi="Times New Roman" w:cs="Times New Roman"/>
          <w:sz w:val="24"/>
          <w:szCs w:val="24"/>
        </w:rPr>
        <w:t xml:space="preserve">, R.., </w:t>
      </w:r>
      <w:proofErr w:type="spellStart"/>
      <w:r w:rsidRPr="003353A0">
        <w:rPr>
          <w:rFonts w:ascii="Times New Roman" w:hAnsi="Times New Roman" w:cs="Times New Roman"/>
          <w:sz w:val="24"/>
          <w:szCs w:val="24"/>
        </w:rPr>
        <w:t>Otobo</w:t>
      </w:r>
      <w:proofErr w:type="spellEnd"/>
      <w:r w:rsidRPr="003353A0">
        <w:rPr>
          <w:rFonts w:ascii="Times New Roman" w:hAnsi="Times New Roman" w:cs="Times New Roman"/>
          <w:sz w:val="24"/>
          <w:szCs w:val="24"/>
        </w:rPr>
        <w:t xml:space="preserve">, O., Ede, C., &amp; Okafor, V. (2021). Energy sustainability, energy financing and economic growth in Nigeria. </w:t>
      </w:r>
      <w:r w:rsidRPr="003353A0">
        <w:rPr>
          <w:rFonts w:ascii="Times New Roman" w:hAnsi="Times New Roman" w:cs="Times New Roman"/>
          <w:i/>
          <w:iCs/>
          <w:sz w:val="24"/>
          <w:szCs w:val="24"/>
        </w:rPr>
        <w:t>International Journal of Energy Economics and Policy, 11</w:t>
      </w:r>
      <w:r w:rsidRPr="003353A0">
        <w:rPr>
          <w:rFonts w:ascii="Times New Roman" w:hAnsi="Times New Roman" w:cs="Times New Roman"/>
          <w:sz w:val="24"/>
          <w:szCs w:val="24"/>
        </w:rPr>
        <w:t>(1), 22 – 45.</w:t>
      </w:r>
    </w:p>
    <w:p w14:paraId="4D46E711" w14:textId="77777777" w:rsidR="00FD5034" w:rsidRPr="003353A0" w:rsidRDefault="00FD5034" w:rsidP="00FD5034">
      <w:pPr>
        <w:shd w:val="clear" w:color="auto" w:fill="FFFFFF"/>
        <w:spacing w:after="0" w:line="240" w:lineRule="auto"/>
        <w:jc w:val="both"/>
        <w:rPr>
          <w:rFonts w:ascii="Times New Roman" w:hAnsi="Times New Roman" w:cs="Times New Roman"/>
          <w:sz w:val="24"/>
          <w:szCs w:val="24"/>
          <w:u w:val="single"/>
        </w:rPr>
      </w:pPr>
      <w:proofErr w:type="spellStart"/>
      <w:r w:rsidRPr="003353A0">
        <w:rPr>
          <w:rFonts w:ascii="Times New Roman" w:hAnsi="Times New Roman" w:cs="Times New Roman"/>
          <w:sz w:val="24"/>
          <w:szCs w:val="24"/>
        </w:rPr>
        <w:t>Onayemi</w:t>
      </w:r>
      <w:proofErr w:type="spellEnd"/>
      <w:r w:rsidRPr="003353A0">
        <w:rPr>
          <w:rFonts w:ascii="Times New Roman" w:hAnsi="Times New Roman" w:cs="Times New Roman"/>
          <w:sz w:val="24"/>
          <w:szCs w:val="24"/>
        </w:rPr>
        <w:t xml:space="preserve">, S., </w:t>
      </w:r>
      <w:proofErr w:type="spellStart"/>
      <w:r w:rsidRPr="003353A0">
        <w:rPr>
          <w:rFonts w:ascii="Times New Roman" w:hAnsi="Times New Roman" w:cs="Times New Roman"/>
          <w:sz w:val="24"/>
          <w:szCs w:val="24"/>
        </w:rPr>
        <w:t>Olomola</w:t>
      </w:r>
      <w:proofErr w:type="spellEnd"/>
      <w:r w:rsidRPr="003353A0">
        <w:rPr>
          <w:rFonts w:ascii="Times New Roman" w:hAnsi="Times New Roman" w:cs="Times New Roman"/>
          <w:sz w:val="24"/>
          <w:szCs w:val="24"/>
        </w:rPr>
        <w:t xml:space="preserve">, P., </w:t>
      </w:r>
      <w:proofErr w:type="spellStart"/>
      <w:r w:rsidRPr="003353A0">
        <w:rPr>
          <w:rFonts w:ascii="Times New Roman" w:hAnsi="Times New Roman" w:cs="Times New Roman"/>
          <w:sz w:val="24"/>
          <w:szCs w:val="24"/>
        </w:rPr>
        <w:t>Alege</w:t>
      </w:r>
      <w:proofErr w:type="spellEnd"/>
      <w:r w:rsidRPr="003353A0">
        <w:rPr>
          <w:rFonts w:ascii="Times New Roman" w:hAnsi="Times New Roman" w:cs="Times New Roman"/>
          <w:sz w:val="24"/>
          <w:szCs w:val="24"/>
        </w:rPr>
        <w:t xml:space="preserve">, P., &amp; </w:t>
      </w:r>
      <w:proofErr w:type="spellStart"/>
      <w:r w:rsidRPr="003353A0">
        <w:rPr>
          <w:rFonts w:ascii="Times New Roman" w:hAnsi="Times New Roman" w:cs="Times New Roman"/>
          <w:sz w:val="24"/>
          <w:szCs w:val="24"/>
        </w:rPr>
        <w:t>Onayemi</w:t>
      </w:r>
      <w:proofErr w:type="spellEnd"/>
      <w:r w:rsidRPr="003353A0">
        <w:rPr>
          <w:rFonts w:ascii="Times New Roman" w:hAnsi="Times New Roman" w:cs="Times New Roman"/>
          <w:sz w:val="24"/>
          <w:szCs w:val="24"/>
        </w:rPr>
        <w:t xml:space="preserve">, O. (2020). Foreign direct investment, electricity power supply and economic growth in Nigeria. </w:t>
      </w:r>
      <w:r w:rsidRPr="003353A0">
        <w:rPr>
          <w:rFonts w:ascii="Times New Roman" w:hAnsi="Times New Roman" w:cs="Times New Roman"/>
          <w:i/>
          <w:sz w:val="24"/>
          <w:szCs w:val="24"/>
        </w:rPr>
        <w:t>International Journal of Energy Economics and Policy, 10</w:t>
      </w:r>
      <w:r w:rsidRPr="003353A0">
        <w:rPr>
          <w:rFonts w:ascii="Times New Roman" w:hAnsi="Times New Roman" w:cs="Times New Roman"/>
          <w:sz w:val="24"/>
          <w:szCs w:val="24"/>
        </w:rPr>
        <w:t>(5), 243 – 247.</w:t>
      </w:r>
    </w:p>
    <w:p w14:paraId="341B519E" w14:textId="77777777" w:rsidR="00FD5034" w:rsidRPr="003353A0" w:rsidRDefault="00FD5034"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xml:space="preserve">, J.; Ismail, S.; Ogbonnaya, M.; Ogundare, A. (2018). Development and performance evaluation of a solar water still. Acta Tech. </w:t>
      </w:r>
      <w:proofErr w:type="spellStart"/>
      <w:r w:rsidRPr="003353A0">
        <w:rPr>
          <w:rFonts w:ascii="Times New Roman" w:hAnsi="Times New Roman" w:cs="Times New Roman"/>
          <w:i/>
          <w:iCs/>
          <w:sz w:val="24"/>
          <w:szCs w:val="24"/>
        </w:rPr>
        <w:t>Corvininesis</w:t>
      </w:r>
      <w:proofErr w:type="spellEnd"/>
      <w:r w:rsidRPr="003353A0">
        <w:rPr>
          <w:rFonts w:ascii="Times New Roman" w:hAnsi="Times New Roman" w:cs="Times New Roman"/>
          <w:i/>
          <w:iCs/>
          <w:sz w:val="24"/>
          <w:szCs w:val="24"/>
        </w:rPr>
        <w:t xml:space="preserve"> Bull. Eng.</w:t>
      </w:r>
      <w:r w:rsidRPr="003353A0">
        <w:rPr>
          <w:rFonts w:ascii="Times New Roman" w:hAnsi="Times New Roman" w:cs="Times New Roman"/>
          <w:sz w:val="24"/>
          <w:szCs w:val="24"/>
        </w:rPr>
        <w:t xml:space="preserve"> 11, 91–96.</w:t>
      </w:r>
    </w:p>
    <w:p w14:paraId="1716D718" w14:textId="77777777" w:rsidR="00FD5034" w:rsidRPr="003353A0" w:rsidRDefault="00FD5034"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Orisaleye</w:t>
      </w:r>
      <w:proofErr w:type="spellEnd"/>
      <w:r w:rsidRPr="003353A0">
        <w:rPr>
          <w:rFonts w:ascii="Times New Roman" w:hAnsi="Times New Roman" w:cs="Times New Roman"/>
          <w:sz w:val="24"/>
          <w:szCs w:val="24"/>
        </w:rPr>
        <w:t xml:space="preserve">, J.I., </w:t>
      </w:r>
      <w:proofErr w:type="spellStart"/>
      <w:r w:rsidRPr="003353A0">
        <w:rPr>
          <w:rFonts w:ascii="Times New Roman" w:hAnsi="Times New Roman" w:cs="Times New Roman"/>
          <w:sz w:val="24"/>
          <w:szCs w:val="24"/>
        </w:rPr>
        <w:t>Ogbonnaya</w:t>
      </w:r>
      <w:proofErr w:type="spellEnd"/>
      <w:r w:rsidRPr="003353A0">
        <w:rPr>
          <w:rFonts w:ascii="Times New Roman" w:hAnsi="Times New Roman" w:cs="Times New Roman"/>
          <w:sz w:val="24"/>
          <w:szCs w:val="24"/>
        </w:rPr>
        <w:t xml:space="preserve">, M., Ogundare, A.A., Ismail, S.O. (2018). Development and performance evaluation of a natural draft mixed-type solar dryer for agricultural products. </w:t>
      </w:r>
      <w:r w:rsidRPr="003353A0">
        <w:rPr>
          <w:rFonts w:ascii="Times New Roman" w:hAnsi="Times New Roman" w:cs="Times New Roman"/>
          <w:i/>
          <w:iCs/>
          <w:sz w:val="24"/>
          <w:szCs w:val="24"/>
        </w:rPr>
        <w:t>J. Sci. Technol.</w:t>
      </w:r>
      <w:r w:rsidRPr="003353A0">
        <w:rPr>
          <w:rFonts w:ascii="Times New Roman" w:hAnsi="Times New Roman" w:cs="Times New Roman"/>
          <w:sz w:val="24"/>
          <w:szCs w:val="24"/>
        </w:rPr>
        <w:t xml:space="preserve">, 10, 18–24. </w:t>
      </w:r>
    </w:p>
    <w:p w14:paraId="62466C23" w14:textId="77777777" w:rsidR="00FD5034" w:rsidRDefault="00FD5034" w:rsidP="00FD5034">
      <w:pPr>
        <w:spacing w:after="0" w:line="240" w:lineRule="auto"/>
        <w:jc w:val="both"/>
        <w:rPr>
          <w:rFonts w:ascii="Times New Roman" w:hAnsi="Times New Roman" w:cs="Times New Roman"/>
          <w:sz w:val="24"/>
          <w:szCs w:val="24"/>
        </w:rPr>
      </w:pPr>
      <w:proofErr w:type="spellStart"/>
      <w:r w:rsidRPr="003353A0">
        <w:rPr>
          <w:rFonts w:ascii="Times New Roman" w:hAnsi="Times New Roman" w:cs="Times New Roman"/>
          <w:sz w:val="24"/>
          <w:szCs w:val="24"/>
        </w:rPr>
        <w:t>Osiolo</w:t>
      </w:r>
      <w:proofErr w:type="spellEnd"/>
      <w:r w:rsidRPr="003353A0">
        <w:rPr>
          <w:rFonts w:ascii="Times New Roman" w:hAnsi="Times New Roman" w:cs="Times New Roman"/>
          <w:sz w:val="24"/>
          <w:szCs w:val="24"/>
        </w:rPr>
        <w:t>, H.H. (2016). Green Energy and Its Impact on Employment and Economic Growth; Paper 19; United Nations University Institute for Natural Resources in Africa (UNU-INRA): Accra, Ghana.</w:t>
      </w:r>
    </w:p>
    <w:p w14:paraId="42AF724D" w14:textId="77777777" w:rsidR="00FD5034" w:rsidRPr="00B35562" w:rsidRDefault="00FD5034" w:rsidP="00FD5034">
      <w:pPr>
        <w:spacing w:after="0" w:line="240" w:lineRule="auto"/>
        <w:jc w:val="both"/>
        <w:rPr>
          <w:rFonts w:ascii="Times New Roman" w:hAnsi="Times New Roman" w:cs="Times New Roman"/>
          <w:sz w:val="24"/>
          <w:szCs w:val="24"/>
        </w:rPr>
      </w:pPr>
      <w:r w:rsidRPr="008A6DE7">
        <w:rPr>
          <w:rFonts w:ascii="Times New Roman" w:eastAsia="Times New Roman" w:hAnsi="Times New Roman" w:cs="Times New Roman"/>
          <w:sz w:val="24"/>
          <w:szCs w:val="24"/>
        </w:rPr>
        <w:t>Oyedepo, S. O. (20</w:t>
      </w:r>
      <w:r>
        <w:rPr>
          <w:rFonts w:ascii="Times New Roman" w:eastAsia="Times New Roman" w:hAnsi="Times New Roman" w:cs="Times New Roman"/>
          <w:sz w:val="24"/>
          <w:szCs w:val="24"/>
        </w:rPr>
        <w:t>21</w:t>
      </w:r>
      <w:r w:rsidRPr="008A6D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t xml:space="preserve">Energy and sustainable development in Nigeria: the way forward. </w:t>
      </w:r>
      <w:r w:rsidRPr="004C5A1A">
        <w:rPr>
          <w:i/>
          <w:iCs/>
        </w:rPr>
        <w:t>Energy, Sustainability and Society, 2</w:t>
      </w:r>
      <w:r>
        <w:t>(15), 2-17</w:t>
      </w:r>
    </w:p>
    <w:p w14:paraId="5FC0C9EA"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Paul, C. (2004). Economic Thought, History of Energy. In C. Paul, History of Economic Thought 117-123. New York: Hempstead, New York, United State Peprah, A. D. (2015). D</w:t>
      </w:r>
    </w:p>
    <w:p w14:paraId="020EFCF7"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Piebalgs, A. (2007). Renewable Energy: Potential and Benefits for Developing Countries. In Proceedings of the Conference organized by the European Office of the Konrad-Adenauer-Stiftung and the EastWest Institute, Brussels, Belgium, 28 February; pp. 21–26. </w:t>
      </w:r>
    </w:p>
    <w:p w14:paraId="140B32E0"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Rashed, A., Yong, C., &amp; Soon, S. (2022). The nexus among foreign direct investment in the renewable electricity industry, renewable electricity production and economic growth in Africa. </w:t>
      </w:r>
      <w:r w:rsidRPr="003353A0">
        <w:rPr>
          <w:rFonts w:ascii="Times New Roman" w:hAnsi="Times New Roman" w:cs="Times New Roman"/>
          <w:i/>
          <w:sz w:val="24"/>
          <w:szCs w:val="24"/>
        </w:rPr>
        <w:t>Cogent Economic and Finance, 10</w:t>
      </w:r>
      <w:r w:rsidRPr="003353A0">
        <w:rPr>
          <w:rFonts w:ascii="Times New Roman" w:hAnsi="Times New Roman" w:cs="Times New Roman"/>
          <w:sz w:val="24"/>
          <w:szCs w:val="24"/>
        </w:rPr>
        <w:t>(1), 56 – 78.</w:t>
      </w:r>
      <w:r w:rsidRPr="003353A0">
        <w:rPr>
          <w:rFonts w:ascii="Times New Roman" w:hAnsi="Times New Roman" w:cs="Times New Roman"/>
          <w:i/>
          <w:sz w:val="24"/>
          <w:szCs w:val="24"/>
        </w:rPr>
        <w:t xml:space="preserve"> </w:t>
      </w:r>
      <w:r w:rsidRPr="003353A0">
        <w:rPr>
          <w:rFonts w:ascii="Times New Roman" w:hAnsi="Times New Roman" w:cs="Times New Roman"/>
          <w:sz w:val="24"/>
          <w:szCs w:val="24"/>
        </w:rPr>
        <w:t xml:space="preserve"> </w:t>
      </w:r>
    </w:p>
    <w:p w14:paraId="0CAB7620"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Rashed, A., Yong, C., &amp; Soon, S. (2022). The nexus among foreign direct investment in the renewable electricity industry, renewable electricity production and economic growth in Africa. </w:t>
      </w:r>
      <w:r w:rsidRPr="003353A0">
        <w:rPr>
          <w:rFonts w:ascii="Times New Roman" w:hAnsi="Times New Roman" w:cs="Times New Roman"/>
          <w:i/>
          <w:sz w:val="24"/>
          <w:szCs w:val="24"/>
        </w:rPr>
        <w:t>Cogent Economic and Finance, 10</w:t>
      </w:r>
      <w:r w:rsidRPr="003353A0">
        <w:rPr>
          <w:rFonts w:ascii="Times New Roman" w:hAnsi="Times New Roman" w:cs="Times New Roman"/>
          <w:sz w:val="24"/>
          <w:szCs w:val="24"/>
        </w:rPr>
        <w:t>(1), 56 – 78.</w:t>
      </w:r>
    </w:p>
    <w:p w14:paraId="28DF5D54" w14:textId="77777777" w:rsidR="00FD5034" w:rsidRPr="005065C0" w:rsidRDefault="00FD5034" w:rsidP="00FD5034">
      <w:pPr>
        <w:shd w:val="clear" w:color="auto" w:fill="FFFFFF"/>
        <w:spacing w:after="0" w:line="240" w:lineRule="auto"/>
        <w:jc w:val="both"/>
        <w:rPr>
          <w:rStyle w:val="Hyperlink"/>
          <w:rFonts w:ascii="Times New Roman" w:hAnsi="Times New Roman" w:cs="Times New Roman"/>
          <w:color w:val="3377AA"/>
          <w:sz w:val="24"/>
          <w:szCs w:val="24"/>
        </w:rPr>
      </w:pPr>
      <w:r w:rsidRPr="005065C0">
        <w:rPr>
          <w:rFonts w:ascii="Times New Roman" w:hAnsi="Times New Roman" w:cs="Times New Roman"/>
          <w:color w:val="333333"/>
          <w:sz w:val="24"/>
          <w:szCs w:val="24"/>
        </w:rPr>
        <w:t xml:space="preserve">Rural Electrification Agency, (2019). How off-grid </w:t>
      </w:r>
      <w:proofErr w:type="spellStart"/>
      <w:r w:rsidRPr="005065C0">
        <w:rPr>
          <w:rFonts w:ascii="Times New Roman" w:hAnsi="Times New Roman" w:cs="Times New Roman"/>
          <w:color w:val="333333"/>
          <w:sz w:val="24"/>
          <w:szCs w:val="24"/>
        </w:rPr>
        <w:t>devt</w:t>
      </w:r>
      <w:proofErr w:type="spellEnd"/>
      <w:r w:rsidRPr="005065C0">
        <w:rPr>
          <w:rFonts w:ascii="Times New Roman" w:hAnsi="Times New Roman" w:cs="Times New Roman"/>
          <w:color w:val="333333"/>
          <w:sz w:val="24"/>
          <w:szCs w:val="24"/>
        </w:rPr>
        <w:t xml:space="preserve"> ‘ll rescue Nigeria power sector. </w:t>
      </w:r>
      <w:hyperlink r:id="rId21" w:tgtFrame="_blank" w:history="1">
        <w:r w:rsidRPr="005065C0">
          <w:rPr>
            <w:rStyle w:val="Hyperlink"/>
            <w:rFonts w:ascii="Times New Roman" w:hAnsi="Times New Roman" w:cs="Times New Roman"/>
            <w:color w:val="3377AA"/>
            <w:sz w:val="24"/>
            <w:szCs w:val="24"/>
          </w:rPr>
          <w:t>https://rea.gov.ng/off-grid-devt-ll-rescue-nigeria-power-sector/</w:t>
        </w:r>
      </w:hyperlink>
    </w:p>
    <w:p w14:paraId="1C0C1FBB" w14:textId="77777777" w:rsidR="00FD5034" w:rsidRPr="005065C0" w:rsidRDefault="00FD5034" w:rsidP="00FD5034">
      <w:pPr>
        <w:shd w:val="clear" w:color="auto" w:fill="FFFFFF"/>
        <w:spacing w:after="0" w:line="240" w:lineRule="auto"/>
        <w:jc w:val="both"/>
        <w:rPr>
          <w:rFonts w:ascii="Times New Roman" w:hAnsi="Times New Roman" w:cs="Times New Roman"/>
          <w:color w:val="333333"/>
          <w:sz w:val="24"/>
          <w:szCs w:val="24"/>
        </w:rPr>
      </w:pPr>
      <w:proofErr w:type="spellStart"/>
      <w:r w:rsidRPr="005065C0">
        <w:rPr>
          <w:rFonts w:ascii="Times New Roman" w:hAnsi="Times New Roman" w:cs="Times New Roman"/>
          <w:color w:val="333333"/>
          <w:sz w:val="24"/>
          <w:szCs w:val="24"/>
        </w:rPr>
        <w:t>Techcabal</w:t>
      </w:r>
      <w:proofErr w:type="spellEnd"/>
      <w:r w:rsidRPr="005065C0">
        <w:rPr>
          <w:rFonts w:ascii="Times New Roman" w:hAnsi="Times New Roman" w:cs="Times New Roman"/>
          <w:color w:val="333333"/>
          <w:sz w:val="24"/>
          <w:szCs w:val="24"/>
        </w:rPr>
        <w:t>, (2018). Hydropower-dominates-africas-renewables-but-over-80-of-its-potential-remains-untappedhttps://techcabal.com/2018/09/20/hydropower-dominates-africas-renewables-but-over-80-of-its-potential-remains-untapped/</w:t>
      </w:r>
    </w:p>
    <w:p w14:paraId="182A15F6" w14:textId="77777777" w:rsidR="00FD5034" w:rsidRPr="005065C0" w:rsidRDefault="00FD5034" w:rsidP="00FD5034">
      <w:pPr>
        <w:shd w:val="clear" w:color="auto" w:fill="FFFFFF"/>
        <w:spacing w:after="0" w:line="240" w:lineRule="auto"/>
        <w:jc w:val="both"/>
        <w:rPr>
          <w:rFonts w:ascii="Times New Roman" w:hAnsi="Times New Roman" w:cs="Times New Roman"/>
          <w:color w:val="333333"/>
          <w:sz w:val="24"/>
          <w:szCs w:val="24"/>
        </w:rPr>
      </w:pPr>
      <w:r w:rsidRPr="005065C0">
        <w:rPr>
          <w:rFonts w:ascii="Times New Roman" w:hAnsi="Times New Roman" w:cs="Times New Roman"/>
          <w:color w:val="333333"/>
          <w:sz w:val="24"/>
          <w:szCs w:val="24"/>
        </w:rPr>
        <w:t xml:space="preserve">The Nation, (2019). BPE offers five </w:t>
      </w:r>
      <w:proofErr w:type="spellStart"/>
      <w:r w:rsidRPr="005065C0">
        <w:rPr>
          <w:rFonts w:ascii="Times New Roman" w:hAnsi="Times New Roman" w:cs="Times New Roman"/>
          <w:color w:val="333333"/>
          <w:sz w:val="24"/>
          <w:szCs w:val="24"/>
        </w:rPr>
        <w:t>GenCos</w:t>
      </w:r>
      <w:proofErr w:type="spellEnd"/>
      <w:r w:rsidRPr="005065C0">
        <w:rPr>
          <w:rFonts w:ascii="Times New Roman" w:hAnsi="Times New Roman" w:cs="Times New Roman"/>
          <w:color w:val="333333"/>
          <w:sz w:val="24"/>
          <w:szCs w:val="24"/>
        </w:rPr>
        <w:t xml:space="preserve"> to investors.</w:t>
      </w:r>
      <w:hyperlink r:id="rId22" w:tgtFrame="_blank" w:history="1">
        <w:r w:rsidRPr="005065C0">
          <w:rPr>
            <w:rStyle w:val="Hyperlink"/>
            <w:rFonts w:ascii="Times New Roman" w:hAnsi="Times New Roman" w:cs="Times New Roman"/>
            <w:color w:val="3377AA"/>
            <w:sz w:val="24"/>
            <w:szCs w:val="24"/>
          </w:rPr>
          <w:t>https://thenationonlineng.net/bpe-offers-five-gencos-to-investors/</w:t>
        </w:r>
      </w:hyperlink>
    </w:p>
    <w:p w14:paraId="21994DB8" w14:textId="77777777" w:rsidR="00FD5034" w:rsidRPr="005065C0" w:rsidRDefault="00FD5034" w:rsidP="00FD5034">
      <w:pPr>
        <w:shd w:val="clear" w:color="auto" w:fill="FFFFFF"/>
        <w:spacing w:after="0" w:line="240" w:lineRule="auto"/>
        <w:jc w:val="both"/>
        <w:rPr>
          <w:rStyle w:val="Hyperlink"/>
          <w:rFonts w:ascii="Times New Roman" w:hAnsi="Times New Roman" w:cs="Times New Roman"/>
          <w:color w:val="3377AA"/>
          <w:sz w:val="24"/>
          <w:szCs w:val="24"/>
        </w:rPr>
      </w:pPr>
      <w:r w:rsidRPr="005065C0">
        <w:rPr>
          <w:rFonts w:ascii="Times New Roman" w:hAnsi="Times New Roman" w:cs="Times New Roman"/>
          <w:color w:val="333333"/>
          <w:sz w:val="24"/>
          <w:szCs w:val="24"/>
        </w:rPr>
        <w:t>The Solar Report Nigeria. Commissioned by the Netherlands Enterprise Agency. </w:t>
      </w:r>
      <w:hyperlink r:id="rId23" w:tgtFrame="_blank" w:history="1">
        <w:r w:rsidRPr="005065C0">
          <w:rPr>
            <w:rStyle w:val="Hyperlink"/>
            <w:rFonts w:ascii="Times New Roman" w:hAnsi="Times New Roman" w:cs="Times New Roman"/>
            <w:color w:val="3377AA"/>
            <w:sz w:val="24"/>
            <w:szCs w:val="24"/>
          </w:rPr>
          <w:t>https://www.rvo.nl/sites/default/files/2021/06/Solar-Report-Nigeria.pdf</w:t>
        </w:r>
      </w:hyperlink>
    </w:p>
    <w:p w14:paraId="11474D09"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 xml:space="preserve">Tun, M.M.; </w:t>
      </w:r>
      <w:proofErr w:type="spellStart"/>
      <w:r w:rsidRPr="003353A0">
        <w:rPr>
          <w:rFonts w:ascii="Times New Roman" w:hAnsi="Times New Roman" w:cs="Times New Roman"/>
          <w:sz w:val="24"/>
          <w:szCs w:val="24"/>
        </w:rPr>
        <w:t>Juchelková</w:t>
      </w:r>
      <w:proofErr w:type="spellEnd"/>
      <w:r w:rsidRPr="003353A0">
        <w:rPr>
          <w:rFonts w:ascii="Times New Roman" w:hAnsi="Times New Roman" w:cs="Times New Roman"/>
          <w:sz w:val="24"/>
          <w:szCs w:val="24"/>
        </w:rPr>
        <w:t xml:space="preserve">, D. (2019). Biomass sources and energy potential for energy sector in Myanmar: An outlook. </w:t>
      </w:r>
      <w:r w:rsidRPr="003353A0">
        <w:rPr>
          <w:rFonts w:ascii="Times New Roman" w:hAnsi="Times New Roman" w:cs="Times New Roman"/>
          <w:i/>
          <w:iCs/>
          <w:sz w:val="24"/>
          <w:szCs w:val="24"/>
        </w:rPr>
        <w:t>Resources</w:t>
      </w:r>
      <w:r w:rsidRPr="003353A0">
        <w:rPr>
          <w:rFonts w:ascii="Times New Roman" w:hAnsi="Times New Roman" w:cs="Times New Roman"/>
          <w:sz w:val="24"/>
          <w:szCs w:val="24"/>
        </w:rPr>
        <w:t xml:space="preserve">, </w:t>
      </w:r>
      <w:r w:rsidRPr="003353A0">
        <w:rPr>
          <w:rFonts w:ascii="Times New Roman" w:hAnsi="Times New Roman" w:cs="Times New Roman"/>
          <w:i/>
          <w:iCs/>
          <w:sz w:val="24"/>
          <w:szCs w:val="24"/>
        </w:rPr>
        <w:t>8,</w:t>
      </w:r>
      <w:r w:rsidRPr="003353A0">
        <w:rPr>
          <w:rFonts w:ascii="Times New Roman" w:hAnsi="Times New Roman" w:cs="Times New Roman"/>
          <w:sz w:val="24"/>
          <w:szCs w:val="24"/>
        </w:rPr>
        <w:t xml:space="preserve"> 102. </w:t>
      </w:r>
    </w:p>
    <w:p w14:paraId="776306CB" w14:textId="77777777" w:rsidR="00FD5034" w:rsidRPr="003353A0" w:rsidRDefault="00FD5034" w:rsidP="00FD5034">
      <w:pPr>
        <w:spacing w:after="0" w:line="240" w:lineRule="auto"/>
        <w:jc w:val="both"/>
        <w:rPr>
          <w:rFonts w:ascii="Times New Roman" w:hAnsi="Times New Roman" w:cs="Times New Roman"/>
          <w:sz w:val="24"/>
          <w:szCs w:val="24"/>
        </w:rPr>
      </w:pPr>
      <w:r w:rsidRPr="003353A0">
        <w:rPr>
          <w:rFonts w:ascii="Times New Roman" w:hAnsi="Times New Roman" w:cs="Times New Roman"/>
          <w:sz w:val="24"/>
          <w:szCs w:val="24"/>
        </w:rPr>
        <w:t>Tun, M.M.</w:t>
      </w:r>
      <w:r>
        <w:rPr>
          <w:rFonts w:ascii="Times New Roman" w:hAnsi="Times New Roman" w:cs="Times New Roman"/>
          <w:sz w:val="24"/>
          <w:szCs w:val="24"/>
        </w:rPr>
        <w:t>,</w:t>
      </w:r>
      <w:r w:rsidRPr="003353A0">
        <w:rPr>
          <w:rFonts w:ascii="Times New Roman" w:hAnsi="Times New Roman" w:cs="Times New Roman"/>
          <w:sz w:val="24"/>
          <w:szCs w:val="24"/>
        </w:rPr>
        <w:t xml:space="preserve"> </w:t>
      </w:r>
      <w:proofErr w:type="spellStart"/>
      <w:r w:rsidRPr="003353A0">
        <w:rPr>
          <w:rFonts w:ascii="Times New Roman" w:hAnsi="Times New Roman" w:cs="Times New Roman"/>
          <w:sz w:val="24"/>
          <w:szCs w:val="24"/>
        </w:rPr>
        <w:t>Juchelkova</w:t>
      </w:r>
      <w:proofErr w:type="spellEnd"/>
      <w:r w:rsidRPr="003353A0">
        <w:rPr>
          <w:rFonts w:ascii="Times New Roman" w:hAnsi="Times New Roman" w:cs="Times New Roman"/>
          <w:sz w:val="24"/>
          <w:szCs w:val="24"/>
        </w:rPr>
        <w:t>, D.</w:t>
      </w:r>
      <w:r>
        <w:rPr>
          <w:rFonts w:ascii="Times New Roman" w:hAnsi="Times New Roman" w:cs="Times New Roman"/>
          <w:sz w:val="24"/>
          <w:szCs w:val="24"/>
        </w:rPr>
        <w:t>,</w:t>
      </w:r>
      <w:r w:rsidRPr="003353A0">
        <w:rPr>
          <w:rFonts w:ascii="Times New Roman" w:hAnsi="Times New Roman" w:cs="Times New Roman"/>
          <w:sz w:val="24"/>
          <w:szCs w:val="24"/>
        </w:rPr>
        <w:t xml:space="preserve"> Win, M.M.</w:t>
      </w:r>
      <w:r>
        <w:rPr>
          <w:rFonts w:ascii="Times New Roman" w:hAnsi="Times New Roman" w:cs="Times New Roman"/>
          <w:sz w:val="24"/>
          <w:szCs w:val="24"/>
        </w:rPr>
        <w:t>,</w:t>
      </w:r>
      <w:r w:rsidRPr="003353A0">
        <w:rPr>
          <w:rFonts w:ascii="Times New Roman" w:hAnsi="Times New Roman" w:cs="Times New Roman"/>
          <w:sz w:val="24"/>
          <w:szCs w:val="24"/>
        </w:rPr>
        <w:t xml:space="preserve"> Thu, A.M.</w:t>
      </w:r>
      <w:r>
        <w:rPr>
          <w:rFonts w:ascii="Times New Roman" w:hAnsi="Times New Roman" w:cs="Times New Roman"/>
          <w:sz w:val="24"/>
          <w:szCs w:val="24"/>
        </w:rPr>
        <w:t>,</w:t>
      </w:r>
      <w:r w:rsidRPr="003353A0">
        <w:rPr>
          <w:rFonts w:ascii="Times New Roman" w:hAnsi="Times New Roman" w:cs="Times New Roman"/>
          <w:sz w:val="24"/>
          <w:szCs w:val="24"/>
        </w:rPr>
        <w:t xml:space="preserve"> </w:t>
      </w:r>
      <w:proofErr w:type="spellStart"/>
      <w:r w:rsidRPr="003353A0">
        <w:rPr>
          <w:rFonts w:ascii="Times New Roman" w:hAnsi="Times New Roman" w:cs="Times New Roman"/>
          <w:sz w:val="24"/>
          <w:szCs w:val="24"/>
        </w:rPr>
        <w:t>Puchor</w:t>
      </w:r>
      <w:proofErr w:type="spellEnd"/>
      <w:r w:rsidRPr="003353A0">
        <w:rPr>
          <w:rFonts w:ascii="Times New Roman" w:hAnsi="Times New Roman" w:cs="Times New Roman"/>
          <w:sz w:val="24"/>
          <w:szCs w:val="24"/>
        </w:rPr>
        <w:t xml:space="preserve">, T. (2019). Biomass energy: An overview of biomass sources, energy potential, and management in Southeast Asian countries. </w:t>
      </w:r>
      <w:r w:rsidRPr="003353A0">
        <w:rPr>
          <w:rFonts w:ascii="Times New Roman" w:hAnsi="Times New Roman" w:cs="Times New Roman"/>
          <w:i/>
          <w:iCs/>
          <w:sz w:val="24"/>
          <w:szCs w:val="24"/>
        </w:rPr>
        <w:t>Resources,</w:t>
      </w:r>
      <w:r w:rsidRPr="003353A0">
        <w:rPr>
          <w:rFonts w:ascii="Times New Roman" w:hAnsi="Times New Roman" w:cs="Times New Roman"/>
          <w:sz w:val="24"/>
          <w:szCs w:val="24"/>
        </w:rPr>
        <w:t xml:space="preserve"> </w:t>
      </w:r>
      <w:r w:rsidRPr="003353A0">
        <w:rPr>
          <w:rFonts w:ascii="Times New Roman" w:hAnsi="Times New Roman" w:cs="Times New Roman"/>
          <w:i/>
          <w:iCs/>
          <w:sz w:val="24"/>
          <w:szCs w:val="24"/>
        </w:rPr>
        <w:t>8,</w:t>
      </w:r>
      <w:r w:rsidRPr="003353A0">
        <w:rPr>
          <w:rFonts w:ascii="Times New Roman" w:hAnsi="Times New Roman" w:cs="Times New Roman"/>
          <w:sz w:val="24"/>
          <w:szCs w:val="24"/>
        </w:rPr>
        <w:t xml:space="preserve"> 81. </w:t>
      </w:r>
    </w:p>
    <w:p w14:paraId="2D088040" w14:textId="77777777" w:rsidR="00FD5034" w:rsidRDefault="00FD5034" w:rsidP="00FD5034">
      <w:pPr>
        <w:spacing w:after="0" w:line="240" w:lineRule="auto"/>
        <w:jc w:val="both"/>
        <w:rPr>
          <w:rStyle w:val="SubtleEmphasis"/>
          <w:rFonts w:ascii="Times New Roman" w:hAnsi="Times New Roman" w:cs="Times New Roman"/>
          <w:color w:val="auto"/>
          <w:sz w:val="24"/>
          <w:szCs w:val="24"/>
        </w:rPr>
      </w:pPr>
      <w:proofErr w:type="spellStart"/>
      <w:r w:rsidRPr="00B35562">
        <w:rPr>
          <w:rStyle w:val="SubtleEmphasis"/>
          <w:rFonts w:ascii="Times New Roman" w:hAnsi="Times New Roman" w:cs="Times New Roman"/>
          <w:color w:val="auto"/>
          <w:sz w:val="24"/>
          <w:szCs w:val="24"/>
        </w:rPr>
        <w:lastRenderedPageBreak/>
        <w:t>Zhe</w:t>
      </w:r>
      <w:proofErr w:type="spellEnd"/>
      <w:r w:rsidRPr="00B35562">
        <w:rPr>
          <w:rStyle w:val="SubtleEmphasis"/>
          <w:rFonts w:ascii="Times New Roman" w:hAnsi="Times New Roman" w:cs="Times New Roman"/>
          <w:color w:val="auto"/>
          <w:sz w:val="24"/>
          <w:szCs w:val="24"/>
        </w:rPr>
        <w:t xml:space="preserve">, Z; </w:t>
      </w:r>
      <w:proofErr w:type="spellStart"/>
      <w:r w:rsidRPr="00B35562">
        <w:rPr>
          <w:rStyle w:val="SubtleEmphasis"/>
          <w:rFonts w:ascii="Times New Roman" w:hAnsi="Times New Roman" w:cs="Times New Roman"/>
          <w:color w:val="auto"/>
          <w:sz w:val="24"/>
          <w:szCs w:val="24"/>
        </w:rPr>
        <w:t>Mughesa</w:t>
      </w:r>
      <w:proofErr w:type="spellEnd"/>
      <w:r w:rsidRPr="00B35562">
        <w:rPr>
          <w:rStyle w:val="SubtleEmphasis"/>
          <w:rFonts w:ascii="Times New Roman" w:hAnsi="Times New Roman" w:cs="Times New Roman"/>
          <w:color w:val="auto"/>
          <w:sz w:val="24"/>
          <w:szCs w:val="24"/>
        </w:rPr>
        <w:t>, R.; Abdul, G.A. (2024). Relationship between Renewable energy resources and electricity generation and its impact on environmental quality.</w:t>
      </w:r>
      <w:r w:rsidRPr="003353A0">
        <w:rPr>
          <w:rStyle w:val="SubtleEmphasis"/>
          <w:rFonts w:ascii="Times New Roman" w:hAnsi="Times New Roman" w:cs="Times New Roman"/>
          <w:color w:val="auto"/>
          <w:sz w:val="24"/>
          <w:szCs w:val="24"/>
        </w:rPr>
        <w:t xml:space="preserve"> Environment, Development and Sustainability </w:t>
      </w:r>
      <w:hyperlink r:id="rId24" w:history="1">
        <w:r w:rsidRPr="003353A0">
          <w:rPr>
            <w:rStyle w:val="Hyperlink"/>
            <w:sz w:val="24"/>
            <w:szCs w:val="24"/>
          </w:rPr>
          <w:t>https://doi.org/10.1007/s10668-023-04383-7</w:t>
        </w:r>
      </w:hyperlink>
    </w:p>
    <w:p w14:paraId="3A2CDD4F" w14:textId="77777777" w:rsidR="00FD5034" w:rsidRPr="00613976" w:rsidRDefault="00FD5034" w:rsidP="00FD5034">
      <w:pPr>
        <w:spacing w:after="0" w:line="240" w:lineRule="auto"/>
        <w:jc w:val="both"/>
        <w:rPr>
          <w:rFonts w:ascii="Times New Roman" w:hAnsi="Times New Roman" w:cs="Times New Roman"/>
          <w:sz w:val="24"/>
          <w:szCs w:val="24"/>
        </w:rPr>
      </w:pPr>
      <w:proofErr w:type="spellStart"/>
      <w:r w:rsidRPr="00613976">
        <w:rPr>
          <w:rFonts w:ascii="Times New Roman" w:hAnsi="Times New Roman" w:cs="Times New Roman"/>
          <w:sz w:val="24"/>
          <w:szCs w:val="24"/>
        </w:rPr>
        <w:t>Towoju</w:t>
      </w:r>
      <w:proofErr w:type="spellEnd"/>
      <w:r w:rsidRPr="00613976">
        <w:rPr>
          <w:rFonts w:ascii="Times New Roman" w:hAnsi="Times New Roman" w:cs="Times New Roman"/>
          <w:sz w:val="24"/>
          <w:szCs w:val="24"/>
        </w:rPr>
        <w:t xml:space="preserve">, O.A. &amp; Oladele, O. A. (2021). Electricity Generation from Hydro, Wind, Solar and the Environment. Engineering and Technology Journal 39(9): 1392-1398. DOI: </w:t>
      </w:r>
      <w:r w:rsidRPr="00613976">
        <w:rPr>
          <w:rFonts w:ascii="Times New Roman" w:hAnsi="Times New Roman" w:cs="Times New Roman"/>
          <w:color w:val="131314"/>
          <w:sz w:val="24"/>
          <w:szCs w:val="24"/>
        </w:rPr>
        <w:t>https//doi.org/</w:t>
      </w:r>
      <w:r w:rsidRPr="00613976">
        <w:rPr>
          <w:rFonts w:ascii="Times New Roman" w:hAnsi="Times New Roman" w:cs="Times New Roman"/>
          <w:sz w:val="24"/>
          <w:szCs w:val="24"/>
        </w:rPr>
        <w:t>10.30684/</w:t>
      </w:r>
      <w:proofErr w:type="gramStart"/>
      <w:r w:rsidRPr="00613976">
        <w:rPr>
          <w:rFonts w:ascii="Times New Roman" w:hAnsi="Times New Roman" w:cs="Times New Roman"/>
          <w:sz w:val="24"/>
          <w:szCs w:val="24"/>
        </w:rPr>
        <w:t>etj.v</w:t>
      </w:r>
      <w:proofErr w:type="gramEnd"/>
      <w:r w:rsidRPr="00613976">
        <w:rPr>
          <w:rFonts w:ascii="Times New Roman" w:hAnsi="Times New Roman" w:cs="Times New Roman"/>
          <w:sz w:val="24"/>
          <w:szCs w:val="24"/>
        </w:rPr>
        <w:t>39i9.2145</w:t>
      </w:r>
    </w:p>
    <w:p w14:paraId="6632F32B" w14:textId="77777777" w:rsidR="00FD5034" w:rsidRPr="00613976" w:rsidRDefault="00FD5034" w:rsidP="00FD5034">
      <w:pPr>
        <w:spacing w:after="0" w:line="240" w:lineRule="auto"/>
        <w:jc w:val="both"/>
        <w:rPr>
          <w:rFonts w:ascii="Times New Roman" w:hAnsi="Times New Roman" w:cs="Times New Roman"/>
          <w:color w:val="131314"/>
          <w:sz w:val="24"/>
          <w:szCs w:val="24"/>
        </w:rPr>
      </w:pPr>
      <w:r w:rsidRPr="00613976">
        <w:rPr>
          <w:rFonts w:ascii="Times New Roman" w:hAnsi="Times New Roman" w:cs="Times New Roman"/>
          <w:color w:val="131314"/>
          <w:sz w:val="24"/>
          <w:szCs w:val="24"/>
        </w:rPr>
        <w:t>Jäger-Waldau, A. (2011). Photovoltaics: Status and Perspectives until 2020. Green 1(3):277 – 290. https//doi.org/10.1515/green.2011.027</w:t>
      </w:r>
    </w:p>
    <w:p w14:paraId="4BA79FCC" w14:textId="77777777" w:rsidR="00FD5034" w:rsidRPr="00613976" w:rsidRDefault="00FD5034" w:rsidP="00FD5034">
      <w:pPr>
        <w:spacing w:after="0" w:line="240" w:lineRule="auto"/>
        <w:jc w:val="both"/>
        <w:rPr>
          <w:rFonts w:ascii="Times New Roman" w:hAnsi="Times New Roman" w:cs="Times New Roman"/>
          <w:color w:val="131314"/>
          <w:sz w:val="24"/>
          <w:szCs w:val="24"/>
        </w:rPr>
      </w:pPr>
      <w:proofErr w:type="spellStart"/>
      <w:r w:rsidRPr="00613976">
        <w:rPr>
          <w:rFonts w:ascii="Times New Roman" w:hAnsi="Times New Roman" w:cs="Times New Roman"/>
          <w:color w:val="131314"/>
          <w:sz w:val="24"/>
          <w:szCs w:val="24"/>
        </w:rPr>
        <w:t>Haidi</w:t>
      </w:r>
      <w:proofErr w:type="spellEnd"/>
      <w:r w:rsidRPr="00613976">
        <w:rPr>
          <w:rFonts w:ascii="Times New Roman" w:hAnsi="Times New Roman" w:cs="Times New Roman"/>
          <w:color w:val="131314"/>
          <w:sz w:val="24"/>
          <w:szCs w:val="24"/>
        </w:rPr>
        <w:t xml:space="preserve">, T &amp; </w:t>
      </w:r>
      <w:proofErr w:type="spellStart"/>
      <w:r w:rsidRPr="00613976">
        <w:rPr>
          <w:rFonts w:ascii="Times New Roman" w:hAnsi="Times New Roman" w:cs="Times New Roman"/>
          <w:color w:val="131314"/>
          <w:sz w:val="24"/>
          <w:szCs w:val="24"/>
        </w:rPr>
        <w:t>Cheddadi</w:t>
      </w:r>
      <w:proofErr w:type="spellEnd"/>
      <w:r w:rsidRPr="00613976">
        <w:rPr>
          <w:rFonts w:ascii="Times New Roman" w:hAnsi="Times New Roman" w:cs="Times New Roman"/>
          <w:color w:val="131314"/>
          <w:sz w:val="24"/>
          <w:szCs w:val="24"/>
        </w:rPr>
        <w:t>, B. (2022). State of wind energy in the world: evolution, impacts and perspectives. International Journal on “Technical and Physical Problems of Engineering” (IJTPE),51(14) 2, 347-352</w:t>
      </w:r>
    </w:p>
    <w:p w14:paraId="78AA3384" w14:textId="77777777" w:rsidR="00FD5034" w:rsidRPr="00613976" w:rsidRDefault="00FD5034" w:rsidP="00FD5034">
      <w:pPr>
        <w:spacing w:after="0" w:line="240" w:lineRule="auto"/>
        <w:jc w:val="both"/>
        <w:rPr>
          <w:rFonts w:ascii="Times New Roman" w:hAnsi="Times New Roman" w:cs="Times New Roman"/>
          <w:sz w:val="24"/>
          <w:szCs w:val="24"/>
        </w:rPr>
      </w:pPr>
      <w:proofErr w:type="spellStart"/>
      <w:r w:rsidRPr="00613976">
        <w:rPr>
          <w:rFonts w:ascii="Times New Roman" w:hAnsi="Times New Roman" w:cs="Times New Roman"/>
          <w:color w:val="131314"/>
          <w:sz w:val="24"/>
          <w:szCs w:val="24"/>
        </w:rPr>
        <w:t>Nkalo</w:t>
      </w:r>
      <w:proofErr w:type="spellEnd"/>
      <w:r w:rsidRPr="00613976">
        <w:rPr>
          <w:rFonts w:ascii="Times New Roman" w:hAnsi="Times New Roman" w:cs="Times New Roman"/>
          <w:color w:val="131314"/>
          <w:sz w:val="24"/>
          <w:szCs w:val="24"/>
        </w:rPr>
        <w:t>, U. (2025). Nigeria's renewable energy sector: analysis of the present and future prospects. Solar Compass, Solar Compass, 14, 100123. https//doi.org/10.1016/j.solcom.2025.100123</w:t>
      </w:r>
    </w:p>
    <w:p w14:paraId="34874A10" w14:textId="77777777" w:rsidR="00FD5034" w:rsidRPr="00613976" w:rsidRDefault="00FD5034" w:rsidP="00FD5034">
      <w:pPr>
        <w:rPr>
          <w:sz w:val="24"/>
          <w:szCs w:val="24"/>
        </w:rPr>
      </w:pPr>
    </w:p>
    <w:p w14:paraId="17E02FE1" w14:textId="77777777" w:rsidR="0018432B" w:rsidRPr="00FD5034" w:rsidRDefault="0018432B" w:rsidP="00FD5034">
      <w:pPr>
        <w:jc w:val="both"/>
        <w:rPr>
          <w:rFonts w:ascii="Times New Roman" w:hAnsi="Times New Roman" w:cs="Times New Roman"/>
          <w:sz w:val="24"/>
          <w:szCs w:val="24"/>
        </w:rPr>
      </w:pPr>
    </w:p>
    <w:sectPr w:rsidR="0018432B" w:rsidRPr="00FD5034">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51851" w14:textId="77777777" w:rsidR="00E645BD" w:rsidRDefault="00E645BD" w:rsidP="00A06B73">
      <w:pPr>
        <w:spacing w:after="0" w:line="240" w:lineRule="auto"/>
      </w:pPr>
      <w:r>
        <w:separator/>
      </w:r>
    </w:p>
  </w:endnote>
  <w:endnote w:type="continuationSeparator" w:id="0">
    <w:p w14:paraId="31E295AF" w14:textId="77777777" w:rsidR="00E645BD" w:rsidRDefault="00E645BD" w:rsidP="00A0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7" w:usb1="08070000" w:usb2="00000010" w:usb3="00000000" w:csb0="00020003" w:csb1="00000000"/>
  </w:font>
  <w:font w:name="Arial">
    <w:panose1 w:val="020B0604020202020204"/>
    <w:charset w:val="00"/>
    <w:family w:val="swiss"/>
    <w:pitch w:val="variable"/>
    <w:sig w:usb0="E0002EFF" w:usb1="C000785B" w:usb2="00000009"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1E04" w14:textId="77777777" w:rsidR="00A06B73" w:rsidRDefault="00A06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F536C" w14:textId="77777777" w:rsidR="00A06B73" w:rsidRDefault="00A06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B55A" w14:textId="77777777" w:rsidR="00A06B73" w:rsidRDefault="00A06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442E5" w14:textId="77777777" w:rsidR="00E645BD" w:rsidRDefault="00E645BD" w:rsidP="00A06B73">
      <w:pPr>
        <w:spacing w:after="0" w:line="240" w:lineRule="auto"/>
      </w:pPr>
      <w:r>
        <w:separator/>
      </w:r>
    </w:p>
  </w:footnote>
  <w:footnote w:type="continuationSeparator" w:id="0">
    <w:p w14:paraId="5CC8C655" w14:textId="77777777" w:rsidR="00E645BD" w:rsidRDefault="00E645BD" w:rsidP="00A0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B47F" w14:textId="08FC0492" w:rsidR="00A06B73" w:rsidRDefault="00A06B73">
    <w:pPr>
      <w:pStyle w:val="Header"/>
    </w:pPr>
    <w:r>
      <w:rPr>
        <w:noProof/>
      </w:rPr>
      <w:pict w14:anchorId="73EA9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577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B7DD" w14:textId="5B501264" w:rsidR="00A06B73" w:rsidRDefault="00A06B73">
    <w:pPr>
      <w:pStyle w:val="Header"/>
    </w:pPr>
    <w:r>
      <w:rPr>
        <w:noProof/>
      </w:rPr>
      <w:pict w14:anchorId="4FBB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577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0E1A" w14:textId="54133ED9" w:rsidR="00A06B73" w:rsidRDefault="00A06B73">
    <w:pPr>
      <w:pStyle w:val="Header"/>
    </w:pPr>
    <w:r>
      <w:rPr>
        <w:noProof/>
      </w:rPr>
      <w:pict w14:anchorId="53894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577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83F"/>
    <w:multiLevelType w:val="multilevel"/>
    <w:tmpl w:val="88A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F3DE6"/>
    <w:multiLevelType w:val="multilevel"/>
    <w:tmpl w:val="DCF2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C0A54"/>
    <w:multiLevelType w:val="multilevel"/>
    <w:tmpl w:val="B1F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B608A"/>
    <w:multiLevelType w:val="multilevel"/>
    <w:tmpl w:val="A156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17E94"/>
    <w:multiLevelType w:val="multilevel"/>
    <w:tmpl w:val="7DC0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178FB"/>
    <w:multiLevelType w:val="multilevel"/>
    <w:tmpl w:val="19E25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77352E"/>
    <w:multiLevelType w:val="hybridMultilevel"/>
    <w:tmpl w:val="8E8C04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2630233"/>
    <w:multiLevelType w:val="multilevel"/>
    <w:tmpl w:val="F550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A2100"/>
    <w:multiLevelType w:val="multilevel"/>
    <w:tmpl w:val="4EA8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754EF"/>
    <w:multiLevelType w:val="multilevel"/>
    <w:tmpl w:val="45E6D7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E468ED"/>
    <w:multiLevelType w:val="multilevel"/>
    <w:tmpl w:val="366C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9"/>
  </w:num>
  <w:num w:numId="5">
    <w:abstractNumId w:val="0"/>
  </w:num>
  <w:num w:numId="6">
    <w:abstractNumId w:val="4"/>
  </w:num>
  <w:num w:numId="7">
    <w:abstractNumId w:val="8"/>
  </w:num>
  <w:num w:numId="8">
    <w:abstractNumId w:val="10"/>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41"/>
    <w:rsid w:val="001568B8"/>
    <w:rsid w:val="001766D7"/>
    <w:rsid w:val="0018432B"/>
    <w:rsid w:val="001856C3"/>
    <w:rsid w:val="004116DD"/>
    <w:rsid w:val="004C026A"/>
    <w:rsid w:val="00643560"/>
    <w:rsid w:val="00913D0F"/>
    <w:rsid w:val="00930147"/>
    <w:rsid w:val="00936D7C"/>
    <w:rsid w:val="00982041"/>
    <w:rsid w:val="009921DD"/>
    <w:rsid w:val="009B5282"/>
    <w:rsid w:val="009E19E4"/>
    <w:rsid w:val="00A06B73"/>
    <w:rsid w:val="00A74643"/>
    <w:rsid w:val="00A80292"/>
    <w:rsid w:val="00E645BD"/>
    <w:rsid w:val="00E726DB"/>
    <w:rsid w:val="00FD5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0E31A"/>
  <w15:chartTrackingRefBased/>
  <w15:docId w15:val="{5722105D-6FD6-4390-9F27-D85BB619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041"/>
  </w:style>
  <w:style w:type="paragraph" w:styleId="Heading1">
    <w:name w:val="heading 1"/>
    <w:basedOn w:val="Normal"/>
    <w:link w:val="Heading1Char"/>
    <w:uiPriority w:val="9"/>
    <w:qFormat/>
    <w:rsid w:val="00FD50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D50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D503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503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041"/>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982041"/>
    <w:rPr>
      <w:i/>
      <w:iCs/>
      <w:color w:val="404040" w:themeColor="text1" w:themeTint="BF"/>
    </w:rPr>
  </w:style>
  <w:style w:type="character" w:customStyle="1" w:styleId="Heading1Char">
    <w:name w:val="Heading 1 Char"/>
    <w:basedOn w:val="DefaultParagraphFont"/>
    <w:link w:val="Heading1"/>
    <w:uiPriority w:val="9"/>
    <w:rsid w:val="00FD503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D50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D503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D5034"/>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D5034"/>
    <w:rPr>
      <w:b/>
      <w:bCs/>
    </w:rPr>
  </w:style>
  <w:style w:type="character" w:customStyle="1" w:styleId="overflow-hidden">
    <w:name w:val="overflow-hidden"/>
    <w:basedOn w:val="DefaultParagraphFont"/>
    <w:rsid w:val="00FD5034"/>
  </w:style>
  <w:style w:type="character" w:styleId="Hyperlink">
    <w:name w:val="Hyperlink"/>
    <w:basedOn w:val="DefaultParagraphFont"/>
    <w:uiPriority w:val="99"/>
    <w:unhideWhenUsed/>
    <w:rsid w:val="00FD5034"/>
    <w:rPr>
      <w:color w:val="0563C1" w:themeColor="hyperlink"/>
      <w:u w:val="single"/>
    </w:rPr>
  </w:style>
  <w:style w:type="character" w:styleId="UnresolvedMention">
    <w:name w:val="Unresolved Mention"/>
    <w:basedOn w:val="DefaultParagraphFont"/>
    <w:uiPriority w:val="99"/>
    <w:semiHidden/>
    <w:unhideWhenUsed/>
    <w:rsid w:val="00FD5034"/>
    <w:rPr>
      <w:color w:val="605E5C"/>
      <w:shd w:val="clear" w:color="auto" w:fill="E1DFDD"/>
    </w:rPr>
  </w:style>
  <w:style w:type="character" w:customStyle="1" w:styleId="line-clamp-1">
    <w:name w:val="line-clamp-1"/>
    <w:basedOn w:val="DefaultParagraphFont"/>
    <w:rsid w:val="00FD5034"/>
  </w:style>
  <w:style w:type="character" w:customStyle="1" w:styleId="katex-mathml">
    <w:name w:val="katex-mathml"/>
    <w:basedOn w:val="DefaultParagraphFont"/>
    <w:rsid w:val="00FD5034"/>
  </w:style>
  <w:style w:type="character" w:customStyle="1" w:styleId="mord">
    <w:name w:val="mord"/>
    <w:basedOn w:val="DefaultParagraphFont"/>
    <w:rsid w:val="00FD5034"/>
  </w:style>
  <w:style w:type="paragraph" w:styleId="Header">
    <w:name w:val="header"/>
    <w:basedOn w:val="Normal"/>
    <w:link w:val="HeaderChar"/>
    <w:uiPriority w:val="99"/>
    <w:unhideWhenUsed/>
    <w:rsid w:val="00FD5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034"/>
  </w:style>
  <w:style w:type="paragraph" w:styleId="Footer">
    <w:name w:val="footer"/>
    <w:basedOn w:val="Normal"/>
    <w:link w:val="FooterChar"/>
    <w:uiPriority w:val="99"/>
    <w:unhideWhenUsed/>
    <w:rsid w:val="00FD5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034"/>
  </w:style>
  <w:style w:type="paragraph" w:styleId="ListParagraph">
    <w:name w:val="List Paragraph"/>
    <w:basedOn w:val="Normal"/>
    <w:uiPriority w:val="34"/>
    <w:qFormat/>
    <w:rsid w:val="00FD5034"/>
    <w:pPr>
      <w:ind w:left="720"/>
      <w:contextualSpacing/>
    </w:pPr>
  </w:style>
  <w:style w:type="character" w:customStyle="1" w:styleId="mw-headline">
    <w:name w:val="mw-headline"/>
    <w:basedOn w:val="DefaultParagraphFont"/>
    <w:rsid w:val="00FD5034"/>
  </w:style>
  <w:style w:type="table" w:styleId="TableGrid">
    <w:name w:val="Table Grid"/>
    <w:basedOn w:val="TableNormal"/>
    <w:uiPriority w:val="59"/>
    <w:rsid w:val="00FD5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5034"/>
    <w:rPr>
      <w:i/>
      <w:iCs/>
    </w:rPr>
  </w:style>
  <w:style w:type="character" w:styleId="CommentReference">
    <w:name w:val="annotation reference"/>
    <w:basedOn w:val="DefaultParagraphFont"/>
    <w:uiPriority w:val="99"/>
    <w:semiHidden/>
    <w:unhideWhenUsed/>
    <w:rsid w:val="00FD5034"/>
    <w:rPr>
      <w:sz w:val="16"/>
      <w:szCs w:val="16"/>
    </w:rPr>
  </w:style>
  <w:style w:type="paragraph" w:styleId="CommentText">
    <w:name w:val="annotation text"/>
    <w:basedOn w:val="Normal"/>
    <w:link w:val="CommentTextChar"/>
    <w:uiPriority w:val="99"/>
    <w:semiHidden/>
    <w:unhideWhenUsed/>
    <w:rsid w:val="00FD5034"/>
    <w:pPr>
      <w:spacing w:line="240" w:lineRule="auto"/>
    </w:pPr>
    <w:rPr>
      <w:sz w:val="20"/>
      <w:szCs w:val="20"/>
    </w:rPr>
  </w:style>
  <w:style w:type="character" w:customStyle="1" w:styleId="CommentTextChar">
    <w:name w:val="Comment Text Char"/>
    <w:basedOn w:val="DefaultParagraphFont"/>
    <w:link w:val="CommentText"/>
    <w:uiPriority w:val="99"/>
    <w:semiHidden/>
    <w:rsid w:val="00FD5034"/>
    <w:rPr>
      <w:sz w:val="20"/>
      <w:szCs w:val="20"/>
    </w:rPr>
  </w:style>
  <w:style w:type="paragraph" w:styleId="CommentSubject">
    <w:name w:val="annotation subject"/>
    <w:basedOn w:val="CommentText"/>
    <w:next w:val="CommentText"/>
    <w:link w:val="CommentSubjectChar"/>
    <w:uiPriority w:val="99"/>
    <w:semiHidden/>
    <w:unhideWhenUsed/>
    <w:rsid w:val="00FD5034"/>
    <w:rPr>
      <w:b/>
      <w:bCs/>
    </w:rPr>
  </w:style>
  <w:style w:type="character" w:customStyle="1" w:styleId="CommentSubjectChar">
    <w:name w:val="Comment Subject Char"/>
    <w:basedOn w:val="CommentTextChar"/>
    <w:link w:val="CommentSubject"/>
    <w:uiPriority w:val="99"/>
    <w:semiHidden/>
    <w:rsid w:val="00FD5034"/>
    <w:rPr>
      <w:b/>
      <w:bCs/>
      <w:sz w:val="20"/>
      <w:szCs w:val="20"/>
    </w:rPr>
  </w:style>
  <w:style w:type="paragraph" w:customStyle="1" w:styleId="nova-legacy-e-listitem">
    <w:name w:val="nova-legacy-e-list__item"/>
    <w:basedOn w:val="Normal"/>
    <w:rsid w:val="00FD50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FD5034"/>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FD5034"/>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hyperlink" Target="https://www.iea.org/policie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rea.gov.ng/off-grid-devt-ll-rescue-nigeria-power-sector/" TargetMode="External"/><Relationship Id="rId7" Type="http://schemas.openxmlformats.org/officeDocument/2006/relationships/image" Target="media/image1.wmf"/><Relationship Id="rId12" Type="http://schemas.openxmlformats.org/officeDocument/2006/relationships/image" Target="media/image3.emf"/><Relationship Id="rId17" Type="http://schemas.openxmlformats.org/officeDocument/2006/relationships/hyperlink" Target="https://www.hydropower.org/country-profiles/nigeri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si-africa.com/industry-sectors/renewable-energy/katsina-wind-farm-makes-headway-for-nigerias-abandoned-projects/" TargetMode="External"/><Relationship Id="rId20" Type="http://schemas.openxmlformats.org/officeDocument/2006/relationships/hyperlink" Target="https://doi.org/10.2478/ethemes-2020-001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07/s10668-023-04383-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ioenergyconsult.com/biomass-energy-in-nigeria/" TargetMode="External"/><Relationship Id="rId23" Type="http://schemas.openxmlformats.org/officeDocument/2006/relationships/hyperlink" Target="https://www.rvo.nl/sites/default/files/2021/06/Solar-Report-Nigeria.pdf" TargetMode="External"/><Relationship Id="rId28"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hyperlink" Target="https://www.iea.org/reports/world-energy-outlook-202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www.idpublications.org/wp-content/uploads/2016/04/" TargetMode="External"/><Relationship Id="rId22" Type="http://schemas.openxmlformats.org/officeDocument/2006/relationships/hyperlink" Target="https://thenationonlineng.net/bpe-offers-five-gencos-to-investors/"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LNELG</c:v>
                </c:pt>
              </c:strCache>
            </c:strRef>
          </c:tx>
          <c:spPr>
            <a:ln w="28575" cap="rnd">
              <a:solidFill>
                <a:schemeClr val="accent1"/>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Sheet2!$B$2:$B$38</c:f>
              <c:numCache>
                <c:formatCode>General</c:formatCode>
                <c:ptCount val="37"/>
                <c:pt idx="0">
                  <c:v>2.2954597680514501</c:v>
                </c:pt>
                <c:pt idx="1">
                  <c:v>2.4332624166356598</c:v>
                </c:pt>
                <c:pt idx="2">
                  <c:v>2.3751847854083801</c:v>
                </c:pt>
                <c:pt idx="3">
                  <c:v>2.41188782788449</c:v>
                </c:pt>
                <c:pt idx="4">
                  <c:v>2.5056075663120301</c:v>
                </c:pt>
                <c:pt idx="5">
                  <c:v>2.4873204010119299</c:v>
                </c:pt>
                <c:pt idx="6">
                  <c:v>2.61102521853033</c:v>
                </c:pt>
                <c:pt idx="7">
                  <c:v>2.6565463582350901</c:v>
                </c:pt>
                <c:pt idx="8">
                  <c:v>2.6328236548597399</c:v>
                </c:pt>
                <c:pt idx="9">
                  <c:v>2.6998163961751001</c:v>
                </c:pt>
                <c:pt idx="10">
                  <c:v>2.6310971599340802</c:v>
                </c:pt>
                <c:pt idx="11">
                  <c:v>2.66493391002858</c:v>
                </c:pt>
                <c:pt idx="12">
                  <c:v>2.6876433913245399</c:v>
                </c:pt>
                <c:pt idx="13">
                  <c:v>2.6898862304745301</c:v>
                </c:pt>
                <c:pt idx="14">
                  <c:v>2.73644327560342</c:v>
                </c:pt>
                <c:pt idx="15">
                  <c:v>2.64929050589528</c:v>
                </c:pt>
                <c:pt idx="16">
                  <c:v>2.6975957431983502</c:v>
                </c:pt>
                <c:pt idx="17">
                  <c:v>3.0289736073337901</c:v>
                </c:pt>
                <c:pt idx="18">
                  <c:v>2.96310577072689</c:v>
                </c:pt>
                <c:pt idx="19">
                  <c:v>3.1457458358714701</c:v>
                </c:pt>
                <c:pt idx="20">
                  <c:v>3.1147589799756301</c:v>
                </c:pt>
                <c:pt idx="21">
                  <c:v>3.0932672493905198</c:v>
                </c:pt>
                <c:pt idx="22">
                  <c:v>3.0875819271838698</c:v>
                </c:pt>
                <c:pt idx="23">
                  <c:v>3.00285683349628</c:v>
                </c:pt>
                <c:pt idx="24">
                  <c:v>2.9354513426690598</c:v>
                </c:pt>
                <c:pt idx="25">
                  <c:v>3.2141446504922899</c:v>
                </c:pt>
                <c:pt idx="26">
                  <c:v>3.2473855333139099</c:v>
                </c:pt>
                <c:pt idx="27">
                  <c:v>3.3070332116043999</c:v>
                </c:pt>
                <c:pt idx="28">
                  <c:v>3.3123661679555298</c:v>
                </c:pt>
                <c:pt idx="29">
                  <c:v>3.4213920889476701</c:v>
                </c:pt>
                <c:pt idx="30">
                  <c:v>3.4277743965126</c:v>
                </c:pt>
                <c:pt idx="31">
                  <c:v>3.4659858715549299</c:v>
                </c:pt>
                <c:pt idx="32">
                  <c:v>3.4902455718276699</c:v>
                </c:pt>
                <c:pt idx="33">
                  <c:v>3.5395960763967702</c:v>
                </c:pt>
                <c:pt idx="34">
                  <c:v>3.4657359027997199</c:v>
                </c:pt>
                <c:pt idx="35">
                  <c:v>3.4011973816621501</c:v>
                </c:pt>
                <c:pt idx="36">
                  <c:v>3.4339872044851401</c:v>
                </c:pt>
              </c:numCache>
            </c:numRef>
          </c:val>
          <c:smooth val="0"/>
          <c:extLst>
            <c:ext xmlns:c16="http://schemas.microsoft.com/office/drawing/2014/chart" uri="{C3380CC4-5D6E-409C-BE32-E72D297353CC}">
              <c16:uniqueId val="{00000000-DB31-4D19-A4DB-D8B41A68BEE6}"/>
            </c:ext>
          </c:extLst>
        </c:ser>
        <c:ser>
          <c:idx val="1"/>
          <c:order val="1"/>
          <c:tx>
            <c:strRef>
              <c:f>Sheet2!$C$1</c:f>
              <c:strCache>
                <c:ptCount val="1"/>
                <c:pt idx="0">
                  <c:v>LNBEF</c:v>
                </c:pt>
              </c:strCache>
            </c:strRef>
          </c:tx>
          <c:spPr>
            <a:ln w="28575" cap="rnd">
              <a:solidFill>
                <a:schemeClr val="accent2"/>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Sheet2!$C$2:$C$38</c:f>
              <c:numCache>
                <c:formatCode>General</c:formatCode>
                <c:ptCount val="37"/>
                <c:pt idx="0">
                  <c:v>2.1400661634962699</c:v>
                </c:pt>
                <c:pt idx="1">
                  <c:v>1.9459101490553099</c:v>
                </c:pt>
                <c:pt idx="2">
                  <c:v>1.9459101490553099</c:v>
                </c:pt>
                <c:pt idx="3">
                  <c:v>2.1860512767380902</c:v>
                </c:pt>
                <c:pt idx="4">
                  <c:v>2.1860512767380902</c:v>
                </c:pt>
                <c:pt idx="5">
                  <c:v>10.867138855770101</c:v>
                </c:pt>
                <c:pt idx="6">
                  <c:v>10.867138855770101</c:v>
                </c:pt>
                <c:pt idx="7">
                  <c:v>10.867138855770101</c:v>
                </c:pt>
                <c:pt idx="8">
                  <c:v>10.867138855770101</c:v>
                </c:pt>
                <c:pt idx="9">
                  <c:v>10.867138855770101</c:v>
                </c:pt>
                <c:pt idx="10">
                  <c:v>11.004480338903299</c:v>
                </c:pt>
                <c:pt idx="11">
                  <c:v>11.004480338903299</c:v>
                </c:pt>
                <c:pt idx="12">
                  <c:v>11.004480338903299</c:v>
                </c:pt>
                <c:pt idx="13">
                  <c:v>11.004480338903299</c:v>
                </c:pt>
                <c:pt idx="14">
                  <c:v>11.004480338903299</c:v>
                </c:pt>
                <c:pt idx="15">
                  <c:v>11.1516112045973</c:v>
                </c:pt>
                <c:pt idx="16">
                  <c:v>11.1516112045973</c:v>
                </c:pt>
                <c:pt idx="17">
                  <c:v>11.1516112045973</c:v>
                </c:pt>
                <c:pt idx="18">
                  <c:v>11.1516112045973</c:v>
                </c:pt>
                <c:pt idx="19">
                  <c:v>11.1516112045973</c:v>
                </c:pt>
                <c:pt idx="20">
                  <c:v>19.697392385665999</c:v>
                </c:pt>
                <c:pt idx="21">
                  <c:v>19.571072875624001</c:v>
                </c:pt>
                <c:pt idx="22">
                  <c:v>23.484528383974901</c:v>
                </c:pt>
                <c:pt idx="23">
                  <c:v>23.459204877227801</c:v>
                </c:pt>
                <c:pt idx="24">
                  <c:v>20.915363681395998</c:v>
                </c:pt>
                <c:pt idx="25">
                  <c:v>17.3708586194536</c:v>
                </c:pt>
                <c:pt idx="26">
                  <c:v>20.366446195396598</c:v>
                </c:pt>
                <c:pt idx="27">
                  <c:v>21.1256096615801</c:v>
                </c:pt>
                <c:pt idx="28">
                  <c:v>20.9598053168124</c:v>
                </c:pt>
                <c:pt idx="29">
                  <c:v>21.464324091579702</c:v>
                </c:pt>
                <c:pt idx="30">
                  <c:v>21.316320839753399</c:v>
                </c:pt>
                <c:pt idx="31">
                  <c:v>21.661642534373499</c:v>
                </c:pt>
                <c:pt idx="32">
                  <c:v>21.840647381911801</c:v>
                </c:pt>
                <c:pt idx="33">
                  <c:v>22.0024556424545</c:v>
                </c:pt>
                <c:pt idx="34">
                  <c:v>21.6954018173473</c:v>
                </c:pt>
                <c:pt idx="35">
                  <c:v>21.755466660144499</c:v>
                </c:pt>
                <c:pt idx="36">
                  <c:v>21.6311078934622</c:v>
                </c:pt>
              </c:numCache>
            </c:numRef>
          </c:val>
          <c:smooth val="0"/>
          <c:extLst>
            <c:ext xmlns:c16="http://schemas.microsoft.com/office/drawing/2014/chart" uri="{C3380CC4-5D6E-409C-BE32-E72D297353CC}">
              <c16:uniqueId val="{00000001-DB31-4D19-A4DB-D8B41A68BEE6}"/>
            </c:ext>
          </c:extLst>
        </c:ser>
        <c:ser>
          <c:idx val="2"/>
          <c:order val="2"/>
          <c:tx>
            <c:strRef>
              <c:f>Sheet2!$D$1</c:f>
              <c:strCache>
                <c:ptCount val="1"/>
                <c:pt idx="0">
                  <c:v>LNSEF</c:v>
                </c:pt>
              </c:strCache>
            </c:strRef>
          </c:tx>
          <c:spPr>
            <a:ln w="28575" cap="rnd">
              <a:solidFill>
                <a:schemeClr val="accent3"/>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Sheet2!$D$2:$D$38</c:f>
              <c:numCache>
                <c:formatCode>General</c:formatCode>
                <c:ptCount val="37"/>
                <c:pt idx="0">
                  <c:v>2.1400661634962699</c:v>
                </c:pt>
                <c:pt idx="1">
                  <c:v>1.9459101490553099</c:v>
                </c:pt>
                <c:pt idx="2">
                  <c:v>1.9459101490553099</c:v>
                </c:pt>
                <c:pt idx="3">
                  <c:v>2.1860512767380902</c:v>
                </c:pt>
                <c:pt idx="4">
                  <c:v>2.1860512767380902</c:v>
                </c:pt>
                <c:pt idx="5">
                  <c:v>-1.10237275336094</c:v>
                </c:pt>
                <c:pt idx="6">
                  <c:v>-0.84651115192347304</c:v>
                </c:pt>
                <c:pt idx="7">
                  <c:v>-0.86201895257993</c:v>
                </c:pt>
                <c:pt idx="8">
                  <c:v>-0.80014454623724496</c:v>
                </c:pt>
                <c:pt idx="9">
                  <c:v>-0.88660015918850299</c:v>
                </c:pt>
                <c:pt idx="10">
                  <c:v>-0.96247554417215397</c:v>
                </c:pt>
                <c:pt idx="11">
                  <c:v>-1.06968423384959</c:v>
                </c:pt>
                <c:pt idx="12">
                  <c:v>-1.10179920148445</c:v>
                </c:pt>
                <c:pt idx="13">
                  <c:v>-1.0492495313185799</c:v>
                </c:pt>
                <c:pt idx="14">
                  <c:v>-1.07881076137253</c:v>
                </c:pt>
                <c:pt idx="15">
                  <c:v>-1.10826832045149</c:v>
                </c:pt>
                <c:pt idx="16">
                  <c:v>-1.1208406462304901</c:v>
                </c:pt>
                <c:pt idx="17">
                  <c:v>-0.79756841081778296</c:v>
                </c:pt>
                <c:pt idx="18">
                  <c:v>-0.88831164517303596</c:v>
                </c:pt>
                <c:pt idx="19">
                  <c:v>-0.79517070129481404</c:v>
                </c:pt>
                <c:pt idx="20">
                  <c:v>20.151016414920001</c:v>
                </c:pt>
                <c:pt idx="21">
                  <c:v>20.366600892957599</c:v>
                </c:pt>
                <c:pt idx="22">
                  <c:v>24.464030336853401</c:v>
                </c:pt>
                <c:pt idx="23">
                  <c:v>23.620844141913999</c:v>
                </c:pt>
                <c:pt idx="24">
                  <c:v>23.350399305977</c:v>
                </c:pt>
                <c:pt idx="25">
                  <c:v>19.5706603302697</c:v>
                </c:pt>
                <c:pt idx="26">
                  <c:v>20.347417930830801</c:v>
                </c:pt>
                <c:pt idx="27">
                  <c:v>20.2782674941351</c:v>
                </c:pt>
                <c:pt idx="28">
                  <c:v>22.588309425030399</c:v>
                </c:pt>
                <c:pt idx="29">
                  <c:v>21.9897968229565</c:v>
                </c:pt>
                <c:pt idx="30">
                  <c:v>21.708904273400101</c:v>
                </c:pt>
                <c:pt idx="31">
                  <c:v>23.1993142126517</c:v>
                </c:pt>
                <c:pt idx="32">
                  <c:v>24.158806819209499</c:v>
                </c:pt>
                <c:pt idx="33">
                  <c:v>24.432326014418202</c:v>
                </c:pt>
                <c:pt idx="34">
                  <c:v>23.8372504061259</c:v>
                </c:pt>
                <c:pt idx="35">
                  <c:v>24.074724888461802</c:v>
                </c:pt>
                <c:pt idx="36">
                  <c:v>24.017714448697401</c:v>
                </c:pt>
              </c:numCache>
            </c:numRef>
          </c:val>
          <c:smooth val="0"/>
          <c:extLst>
            <c:ext xmlns:c16="http://schemas.microsoft.com/office/drawing/2014/chart" uri="{C3380CC4-5D6E-409C-BE32-E72D297353CC}">
              <c16:uniqueId val="{00000002-DB31-4D19-A4DB-D8B41A68BEE6}"/>
            </c:ext>
          </c:extLst>
        </c:ser>
        <c:ser>
          <c:idx val="3"/>
          <c:order val="3"/>
          <c:tx>
            <c:strRef>
              <c:f>Sheet2!$E$1</c:f>
              <c:strCache>
                <c:ptCount val="1"/>
                <c:pt idx="0">
                  <c:v>LNGEF</c:v>
                </c:pt>
              </c:strCache>
            </c:strRef>
          </c:tx>
          <c:spPr>
            <a:ln w="28575" cap="rnd">
              <a:solidFill>
                <a:schemeClr val="accent4"/>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Sheet2!$E$2:$E$38</c:f>
              <c:numCache>
                <c:formatCode>General</c:formatCode>
                <c:ptCount val="37"/>
                <c:pt idx="0">
                  <c:v>-0.11653381625595099</c:v>
                </c:pt>
                <c:pt idx="1">
                  <c:v>9.5310179804324893E-2</c:v>
                </c:pt>
                <c:pt idx="2">
                  <c:v>0.77010822169607296</c:v>
                </c:pt>
                <c:pt idx="3">
                  <c:v>0.75612197972133299</c:v>
                </c:pt>
                <c:pt idx="4">
                  <c:v>1.36863942588117</c:v>
                </c:pt>
                <c:pt idx="5">
                  <c:v>1.2499017362143301</c:v>
                </c:pt>
                <c:pt idx="6">
                  <c:v>1.1474024528375399</c:v>
                </c:pt>
                <c:pt idx="7">
                  <c:v>0.85015092936961001</c:v>
                </c:pt>
                <c:pt idx="8">
                  <c:v>2.9090844668283098</c:v>
                </c:pt>
                <c:pt idx="9">
                  <c:v>3.2995337278856498</c:v>
                </c:pt>
                <c:pt idx="10">
                  <c:v>3.7646824175294298</c:v>
                </c:pt>
                <c:pt idx="11">
                  <c:v>4.7692429077252401</c:v>
                </c:pt>
                <c:pt idx="12">
                  <c:v>5.1335016838837397</c:v>
                </c:pt>
                <c:pt idx="13">
                  <c:v>5.3026081479651896</c:v>
                </c:pt>
                <c:pt idx="14">
                  <c:v>5.7794463785771901</c:v>
                </c:pt>
                <c:pt idx="15">
                  <c:v>4.7141142729772696</c:v>
                </c:pt>
                <c:pt idx="16">
                  <c:v>5.5597581277945904</c:v>
                </c:pt>
                <c:pt idx="17">
                  <c:v>5.3721717351185099</c:v>
                </c:pt>
                <c:pt idx="18">
                  <c:v>4.5847633762104198</c:v>
                </c:pt>
                <c:pt idx="19">
                  <c:v>5.1222959223025599</c:v>
                </c:pt>
                <c:pt idx="20">
                  <c:v>5.5798430271259001</c:v>
                </c:pt>
                <c:pt idx="21">
                  <c:v>5.5691457094276497</c:v>
                </c:pt>
                <c:pt idx="22">
                  <c:v>5.8815938759722703</c:v>
                </c:pt>
                <c:pt idx="23">
                  <c:v>6.2231514994194796</c:v>
                </c:pt>
                <c:pt idx="24">
                  <c:v>6.2265564319380298</c:v>
                </c:pt>
                <c:pt idx="25">
                  <c:v>6.0215086684563497</c:v>
                </c:pt>
                <c:pt idx="26">
                  <c:v>5.9568731023383599</c:v>
                </c:pt>
                <c:pt idx="27">
                  <c:v>5.7711295481158098</c:v>
                </c:pt>
                <c:pt idx="28">
                  <c:v>6.2260820204958103</c:v>
                </c:pt>
                <c:pt idx="29">
                  <c:v>5.9749539949809902</c:v>
                </c:pt>
                <c:pt idx="30">
                  <c:v>5.8543553331355698</c:v>
                </c:pt>
                <c:pt idx="31">
                  <c:v>5.6310325542915303</c:v>
                </c:pt>
                <c:pt idx="32">
                  <c:v>6.2956164935156496</c:v>
                </c:pt>
                <c:pt idx="33">
                  <c:v>6.6247157465783504</c:v>
                </c:pt>
                <c:pt idx="34">
                  <c:v>6.9019283352716201</c:v>
                </c:pt>
                <c:pt idx="35">
                  <c:v>6.5530783377060704</c:v>
                </c:pt>
                <c:pt idx="36">
                  <c:v>7.00529932548368</c:v>
                </c:pt>
              </c:numCache>
            </c:numRef>
          </c:val>
          <c:smooth val="0"/>
          <c:extLst>
            <c:ext xmlns:c16="http://schemas.microsoft.com/office/drawing/2014/chart" uri="{C3380CC4-5D6E-409C-BE32-E72D297353CC}">
              <c16:uniqueId val="{00000003-DB31-4D19-A4DB-D8B41A68BEE6}"/>
            </c:ext>
          </c:extLst>
        </c:ser>
        <c:ser>
          <c:idx val="4"/>
          <c:order val="4"/>
          <c:tx>
            <c:strRef>
              <c:f>Sheet2!$F$1</c:f>
              <c:strCache>
                <c:ptCount val="1"/>
                <c:pt idx="0">
                  <c:v>LNCEF</c:v>
                </c:pt>
              </c:strCache>
            </c:strRef>
          </c:tx>
          <c:spPr>
            <a:ln w="28575" cap="rnd">
              <a:solidFill>
                <a:schemeClr val="accent5"/>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Sheet2!$F$2:$F$38</c:f>
              <c:numCache>
                <c:formatCode>General</c:formatCode>
                <c:ptCount val="37"/>
                <c:pt idx="0">
                  <c:v>-0.26370516307033198</c:v>
                </c:pt>
                <c:pt idx="1">
                  <c:v>0.24881129806278701</c:v>
                </c:pt>
                <c:pt idx="2">
                  <c:v>-0.466170983225559</c:v>
                </c:pt>
                <c:pt idx="3">
                  <c:v>-0.49922648792263802</c:v>
                </c:pt>
                <c:pt idx="4">
                  <c:v>-0.428477882417237</c:v>
                </c:pt>
                <c:pt idx="5">
                  <c:v>0.113328685307003</c:v>
                </c:pt>
                <c:pt idx="6">
                  <c:v>0.322083499169113</c:v>
                </c:pt>
                <c:pt idx="7">
                  <c:v>0.67294447324242501</c:v>
                </c:pt>
                <c:pt idx="8">
                  <c:v>1.67147330335355</c:v>
                </c:pt>
                <c:pt idx="9">
                  <c:v>3.5260663637080198</c:v>
                </c:pt>
                <c:pt idx="10">
                  <c:v>3.3908102887756599</c:v>
                </c:pt>
                <c:pt idx="11">
                  <c:v>2.7656899805486201</c:v>
                </c:pt>
                <c:pt idx="12">
                  <c:v>5.47147203551717</c:v>
                </c:pt>
                <c:pt idx="13">
                  <c:v>4.5680911777466697</c:v>
                </c:pt>
                <c:pt idx="14">
                  <c:v>1.90210752639692</c:v>
                </c:pt>
                <c:pt idx="15">
                  <c:v>3.9080149840306002</c:v>
                </c:pt>
                <c:pt idx="16">
                  <c:v>4.2612704335380798</c:v>
                </c:pt>
                <c:pt idx="17">
                  <c:v>3.7887247890836502</c:v>
                </c:pt>
                <c:pt idx="18">
                  <c:v>1.6486586255873801</c:v>
                </c:pt>
                <c:pt idx="19">
                  <c:v>3.9982007016691901</c:v>
                </c:pt>
                <c:pt idx="20">
                  <c:v>4.2527717988166103</c:v>
                </c:pt>
                <c:pt idx="21">
                  <c:v>4.2822062993916701</c:v>
                </c:pt>
                <c:pt idx="22">
                  <c:v>4.1125118661775497</c:v>
                </c:pt>
                <c:pt idx="23">
                  <c:v>3.81903013857898</c:v>
                </c:pt>
                <c:pt idx="24">
                  <c:v>4.3158868321693298</c:v>
                </c:pt>
                <c:pt idx="25">
                  <c:v>3.9235562412418101</c:v>
                </c:pt>
                <c:pt idx="26">
                  <c:v>4.2268337452681699</c:v>
                </c:pt>
                <c:pt idx="27">
                  <c:v>3.3837120673211301</c:v>
                </c:pt>
                <c:pt idx="28">
                  <c:v>5.3718930542063497</c:v>
                </c:pt>
                <c:pt idx="29">
                  <c:v>5.0164748771602197</c:v>
                </c:pt>
                <c:pt idx="30">
                  <c:v>5.0903087028180902</c:v>
                </c:pt>
                <c:pt idx="31">
                  <c:v>5.6833416437514099</c:v>
                </c:pt>
                <c:pt idx="32">
                  <c:v>5.70744243548768</c:v>
                </c:pt>
                <c:pt idx="33">
                  <c:v>5.7337295510241502</c:v>
                </c:pt>
                <c:pt idx="34">
                  <c:v>5.6978650008921603</c:v>
                </c:pt>
                <c:pt idx="35">
                  <c:v>5.7159415854800102</c:v>
                </c:pt>
                <c:pt idx="36">
                  <c:v>5.7078076959058199</c:v>
                </c:pt>
              </c:numCache>
            </c:numRef>
          </c:val>
          <c:smooth val="0"/>
          <c:extLst>
            <c:ext xmlns:c16="http://schemas.microsoft.com/office/drawing/2014/chart" uri="{C3380CC4-5D6E-409C-BE32-E72D297353CC}">
              <c16:uniqueId val="{00000004-DB31-4D19-A4DB-D8B41A68BEE6}"/>
            </c:ext>
          </c:extLst>
        </c:ser>
        <c:ser>
          <c:idx val="5"/>
          <c:order val="5"/>
          <c:tx>
            <c:strRef>
              <c:f>Sheet2!$G$1</c:f>
              <c:strCache>
                <c:ptCount val="1"/>
                <c:pt idx="0">
                  <c:v>LNFEF</c:v>
                </c:pt>
              </c:strCache>
            </c:strRef>
          </c:tx>
          <c:spPr>
            <a:ln w="28575" cap="rnd">
              <a:solidFill>
                <a:schemeClr val="accent6"/>
              </a:solidFill>
              <a:round/>
            </a:ln>
            <a:effectLst/>
          </c:spPr>
          <c:marker>
            <c:symbol val="none"/>
          </c:marker>
          <c:cat>
            <c:numRef>
              <c:f>Sheet2!$A$2:$A$38</c:f>
              <c:numCache>
                <c:formatCode>General</c:formatCode>
                <c:ptCount val="37"/>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pt idx="32">
                  <c:v>2017</c:v>
                </c:pt>
                <c:pt idx="33">
                  <c:v>2018</c:v>
                </c:pt>
                <c:pt idx="34">
                  <c:v>2019</c:v>
                </c:pt>
                <c:pt idx="35">
                  <c:v>2020</c:v>
                </c:pt>
                <c:pt idx="36">
                  <c:v>2021</c:v>
                </c:pt>
              </c:numCache>
            </c:numRef>
          </c:cat>
          <c:val>
            <c:numRef>
              <c:f>Sheet2!$G$2:$G$38</c:f>
              <c:numCache>
                <c:formatCode>General</c:formatCode>
                <c:ptCount val="37"/>
                <c:pt idx="0">
                  <c:v>16.300417207752201</c:v>
                </c:pt>
                <c:pt idx="1">
                  <c:v>17.249497762449401</c:v>
                </c:pt>
                <c:pt idx="2">
                  <c:v>17.281246460763999</c:v>
                </c:pt>
                <c:pt idx="3">
                  <c:v>17.785802471516298</c:v>
                </c:pt>
                <c:pt idx="4">
                  <c:v>18.878105590991201</c:v>
                </c:pt>
                <c:pt idx="5">
                  <c:v>18.8393910788105</c:v>
                </c:pt>
                <c:pt idx="6">
                  <c:v>19.035866383042599</c:v>
                </c:pt>
                <c:pt idx="7">
                  <c:v>19.035866383042599</c:v>
                </c:pt>
                <c:pt idx="8">
                  <c:v>19.5649035438725</c:v>
                </c:pt>
                <c:pt idx="9">
                  <c:v>19.577561940744399</c:v>
                </c:pt>
                <c:pt idx="10">
                  <c:v>18.8393910788105</c:v>
                </c:pt>
                <c:pt idx="11">
                  <c:v>20.166396274678998</c:v>
                </c:pt>
                <c:pt idx="12">
                  <c:v>20.166396274678998</c:v>
                </c:pt>
                <c:pt idx="13">
                  <c:v>20.166396274678998</c:v>
                </c:pt>
                <c:pt idx="14">
                  <c:v>18.0925654902715</c:v>
                </c:pt>
                <c:pt idx="15">
                  <c:v>20.003924567143901</c:v>
                </c:pt>
                <c:pt idx="16">
                  <c:v>20.266037850529202</c:v>
                </c:pt>
                <c:pt idx="17">
                  <c:v>19.792074642508201</c:v>
                </c:pt>
                <c:pt idx="18">
                  <c:v>17.5767106736578</c:v>
                </c:pt>
                <c:pt idx="19">
                  <c:v>19.858219398259202</c:v>
                </c:pt>
                <c:pt idx="20">
                  <c:v>20.090455236722899</c:v>
                </c:pt>
                <c:pt idx="21">
                  <c:v>20.147149409149002</c:v>
                </c:pt>
                <c:pt idx="22">
                  <c:v>19.999779029380498</c:v>
                </c:pt>
                <c:pt idx="23">
                  <c:v>21.661642534373499</c:v>
                </c:pt>
                <c:pt idx="24">
                  <c:v>21.221253200995999</c:v>
                </c:pt>
                <c:pt idx="25">
                  <c:v>21.0678714690787</c:v>
                </c:pt>
                <c:pt idx="26">
                  <c:v>21.840647381911801</c:v>
                </c:pt>
                <c:pt idx="27">
                  <c:v>21.326661554270402</c:v>
                </c:pt>
                <c:pt idx="28">
                  <c:v>21.291648913925499</c:v>
                </c:pt>
                <c:pt idx="29">
                  <c:v>22.0024556424545</c:v>
                </c:pt>
                <c:pt idx="30">
                  <c:v>21.377678907462499</c:v>
                </c:pt>
                <c:pt idx="31">
                  <c:v>20.394167361404101</c:v>
                </c:pt>
                <c:pt idx="32">
                  <c:v>21.6954018173473</c:v>
                </c:pt>
                <c:pt idx="33">
                  <c:v>19.745318028582801</c:v>
                </c:pt>
                <c:pt idx="34">
                  <c:v>17.718190532895001</c:v>
                </c:pt>
                <c:pt idx="35">
                  <c:v>16.3387179465768</c:v>
                </c:pt>
                <c:pt idx="36">
                  <c:v>20.449156011451901</c:v>
                </c:pt>
              </c:numCache>
            </c:numRef>
          </c:val>
          <c:smooth val="0"/>
          <c:extLst>
            <c:ext xmlns:c16="http://schemas.microsoft.com/office/drawing/2014/chart" uri="{C3380CC4-5D6E-409C-BE32-E72D297353CC}">
              <c16:uniqueId val="{00000005-DB31-4D19-A4DB-D8B41A68BEE6}"/>
            </c:ext>
          </c:extLst>
        </c:ser>
        <c:dLbls>
          <c:showLegendKey val="0"/>
          <c:showVal val="0"/>
          <c:showCatName val="0"/>
          <c:showSerName val="0"/>
          <c:showPercent val="0"/>
          <c:showBubbleSize val="0"/>
        </c:dLbls>
        <c:smooth val="0"/>
        <c:axId val="2087122735"/>
        <c:axId val="2087127311"/>
      </c:lineChart>
      <c:catAx>
        <c:axId val="2087122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127311"/>
        <c:crosses val="autoZero"/>
        <c:auto val="1"/>
        <c:lblAlgn val="ctr"/>
        <c:lblOffset val="100"/>
        <c:noMultiLvlLbl val="0"/>
      </c:catAx>
      <c:valAx>
        <c:axId val="20871273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ENERGY FINANCE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122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7304</Words>
  <Characters>41635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bernarddecobros@gmail.com</dc:creator>
  <cp:keywords/>
  <dc:description/>
  <cp:lastModifiedBy>SDI PC 1170</cp:lastModifiedBy>
  <cp:revision>40</cp:revision>
  <dcterms:created xsi:type="dcterms:W3CDTF">2026-03-05T11:08:00Z</dcterms:created>
  <dcterms:modified xsi:type="dcterms:W3CDTF">2026-03-06T10:43:00Z</dcterms:modified>
</cp:coreProperties>
</file>