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8E46" w14:textId="77777777" w:rsidR="00945209" w:rsidRPr="00BA1006" w:rsidRDefault="00945209" w:rsidP="000E0D15">
      <w:pPr>
        <w:spacing w:line="360" w:lineRule="auto"/>
        <w:rPr>
          <w:rFonts w:ascii="Times New Roman" w:hAnsi="Times New Roman" w:cs="Times New Roman"/>
          <w:sz w:val="24"/>
          <w:szCs w:val="24"/>
        </w:rPr>
      </w:pPr>
    </w:p>
    <w:p w14:paraId="7D4B02EB" w14:textId="77777777" w:rsidR="00945209" w:rsidRPr="00404A31" w:rsidRDefault="00982D47" w:rsidP="000E0D15">
      <w:pPr>
        <w:spacing w:line="360" w:lineRule="auto"/>
        <w:rPr>
          <w:rFonts w:ascii="Times New Roman" w:hAnsi="Times New Roman" w:cs="Times New Roman"/>
          <w:b/>
          <w:bCs/>
          <w:sz w:val="24"/>
          <w:szCs w:val="24"/>
        </w:rPr>
      </w:pPr>
      <w:r w:rsidRPr="00404A31">
        <w:rPr>
          <w:rFonts w:ascii="Times New Roman" w:hAnsi="Times New Roman" w:cs="Times New Roman"/>
          <w:b/>
          <w:bCs/>
          <w:sz w:val="24"/>
          <w:szCs w:val="24"/>
        </w:rPr>
        <w:t xml:space="preserve">A </w:t>
      </w:r>
      <w:r w:rsidR="00AF28A5" w:rsidRPr="00404A31">
        <w:rPr>
          <w:rFonts w:ascii="Times New Roman" w:hAnsi="Times New Roman" w:cs="Times New Roman"/>
          <w:b/>
          <w:bCs/>
          <w:sz w:val="24"/>
          <w:szCs w:val="24"/>
        </w:rPr>
        <w:t xml:space="preserve">Comparative Evaluation of Kenyan Coal Quality with Major Global </w:t>
      </w:r>
      <w:r w:rsidRPr="00404A31">
        <w:rPr>
          <w:rFonts w:ascii="Times New Roman" w:hAnsi="Times New Roman" w:cs="Times New Roman"/>
          <w:b/>
          <w:bCs/>
          <w:sz w:val="24"/>
          <w:szCs w:val="24"/>
        </w:rPr>
        <w:t xml:space="preserve">Coal </w:t>
      </w:r>
      <w:r w:rsidR="00AF28A5" w:rsidRPr="00404A31">
        <w:rPr>
          <w:rFonts w:ascii="Times New Roman" w:hAnsi="Times New Roman" w:cs="Times New Roman"/>
          <w:b/>
          <w:bCs/>
          <w:sz w:val="24"/>
          <w:szCs w:val="24"/>
        </w:rPr>
        <w:t>Producers</w:t>
      </w:r>
    </w:p>
    <w:p w14:paraId="004E9FB0" w14:textId="57EB8BB4" w:rsidR="00210558" w:rsidRDefault="00210558" w:rsidP="00727037">
      <w:pPr>
        <w:spacing w:line="360" w:lineRule="auto"/>
        <w:ind w:left="360"/>
        <w:jc w:val="right"/>
        <w:rPr>
          <w:rFonts w:ascii="Times New Roman" w:hAnsi="Times New Roman" w:cs="Times New Roman"/>
          <w:sz w:val="24"/>
          <w:szCs w:val="24"/>
        </w:rPr>
      </w:pPr>
    </w:p>
    <w:p w14:paraId="570A306B" w14:textId="77777777" w:rsidR="00945209" w:rsidRPr="00BA1006" w:rsidRDefault="00402790" w:rsidP="000E0D15">
      <w:pPr>
        <w:pStyle w:val="Heading1"/>
        <w:spacing w:line="360" w:lineRule="auto"/>
        <w:rPr>
          <w:rFonts w:ascii="Times New Roman" w:hAnsi="Times New Roman" w:cs="Times New Roman"/>
          <w:color w:val="auto"/>
          <w:sz w:val="24"/>
          <w:szCs w:val="24"/>
        </w:rPr>
      </w:pPr>
      <w:r w:rsidRPr="00BA1006">
        <w:rPr>
          <w:rFonts w:ascii="Times New Roman" w:hAnsi="Times New Roman" w:cs="Times New Roman"/>
          <w:color w:val="auto"/>
          <w:sz w:val="24"/>
          <w:szCs w:val="24"/>
        </w:rPr>
        <w:t>ABSTRACT</w:t>
      </w:r>
      <w:r w:rsidRPr="00BA1006">
        <w:rPr>
          <w:rFonts w:ascii="Times New Roman" w:hAnsi="Times New Roman" w:cs="Times New Roman"/>
          <w:sz w:val="24"/>
          <w:szCs w:val="24"/>
        </w:rPr>
        <w:t xml:space="preserve"> </w:t>
      </w:r>
    </w:p>
    <w:p w14:paraId="3CF05290" w14:textId="57374A43" w:rsidR="00945209" w:rsidRPr="00BA1006" w:rsidRDefault="00402790" w:rsidP="000E0D15">
      <w:pPr>
        <w:spacing w:line="360" w:lineRule="auto"/>
        <w:jc w:val="both"/>
        <w:rPr>
          <w:rFonts w:ascii="Times New Roman" w:hAnsi="Times New Roman" w:cs="Times New Roman"/>
          <w:sz w:val="24"/>
          <w:szCs w:val="24"/>
        </w:rPr>
      </w:pPr>
      <w:r w:rsidRPr="00BA1006">
        <w:rPr>
          <w:rFonts w:ascii="Times New Roman" w:hAnsi="Times New Roman" w:cs="Times New Roman"/>
          <w:sz w:val="24"/>
          <w:szCs w:val="24"/>
        </w:rPr>
        <w:t xml:space="preserve">Explorations on Kenyan Coal over the years have shown promising quantity of reserves (over 400 million </w:t>
      </w:r>
      <w:r w:rsidR="00BA1006" w:rsidRPr="00BA1006">
        <w:rPr>
          <w:rFonts w:ascii="Times New Roman" w:hAnsi="Times New Roman" w:cs="Times New Roman"/>
          <w:sz w:val="24"/>
          <w:szCs w:val="24"/>
        </w:rPr>
        <w:t>tons</w:t>
      </w:r>
      <w:r w:rsidRPr="00BA1006">
        <w:rPr>
          <w:rFonts w:ascii="Times New Roman" w:hAnsi="Times New Roman" w:cs="Times New Roman"/>
          <w:sz w:val="24"/>
          <w:szCs w:val="24"/>
        </w:rPr>
        <w:t xml:space="preserve">).  Experiments have been carried out to determine and compare its properties with the major world coal producers. Average quantities of Sulphur (wt.), carbon, nitrogen and hydrogen sulfide contents established as 1.63%, 59.25%, 0.95%, and 13ppm respectively. These have direct negative environmental impact and therefore need to be established, and aid in employment of technologies such sequestration, desulphurization and carbon capture. Characterization established the average proximate quantities as; moisture content 4.25%, slightly higher than South African’s 2.70%, India’s 3.79%, but lower than Indonesian’s 5.15% and Samaranggau’s 5.65%. The volatile matter was 57.47%, this is higher than one from South Africa, India, Samaranggau and Indonesian: 26.20, 33.30, 47.67 and 46.41% respectively. Ash content as: 15.12%, this is slightly lower than South Africa’s 34.80% and higher than Indonesian’s Samaranggau’s and Indian’s 6.10, 2.61 and 7.70% respectively. Fixed carbon content: 23.18%, lower than one from South Africa, Indonesia, Samaranggau and India: 36.30, 42.34, 45.34 and 53.30 respectively. Average gross calorific value was: 24,434 kJ/kg, (grade B), is slightly lower than Indonesian’s and Samaranggau’s: 26,986.71 and 26,401.04 kJ/kg respectively, and higher than South African’s 20,526.00 kJ/kg. Comparison analysis of the Kenyan coal and the rest of the world producers showed it being suitable for commercial and industrial exploitation </w:t>
      </w:r>
    </w:p>
    <w:p w14:paraId="6A9C220C" w14:textId="77777777" w:rsidR="00945209" w:rsidRPr="00BA1006" w:rsidRDefault="00402790" w:rsidP="000E0D15">
      <w:pPr>
        <w:spacing w:line="360" w:lineRule="auto"/>
        <w:jc w:val="both"/>
        <w:rPr>
          <w:rFonts w:ascii="Times New Roman" w:hAnsi="Times New Roman" w:cs="Times New Roman"/>
          <w:sz w:val="24"/>
          <w:szCs w:val="24"/>
        </w:rPr>
      </w:pPr>
      <w:r w:rsidRPr="00BA1006">
        <w:rPr>
          <w:rFonts w:ascii="Times New Roman" w:hAnsi="Times New Roman" w:cs="Times New Roman"/>
          <w:sz w:val="24"/>
          <w:szCs w:val="24"/>
          <w:u w:val="single"/>
        </w:rPr>
        <w:t>Key words</w:t>
      </w:r>
      <w:r w:rsidRPr="00BA1006">
        <w:rPr>
          <w:rFonts w:ascii="Times New Roman" w:hAnsi="Times New Roman" w:cs="Times New Roman"/>
          <w:sz w:val="24"/>
          <w:szCs w:val="24"/>
        </w:rPr>
        <w:t>: Coal, Proximate, Ultimate, Characterization and effluent</w:t>
      </w:r>
    </w:p>
    <w:p w14:paraId="02D307FF" w14:textId="13C4FD58" w:rsidR="00945209" w:rsidRPr="00BA1006" w:rsidRDefault="00402790" w:rsidP="000E0D15">
      <w:pPr>
        <w:spacing w:line="360" w:lineRule="auto"/>
        <w:rPr>
          <w:rFonts w:ascii="Times New Roman" w:hAnsi="Times New Roman" w:cs="Times New Roman"/>
          <w:b/>
          <w:sz w:val="24"/>
          <w:szCs w:val="24"/>
        </w:rPr>
      </w:pPr>
      <w:r w:rsidRPr="00BA1006">
        <w:rPr>
          <w:rFonts w:ascii="Times New Roman" w:hAnsi="Times New Roman" w:cs="Times New Roman"/>
          <w:b/>
          <w:sz w:val="24"/>
          <w:szCs w:val="24"/>
        </w:rPr>
        <w:t xml:space="preserve">Introduction </w:t>
      </w:r>
    </w:p>
    <w:p w14:paraId="74E668BF"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Coal has been a chief provider of energy [1], providing over 40% of the electricity in the world. The effluent in terms of gases and ash has had serious negative effects to the environment [2]. </w:t>
      </w:r>
      <w:r w:rsidR="00C75E06" w:rsidRPr="00BA1006">
        <w:rPr>
          <w:rFonts w:ascii="Times New Roman" w:hAnsi="Times New Roman" w:cs="Times New Roman"/>
          <w:sz w:val="24"/>
          <w:szCs w:val="24"/>
        </w:rPr>
        <w:t>Therefore,</w:t>
      </w:r>
      <w:r w:rsidRPr="00BA1006">
        <w:rPr>
          <w:rFonts w:ascii="Times New Roman" w:hAnsi="Times New Roman" w:cs="Times New Roman"/>
          <w:sz w:val="24"/>
          <w:szCs w:val="24"/>
        </w:rPr>
        <w:t xml:space="preserve"> before utilization of any given coal especially the recent discoveries for example the </w:t>
      </w:r>
      <w:r w:rsidRPr="00BA1006">
        <w:rPr>
          <w:rFonts w:ascii="Times New Roman" w:hAnsi="Times New Roman" w:cs="Times New Roman"/>
          <w:sz w:val="24"/>
          <w:szCs w:val="24"/>
        </w:rPr>
        <w:lastRenderedPageBreak/>
        <w:t xml:space="preserve">Kenyan one from Kitui and Kilifi counties, there is need to establish the level of emission and do a comparison to the rest of the world’s to ensure that it meets similar levels. </w:t>
      </w:r>
    </w:p>
    <w:p w14:paraId="464D608C"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Determination of the dangerous effluents also helps in establishing the right technologies to enable utilization of such coal instead of rendering it useless [2]. Before this coal is utilized, it can be prepared by use of available technologies [3]. </w:t>
      </w:r>
    </w:p>
    <w:p w14:paraId="217DC0B0"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Coal is a sedimentary rock that is black in color, and it is classified into four major classes that is: lignite: the youngest with the least energy content 25% - 35% carbon, subbituminous: 35% - 45% carbon, bituminous: 45% - 86% carbon, anthracite is the most mature and most preferred due to its high carbon content (86% - 97%) [4], [5].</w:t>
      </w:r>
    </w:p>
    <w:p w14:paraId="7055F401"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Kenya imports 100% of its coal consumption yet there are large reserves in Kenyan land. For </w:t>
      </w:r>
      <w:r w:rsidR="00C75E06" w:rsidRPr="00BA1006">
        <w:rPr>
          <w:rFonts w:ascii="Times New Roman" w:hAnsi="Times New Roman" w:cs="Times New Roman"/>
          <w:sz w:val="24"/>
          <w:szCs w:val="24"/>
        </w:rPr>
        <w:t>example,</w:t>
      </w:r>
      <w:r w:rsidRPr="00BA1006">
        <w:rPr>
          <w:rFonts w:ascii="Times New Roman" w:hAnsi="Times New Roman" w:cs="Times New Roman"/>
          <w:sz w:val="24"/>
          <w:szCs w:val="24"/>
        </w:rPr>
        <w:t xml:space="preserve"> in 2016, a total of 537,359 tons were imported [6] figure 1. </w:t>
      </w:r>
    </w:p>
    <w:p w14:paraId="2C7EC2ED"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noProof/>
          <w:sz w:val="24"/>
          <w:szCs w:val="24"/>
        </w:rPr>
        <w:drawing>
          <wp:inline distT="0" distB="0" distL="0" distR="0" wp14:anchorId="37B8D877" wp14:editId="495514B6">
            <wp:extent cx="5372100" cy="27813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608BB9E"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Figure 1: Quantity of coal imported between 1980 and 2016 </w:t>
      </w:r>
    </w:p>
    <w:p w14:paraId="681254BE"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To safe Kenya from such huge imports which ranks Kenya 81</w:t>
      </w:r>
      <w:r w:rsidRPr="00BA1006">
        <w:rPr>
          <w:rFonts w:ascii="Times New Roman" w:hAnsi="Times New Roman" w:cs="Times New Roman"/>
          <w:sz w:val="24"/>
          <w:szCs w:val="24"/>
          <w:vertAlign w:val="superscript"/>
        </w:rPr>
        <w:t>st</w:t>
      </w:r>
      <w:r w:rsidRPr="00BA1006">
        <w:rPr>
          <w:rFonts w:ascii="Times New Roman" w:hAnsi="Times New Roman" w:cs="Times New Roman"/>
          <w:sz w:val="24"/>
          <w:szCs w:val="24"/>
        </w:rPr>
        <w:t>, and the associated expenses there is need therefore to explore and investigate on the available resources.</w:t>
      </w:r>
    </w:p>
    <w:p w14:paraId="2249EDA5"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It has been established that some countries almost solely depend on coal for electricity generation. For </w:t>
      </w:r>
      <w:r w:rsidR="00C75E06" w:rsidRPr="00BA1006">
        <w:rPr>
          <w:rFonts w:ascii="Times New Roman" w:hAnsi="Times New Roman" w:cs="Times New Roman"/>
          <w:sz w:val="24"/>
          <w:szCs w:val="24"/>
        </w:rPr>
        <w:t>example,</w:t>
      </w:r>
      <w:r w:rsidRPr="00BA1006">
        <w:rPr>
          <w:rFonts w:ascii="Times New Roman" w:hAnsi="Times New Roman" w:cs="Times New Roman"/>
          <w:sz w:val="24"/>
          <w:szCs w:val="24"/>
        </w:rPr>
        <w:t xml:space="preserve"> South Africa, 93.7% of its electricity comes from coal, when this is compared with Kenya’s unit cost for electricity table 1, it is found that South Africa’s is cheaper </w:t>
      </w:r>
      <w:r w:rsidRPr="00BA1006">
        <w:rPr>
          <w:rFonts w:ascii="Times New Roman" w:hAnsi="Times New Roman" w:cs="Times New Roman"/>
          <w:sz w:val="24"/>
          <w:szCs w:val="24"/>
        </w:rPr>
        <w:lastRenderedPageBreak/>
        <w:t>than Kenya’s [7]; this translates to increased cost of manufacturing. This therefore calls for innovation and research to come up with cheaper energy resources.</w:t>
      </w:r>
    </w:p>
    <w:p w14:paraId="092E86A5"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Table: 1 Unit cost for electricity for South Africa and Kenya</w:t>
      </w:r>
    </w:p>
    <w:tbl>
      <w:tblPr>
        <w:tblStyle w:val="TableGrid"/>
        <w:tblW w:w="9621" w:type="dxa"/>
        <w:tblLook w:val="04A0" w:firstRow="1" w:lastRow="0" w:firstColumn="1" w:lastColumn="0" w:noHBand="0" w:noVBand="1"/>
      </w:tblPr>
      <w:tblGrid>
        <w:gridCol w:w="3207"/>
        <w:gridCol w:w="3207"/>
        <w:gridCol w:w="3207"/>
      </w:tblGrid>
      <w:tr w:rsidR="00945209" w:rsidRPr="00BA1006" w14:paraId="76279F28" w14:textId="77777777">
        <w:trPr>
          <w:trHeight w:val="431"/>
        </w:trPr>
        <w:tc>
          <w:tcPr>
            <w:tcW w:w="3207" w:type="dxa"/>
          </w:tcPr>
          <w:p w14:paraId="58F02827" w14:textId="77777777" w:rsidR="00945209" w:rsidRPr="00BA1006" w:rsidRDefault="00945209" w:rsidP="000E0D15">
            <w:pPr>
              <w:spacing w:after="0" w:line="360" w:lineRule="auto"/>
              <w:rPr>
                <w:rFonts w:ascii="Times New Roman" w:hAnsi="Times New Roman" w:cs="Times New Roman"/>
                <w:sz w:val="24"/>
                <w:szCs w:val="24"/>
              </w:rPr>
            </w:pPr>
          </w:p>
        </w:tc>
        <w:tc>
          <w:tcPr>
            <w:tcW w:w="3207" w:type="dxa"/>
          </w:tcPr>
          <w:p w14:paraId="10415390"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Business, USD/ kWh</w:t>
            </w:r>
          </w:p>
        </w:tc>
        <w:tc>
          <w:tcPr>
            <w:tcW w:w="3207" w:type="dxa"/>
          </w:tcPr>
          <w:p w14:paraId="352F644D"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House hold, USD/ kWh</w:t>
            </w:r>
          </w:p>
        </w:tc>
      </w:tr>
      <w:tr w:rsidR="00945209" w:rsidRPr="00BA1006" w14:paraId="5D47B100" w14:textId="77777777">
        <w:trPr>
          <w:trHeight w:val="431"/>
        </w:trPr>
        <w:tc>
          <w:tcPr>
            <w:tcW w:w="3207" w:type="dxa"/>
          </w:tcPr>
          <w:p w14:paraId="6911C2C8"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South Africa</w:t>
            </w:r>
          </w:p>
        </w:tc>
        <w:tc>
          <w:tcPr>
            <w:tcW w:w="3207" w:type="dxa"/>
          </w:tcPr>
          <w:p w14:paraId="696A593B"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0.079</w:t>
            </w:r>
          </w:p>
        </w:tc>
        <w:tc>
          <w:tcPr>
            <w:tcW w:w="3207" w:type="dxa"/>
          </w:tcPr>
          <w:p w14:paraId="2FEE1FD3"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0.167</w:t>
            </w:r>
          </w:p>
        </w:tc>
      </w:tr>
      <w:tr w:rsidR="00945209" w:rsidRPr="00BA1006" w14:paraId="031E4AE9" w14:textId="77777777">
        <w:trPr>
          <w:trHeight w:val="455"/>
        </w:trPr>
        <w:tc>
          <w:tcPr>
            <w:tcW w:w="3207" w:type="dxa"/>
          </w:tcPr>
          <w:p w14:paraId="225E348E"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 xml:space="preserve">Kenya </w:t>
            </w:r>
          </w:p>
        </w:tc>
        <w:tc>
          <w:tcPr>
            <w:tcW w:w="3207" w:type="dxa"/>
          </w:tcPr>
          <w:p w14:paraId="1312E01D"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0.169</w:t>
            </w:r>
          </w:p>
        </w:tc>
        <w:tc>
          <w:tcPr>
            <w:tcW w:w="3207" w:type="dxa"/>
          </w:tcPr>
          <w:p w14:paraId="562C78AC"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0.212</w:t>
            </w:r>
          </w:p>
        </w:tc>
      </w:tr>
    </w:tbl>
    <w:p w14:paraId="3C2C79C0" w14:textId="77777777" w:rsidR="00945209" w:rsidRPr="00BA1006" w:rsidRDefault="00945209" w:rsidP="000E0D15">
      <w:pPr>
        <w:spacing w:line="360" w:lineRule="auto"/>
        <w:rPr>
          <w:rFonts w:ascii="Times New Roman" w:hAnsi="Times New Roman" w:cs="Times New Roman"/>
          <w:sz w:val="24"/>
          <w:szCs w:val="24"/>
        </w:rPr>
      </w:pPr>
    </w:p>
    <w:p w14:paraId="3FCCCB45" w14:textId="77777777" w:rsidR="00945209" w:rsidRPr="00BA1006" w:rsidRDefault="00402790" w:rsidP="000E0D15">
      <w:pPr>
        <w:spacing w:line="360" w:lineRule="auto"/>
        <w:rPr>
          <w:rFonts w:ascii="Times New Roman" w:hAnsi="Times New Roman" w:cs="Times New Roman"/>
          <w:b/>
          <w:sz w:val="24"/>
          <w:szCs w:val="24"/>
        </w:rPr>
      </w:pPr>
      <w:r w:rsidRPr="00BA1006">
        <w:rPr>
          <w:rFonts w:ascii="Times New Roman" w:hAnsi="Times New Roman" w:cs="Times New Roman"/>
          <w:b/>
          <w:sz w:val="24"/>
          <w:szCs w:val="24"/>
        </w:rPr>
        <w:t xml:space="preserve">Methodology </w:t>
      </w:r>
    </w:p>
    <w:p w14:paraId="2E9EDB14"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The oven and furnace were used for proximate analysis (Moisture content, fixed carbon, Volatile matter and Ash content). In this case the ASTM procedures were used. They both have sensors and buttons for setting the temperature requirements. Oven gives accurate values but is limited to 330 </w:t>
      </w:r>
      <w:r w:rsidRPr="00BA1006">
        <w:rPr>
          <w:rFonts w:ascii="Times New Roman" w:hAnsi="Times New Roman" w:cs="Times New Roman"/>
          <w:sz w:val="24"/>
          <w:szCs w:val="24"/>
          <w:vertAlign w:val="superscript"/>
        </w:rPr>
        <w:t>0</w:t>
      </w:r>
      <w:r w:rsidRPr="00BA1006">
        <w:rPr>
          <w:rFonts w:ascii="Times New Roman" w:hAnsi="Times New Roman" w:cs="Times New Roman"/>
          <w:sz w:val="24"/>
          <w:szCs w:val="24"/>
        </w:rPr>
        <w:t xml:space="preserve">C. For the temperature up to 1000 </w:t>
      </w:r>
      <w:r w:rsidRPr="00BA1006">
        <w:rPr>
          <w:rFonts w:ascii="Times New Roman" w:hAnsi="Times New Roman" w:cs="Times New Roman"/>
          <w:sz w:val="24"/>
          <w:szCs w:val="24"/>
          <w:vertAlign w:val="superscript"/>
        </w:rPr>
        <w:t>0</w:t>
      </w:r>
      <w:r w:rsidRPr="00BA1006">
        <w:rPr>
          <w:rFonts w:ascii="Times New Roman" w:hAnsi="Times New Roman" w:cs="Times New Roman"/>
          <w:sz w:val="24"/>
          <w:szCs w:val="24"/>
        </w:rPr>
        <w:t xml:space="preserve">C, the furnace was used. Digital weighing balance used in determining weight loss analysis from where the proximate results can be obtained, this was used in conjunction with the furnace and oven. Samples were accurately measured before and after heating. Ultimate analysis was partially done by digital gas analyzer. This captured and displayed on the screen the amount of carbon monoxide, oxygen and hydrogen sulfide from flue gases. </w:t>
      </w:r>
    </w:p>
    <w:p w14:paraId="1F474CE8"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Sulphur content was determined by the bomb calorimeter using the standard procedures. Carbon, hydrogen and nitrogen were determined by Artificial Neural Network analysis [8]</w:t>
      </w:r>
    </w:p>
    <w:p w14:paraId="0D5E346E" w14:textId="77777777" w:rsidR="00945209" w:rsidRPr="00BA1006" w:rsidRDefault="00402790" w:rsidP="000E0D15">
      <w:pPr>
        <w:spacing w:line="360" w:lineRule="auto"/>
        <w:rPr>
          <w:rFonts w:ascii="Times New Roman" w:hAnsi="Times New Roman" w:cs="Times New Roman"/>
          <w:b/>
          <w:sz w:val="24"/>
          <w:szCs w:val="24"/>
        </w:rPr>
      </w:pPr>
      <w:r w:rsidRPr="00BA1006">
        <w:rPr>
          <w:rFonts w:ascii="Times New Roman" w:hAnsi="Times New Roman" w:cs="Times New Roman"/>
          <w:b/>
          <w:sz w:val="24"/>
          <w:szCs w:val="24"/>
        </w:rPr>
        <w:t xml:space="preserve">Results and Discussion </w:t>
      </w:r>
    </w:p>
    <w:p w14:paraId="720E12C2"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From proximate analysis, the results obtained: Moisture content was 4.25%. This was compared with results from other major coal producers in the world, see figure 2 (a).</w:t>
      </w:r>
    </w:p>
    <w:p w14:paraId="20F2A287"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noProof/>
          <w:sz w:val="24"/>
          <w:szCs w:val="24"/>
        </w:rPr>
        <w:lastRenderedPageBreak/>
        <w:drawing>
          <wp:inline distT="0" distB="0" distL="0" distR="0" wp14:anchorId="60086EE5" wp14:editId="3E932CCB">
            <wp:extent cx="2286000" cy="1732722"/>
            <wp:effectExtent l="0" t="0" r="1270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A1006">
        <w:rPr>
          <w:rFonts w:ascii="Times New Roman" w:hAnsi="Times New Roman" w:cs="Times New Roman"/>
          <w:sz w:val="24"/>
          <w:szCs w:val="24"/>
        </w:rPr>
        <w:t xml:space="preserve">   </w:t>
      </w:r>
      <w:r w:rsidRPr="00BA1006">
        <w:rPr>
          <w:rFonts w:ascii="Times New Roman" w:hAnsi="Times New Roman" w:cs="Times New Roman"/>
          <w:noProof/>
          <w:sz w:val="24"/>
          <w:szCs w:val="24"/>
        </w:rPr>
        <w:drawing>
          <wp:inline distT="0" distB="0" distL="0" distR="0" wp14:anchorId="2F2A4D46" wp14:editId="04E354FE">
            <wp:extent cx="2272748" cy="1732722"/>
            <wp:effectExtent l="0" t="0" r="1333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51C6E0" w14:textId="77777777" w:rsidR="00945209" w:rsidRPr="00BA1006" w:rsidRDefault="00402790" w:rsidP="000E0D15">
      <w:pPr>
        <w:pStyle w:val="ListParagraph"/>
        <w:numPr>
          <w:ilvl w:val="0"/>
          <w:numId w:val="1"/>
        </w:numPr>
        <w:spacing w:line="360" w:lineRule="auto"/>
        <w:rPr>
          <w:rFonts w:ascii="Times New Roman" w:hAnsi="Times New Roman" w:cs="Times New Roman"/>
          <w:sz w:val="24"/>
          <w:szCs w:val="24"/>
        </w:rPr>
      </w:pPr>
      <w:r w:rsidRPr="00BA1006">
        <w:rPr>
          <w:rFonts w:ascii="Times New Roman" w:hAnsi="Times New Roman" w:cs="Times New Roman"/>
          <w:sz w:val="24"/>
          <w:szCs w:val="24"/>
        </w:rPr>
        <w:t>(b)</w:t>
      </w:r>
    </w:p>
    <w:p w14:paraId="37472AD6"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noProof/>
          <w:sz w:val="24"/>
          <w:szCs w:val="24"/>
        </w:rPr>
        <w:drawing>
          <wp:inline distT="0" distB="0" distL="0" distR="0" wp14:anchorId="20405098" wp14:editId="5E609329">
            <wp:extent cx="2286000" cy="2019300"/>
            <wp:effectExtent l="0" t="0" r="1270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A1006">
        <w:rPr>
          <w:rFonts w:ascii="Times New Roman" w:hAnsi="Times New Roman" w:cs="Times New Roman"/>
          <w:sz w:val="24"/>
          <w:szCs w:val="24"/>
        </w:rPr>
        <w:t xml:space="preserve">   </w:t>
      </w:r>
      <w:r w:rsidRPr="00BA1006">
        <w:rPr>
          <w:rFonts w:ascii="Times New Roman" w:hAnsi="Times New Roman" w:cs="Times New Roman"/>
          <w:noProof/>
          <w:sz w:val="24"/>
          <w:szCs w:val="24"/>
        </w:rPr>
        <w:drawing>
          <wp:inline distT="0" distB="0" distL="0" distR="0" wp14:anchorId="39FA71B9" wp14:editId="57E99A47">
            <wp:extent cx="2274404" cy="2019300"/>
            <wp:effectExtent l="0" t="0" r="12065"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4314B5"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                              (c)                                                                    (d)</w:t>
      </w:r>
    </w:p>
    <w:p w14:paraId="687E29BC"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Figure 2: Comparison graph of Kenya’s (a) moisture content, (b) ash content, (c) volatile matter and (d) fixed carbon content with rest of world Coal producers  </w:t>
      </w:r>
    </w:p>
    <w:p w14:paraId="4B140429"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Moisture content determination is crucial since it predicts the heating time and amount of volatile formed as a result of this [9]. Gross calorific value also declines with increase in moisture content, [10</w:t>
      </w:r>
      <w:r w:rsidR="00F028BD">
        <w:rPr>
          <w:rFonts w:ascii="Times New Roman" w:hAnsi="Times New Roman" w:cs="Times New Roman"/>
          <w:sz w:val="24"/>
          <w:szCs w:val="24"/>
        </w:rPr>
        <w:t>, 17</w:t>
      </w:r>
      <w:r w:rsidRPr="00BA1006">
        <w:rPr>
          <w:rFonts w:ascii="Times New Roman" w:hAnsi="Times New Roman" w:cs="Times New Roman"/>
          <w:sz w:val="24"/>
          <w:szCs w:val="24"/>
        </w:rPr>
        <w:t>].</w:t>
      </w:r>
    </w:p>
    <w:p w14:paraId="59F08431"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The ash content for Kenyan coal was determined as 15.15%, a comparison analysis of the rest of the world’s coal in terms of ash content shown in figure 2 (b).</w:t>
      </w:r>
    </w:p>
    <w:p w14:paraId="7B0C29D5"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Ash is responsible for clinker formation which limits rate of combustion. When disposed to the environment, it results to pollution, [11], but comparing the ash content from Kenyan coal and that from the rest of the world shows possibility of this coal being utilized being within the range of coal-ash from exported coal from countries like south Africa and India.  </w:t>
      </w:r>
    </w:p>
    <w:p w14:paraId="1CADCF03"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lastRenderedPageBreak/>
        <w:t xml:space="preserve">Kenyan coal’s volatile matter averaged at 57.47%, this was highest amount as can be seen from figure 2 (c). This therefore concludes that Kenyan coal will have highest spontaneous combustion [12], this too denotes that of all these coal samples provided here, Kenyan coal ranks least. Ignition will be easier with Kenyan coal as compared with the coal from India, South Africa, Indonesia and Samaranggau [11]. </w:t>
      </w:r>
    </w:p>
    <w:p w14:paraId="52EB58AA"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Fixed carbon content for Kenyan coal was 23.18%. From figure 2 (d), it can be seen that the Kenya coal produced least carbon content. The value of heat produced during coal utilization is tied to the amount of fixed carbon in a given coal [13], hence there is need to determine this.</w:t>
      </w:r>
    </w:p>
    <w:p w14:paraId="29B562E7"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Despite this being lowest as compared to other major producers, it will be utilized basing facts on other factors as discussed below on caloric values.</w:t>
      </w:r>
    </w:p>
    <w:p w14:paraId="2E9FF609"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Kenyan coal was found to belong to grade B, this was from the gross calorific value of 24</w:t>
      </w:r>
      <w:r w:rsidR="00DC7A44">
        <w:rPr>
          <w:rFonts w:ascii="Times New Roman" w:hAnsi="Times New Roman" w:cs="Times New Roman"/>
          <w:sz w:val="24"/>
          <w:szCs w:val="24"/>
        </w:rPr>
        <w:t>,</w:t>
      </w:r>
      <w:r w:rsidRPr="00BA1006">
        <w:rPr>
          <w:rFonts w:ascii="Times New Roman" w:hAnsi="Times New Roman" w:cs="Times New Roman"/>
          <w:sz w:val="24"/>
          <w:szCs w:val="24"/>
        </w:rPr>
        <w:t>434 kJ/kg determined. This showed it to be superior to South Africa’s 20</w:t>
      </w:r>
      <w:r w:rsidR="00DC7A44">
        <w:rPr>
          <w:rFonts w:ascii="Times New Roman" w:hAnsi="Times New Roman" w:cs="Times New Roman"/>
          <w:sz w:val="24"/>
          <w:szCs w:val="24"/>
        </w:rPr>
        <w:t>,</w:t>
      </w:r>
      <w:r w:rsidRPr="00BA1006">
        <w:rPr>
          <w:rFonts w:ascii="Times New Roman" w:hAnsi="Times New Roman" w:cs="Times New Roman"/>
          <w:sz w:val="24"/>
          <w:szCs w:val="24"/>
        </w:rPr>
        <w:t>526 kJ/kg, and lower than one from Samaranggau and India as can be seen from figure 3.</w:t>
      </w:r>
    </w:p>
    <w:p w14:paraId="49AE8100"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noProof/>
          <w:sz w:val="24"/>
          <w:szCs w:val="24"/>
        </w:rPr>
        <w:drawing>
          <wp:inline distT="0" distB="0" distL="0" distR="0" wp14:anchorId="37D067FD" wp14:editId="513238B7">
            <wp:extent cx="2743200" cy="1900030"/>
            <wp:effectExtent l="0" t="0" r="1270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BA1006">
        <w:rPr>
          <w:rFonts w:ascii="Times New Roman" w:hAnsi="Times New Roman" w:cs="Times New Roman"/>
          <w:sz w:val="24"/>
          <w:szCs w:val="24"/>
        </w:rPr>
        <w:t xml:space="preserve"> </w:t>
      </w:r>
    </w:p>
    <w:p w14:paraId="4697ACA6"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Figure 3: Pie chart for the gross calorific values in comparison </w:t>
      </w:r>
    </w:p>
    <w:p w14:paraId="43C7395E"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The proximate analysis quantities obtained from the Kenyan Coal are represented in table 2.</w:t>
      </w:r>
    </w:p>
    <w:p w14:paraId="4CF0958D"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In comparison, South African coal has Sulphur content of 1.49 (wt.%), while Indian coal’s Sulphur is 0.6 (wt.%). </w:t>
      </w:r>
    </w:p>
    <w:p w14:paraId="44A62A39"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Table:2 proximate analysis quantities for Kenyan coal</w:t>
      </w:r>
    </w:p>
    <w:tbl>
      <w:tblPr>
        <w:tblStyle w:val="TableGrid"/>
        <w:tblW w:w="0" w:type="auto"/>
        <w:tblLook w:val="04A0" w:firstRow="1" w:lastRow="0" w:firstColumn="1" w:lastColumn="0" w:noHBand="0" w:noVBand="1"/>
      </w:tblPr>
      <w:tblGrid>
        <w:gridCol w:w="2264"/>
        <w:gridCol w:w="1555"/>
        <w:gridCol w:w="1900"/>
        <w:gridCol w:w="2494"/>
      </w:tblGrid>
      <w:tr w:rsidR="00945209" w:rsidRPr="00BA1006" w14:paraId="7E1F1522" w14:textId="77777777" w:rsidTr="002928E9">
        <w:trPr>
          <w:trHeight w:val="392"/>
        </w:trPr>
        <w:tc>
          <w:tcPr>
            <w:tcW w:w="2264" w:type="dxa"/>
          </w:tcPr>
          <w:p w14:paraId="35AEAB0B"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Sulphur (wt.) %</w:t>
            </w:r>
          </w:p>
        </w:tc>
        <w:tc>
          <w:tcPr>
            <w:tcW w:w="1555" w:type="dxa"/>
          </w:tcPr>
          <w:p w14:paraId="08E492C6"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Carbon %</w:t>
            </w:r>
          </w:p>
        </w:tc>
        <w:tc>
          <w:tcPr>
            <w:tcW w:w="1900" w:type="dxa"/>
          </w:tcPr>
          <w:p w14:paraId="43DF7E3C"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Nitrogen %</w:t>
            </w:r>
          </w:p>
        </w:tc>
        <w:tc>
          <w:tcPr>
            <w:tcW w:w="2494" w:type="dxa"/>
          </w:tcPr>
          <w:p w14:paraId="6FFAA87F"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 xml:space="preserve">Hydrogen sulfide </w:t>
            </w:r>
          </w:p>
        </w:tc>
      </w:tr>
      <w:tr w:rsidR="00945209" w:rsidRPr="00BA1006" w14:paraId="45BDDB22" w14:textId="77777777" w:rsidTr="002928E9">
        <w:trPr>
          <w:trHeight w:val="392"/>
        </w:trPr>
        <w:tc>
          <w:tcPr>
            <w:tcW w:w="2264" w:type="dxa"/>
          </w:tcPr>
          <w:p w14:paraId="097AA314"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lastRenderedPageBreak/>
              <w:t xml:space="preserve">1.63 </w:t>
            </w:r>
          </w:p>
        </w:tc>
        <w:tc>
          <w:tcPr>
            <w:tcW w:w="1555" w:type="dxa"/>
          </w:tcPr>
          <w:p w14:paraId="40CEF521"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59.25</w:t>
            </w:r>
          </w:p>
        </w:tc>
        <w:tc>
          <w:tcPr>
            <w:tcW w:w="1900" w:type="dxa"/>
          </w:tcPr>
          <w:p w14:paraId="5E9EDC09"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0.95</w:t>
            </w:r>
          </w:p>
        </w:tc>
        <w:tc>
          <w:tcPr>
            <w:tcW w:w="2494" w:type="dxa"/>
          </w:tcPr>
          <w:p w14:paraId="0F6C3870" w14:textId="77777777" w:rsidR="00945209" w:rsidRPr="00BA1006" w:rsidRDefault="00402790" w:rsidP="000E0D15">
            <w:pPr>
              <w:spacing w:after="0" w:line="360" w:lineRule="auto"/>
              <w:rPr>
                <w:rFonts w:ascii="Times New Roman" w:hAnsi="Times New Roman" w:cs="Times New Roman"/>
                <w:sz w:val="24"/>
                <w:szCs w:val="24"/>
              </w:rPr>
            </w:pPr>
            <w:r w:rsidRPr="00BA1006">
              <w:rPr>
                <w:rFonts w:ascii="Times New Roman" w:hAnsi="Times New Roman" w:cs="Times New Roman"/>
                <w:sz w:val="24"/>
                <w:szCs w:val="24"/>
              </w:rPr>
              <w:t>13</w:t>
            </w:r>
          </w:p>
        </w:tc>
      </w:tr>
    </w:tbl>
    <w:p w14:paraId="1F8C74E8" w14:textId="77777777" w:rsidR="0087403D" w:rsidRDefault="0087403D" w:rsidP="000E0D15">
      <w:pPr>
        <w:spacing w:line="360" w:lineRule="auto"/>
        <w:rPr>
          <w:rFonts w:ascii="Times New Roman" w:hAnsi="Times New Roman" w:cs="Times New Roman"/>
          <w:sz w:val="24"/>
          <w:szCs w:val="24"/>
        </w:rPr>
      </w:pPr>
    </w:p>
    <w:p w14:paraId="6A6D9BAE"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Sulphur in coal is classified as low (less than 1 wt.%), medium (between 1 and 3 wt.%) and high (above 3 wt.%). This therefore classifies Kenyan coal to be in the medium Sulphur category.</w:t>
      </w:r>
    </w:p>
    <w:p w14:paraId="09FA5348"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During combustion of coal, heat is solely derived from carbon. [14], which is estimated to account for 60 -80%, this shows Kenyan coal to at the tip lower end in terms of carbon composition.</w:t>
      </w:r>
    </w:p>
    <w:p w14:paraId="6359A84D"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sz w:val="24"/>
          <w:szCs w:val="24"/>
        </w:rPr>
        <w:t>Bituminous coal contains higher nitrogen content, (1.5 to 1.75%) compared to anthracite’s 1%. In general, coal contains between 0.5 to 2% nitrogen [15</w:t>
      </w:r>
      <w:r w:rsidR="00D94EF7">
        <w:rPr>
          <w:rFonts w:ascii="Times New Roman" w:hAnsi="Times New Roman" w:cs="Times New Roman"/>
          <w:sz w:val="24"/>
          <w:szCs w:val="24"/>
        </w:rPr>
        <w:t>, 17</w:t>
      </w:r>
      <w:r w:rsidRPr="00BA1006">
        <w:rPr>
          <w:rFonts w:ascii="Times New Roman" w:hAnsi="Times New Roman" w:cs="Times New Roman"/>
          <w:sz w:val="24"/>
          <w:szCs w:val="24"/>
        </w:rPr>
        <w:t xml:space="preserve">], the Kenyan coal’s value as can be seen from table is within the limits. </w:t>
      </w:r>
    </w:p>
    <w:p w14:paraId="019A8631" w14:textId="77777777" w:rsidR="00945209" w:rsidRPr="00BA1006" w:rsidRDefault="00402790" w:rsidP="000E0D15">
      <w:pPr>
        <w:spacing w:line="360" w:lineRule="auto"/>
        <w:rPr>
          <w:rFonts w:ascii="Times New Roman" w:hAnsi="Times New Roman" w:cs="Times New Roman"/>
          <w:b/>
          <w:sz w:val="24"/>
          <w:szCs w:val="24"/>
        </w:rPr>
      </w:pPr>
      <w:r w:rsidRPr="00BA1006">
        <w:rPr>
          <w:rFonts w:ascii="Times New Roman" w:hAnsi="Times New Roman" w:cs="Times New Roman"/>
          <w:b/>
          <w:sz w:val="24"/>
          <w:szCs w:val="24"/>
        </w:rPr>
        <w:t xml:space="preserve">Conclusion and Recommendation </w:t>
      </w:r>
    </w:p>
    <w:p w14:paraId="201AAEB7" w14:textId="77777777" w:rsidR="00945209" w:rsidRPr="00BA1006" w:rsidRDefault="003629B7" w:rsidP="000E0D15">
      <w:pPr>
        <w:spacing w:line="360" w:lineRule="auto"/>
        <w:rPr>
          <w:rFonts w:ascii="Times New Roman" w:hAnsi="Times New Roman" w:cs="Times New Roman"/>
          <w:sz w:val="24"/>
          <w:szCs w:val="24"/>
        </w:rPr>
      </w:pPr>
      <w:r>
        <w:rPr>
          <w:rFonts w:ascii="Times New Roman" w:hAnsi="Times New Roman" w:cs="Times New Roman"/>
          <w:sz w:val="24"/>
          <w:szCs w:val="24"/>
        </w:rPr>
        <w:t xml:space="preserve">Proximate, ultimate and combustion characteristics were the main focus for this study. </w:t>
      </w:r>
      <w:r w:rsidRPr="00BA1006">
        <w:rPr>
          <w:rFonts w:ascii="Times New Roman" w:hAnsi="Times New Roman" w:cs="Times New Roman"/>
          <w:sz w:val="24"/>
          <w:szCs w:val="24"/>
        </w:rPr>
        <w:t>The fixed carbon content, volatile matter, ash content and moisture content all have shown values that are within the range of other coal from major producers.</w:t>
      </w:r>
      <w:r>
        <w:rPr>
          <w:rFonts w:ascii="Times New Roman" w:hAnsi="Times New Roman" w:cs="Times New Roman"/>
          <w:sz w:val="24"/>
          <w:szCs w:val="24"/>
        </w:rPr>
        <w:t xml:space="preserve"> Moisture content was higher compared to South African and Indian coal. Higher ash content as compared to Indian, Indonesian and Samaranggau coal. Fixed carbon content for Kenyan coal was found to be lower than the rest of the four coal producers compared. Sulphur, nitrogen and hydrogen sulfide were lower. The calorific value of 24,434 KJ/kg </w:t>
      </w:r>
      <w:r w:rsidR="00D27EAF">
        <w:rPr>
          <w:rFonts w:ascii="Times New Roman" w:hAnsi="Times New Roman" w:cs="Times New Roman"/>
          <w:sz w:val="24"/>
          <w:szCs w:val="24"/>
        </w:rPr>
        <w:t xml:space="preserve">placed Kenyan coal in grade B. The discrepancies are attributed to geological, geographical and the coalification processes. Kenyan coal is therefore fit for utilization for both domestic and industrial purposes. Further research on Kenyan Coal to emphasize on the geological and geochemical to better understand its genesis, content and potential beneficiation. </w:t>
      </w:r>
    </w:p>
    <w:p w14:paraId="3AAD5CB4" w14:textId="77777777" w:rsidR="00945209" w:rsidRPr="00BA1006" w:rsidRDefault="00402790" w:rsidP="000E0D15">
      <w:pPr>
        <w:spacing w:line="360" w:lineRule="auto"/>
        <w:rPr>
          <w:rFonts w:ascii="Times New Roman" w:hAnsi="Times New Roman" w:cs="Times New Roman"/>
          <w:sz w:val="24"/>
          <w:szCs w:val="24"/>
        </w:rPr>
      </w:pPr>
      <w:r w:rsidRPr="00BA1006">
        <w:rPr>
          <w:rFonts w:ascii="Times New Roman" w:hAnsi="Times New Roman" w:cs="Times New Roman"/>
          <w:b/>
          <w:sz w:val="24"/>
          <w:szCs w:val="24"/>
        </w:rPr>
        <w:t xml:space="preserve">Reference </w:t>
      </w:r>
    </w:p>
    <w:p w14:paraId="27CA298A"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Lingfeng Li, GuangKui Liu, Yukun Li, Huanhuan Xu, “Release of sulfur and Nitrogen during Co-pyrolysis of Coal and Biomass under inert atmosphere”, 2020.</w:t>
      </w:r>
    </w:p>
    <w:p w14:paraId="11A86183"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Abdul Sattar J., Shaheen Aziz and Suhail Ahmed Soomro, “Biological removal of Sulphur from coal through use of microorganism. A review”, 2016. </w:t>
      </w:r>
    </w:p>
    <w:p w14:paraId="03B191EB"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lastRenderedPageBreak/>
        <w:t>H. G. Alam, A. Z. Moghaddam, M. R. Omidkha, “The influence of process parameters on desulfurization of Mezino coal by HNO</w:t>
      </w:r>
      <w:r w:rsidRPr="00BA1006">
        <w:rPr>
          <w:rFonts w:ascii="Times New Roman" w:hAnsi="Times New Roman" w:cs="Times New Roman"/>
          <w:sz w:val="24"/>
          <w:szCs w:val="24"/>
          <w:vertAlign w:val="subscript"/>
        </w:rPr>
        <w:t>3</w:t>
      </w:r>
      <w:r w:rsidRPr="00BA1006">
        <w:rPr>
          <w:rFonts w:ascii="Times New Roman" w:hAnsi="Times New Roman" w:cs="Times New Roman"/>
          <w:sz w:val="24"/>
          <w:szCs w:val="24"/>
        </w:rPr>
        <w:t xml:space="preserve"> / HCl leaching” fuel process technology V. 90, pp1 1-7, 2009.</w:t>
      </w:r>
    </w:p>
    <w:p w14:paraId="4E37A81B"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M. Mutemi and D. Samoei, “Status of water quality in the coal rich Mui Basin on Kitui County, Kenya”, Vol.1 No. 2 November 2012</w:t>
      </w:r>
    </w:p>
    <w:p w14:paraId="4838F571"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color w:val="000000"/>
          <w:sz w:val="24"/>
          <w:szCs w:val="24"/>
        </w:rPr>
        <w:t>K. G. Tushar, A. P. Mark, “</w:t>
      </w:r>
      <w:r w:rsidRPr="00BA1006">
        <w:rPr>
          <w:rFonts w:ascii="Times New Roman" w:hAnsi="Times New Roman" w:cs="Times New Roman"/>
          <w:i/>
          <w:color w:val="000000"/>
          <w:sz w:val="24"/>
          <w:szCs w:val="24"/>
        </w:rPr>
        <w:t>Energy Resources and Systems</w:t>
      </w:r>
      <w:r w:rsidRPr="00BA1006">
        <w:rPr>
          <w:rFonts w:ascii="Times New Roman" w:hAnsi="Times New Roman" w:cs="Times New Roman"/>
          <w:color w:val="000000"/>
          <w:sz w:val="24"/>
          <w:szCs w:val="24"/>
        </w:rPr>
        <w:t>: Volume 2: Renewable Resources”, 2011.</w:t>
      </w:r>
    </w:p>
    <w:p w14:paraId="4C2CBD87" w14:textId="77777777" w:rsidR="00945209" w:rsidRPr="00BA1006" w:rsidRDefault="00945209" w:rsidP="000E0D15">
      <w:pPr>
        <w:pStyle w:val="ListParagraph"/>
        <w:numPr>
          <w:ilvl w:val="0"/>
          <w:numId w:val="2"/>
        </w:numPr>
        <w:spacing w:line="360" w:lineRule="auto"/>
        <w:rPr>
          <w:rFonts w:ascii="Times New Roman" w:hAnsi="Times New Roman" w:cs="Times New Roman"/>
          <w:sz w:val="24"/>
          <w:szCs w:val="24"/>
        </w:rPr>
      </w:pPr>
      <w:hyperlink r:id="rId13" w:history="1">
        <w:r w:rsidRPr="00BA1006">
          <w:rPr>
            <w:rStyle w:val="Hyperlink"/>
            <w:rFonts w:ascii="Times New Roman" w:hAnsi="Times New Roman" w:cs="Times New Roman"/>
            <w:sz w:val="24"/>
            <w:szCs w:val="24"/>
          </w:rPr>
          <w:t>https://www.worldmeters.info/coal/kenya-coal</w:t>
        </w:r>
      </w:hyperlink>
      <w:r w:rsidRPr="00BA1006">
        <w:rPr>
          <w:rFonts w:ascii="Times New Roman" w:hAnsi="Times New Roman" w:cs="Times New Roman"/>
          <w:color w:val="000000"/>
          <w:sz w:val="24"/>
          <w:szCs w:val="24"/>
        </w:rPr>
        <w:t xml:space="preserve"> </w:t>
      </w:r>
    </w:p>
    <w:p w14:paraId="6B6FB6D6"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P. Kimuyu, J. Mutua, and J wainana “Role of Renewable energy in promoting inclusive and sustainable development in Kenya. Affiliation: School of Economics University of Nairobi, Energy Regulation Commission, European Report on Development”, 2012.</w:t>
      </w:r>
    </w:p>
    <w:p w14:paraId="37C624EE"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J. Krishnaiah, A. Lawrence and R. Dhnuskodi, “Artificial Neural Networks model for Predicting Ultimate Analysis Using Proximate Analysis of Coal”, International Journal of Computer Applications 44(2):9-13, April 2012.</w:t>
      </w:r>
    </w:p>
    <w:p w14:paraId="47839B99"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 xml:space="preserve">Argawall, P.K., La Nauze, La Nauze, R.D. Transfer Processes local to coal particles, a review of drying, devolatilization and mass transfer in fluidized bed combustion, </w:t>
      </w:r>
      <w:r w:rsidRPr="00BA1006">
        <w:rPr>
          <w:rFonts w:ascii="Times New Roman" w:hAnsi="Times New Roman" w:cs="Times New Roman"/>
          <w:i/>
          <w:sz w:val="24"/>
          <w:szCs w:val="24"/>
        </w:rPr>
        <w:t xml:space="preserve">Chemical Engineering Research, and Design, </w:t>
      </w:r>
      <w:r w:rsidRPr="00BA1006">
        <w:rPr>
          <w:rFonts w:ascii="Times New Roman" w:hAnsi="Times New Roman" w:cs="Times New Roman"/>
          <w:sz w:val="24"/>
          <w:szCs w:val="24"/>
        </w:rPr>
        <w:t>67 (S) 457 – 480, 1989..</w:t>
      </w:r>
    </w:p>
    <w:p w14:paraId="1EF50DF5"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S. Kailash, “Prediction of Calorific Value of Indian Coal by Artificial Neural Network”, (Thesis (Bach. of Technology in Mining Engineering) – Department of Mining Engineering National Institute of Technology Rourkela – 769008,) 2015.</w:t>
      </w:r>
    </w:p>
    <w:p w14:paraId="3A252D85"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eastAsiaTheme="majorEastAsia" w:hAnsi="Times New Roman" w:cs="Times New Roman"/>
          <w:bCs/>
          <w:sz w:val="24"/>
          <w:szCs w:val="24"/>
        </w:rPr>
        <w:t>Anudhyan Mishra</w:t>
      </w:r>
      <w:r w:rsidRPr="00BA1006">
        <w:rPr>
          <w:rFonts w:ascii="Times New Roman" w:hAnsi="Times New Roman" w:cs="Times New Roman"/>
          <w:sz w:val="24"/>
          <w:szCs w:val="24"/>
        </w:rPr>
        <w:t>, “Assessment of coal quality of some Indian coals,” (Thesis (Bach. of Technology in Mining Engineering) – Department of Mining Engineering National Institute of Technology Rourkela – 769008, 2009.</w:t>
      </w:r>
    </w:p>
    <w:p w14:paraId="3F502607"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eastAsiaTheme="majorEastAsia" w:hAnsi="Times New Roman" w:cs="Times New Roman"/>
          <w:bCs/>
          <w:sz w:val="24"/>
          <w:szCs w:val="24"/>
        </w:rPr>
        <w:t xml:space="preserve">Fierro V., Miranda J. L. Romero C., Andres J. M., Ariaga A., Schmal D. and Visser G.H., Prevention of Spontaneous combustion in coal stockpiles: Experimental results in coal storage yard, Fuel Processing Technology Volume 59, Issue 1, Pages 23 – 34, 1999.  </w:t>
      </w:r>
    </w:p>
    <w:p w14:paraId="00CFA4CD"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Pankaj Ekbote, “Coal Properties and its influence on Boilers”, NTPC Ltd 2007,</w:t>
      </w:r>
    </w:p>
    <w:p w14:paraId="38F2002D"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Hong B.D. and Slatick E.R., “Carbon Dioxide Emission Factors for Coal”, Journal, Quarterly coal report; PBD, 1994.</w:t>
      </w:r>
    </w:p>
    <w:p w14:paraId="36FD7E90" w14:textId="77777777" w:rsidR="00945209" w:rsidRPr="00BA1006"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t>Tingey, G.L. and Morrey J.A., Coal structure and reactivity, A Battelle Energy Program Report: Battelle Pacific Northwest Laboratories, Richland Washington 1973</w:t>
      </w:r>
    </w:p>
    <w:p w14:paraId="35ED32CE" w14:textId="77777777" w:rsidR="00945209" w:rsidRDefault="00402790" w:rsidP="000E0D15">
      <w:pPr>
        <w:pStyle w:val="ListParagraph"/>
        <w:numPr>
          <w:ilvl w:val="0"/>
          <w:numId w:val="2"/>
        </w:numPr>
        <w:spacing w:line="360" w:lineRule="auto"/>
        <w:rPr>
          <w:rFonts w:ascii="Times New Roman" w:hAnsi="Times New Roman" w:cs="Times New Roman"/>
          <w:sz w:val="24"/>
          <w:szCs w:val="24"/>
        </w:rPr>
      </w:pPr>
      <w:r w:rsidRPr="00BA1006">
        <w:rPr>
          <w:rFonts w:ascii="Times New Roman" w:hAnsi="Times New Roman" w:cs="Times New Roman"/>
          <w:sz w:val="24"/>
          <w:szCs w:val="24"/>
        </w:rPr>
        <w:lastRenderedPageBreak/>
        <w:t>Annastacia Kuria, Greenpeace Africa volunteer and activist, “Lamu coal plant: A bad energy source for Kenya”, 2020.</w:t>
      </w:r>
    </w:p>
    <w:p w14:paraId="67C2D02A" w14:textId="77777777" w:rsidR="00151C05" w:rsidRPr="00151C05" w:rsidRDefault="00151C05" w:rsidP="00151C05">
      <w:pPr>
        <w:pStyle w:val="ListParagraph"/>
        <w:numPr>
          <w:ilvl w:val="0"/>
          <w:numId w:val="2"/>
        </w:numPr>
        <w:spacing w:line="360" w:lineRule="auto"/>
        <w:rPr>
          <w:rFonts w:ascii="Times New Roman" w:hAnsi="Times New Roman" w:cs="Times New Roman"/>
          <w:sz w:val="24"/>
          <w:szCs w:val="24"/>
        </w:rPr>
      </w:pPr>
      <w:hyperlink r:id="rId14" w:history="1">
        <w:r w:rsidRPr="00151C05">
          <w:rPr>
            <w:rFonts w:ascii="Times New Roman" w:hAnsi="Times New Roman" w:cs="Times New Roman"/>
            <w:sz w:val="24"/>
            <w:szCs w:val="24"/>
          </w:rPr>
          <w:t xml:space="preserve">Brian </w:t>
        </w:r>
        <w:r>
          <w:rPr>
            <w:rFonts w:ascii="Times New Roman" w:hAnsi="Times New Roman" w:cs="Times New Roman"/>
            <w:sz w:val="24"/>
            <w:szCs w:val="24"/>
          </w:rPr>
          <w:t>O.</w:t>
        </w:r>
      </w:hyperlink>
      <w:r w:rsidRPr="00151C05">
        <w:rPr>
          <w:rFonts w:ascii="Times New Roman" w:hAnsi="Times New Roman" w:cs="Times New Roman"/>
          <w:sz w:val="24"/>
          <w:szCs w:val="24"/>
        </w:rPr>
        <w:t>, </w:t>
      </w:r>
      <w:hyperlink r:id="rId15" w:history="1">
        <w:r w:rsidRPr="00151C05">
          <w:rPr>
            <w:rFonts w:ascii="Times New Roman" w:hAnsi="Times New Roman" w:cs="Times New Roman"/>
            <w:sz w:val="24"/>
            <w:szCs w:val="24"/>
          </w:rPr>
          <w:t xml:space="preserve">Zachary </w:t>
        </w:r>
        <w:r>
          <w:rPr>
            <w:rFonts w:ascii="Times New Roman" w:hAnsi="Times New Roman" w:cs="Times New Roman"/>
            <w:sz w:val="24"/>
            <w:szCs w:val="24"/>
          </w:rPr>
          <w:t>S.</w:t>
        </w:r>
      </w:hyperlink>
      <w:r>
        <w:rPr>
          <w:rFonts w:ascii="Times New Roman" w:hAnsi="Times New Roman" w:cs="Times New Roman"/>
          <w:sz w:val="24"/>
          <w:szCs w:val="24"/>
        </w:rPr>
        <w:t xml:space="preserve"> and</w:t>
      </w:r>
      <w:r w:rsidRPr="00151C05">
        <w:rPr>
          <w:rFonts w:ascii="Times New Roman" w:hAnsi="Times New Roman" w:cs="Times New Roman"/>
          <w:sz w:val="24"/>
          <w:szCs w:val="24"/>
        </w:rPr>
        <w:t> </w:t>
      </w:r>
      <w:hyperlink r:id="rId16" w:history="1">
        <w:r w:rsidRPr="00151C05">
          <w:rPr>
            <w:rFonts w:ascii="Times New Roman" w:hAnsi="Times New Roman" w:cs="Times New Roman"/>
            <w:sz w:val="24"/>
            <w:szCs w:val="24"/>
          </w:rPr>
          <w:t xml:space="preserve">Anil </w:t>
        </w:r>
        <w:r>
          <w:rPr>
            <w:rFonts w:ascii="Times New Roman" w:hAnsi="Times New Roman" w:cs="Times New Roman"/>
            <w:sz w:val="24"/>
            <w:szCs w:val="24"/>
          </w:rPr>
          <w:t>K.</w:t>
        </w:r>
      </w:hyperlink>
      <w:r>
        <w:rPr>
          <w:rFonts w:ascii="Times New Roman" w:hAnsi="Times New Roman" w:cs="Times New Roman"/>
          <w:sz w:val="24"/>
          <w:szCs w:val="24"/>
        </w:rPr>
        <w:t xml:space="preserve"> “</w:t>
      </w:r>
      <w:r w:rsidRPr="00151C05">
        <w:rPr>
          <w:rFonts w:ascii="Times New Roman" w:hAnsi="Times New Roman" w:cs="Times New Roman"/>
          <w:sz w:val="24"/>
          <w:szCs w:val="24"/>
        </w:rPr>
        <w:t>Combustion Characteristics of Mui and Taru Basin Coal in a Fluidized Bed Combustor</w:t>
      </w:r>
      <w:r>
        <w:rPr>
          <w:rFonts w:ascii="Times New Roman" w:hAnsi="Times New Roman" w:cs="Times New Roman"/>
          <w:sz w:val="24"/>
          <w:szCs w:val="24"/>
        </w:rPr>
        <w:t>”, 2021.</w:t>
      </w:r>
      <w:r>
        <w:t xml:space="preserve"> </w:t>
      </w:r>
      <w:hyperlink r:id="rId17" w:history="1">
        <w:r w:rsidRPr="00BC25F6">
          <w:rPr>
            <w:rStyle w:val="Hyperlink"/>
            <w:rFonts w:ascii="Open Sans" w:hAnsi="Open Sans" w:cs="Open Sans"/>
            <w:b/>
            <w:bCs/>
            <w:sz w:val="21"/>
            <w:szCs w:val="21"/>
            <w:shd w:val="clear" w:color="auto" w:fill="FFFFFF"/>
          </w:rPr>
          <w:t>https://doi.org/10.1155/2021/6647875</w:t>
        </w:r>
      </w:hyperlink>
    </w:p>
    <w:sectPr w:rsidR="00151C05" w:rsidRPr="00151C0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834B" w14:textId="77777777" w:rsidR="00044A93" w:rsidRDefault="00044A93">
      <w:pPr>
        <w:spacing w:line="240" w:lineRule="auto"/>
      </w:pPr>
      <w:r>
        <w:separator/>
      </w:r>
    </w:p>
  </w:endnote>
  <w:endnote w:type="continuationSeparator" w:id="0">
    <w:p w14:paraId="3ED7A143" w14:textId="77777777" w:rsidR="00044A93" w:rsidRDefault="00044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0F6E" w14:textId="77777777" w:rsidR="003E297F" w:rsidRDefault="003E2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48F6" w14:textId="77777777" w:rsidR="003E297F" w:rsidRDefault="003E2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B152" w14:textId="77777777" w:rsidR="003E297F" w:rsidRDefault="003E2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6B53" w14:textId="77777777" w:rsidR="00044A93" w:rsidRDefault="00044A93">
      <w:pPr>
        <w:spacing w:after="0"/>
      </w:pPr>
      <w:r>
        <w:separator/>
      </w:r>
    </w:p>
  </w:footnote>
  <w:footnote w:type="continuationSeparator" w:id="0">
    <w:p w14:paraId="1D3F360C" w14:textId="77777777" w:rsidR="00044A93" w:rsidRDefault="00044A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C674" w14:textId="2896686A" w:rsidR="003E297F" w:rsidRDefault="00000000">
    <w:pPr>
      <w:pStyle w:val="Header"/>
    </w:pPr>
    <w:r>
      <w:rPr>
        <w:noProof/>
      </w:rPr>
      <w:pict w14:anchorId="560F6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23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7F7F" w14:textId="03B48850" w:rsidR="003E297F" w:rsidRDefault="00000000">
    <w:pPr>
      <w:pStyle w:val="Header"/>
    </w:pPr>
    <w:r>
      <w:rPr>
        <w:noProof/>
      </w:rPr>
      <w:pict w14:anchorId="54DB7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23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A501" w14:textId="6D2CE5E9" w:rsidR="003E297F" w:rsidRDefault="00000000">
    <w:pPr>
      <w:pStyle w:val="Header"/>
    </w:pPr>
    <w:r>
      <w:rPr>
        <w:noProof/>
      </w:rPr>
      <w:pict w14:anchorId="145DCA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23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72967"/>
    <w:multiLevelType w:val="hybridMultilevel"/>
    <w:tmpl w:val="B1848F3A"/>
    <w:lvl w:ilvl="0" w:tplc="76587414">
      <w:start w:val="1"/>
      <w:numFmt w:val="decimal"/>
      <w:lvlText w:val="%1."/>
      <w:lvlJc w:val="left"/>
      <w:pPr>
        <w:ind w:left="720" w:hanging="360"/>
      </w:pPr>
      <w:rPr>
        <w:rFonts w:ascii="Arial" w:hAnsi="Arial" w:cs="Arial" w:hint="default"/>
        <w:sz w:val="2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936A8C"/>
    <w:multiLevelType w:val="multilevel"/>
    <w:tmpl w:val="36936A8C"/>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5D5764"/>
    <w:multiLevelType w:val="multilevel"/>
    <w:tmpl w:val="715D5764"/>
    <w:lvl w:ilvl="0">
      <w:start w:val="1"/>
      <w:numFmt w:val="lowerLetter"/>
      <w:lvlText w:val="(%1)"/>
      <w:lvlJc w:val="left"/>
      <w:pPr>
        <w:ind w:left="6150" w:hanging="435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78564FD9"/>
    <w:multiLevelType w:val="hybridMultilevel"/>
    <w:tmpl w:val="F7507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3766620">
    <w:abstractNumId w:val="2"/>
  </w:num>
  <w:num w:numId="2" w16cid:durableId="304505853">
    <w:abstractNumId w:val="1"/>
  </w:num>
  <w:num w:numId="3" w16cid:durableId="1594779839">
    <w:abstractNumId w:val="0"/>
  </w:num>
  <w:num w:numId="4" w16cid:durableId="1555700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4D9"/>
    <w:rsid w:val="FDFE1DD9"/>
    <w:rsid w:val="00013A96"/>
    <w:rsid w:val="00044A93"/>
    <w:rsid w:val="00067B57"/>
    <w:rsid w:val="00074477"/>
    <w:rsid w:val="0007457E"/>
    <w:rsid w:val="0008022F"/>
    <w:rsid w:val="00081020"/>
    <w:rsid w:val="000846A1"/>
    <w:rsid w:val="0009263F"/>
    <w:rsid w:val="000A74C6"/>
    <w:rsid w:val="000B76C8"/>
    <w:rsid w:val="000D1CB4"/>
    <w:rsid w:val="000E0D15"/>
    <w:rsid w:val="000E4C4B"/>
    <w:rsid w:val="000E76B4"/>
    <w:rsid w:val="000E79F5"/>
    <w:rsid w:val="000F03C2"/>
    <w:rsid w:val="000F6083"/>
    <w:rsid w:val="00151C05"/>
    <w:rsid w:val="00192072"/>
    <w:rsid w:val="001966E0"/>
    <w:rsid w:val="00197F22"/>
    <w:rsid w:val="001A258C"/>
    <w:rsid w:val="001A2FF5"/>
    <w:rsid w:val="001A4BCA"/>
    <w:rsid w:val="001B743D"/>
    <w:rsid w:val="001D490E"/>
    <w:rsid w:val="001D5FA1"/>
    <w:rsid w:val="002013B4"/>
    <w:rsid w:val="00210558"/>
    <w:rsid w:val="00227F24"/>
    <w:rsid w:val="002429D4"/>
    <w:rsid w:val="00255B7A"/>
    <w:rsid w:val="00274A48"/>
    <w:rsid w:val="00274D86"/>
    <w:rsid w:val="002928E9"/>
    <w:rsid w:val="002D155E"/>
    <w:rsid w:val="002E2D99"/>
    <w:rsid w:val="003101EE"/>
    <w:rsid w:val="00337E6F"/>
    <w:rsid w:val="00361F48"/>
    <w:rsid w:val="003629B7"/>
    <w:rsid w:val="00362E02"/>
    <w:rsid w:val="003631A0"/>
    <w:rsid w:val="00363E9B"/>
    <w:rsid w:val="00370469"/>
    <w:rsid w:val="00371EB3"/>
    <w:rsid w:val="00376512"/>
    <w:rsid w:val="00393D95"/>
    <w:rsid w:val="003A111C"/>
    <w:rsid w:val="003A72DE"/>
    <w:rsid w:val="003C6105"/>
    <w:rsid w:val="003E297F"/>
    <w:rsid w:val="003F412B"/>
    <w:rsid w:val="003F72EC"/>
    <w:rsid w:val="00402790"/>
    <w:rsid w:val="00402AD1"/>
    <w:rsid w:val="00404A31"/>
    <w:rsid w:val="004241BB"/>
    <w:rsid w:val="004347CC"/>
    <w:rsid w:val="004425F6"/>
    <w:rsid w:val="004479BD"/>
    <w:rsid w:val="0045673B"/>
    <w:rsid w:val="00456CF6"/>
    <w:rsid w:val="00460377"/>
    <w:rsid w:val="00477057"/>
    <w:rsid w:val="004955D7"/>
    <w:rsid w:val="004B23B5"/>
    <w:rsid w:val="004B6259"/>
    <w:rsid w:val="005322FE"/>
    <w:rsid w:val="00543A5B"/>
    <w:rsid w:val="00555031"/>
    <w:rsid w:val="0055705D"/>
    <w:rsid w:val="00575A2A"/>
    <w:rsid w:val="00577AEC"/>
    <w:rsid w:val="005808C7"/>
    <w:rsid w:val="005C1FAD"/>
    <w:rsid w:val="005C3FFD"/>
    <w:rsid w:val="005D1651"/>
    <w:rsid w:val="00606D1D"/>
    <w:rsid w:val="00617538"/>
    <w:rsid w:val="00620A0B"/>
    <w:rsid w:val="00635CA5"/>
    <w:rsid w:val="0063650E"/>
    <w:rsid w:val="00692A40"/>
    <w:rsid w:val="00692C65"/>
    <w:rsid w:val="006A5CE1"/>
    <w:rsid w:val="006B26C2"/>
    <w:rsid w:val="006B5BF7"/>
    <w:rsid w:val="006D2557"/>
    <w:rsid w:val="006F67B9"/>
    <w:rsid w:val="007263E6"/>
    <w:rsid w:val="00727037"/>
    <w:rsid w:val="00732124"/>
    <w:rsid w:val="007539D0"/>
    <w:rsid w:val="0077588C"/>
    <w:rsid w:val="007804E6"/>
    <w:rsid w:val="007877A2"/>
    <w:rsid w:val="007A221D"/>
    <w:rsid w:val="007B39B6"/>
    <w:rsid w:val="007B3BCD"/>
    <w:rsid w:val="007B5C7C"/>
    <w:rsid w:val="007B6CEA"/>
    <w:rsid w:val="007C79F3"/>
    <w:rsid w:val="007F00FF"/>
    <w:rsid w:val="0080277B"/>
    <w:rsid w:val="008275FF"/>
    <w:rsid w:val="00833A96"/>
    <w:rsid w:val="0087403D"/>
    <w:rsid w:val="00886825"/>
    <w:rsid w:val="0089357B"/>
    <w:rsid w:val="008A1FED"/>
    <w:rsid w:val="008A6F1F"/>
    <w:rsid w:val="008E397C"/>
    <w:rsid w:val="008F298E"/>
    <w:rsid w:val="008F3033"/>
    <w:rsid w:val="008F5B35"/>
    <w:rsid w:val="0090461A"/>
    <w:rsid w:val="00905AB8"/>
    <w:rsid w:val="00945209"/>
    <w:rsid w:val="00960224"/>
    <w:rsid w:val="00982D47"/>
    <w:rsid w:val="00997BA7"/>
    <w:rsid w:val="009B1098"/>
    <w:rsid w:val="009E2B67"/>
    <w:rsid w:val="00A71719"/>
    <w:rsid w:val="00AC1B1B"/>
    <w:rsid w:val="00AD3DB9"/>
    <w:rsid w:val="00AE0C1D"/>
    <w:rsid w:val="00AF180D"/>
    <w:rsid w:val="00AF28A5"/>
    <w:rsid w:val="00AF2AD5"/>
    <w:rsid w:val="00B06B69"/>
    <w:rsid w:val="00B411F0"/>
    <w:rsid w:val="00B568C0"/>
    <w:rsid w:val="00B6250E"/>
    <w:rsid w:val="00B66EEE"/>
    <w:rsid w:val="00B67BEF"/>
    <w:rsid w:val="00B77DBE"/>
    <w:rsid w:val="00B95121"/>
    <w:rsid w:val="00BA1006"/>
    <w:rsid w:val="00BE6A99"/>
    <w:rsid w:val="00C07465"/>
    <w:rsid w:val="00C1093D"/>
    <w:rsid w:val="00C226E4"/>
    <w:rsid w:val="00C60C1E"/>
    <w:rsid w:val="00C644D9"/>
    <w:rsid w:val="00C75E06"/>
    <w:rsid w:val="00C86037"/>
    <w:rsid w:val="00C87C9C"/>
    <w:rsid w:val="00C87D7E"/>
    <w:rsid w:val="00CA4715"/>
    <w:rsid w:val="00CC2176"/>
    <w:rsid w:val="00CE0E05"/>
    <w:rsid w:val="00CF0FDA"/>
    <w:rsid w:val="00D11810"/>
    <w:rsid w:val="00D159CE"/>
    <w:rsid w:val="00D17168"/>
    <w:rsid w:val="00D22856"/>
    <w:rsid w:val="00D27EAF"/>
    <w:rsid w:val="00D31095"/>
    <w:rsid w:val="00D459C5"/>
    <w:rsid w:val="00D55312"/>
    <w:rsid w:val="00D55D4D"/>
    <w:rsid w:val="00D60700"/>
    <w:rsid w:val="00D77E50"/>
    <w:rsid w:val="00D84873"/>
    <w:rsid w:val="00D94EF7"/>
    <w:rsid w:val="00DA0BBF"/>
    <w:rsid w:val="00DB5EBC"/>
    <w:rsid w:val="00DC7290"/>
    <w:rsid w:val="00DC7A44"/>
    <w:rsid w:val="00DE6ACD"/>
    <w:rsid w:val="00E05FB4"/>
    <w:rsid w:val="00E111D0"/>
    <w:rsid w:val="00E233C4"/>
    <w:rsid w:val="00E334F4"/>
    <w:rsid w:val="00E464A3"/>
    <w:rsid w:val="00E60269"/>
    <w:rsid w:val="00E70C7A"/>
    <w:rsid w:val="00E870BA"/>
    <w:rsid w:val="00EA1573"/>
    <w:rsid w:val="00EA1CCB"/>
    <w:rsid w:val="00EB0C46"/>
    <w:rsid w:val="00EB1B22"/>
    <w:rsid w:val="00EB22F4"/>
    <w:rsid w:val="00EF09C7"/>
    <w:rsid w:val="00F00E20"/>
    <w:rsid w:val="00F028BD"/>
    <w:rsid w:val="00F046A2"/>
    <w:rsid w:val="00F27B98"/>
    <w:rsid w:val="00F4249B"/>
    <w:rsid w:val="00F577B6"/>
    <w:rsid w:val="00F6233B"/>
    <w:rsid w:val="00F6304B"/>
    <w:rsid w:val="00F862E8"/>
    <w:rsid w:val="00F86D98"/>
    <w:rsid w:val="00FC03AF"/>
    <w:rsid w:val="00FC1CFF"/>
    <w:rsid w:val="00FC6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739A6"/>
  <w15:docId w15:val="{5BC38009-75FC-2646-8981-A1C9CEEA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105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qFormat/>
    <w:pPr>
      <w:spacing w:after="0"/>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accordion-tabbedtab-mobile">
    <w:name w:val="accordion-tabbed__tab-mobile"/>
    <w:basedOn w:val="DefaultParagraphFont"/>
    <w:rsid w:val="00151C05"/>
  </w:style>
  <w:style w:type="character" w:customStyle="1" w:styleId="comma-separator">
    <w:name w:val="comma-separator"/>
    <w:basedOn w:val="DefaultParagraphFont"/>
    <w:rsid w:val="00151C05"/>
  </w:style>
  <w:style w:type="character" w:styleId="UnresolvedMention">
    <w:name w:val="Unresolved Mention"/>
    <w:basedOn w:val="DefaultParagraphFont"/>
    <w:uiPriority w:val="99"/>
    <w:semiHidden/>
    <w:unhideWhenUsed/>
    <w:rsid w:val="00151C05"/>
    <w:rPr>
      <w:color w:val="605E5C"/>
      <w:shd w:val="clear" w:color="auto" w:fill="E1DFDD"/>
    </w:rPr>
  </w:style>
  <w:style w:type="character" w:customStyle="1" w:styleId="Heading3Char">
    <w:name w:val="Heading 3 Char"/>
    <w:basedOn w:val="DefaultParagraphFont"/>
    <w:link w:val="Heading3"/>
    <w:uiPriority w:val="9"/>
    <w:semiHidden/>
    <w:rsid w:val="00210558"/>
    <w:rPr>
      <w:rFonts w:asciiTheme="majorHAnsi" w:eastAsiaTheme="majorEastAsia" w:hAnsiTheme="majorHAnsi" w:cstheme="majorBidi"/>
      <w:color w:val="243F60" w:themeColor="accent1" w:themeShade="7F"/>
      <w:sz w:val="24"/>
      <w:szCs w:val="24"/>
      <w:lang w:val="en-US" w:eastAsia="en-US"/>
    </w:rPr>
  </w:style>
  <w:style w:type="character" w:customStyle="1" w:styleId="go">
    <w:name w:val="go"/>
    <w:basedOn w:val="DefaultParagraphFont"/>
    <w:rsid w:val="00210558"/>
  </w:style>
  <w:style w:type="paragraph" w:styleId="Header">
    <w:name w:val="header"/>
    <w:basedOn w:val="Normal"/>
    <w:link w:val="HeaderChar"/>
    <w:uiPriority w:val="99"/>
    <w:unhideWhenUsed/>
    <w:rsid w:val="003E2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97F"/>
    <w:rPr>
      <w:sz w:val="22"/>
      <w:szCs w:val="22"/>
      <w:lang w:val="en-US" w:eastAsia="en-US"/>
    </w:rPr>
  </w:style>
  <w:style w:type="paragraph" w:styleId="Footer">
    <w:name w:val="footer"/>
    <w:basedOn w:val="Normal"/>
    <w:link w:val="FooterChar"/>
    <w:uiPriority w:val="99"/>
    <w:unhideWhenUsed/>
    <w:rsid w:val="003E2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97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89464">
      <w:bodyDiv w:val="1"/>
      <w:marLeft w:val="0"/>
      <w:marRight w:val="0"/>
      <w:marTop w:val="0"/>
      <w:marBottom w:val="0"/>
      <w:divBdr>
        <w:top w:val="none" w:sz="0" w:space="0" w:color="auto"/>
        <w:left w:val="none" w:sz="0" w:space="0" w:color="auto"/>
        <w:bottom w:val="none" w:sz="0" w:space="0" w:color="auto"/>
        <w:right w:val="none" w:sz="0" w:space="0" w:color="auto"/>
      </w:divBdr>
      <w:divsChild>
        <w:div w:id="1460299514">
          <w:marLeft w:val="0"/>
          <w:marRight w:val="0"/>
          <w:marTop w:val="0"/>
          <w:marBottom w:val="0"/>
          <w:divBdr>
            <w:top w:val="none" w:sz="0" w:space="0" w:color="auto"/>
            <w:left w:val="none" w:sz="0" w:space="0" w:color="auto"/>
            <w:bottom w:val="none" w:sz="0" w:space="0" w:color="auto"/>
            <w:right w:val="none" w:sz="0" w:space="0" w:color="auto"/>
          </w:divBdr>
          <w:divsChild>
            <w:div w:id="1083453329">
              <w:marLeft w:val="0"/>
              <w:marRight w:val="0"/>
              <w:marTop w:val="0"/>
              <w:marBottom w:val="0"/>
              <w:divBdr>
                <w:top w:val="none" w:sz="0" w:space="0" w:color="auto"/>
                <w:left w:val="none" w:sz="0" w:space="0" w:color="auto"/>
                <w:bottom w:val="none" w:sz="0" w:space="0" w:color="auto"/>
                <w:right w:val="none" w:sz="0" w:space="0" w:color="auto"/>
              </w:divBdr>
              <w:divsChild>
                <w:div w:id="1025013176">
                  <w:marLeft w:val="0"/>
                  <w:marRight w:val="0"/>
                  <w:marTop w:val="0"/>
                  <w:marBottom w:val="0"/>
                  <w:divBdr>
                    <w:top w:val="none" w:sz="0" w:space="0" w:color="auto"/>
                    <w:left w:val="none" w:sz="0" w:space="0" w:color="auto"/>
                    <w:bottom w:val="none" w:sz="0" w:space="0" w:color="auto"/>
                    <w:right w:val="none" w:sz="0" w:space="0" w:color="auto"/>
                  </w:divBdr>
                  <w:divsChild>
                    <w:div w:id="21250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715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worldmeters.info/coal/kenya-coa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155/2021/664787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nlinelibrary.wiley.com/authored-by/Kumar/Ani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nlinelibrary.wiley.com/authored-by/Siagi/Zachary" TargetMode="Externa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onlinelibrary.wiley.com/authored-by/Ondari/Brian"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cat>
            <c:numRef>
              <c:f>Sheet1!$A$2:$A$39</c:f>
              <c:numCache>
                <c:formatCode>General</c:formatCode>
                <c:ptCount val="38"/>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numCache>
            </c:numRef>
          </c:cat>
          <c:val>
            <c:numRef>
              <c:f>Sheet1!$B$3:$B$38</c:f>
              <c:numCache>
                <c:formatCode>General</c:formatCode>
                <c:ptCount val="36"/>
                <c:pt idx="0">
                  <c:v>100310</c:v>
                </c:pt>
                <c:pt idx="1">
                  <c:v>50706</c:v>
                </c:pt>
                <c:pt idx="2">
                  <c:v>35274</c:v>
                </c:pt>
                <c:pt idx="3">
                  <c:v>91492</c:v>
                </c:pt>
                <c:pt idx="4">
                  <c:v>99208</c:v>
                </c:pt>
                <c:pt idx="5">
                  <c:v>93696</c:v>
                </c:pt>
                <c:pt idx="6">
                  <c:v>101413</c:v>
                </c:pt>
                <c:pt idx="7">
                  <c:v>124561</c:v>
                </c:pt>
                <c:pt idx="8">
                  <c:v>144403</c:v>
                </c:pt>
                <c:pt idx="9">
                  <c:v>166449</c:v>
                </c:pt>
                <c:pt idx="10">
                  <c:v>166449</c:v>
                </c:pt>
                <c:pt idx="11">
                  <c:v>174165</c:v>
                </c:pt>
                <c:pt idx="12">
                  <c:v>144403</c:v>
                </c:pt>
                <c:pt idx="13">
                  <c:v>134482</c:v>
                </c:pt>
                <c:pt idx="14">
                  <c:v>171960</c:v>
                </c:pt>
                <c:pt idx="15">
                  <c:v>158733</c:v>
                </c:pt>
                <c:pt idx="16">
                  <c:v>162040</c:v>
                </c:pt>
                <c:pt idx="17">
                  <c:v>131175</c:v>
                </c:pt>
                <c:pt idx="18">
                  <c:v>127868</c:v>
                </c:pt>
                <c:pt idx="19">
                  <c:v>117947</c:v>
                </c:pt>
                <c:pt idx="20">
                  <c:v>117947</c:v>
                </c:pt>
                <c:pt idx="21">
                  <c:v>176370</c:v>
                </c:pt>
                <c:pt idx="22">
                  <c:v>165347</c:v>
                </c:pt>
                <c:pt idx="23">
                  <c:v>192904</c:v>
                </c:pt>
                <c:pt idx="24">
                  <c:v>159835</c:v>
                </c:pt>
                <c:pt idx="25">
                  <c:v>213848</c:v>
                </c:pt>
                <c:pt idx="26">
                  <c:v>196211</c:v>
                </c:pt>
                <c:pt idx="27">
                  <c:v>195109</c:v>
                </c:pt>
                <c:pt idx="28">
                  <c:v>169756</c:v>
                </c:pt>
                <c:pt idx="29">
                  <c:v>165000</c:v>
                </c:pt>
                <c:pt idx="30">
                  <c:v>271546</c:v>
                </c:pt>
                <c:pt idx="31">
                  <c:v>378092</c:v>
                </c:pt>
                <c:pt idx="32">
                  <c:v>328911</c:v>
                </c:pt>
                <c:pt idx="33">
                  <c:v>513664</c:v>
                </c:pt>
                <c:pt idx="34">
                  <c:v>537359</c:v>
                </c:pt>
                <c:pt idx="35">
                  <c:v>537359</c:v>
                </c:pt>
              </c:numCache>
            </c:numRef>
          </c:val>
          <c:smooth val="0"/>
          <c:extLst>
            <c:ext xmlns:c16="http://schemas.microsoft.com/office/drawing/2014/chart" uri="{C3380CC4-5D6E-409C-BE32-E72D297353CC}">
              <c16:uniqueId val="{00000000-D16E-9C4D-8F5E-21A997D2EC1C}"/>
            </c:ext>
          </c:extLst>
        </c:ser>
        <c:dLbls>
          <c:showLegendKey val="0"/>
          <c:showVal val="0"/>
          <c:showCatName val="0"/>
          <c:showSerName val="0"/>
          <c:showPercent val="0"/>
          <c:showBubbleSize val="0"/>
        </c:dLbls>
        <c:dropLines>
          <c:spPr>
            <a:ln w="9525" cap="flat" cmpd="sng" algn="ctr">
              <a:noFill/>
              <a:prstDash val="solid"/>
              <a:round/>
            </a:ln>
          </c:spPr>
        </c:dropLines>
        <c:marker val="1"/>
        <c:smooth val="0"/>
        <c:axId val="67557632"/>
        <c:axId val="93503872"/>
      </c:lineChart>
      <c:catAx>
        <c:axId val="675576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Tme (years)</a:t>
                </a:r>
              </a:p>
            </c:rich>
          </c:tx>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3503872"/>
        <c:crosses val="autoZero"/>
        <c:auto val="1"/>
        <c:lblAlgn val="ctr"/>
        <c:lblOffset val="100"/>
        <c:tickLblSkip val="1"/>
        <c:noMultiLvlLbl val="0"/>
      </c:catAx>
      <c:valAx>
        <c:axId val="93503872"/>
        <c:scaling>
          <c:orientation val="minMax"/>
        </c:scaling>
        <c:delete val="0"/>
        <c:axPos val="l"/>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Quontity</a:t>
                </a:r>
                <a:r>
                  <a:rPr lang="en-US" baseline="0"/>
                  <a:t> of coal imported (tons)</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7557632"/>
        <c:crosses val="autoZero"/>
        <c:crossBetween val="midCat"/>
      </c:valAx>
    </c:plotArea>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c:v>
                </c:pt>
              </c:strCache>
            </c:strRef>
          </c:tx>
          <c:invertIfNegative val="0"/>
          <c:cat>
            <c:strRef>
              <c:f>Sheet1!$A$2</c:f>
              <c:strCache>
                <c:ptCount val="1"/>
                <c:pt idx="0">
                  <c:v>Moisture content</c:v>
                </c:pt>
              </c:strCache>
            </c:strRef>
          </c:cat>
          <c:val>
            <c:numRef>
              <c:f>Sheet1!$B$2</c:f>
              <c:numCache>
                <c:formatCode>General</c:formatCode>
                <c:ptCount val="1"/>
                <c:pt idx="0">
                  <c:v>4.25</c:v>
                </c:pt>
              </c:numCache>
            </c:numRef>
          </c:val>
          <c:extLst>
            <c:ext xmlns:c16="http://schemas.microsoft.com/office/drawing/2014/chart" uri="{C3380CC4-5D6E-409C-BE32-E72D297353CC}">
              <c16:uniqueId val="{00000000-808A-9A41-B42F-5EB9CAF0CD8C}"/>
            </c:ext>
          </c:extLst>
        </c:ser>
        <c:ser>
          <c:idx val="1"/>
          <c:order val="1"/>
          <c:tx>
            <c:strRef>
              <c:f>Sheet1!$C$1</c:f>
              <c:strCache>
                <c:ptCount val="1"/>
                <c:pt idx="0">
                  <c:v>South Africa</c:v>
                </c:pt>
              </c:strCache>
            </c:strRef>
          </c:tx>
          <c:invertIfNegative val="0"/>
          <c:cat>
            <c:strRef>
              <c:f>Sheet1!$A$2</c:f>
              <c:strCache>
                <c:ptCount val="1"/>
                <c:pt idx="0">
                  <c:v>Moisture content</c:v>
                </c:pt>
              </c:strCache>
            </c:strRef>
          </c:cat>
          <c:val>
            <c:numRef>
              <c:f>Sheet1!$C$2</c:f>
              <c:numCache>
                <c:formatCode>General</c:formatCode>
                <c:ptCount val="1"/>
                <c:pt idx="0">
                  <c:v>2.7</c:v>
                </c:pt>
              </c:numCache>
            </c:numRef>
          </c:val>
          <c:extLst>
            <c:ext xmlns:c16="http://schemas.microsoft.com/office/drawing/2014/chart" uri="{C3380CC4-5D6E-409C-BE32-E72D297353CC}">
              <c16:uniqueId val="{00000001-808A-9A41-B42F-5EB9CAF0CD8C}"/>
            </c:ext>
          </c:extLst>
        </c:ser>
        <c:ser>
          <c:idx val="2"/>
          <c:order val="2"/>
          <c:tx>
            <c:strRef>
              <c:f>Sheet1!$D$1</c:f>
              <c:strCache>
                <c:ptCount val="1"/>
                <c:pt idx="0">
                  <c:v>India</c:v>
                </c:pt>
              </c:strCache>
            </c:strRef>
          </c:tx>
          <c:invertIfNegative val="0"/>
          <c:cat>
            <c:strRef>
              <c:f>Sheet1!$A$2</c:f>
              <c:strCache>
                <c:ptCount val="1"/>
                <c:pt idx="0">
                  <c:v>Moisture content</c:v>
                </c:pt>
              </c:strCache>
            </c:strRef>
          </c:cat>
          <c:val>
            <c:numRef>
              <c:f>Sheet1!$D$2</c:f>
              <c:numCache>
                <c:formatCode>General</c:formatCode>
                <c:ptCount val="1"/>
                <c:pt idx="0">
                  <c:v>3.79</c:v>
                </c:pt>
              </c:numCache>
            </c:numRef>
          </c:val>
          <c:extLst>
            <c:ext xmlns:c16="http://schemas.microsoft.com/office/drawing/2014/chart" uri="{C3380CC4-5D6E-409C-BE32-E72D297353CC}">
              <c16:uniqueId val="{00000002-808A-9A41-B42F-5EB9CAF0CD8C}"/>
            </c:ext>
          </c:extLst>
        </c:ser>
        <c:ser>
          <c:idx val="3"/>
          <c:order val="3"/>
          <c:tx>
            <c:strRef>
              <c:f>Sheet1!$E$1</c:f>
              <c:strCache>
                <c:ptCount val="1"/>
                <c:pt idx="0">
                  <c:v>Indonasia</c:v>
                </c:pt>
              </c:strCache>
            </c:strRef>
          </c:tx>
          <c:invertIfNegative val="0"/>
          <c:cat>
            <c:strRef>
              <c:f>Sheet1!$A$2</c:f>
              <c:strCache>
                <c:ptCount val="1"/>
                <c:pt idx="0">
                  <c:v>Moisture content</c:v>
                </c:pt>
              </c:strCache>
            </c:strRef>
          </c:cat>
          <c:val>
            <c:numRef>
              <c:f>Sheet1!$E$2</c:f>
              <c:numCache>
                <c:formatCode>General</c:formatCode>
                <c:ptCount val="1"/>
                <c:pt idx="0">
                  <c:v>5.15</c:v>
                </c:pt>
              </c:numCache>
            </c:numRef>
          </c:val>
          <c:extLst>
            <c:ext xmlns:c16="http://schemas.microsoft.com/office/drawing/2014/chart" uri="{C3380CC4-5D6E-409C-BE32-E72D297353CC}">
              <c16:uniqueId val="{00000003-808A-9A41-B42F-5EB9CAF0CD8C}"/>
            </c:ext>
          </c:extLst>
        </c:ser>
        <c:ser>
          <c:idx val="4"/>
          <c:order val="4"/>
          <c:tx>
            <c:strRef>
              <c:f>Sheet1!$F$1</c:f>
              <c:strCache>
                <c:ptCount val="1"/>
                <c:pt idx="0">
                  <c:v>Samaranggau</c:v>
                </c:pt>
              </c:strCache>
            </c:strRef>
          </c:tx>
          <c:invertIfNegative val="0"/>
          <c:cat>
            <c:strRef>
              <c:f>Sheet1!$A$2</c:f>
              <c:strCache>
                <c:ptCount val="1"/>
                <c:pt idx="0">
                  <c:v>Moisture content</c:v>
                </c:pt>
              </c:strCache>
            </c:strRef>
          </c:cat>
          <c:val>
            <c:numRef>
              <c:f>Sheet1!$F$2</c:f>
              <c:numCache>
                <c:formatCode>General</c:formatCode>
                <c:ptCount val="1"/>
                <c:pt idx="0">
                  <c:v>5.65</c:v>
                </c:pt>
              </c:numCache>
            </c:numRef>
          </c:val>
          <c:extLst>
            <c:ext xmlns:c16="http://schemas.microsoft.com/office/drawing/2014/chart" uri="{C3380CC4-5D6E-409C-BE32-E72D297353CC}">
              <c16:uniqueId val="{00000004-808A-9A41-B42F-5EB9CAF0CD8C}"/>
            </c:ext>
          </c:extLst>
        </c:ser>
        <c:dLbls>
          <c:showLegendKey val="0"/>
          <c:showVal val="0"/>
          <c:showCatName val="0"/>
          <c:showSerName val="0"/>
          <c:showPercent val="0"/>
          <c:showBubbleSize val="0"/>
        </c:dLbls>
        <c:gapWidth val="300"/>
        <c:axId val="77229056"/>
        <c:axId val="77239040"/>
      </c:barChart>
      <c:catAx>
        <c:axId val="7722905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7239040"/>
        <c:crosses val="autoZero"/>
        <c:auto val="1"/>
        <c:lblAlgn val="ctr"/>
        <c:lblOffset val="100"/>
        <c:noMultiLvlLbl val="0"/>
      </c:catAx>
      <c:valAx>
        <c:axId val="77239040"/>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a:t>
                </a:r>
                <a:r>
                  <a:rPr lang="en-US" baseline="0"/>
                  <a:t> composition (%)</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7229056"/>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 </c:v>
                </c:pt>
              </c:strCache>
            </c:strRef>
          </c:tx>
          <c:invertIfNegative val="0"/>
          <c:cat>
            <c:strRef>
              <c:f>Sheet1!$A$2</c:f>
              <c:strCache>
                <c:ptCount val="1"/>
                <c:pt idx="0">
                  <c:v>Ash Content </c:v>
                </c:pt>
              </c:strCache>
            </c:strRef>
          </c:cat>
          <c:val>
            <c:numRef>
              <c:f>Sheet1!$B$2</c:f>
              <c:numCache>
                <c:formatCode>General</c:formatCode>
                <c:ptCount val="1"/>
                <c:pt idx="0">
                  <c:v>15.12</c:v>
                </c:pt>
              </c:numCache>
            </c:numRef>
          </c:val>
          <c:extLst>
            <c:ext xmlns:c16="http://schemas.microsoft.com/office/drawing/2014/chart" uri="{C3380CC4-5D6E-409C-BE32-E72D297353CC}">
              <c16:uniqueId val="{00000000-613A-FE41-A735-78A7F4652118}"/>
            </c:ext>
          </c:extLst>
        </c:ser>
        <c:ser>
          <c:idx val="1"/>
          <c:order val="1"/>
          <c:tx>
            <c:strRef>
              <c:f>Sheet1!$C$1</c:f>
              <c:strCache>
                <c:ptCount val="1"/>
                <c:pt idx="0">
                  <c:v>South Africa</c:v>
                </c:pt>
              </c:strCache>
            </c:strRef>
          </c:tx>
          <c:invertIfNegative val="0"/>
          <c:cat>
            <c:strRef>
              <c:f>Sheet1!$A$2</c:f>
              <c:strCache>
                <c:ptCount val="1"/>
                <c:pt idx="0">
                  <c:v>Ash Content </c:v>
                </c:pt>
              </c:strCache>
            </c:strRef>
          </c:cat>
          <c:val>
            <c:numRef>
              <c:f>Sheet1!$C$2</c:f>
              <c:numCache>
                <c:formatCode>General</c:formatCode>
                <c:ptCount val="1"/>
                <c:pt idx="0">
                  <c:v>34.799999999999997</c:v>
                </c:pt>
              </c:numCache>
            </c:numRef>
          </c:val>
          <c:extLst>
            <c:ext xmlns:c16="http://schemas.microsoft.com/office/drawing/2014/chart" uri="{C3380CC4-5D6E-409C-BE32-E72D297353CC}">
              <c16:uniqueId val="{00000001-613A-FE41-A735-78A7F4652118}"/>
            </c:ext>
          </c:extLst>
        </c:ser>
        <c:ser>
          <c:idx val="2"/>
          <c:order val="2"/>
          <c:tx>
            <c:strRef>
              <c:f>Sheet1!$D$1</c:f>
              <c:strCache>
                <c:ptCount val="1"/>
                <c:pt idx="0">
                  <c:v>India</c:v>
                </c:pt>
              </c:strCache>
            </c:strRef>
          </c:tx>
          <c:invertIfNegative val="0"/>
          <c:cat>
            <c:strRef>
              <c:f>Sheet1!$A$2</c:f>
              <c:strCache>
                <c:ptCount val="1"/>
                <c:pt idx="0">
                  <c:v>Ash Content </c:v>
                </c:pt>
              </c:strCache>
            </c:strRef>
          </c:cat>
          <c:val>
            <c:numRef>
              <c:f>Sheet1!$D$2</c:f>
              <c:numCache>
                <c:formatCode>General</c:formatCode>
                <c:ptCount val="1"/>
                <c:pt idx="0">
                  <c:v>7.7</c:v>
                </c:pt>
              </c:numCache>
            </c:numRef>
          </c:val>
          <c:extLst>
            <c:ext xmlns:c16="http://schemas.microsoft.com/office/drawing/2014/chart" uri="{C3380CC4-5D6E-409C-BE32-E72D297353CC}">
              <c16:uniqueId val="{00000002-613A-FE41-A735-78A7F4652118}"/>
            </c:ext>
          </c:extLst>
        </c:ser>
        <c:ser>
          <c:idx val="3"/>
          <c:order val="3"/>
          <c:tx>
            <c:strRef>
              <c:f>Sheet1!$E$1</c:f>
              <c:strCache>
                <c:ptCount val="1"/>
                <c:pt idx="0">
                  <c:v>Indonesia</c:v>
                </c:pt>
              </c:strCache>
            </c:strRef>
          </c:tx>
          <c:invertIfNegative val="0"/>
          <c:cat>
            <c:strRef>
              <c:f>Sheet1!$A$2</c:f>
              <c:strCache>
                <c:ptCount val="1"/>
                <c:pt idx="0">
                  <c:v>Ash Content </c:v>
                </c:pt>
              </c:strCache>
            </c:strRef>
          </c:cat>
          <c:val>
            <c:numRef>
              <c:f>Sheet1!$E$2</c:f>
              <c:numCache>
                <c:formatCode>General</c:formatCode>
                <c:ptCount val="1"/>
                <c:pt idx="0">
                  <c:v>6.1</c:v>
                </c:pt>
              </c:numCache>
            </c:numRef>
          </c:val>
          <c:extLst>
            <c:ext xmlns:c16="http://schemas.microsoft.com/office/drawing/2014/chart" uri="{C3380CC4-5D6E-409C-BE32-E72D297353CC}">
              <c16:uniqueId val="{00000003-613A-FE41-A735-78A7F4652118}"/>
            </c:ext>
          </c:extLst>
        </c:ser>
        <c:ser>
          <c:idx val="4"/>
          <c:order val="4"/>
          <c:tx>
            <c:strRef>
              <c:f>Sheet1!$F$1</c:f>
              <c:strCache>
                <c:ptCount val="1"/>
                <c:pt idx="0">
                  <c:v>Samaranggau</c:v>
                </c:pt>
              </c:strCache>
            </c:strRef>
          </c:tx>
          <c:invertIfNegative val="0"/>
          <c:cat>
            <c:strRef>
              <c:f>Sheet1!$A$2</c:f>
              <c:strCache>
                <c:ptCount val="1"/>
                <c:pt idx="0">
                  <c:v>Ash Content </c:v>
                </c:pt>
              </c:strCache>
            </c:strRef>
          </c:cat>
          <c:val>
            <c:numRef>
              <c:f>Sheet1!$F$2</c:f>
              <c:numCache>
                <c:formatCode>General</c:formatCode>
                <c:ptCount val="1"/>
                <c:pt idx="0">
                  <c:v>2.61</c:v>
                </c:pt>
              </c:numCache>
            </c:numRef>
          </c:val>
          <c:extLst>
            <c:ext xmlns:c16="http://schemas.microsoft.com/office/drawing/2014/chart" uri="{C3380CC4-5D6E-409C-BE32-E72D297353CC}">
              <c16:uniqueId val="{00000004-613A-FE41-A735-78A7F4652118}"/>
            </c:ext>
          </c:extLst>
        </c:ser>
        <c:dLbls>
          <c:showLegendKey val="0"/>
          <c:showVal val="0"/>
          <c:showCatName val="0"/>
          <c:showSerName val="0"/>
          <c:showPercent val="0"/>
          <c:showBubbleSize val="0"/>
        </c:dLbls>
        <c:gapWidth val="300"/>
        <c:axId val="95096832"/>
        <c:axId val="95098368"/>
      </c:barChart>
      <c:catAx>
        <c:axId val="9509683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098368"/>
        <c:crosses val="autoZero"/>
        <c:auto val="1"/>
        <c:lblAlgn val="ctr"/>
        <c:lblOffset val="100"/>
        <c:noMultiLvlLbl val="0"/>
      </c:catAx>
      <c:valAx>
        <c:axId val="95098368"/>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 composition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096832"/>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c:v>
                </c:pt>
              </c:strCache>
            </c:strRef>
          </c:tx>
          <c:invertIfNegative val="0"/>
          <c:cat>
            <c:strRef>
              <c:f>Sheet1!$A$2</c:f>
              <c:strCache>
                <c:ptCount val="1"/>
                <c:pt idx="0">
                  <c:v>Volatile matter</c:v>
                </c:pt>
              </c:strCache>
            </c:strRef>
          </c:cat>
          <c:val>
            <c:numRef>
              <c:f>Sheet1!$B$2</c:f>
              <c:numCache>
                <c:formatCode>General</c:formatCode>
                <c:ptCount val="1"/>
                <c:pt idx="0">
                  <c:v>57.47</c:v>
                </c:pt>
              </c:numCache>
            </c:numRef>
          </c:val>
          <c:extLst>
            <c:ext xmlns:c16="http://schemas.microsoft.com/office/drawing/2014/chart" uri="{C3380CC4-5D6E-409C-BE32-E72D297353CC}">
              <c16:uniqueId val="{00000000-6DA6-9D41-8615-449F72811C1E}"/>
            </c:ext>
          </c:extLst>
        </c:ser>
        <c:ser>
          <c:idx val="1"/>
          <c:order val="1"/>
          <c:tx>
            <c:strRef>
              <c:f>Sheet1!$C$1</c:f>
              <c:strCache>
                <c:ptCount val="1"/>
                <c:pt idx="0">
                  <c:v>South African</c:v>
                </c:pt>
              </c:strCache>
            </c:strRef>
          </c:tx>
          <c:invertIfNegative val="0"/>
          <c:cat>
            <c:strRef>
              <c:f>Sheet1!$A$2</c:f>
              <c:strCache>
                <c:ptCount val="1"/>
                <c:pt idx="0">
                  <c:v>Volatile matter</c:v>
                </c:pt>
              </c:strCache>
            </c:strRef>
          </c:cat>
          <c:val>
            <c:numRef>
              <c:f>Sheet1!$C$2</c:f>
              <c:numCache>
                <c:formatCode>General</c:formatCode>
                <c:ptCount val="1"/>
                <c:pt idx="0">
                  <c:v>26.2</c:v>
                </c:pt>
              </c:numCache>
            </c:numRef>
          </c:val>
          <c:extLst>
            <c:ext xmlns:c16="http://schemas.microsoft.com/office/drawing/2014/chart" uri="{C3380CC4-5D6E-409C-BE32-E72D297353CC}">
              <c16:uniqueId val="{00000001-6DA6-9D41-8615-449F72811C1E}"/>
            </c:ext>
          </c:extLst>
        </c:ser>
        <c:ser>
          <c:idx val="2"/>
          <c:order val="2"/>
          <c:tx>
            <c:strRef>
              <c:f>Sheet1!$D$1</c:f>
              <c:strCache>
                <c:ptCount val="1"/>
                <c:pt idx="0">
                  <c:v>India</c:v>
                </c:pt>
              </c:strCache>
            </c:strRef>
          </c:tx>
          <c:invertIfNegative val="0"/>
          <c:cat>
            <c:strRef>
              <c:f>Sheet1!$A$2</c:f>
              <c:strCache>
                <c:ptCount val="1"/>
                <c:pt idx="0">
                  <c:v>Volatile matter</c:v>
                </c:pt>
              </c:strCache>
            </c:strRef>
          </c:cat>
          <c:val>
            <c:numRef>
              <c:f>Sheet1!$D$2</c:f>
              <c:numCache>
                <c:formatCode>General</c:formatCode>
                <c:ptCount val="1"/>
                <c:pt idx="0">
                  <c:v>33.299999999999997</c:v>
                </c:pt>
              </c:numCache>
            </c:numRef>
          </c:val>
          <c:extLst>
            <c:ext xmlns:c16="http://schemas.microsoft.com/office/drawing/2014/chart" uri="{C3380CC4-5D6E-409C-BE32-E72D297353CC}">
              <c16:uniqueId val="{00000002-6DA6-9D41-8615-449F72811C1E}"/>
            </c:ext>
          </c:extLst>
        </c:ser>
        <c:ser>
          <c:idx val="3"/>
          <c:order val="3"/>
          <c:tx>
            <c:strRef>
              <c:f>Sheet1!$E$1</c:f>
              <c:strCache>
                <c:ptCount val="1"/>
                <c:pt idx="0">
                  <c:v>Indonesia</c:v>
                </c:pt>
              </c:strCache>
            </c:strRef>
          </c:tx>
          <c:invertIfNegative val="0"/>
          <c:cat>
            <c:strRef>
              <c:f>Sheet1!$A$2</c:f>
              <c:strCache>
                <c:ptCount val="1"/>
                <c:pt idx="0">
                  <c:v>Volatile matter</c:v>
                </c:pt>
              </c:strCache>
            </c:strRef>
          </c:cat>
          <c:val>
            <c:numRef>
              <c:f>Sheet1!$E$2</c:f>
              <c:numCache>
                <c:formatCode>General</c:formatCode>
                <c:ptCount val="1"/>
                <c:pt idx="0">
                  <c:v>46.41</c:v>
                </c:pt>
              </c:numCache>
            </c:numRef>
          </c:val>
          <c:extLst>
            <c:ext xmlns:c16="http://schemas.microsoft.com/office/drawing/2014/chart" uri="{C3380CC4-5D6E-409C-BE32-E72D297353CC}">
              <c16:uniqueId val="{00000003-6DA6-9D41-8615-449F72811C1E}"/>
            </c:ext>
          </c:extLst>
        </c:ser>
        <c:ser>
          <c:idx val="4"/>
          <c:order val="4"/>
          <c:tx>
            <c:strRef>
              <c:f>Sheet1!$F$1</c:f>
              <c:strCache>
                <c:ptCount val="1"/>
                <c:pt idx="0">
                  <c:v>Samranggau</c:v>
                </c:pt>
              </c:strCache>
            </c:strRef>
          </c:tx>
          <c:invertIfNegative val="0"/>
          <c:cat>
            <c:strRef>
              <c:f>Sheet1!$A$2</c:f>
              <c:strCache>
                <c:ptCount val="1"/>
                <c:pt idx="0">
                  <c:v>Volatile matter</c:v>
                </c:pt>
              </c:strCache>
            </c:strRef>
          </c:cat>
          <c:val>
            <c:numRef>
              <c:f>Sheet1!$F$2</c:f>
              <c:numCache>
                <c:formatCode>General</c:formatCode>
                <c:ptCount val="1"/>
                <c:pt idx="0">
                  <c:v>47.67</c:v>
                </c:pt>
              </c:numCache>
            </c:numRef>
          </c:val>
          <c:extLst>
            <c:ext xmlns:c16="http://schemas.microsoft.com/office/drawing/2014/chart" uri="{C3380CC4-5D6E-409C-BE32-E72D297353CC}">
              <c16:uniqueId val="{00000004-6DA6-9D41-8615-449F72811C1E}"/>
            </c:ext>
          </c:extLst>
        </c:ser>
        <c:dLbls>
          <c:showLegendKey val="0"/>
          <c:showVal val="0"/>
          <c:showCatName val="0"/>
          <c:showSerName val="0"/>
          <c:showPercent val="0"/>
          <c:showBubbleSize val="0"/>
        </c:dLbls>
        <c:gapWidth val="300"/>
        <c:axId val="95118080"/>
        <c:axId val="95119616"/>
      </c:barChart>
      <c:catAx>
        <c:axId val="951180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119616"/>
        <c:crosses val="autoZero"/>
        <c:auto val="1"/>
        <c:lblAlgn val="ctr"/>
        <c:lblOffset val="100"/>
        <c:noMultiLvlLbl val="0"/>
      </c:catAx>
      <c:valAx>
        <c:axId val="95119616"/>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 composition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118080"/>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Kenya</c:v>
                </c:pt>
              </c:strCache>
            </c:strRef>
          </c:tx>
          <c:invertIfNegative val="0"/>
          <c:cat>
            <c:strRef>
              <c:f>Sheet1!$A$2</c:f>
              <c:strCache>
                <c:ptCount val="1"/>
                <c:pt idx="0">
                  <c:v>Fixed carbon content </c:v>
                </c:pt>
              </c:strCache>
            </c:strRef>
          </c:cat>
          <c:val>
            <c:numRef>
              <c:f>Sheet1!$B$2</c:f>
              <c:numCache>
                <c:formatCode>General</c:formatCode>
                <c:ptCount val="1"/>
                <c:pt idx="0">
                  <c:v>23.18</c:v>
                </c:pt>
              </c:numCache>
            </c:numRef>
          </c:val>
          <c:extLst>
            <c:ext xmlns:c16="http://schemas.microsoft.com/office/drawing/2014/chart" uri="{C3380CC4-5D6E-409C-BE32-E72D297353CC}">
              <c16:uniqueId val="{00000000-735E-344B-8DEB-9171F0379E89}"/>
            </c:ext>
          </c:extLst>
        </c:ser>
        <c:ser>
          <c:idx val="1"/>
          <c:order val="1"/>
          <c:tx>
            <c:strRef>
              <c:f>Sheet1!$C$1</c:f>
              <c:strCache>
                <c:ptCount val="1"/>
                <c:pt idx="0">
                  <c:v>South Africa</c:v>
                </c:pt>
              </c:strCache>
            </c:strRef>
          </c:tx>
          <c:invertIfNegative val="0"/>
          <c:cat>
            <c:strRef>
              <c:f>Sheet1!$A$2</c:f>
              <c:strCache>
                <c:ptCount val="1"/>
                <c:pt idx="0">
                  <c:v>Fixed carbon content </c:v>
                </c:pt>
              </c:strCache>
            </c:strRef>
          </c:cat>
          <c:val>
            <c:numRef>
              <c:f>Sheet1!$C$2</c:f>
              <c:numCache>
                <c:formatCode>General</c:formatCode>
                <c:ptCount val="1"/>
                <c:pt idx="0">
                  <c:v>36.299999999999997</c:v>
                </c:pt>
              </c:numCache>
            </c:numRef>
          </c:val>
          <c:extLst>
            <c:ext xmlns:c16="http://schemas.microsoft.com/office/drawing/2014/chart" uri="{C3380CC4-5D6E-409C-BE32-E72D297353CC}">
              <c16:uniqueId val="{00000001-735E-344B-8DEB-9171F0379E89}"/>
            </c:ext>
          </c:extLst>
        </c:ser>
        <c:ser>
          <c:idx val="2"/>
          <c:order val="2"/>
          <c:tx>
            <c:strRef>
              <c:f>Sheet1!$D$1</c:f>
              <c:strCache>
                <c:ptCount val="1"/>
                <c:pt idx="0">
                  <c:v>India</c:v>
                </c:pt>
              </c:strCache>
            </c:strRef>
          </c:tx>
          <c:invertIfNegative val="0"/>
          <c:cat>
            <c:strRef>
              <c:f>Sheet1!$A$2</c:f>
              <c:strCache>
                <c:ptCount val="1"/>
                <c:pt idx="0">
                  <c:v>Fixed carbon content </c:v>
                </c:pt>
              </c:strCache>
            </c:strRef>
          </c:cat>
          <c:val>
            <c:numRef>
              <c:f>Sheet1!$D$2</c:f>
              <c:numCache>
                <c:formatCode>General</c:formatCode>
                <c:ptCount val="1"/>
                <c:pt idx="0">
                  <c:v>53.3</c:v>
                </c:pt>
              </c:numCache>
            </c:numRef>
          </c:val>
          <c:extLst>
            <c:ext xmlns:c16="http://schemas.microsoft.com/office/drawing/2014/chart" uri="{C3380CC4-5D6E-409C-BE32-E72D297353CC}">
              <c16:uniqueId val="{00000002-735E-344B-8DEB-9171F0379E89}"/>
            </c:ext>
          </c:extLst>
        </c:ser>
        <c:ser>
          <c:idx val="3"/>
          <c:order val="3"/>
          <c:tx>
            <c:strRef>
              <c:f>Sheet1!$E$1</c:f>
              <c:strCache>
                <c:ptCount val="1"/>
                <c:pt idx="0">
                  <c:v>Indonesia</c:v>
                </c:pt>
              </c:strCache>
            </c:strRef>
          </c:tx>
          <c:invertIfNegative val="0"/>
          <c:cat>
            <c:strRef>
              <c:f>Sheet1!$A$2</c:f>
              <c:strCache>
                <c:ptCount val="1"/>
                <c:pt idx="0">
                  <c:v>Fixed carbon content </c:v>
                </c:pt>
              </c:strCache>
            </c:strRef>
          </c:cat>
          <c:val>
            <c:numRef>
              <c:f>Sheet1!$E$2</c:f>
              <c:numCache>
                <c:formatCode>General</c:formatCode>
                <c:ptCount val="1"/>
                <c:pt idx="0">
                  <c:v>42.34</c:v>
                </c:pt>
              </c:numCache>
            </c:numRef>
          </c:val>
          <c:extLst>
            <c:ext xmlns:c16="http://schemas.microsoft.com/office/drawing/2014/chart" uri="{C3380CC4-5D6E-409C-BE32-E72D297353CC}">
              <c16:uniqueId val="{00000003-735E-344B-8DEB-9171F0379E89}"/>
            </c:ext>
          </c:extLst>
        </c:ser>
        <c:ser>
          <c:idx val="4"/>
          <c:order val="4"/>
          <c:tx>
            <c:strRef>
              <c:f>Sheet1!$F$1</c:f>
              <c:strCache>
                <c:ptCount val="1"/>
                <c:pt idx="0">
                  <c:v>Samarangau</c:v>
                </c:pt>
              </c:strCache>
            </c:strRef>
          </c:tx>
          <c:invertIfNegative val="0"/>
          <c:cat>
            <c:strRef>
              <c:f>Sheet1!$A$2</c:f>
              <c:strCache>
                <c:ptCount val="1"/>
                <c:pt idx="0">
                  <c:v>Fixed carbon content </c:v>
                </c:pt>
              </c:strCache>
            </c:strRef>
          </c:cat>
          <c:val>
            <c:numRef>
              <c:f>Sheet1!$F$2</c:f>
              <c:numCache>
                <c:formatCode>General</c:formatCode>
                <c:ptCount val="1"/>
                <c:pt idx="0">
                  <c:v>45.07</c:v>
                </c:pt>
              </c:numCache>
            </c:numRef>
          </c:val>
          <c:extLst>
            <c:ext xmlns:c16="http://schemas.microsoft.com/office/drawing/2014/chart" uri="{C3380CC4-5D6E-409C-BE32-E72D297353CC}">
              <c16:uniqueId val="{00000004-735E-344B-8DEB-9171F0379E89}"/>
            </c:ext>
          </c:extLst>
        </c:ser>
        <c:dLbls>
          <c:showLegendKey val="0"/>
          <c:showVal val="0"/>
          <c:showCatName val="0"/>
          <c:showSerName val="0"/>
          <c:showPercent val="0"/>
          <c:showBubbleSize val="0"/>
        </c:dLbls>
        <c:gapWidth val="300"/>
        <c:axId val="95200384"/>
        <c:axId val="95201920"/>
      </c:barChart>
      <c:catAx>
        <c:axId val="95200384"/>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201920"/>
        <c:crosses val="autoZero"/>
        <c:auto val="1"/>
        <c:lblAlgn val="ctr"/>
        <c:lblOffset val="100"/>
        <c:noMultiLvlLbl val="0"/>
      </c:catAx>
      <c:valAx>
        <c:axId val="95201920"/>
        <c:scaling>
          <c:orientation val="minMax"/>
        </c:scaling>
        <c:delete val="0"/>
        <c:axPos val="l"/>
        <c:majorGridlines/>
        <c:minorGridlines>
          <c:spPr>
            <a:ln w="9525" cap="flat" cmpd="sng" algn="ctr">
              <a:noFill/>
              <a:prstDash val="solid"/>
              <a:round/>
            </a:ln>
          </c:spPr>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Mass composition (%)</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5200384"/>
        <c:crosses val="autoZero"/>
        <c:crossBetween val="between"/>
      </c:valAx>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G.C.V.</c:v>
                </c:pt>
              </c:strCache>
            </c:strRef>
          </c:tx>
          <c:dPt>
            <c:idx val="0"/>
            <c:bubble3D val="0"/>
            <c:extLst>
              <c:ext xmlns:c16="http://schemas.microsoft.com/office/drawing/2014/chart" uri="{C3380CC4-5D6E-409C-BE32-E72D297353CC}">
                <c16:uniqueId val="{00000000-0F37-164B-829F-C81F773EF867}"/>
              </c:ext>
            </c:extLst>
          </c:dPt>
          <c:dPt>
            <c:idx val="1"/>
            <c:bubble3D val="0"/>
            <c:extLst>
              <c:ext xmlns:c16="http://schemas.microsoft.com/office/drawing/2014/chart" uri="{C3380CC4-5D6E-409C-BE32-E72D297353CC}">
                <c16:uniqueId val="{00000001-0F37-164B-829F-C81F773EF867}"/>
              </c:ext>
            </c:extLst>
          </c:dPt>
          <c:dPt>
            <c:idx val="2"/>
            <c:bubble3D val="0"/>
            <c:extLst>
              <c:ext xmlns:c16="http://schemas.microsoft.com/office/drawing/2014/chart" uri="{C3380CC4-5D6E-409C-BE32-E72D297353CC}">
                <c16:uniqueId val="{00000002-0F37-164B-829F-C81F773EF867}"/>
              </c:ext>
            </c:extLst>
          </c:dPt>
          <c:dPt>
            <c:idx val="3"/>
            <c:bubble3D val="0"/>
            <c:extLst>
              <c:ext xmlns:c16="http://schemas.microsoft.com/office/drawing/2014/chart" uri="{C3380CC4-5D6E-409C-BE32-E72D297353CC}">
                <c16:uniqueId val="{00000003-0F37-164B-829F-C81F773EF867}"/>
              </c:ext>
            </c:extLst>
          </c:dPt>
          <c:dLbls>
            <c:dLbl>
              <c:idx val="0"/>
              <c:tx>
                <c:rich>
                  <a:bodyPr/>
                  <a:lstStyle/>
                  <a:p>
                    <a:fld id="{36E2F2B1-6F48-AE48-87A5-39D74CC2E8CC}" type="CATEGORYNAME">
                      <a:rPr lang="en-US" sz="800"/>
                      <a:pPr/>
                      <a:t>[CATEGORY NAME]</a:t>
                    </a:fld>
                    <a:r>
                      <a:rPr lang="en-US" sz="800" baseline="0"/>
                      <a:t>, </a:t>
                    </a:r>
                    <a:fld id="{FB895CF5-55A6-1444-90C5-34E4FF465700}" type="VALUE">
                      <a:rPr lang="en-US" sz="800" baseline="0"/>
                      <a:pPr/>
                      <a:t>[VALUE]</a:t>
                    </a:fld>
                    <a:endParaRPr lang="en-US" sz="800"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F37-164B-829F-C81F773EF867}"/>
                </c:ext>
              </c:extLst>
            </c:dLbl>
            <c:dLbl>
              <c:idx val="1"/>
              <c:tx>
                <c:rich>
                  <a:bodyPr/>
                  <a:lstStyle/>
                  <a:p>
                    <a:fld id="{F9206ED8-3A4C-D840-96CA-93C7DAC5FDE5}" type="CATEGORYNAME">
                      <a:rPr lang="en-US" sz="800"/>
                      <a:pPr/>
                      <a:t>[CATEGORY NAME]</a:t>
                    </a:fld>
                    <a:r>
                      <a:rPr lang="en-US" sz="800" baseline="0"/>
                      <a:t>, </a:t>
                    </a:r>
                    <a:fld id="{A4169C2D-B499-2B46-943C-6F0C53FDB2F1}" type="VALUE">
                      <a:rPr lang="en-US" sz="800" baseline="0"/>
                      <a:pPr/>
                      <a:t>[VALUE]</a:t>
                    </a:fld>
                    <a:endParaRPr lang="en-US" sz="800"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F37-164B-829F-C81F773EF867}"/>
                </c:ext>
              </c:extLst>
            </c:dLbl>
            <c:dLbl>
              <c:idx val="2"/>
              <c:tx>
                <c:rich>
                  <a:bodyPr/>
                  <a:lstStyle/>
                  <a:p>
                    <a:fld id="{C826F7ED-6E8C-BF4C-AA4F-5AFA6F5B4718}" type="CATEGORYNAME">
                      <a:rPr lang="en-US" sz="800"/>
                      <a:pPr/>
                      <a:t>[CATEGORY NAME]</a:t>
                    </a:fld>
                    <a:r>
                      <a:rPr lang="en-US" sz="800" baseline="0"/>
                      <a:t>, </a:t>
                    </a:r>
                    <a:fld id="{A08B7C50-8809-CB4C-881A-A8114A4ACBD1}" type="VALUE">
                      <a:rPr lang="en-US" sz="800" baseline="0"/>
                      <a:pPr/>
                      <a:t>[VALUE]</a:t>
                    </a:fld>
                    <a:endParaRPr lang="en-US" sz="800"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F37-164B-829F-C81F773EF867}"/>
                </c:ext>
              </c:extLst>
            </c:dLbl>
            <c:dLbl>
              <c:idx val="3"/>
              <c:tx>
                <c:rich>
                  <a:bodyPr/>
                  <a:lstStyle/>
                  <a:p>
                    <a:fld id="{3195C5DC-4CF7-4644-A29E-C8216B4616A9}" type="CATEGORYNAME">
                      <a:rPr lang="en-US" sz="800"/>
                      <a:pPr/>
                      <a:t>[CATEGORY NAME]</a:t>
                    </a:fld>
                    <a:r>
                      <a:rPr lang="en-US" sz="800" baseline="0"/>
                      <a:t>, </a:t>
                    </a:r>
                    <a:fld id="{AF593585-A127-EF43-B5EF-6E900A1DDFF2}" type="VALUE">
                      <a:rPr lang="en-US" sz="800" baseline="0"/>
                      <a:pPr/>
                      <a:t>[VALUE]</a:t>
                    </a:fld>
                    <a:endParaRPr lang="en-US" sz="800" baseline="0"/>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F37-164B-829F-C81F773EF867}"/>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Sheet1!$A$2:$A$5</c:f>
              <c:strCache>
                <c:ptCount val="4"/>
                <c:pt idx="0">
                  <c:v>Kenya</c:v>
                </c:pt>
                <c:pt idx="1">
                  <c:v>South Africa</c:v>
                </c:pt>
                <c:pt idx="2">
                  <c:v>Indonesia</c:v>
                </c:pt>
                <c:pt idx="3">
                  <c:v>Samaranggau</c:v>
                </c:pt>
              </c:strCache>
            </c:strRef>
          </c:cat>
          <c:val>
            <c:numRef>
              <c:f>Sheet1!$B$2:$B$5</c:f>
              <c:numCache>
                <c:formatCode>General</c:formatCode>
                <c:ptCount val="4"/>
                <c:pt idx="0">
                  <c:v>24434</c:v>
                </c:pt>
                <c:pt idx="1">
                  <c:v>20526</c:v>
                </c:pt>
                <c:pt idx="2">
                  <c:v>26986.71</c:v>
                </c:pt>
                <c:pt idx="3">
                  <c:v>26401.040000000001</c:v>
                </c:pt>
              </c:numCache>
            </c:numRef>
          </c:val>
          <c:extLst>
            <c:ext xmlns:c16="http://schemas.microsoft.com/office/drawing/2014/chart" uri="{C3380CC4-5D6E-409C-BE32-E72D297353CC}">
              <c16:uniqueId val="{00000004-0F37-164B-829F-C81F773EF867}"/>
            </c:ext>
          </c:extLst>
        </c:ser>
        <c:dLbls>
          <c:showLegendKey val="0"/>
          <c:showVal val="1"/>
          <c:showCatName val="1"/>
          <c:showSerName val="0"/>
          <c:showPercent val="0"/>
          <c:showBubbleSize val="0"/>
          <c:showLeaderLines val="1"/>
        </c:dLbls>
        <c:firstSliceAng val="0"/>
      </c:pieChart>
    </c:plotArea>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859</TotalTime>
  <Pages>8</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Editor-20</cp:lastModifiedBy>
  <cp:revision>175</cp:revision>
  <cp:lastPrinted>1980-01-01T01:44:00Z</cp:lastPrinted>
  <dcterms:created xsi:type="dcterms:W3CDTF">2022-03-08T18:22:00Z</dcterms:created>
  <dcterms:modified xsi:type="dcterms:W3CDTF">2026-03-16T12:12:00Z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1033-5.3.0.7932</vt:lpwstr>
  </property>
</Properties>
</file>