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532BB" w14:textId="77777777" w:rsidR="00066D46" w:rsidRDefault="004D460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EXCHANGE-RATE DEPRECIATION AND EXCHANGE-RATE PASS-THROUGH TO PHARMACEUTICAL PRICES IN INDIA (2014–2024)</w:t>
      </w:r>
    </w:p>
    <w:p w14:paraId="2A431992" w14:textId="77777777" w:rsidR="00C10A33" w:rsidRDefault="00C10A33">
      <w:pPr>
        <w:jc w:val="center"/>
        <w:rPr>
          <w:rFonts w:ascii="Times New Roman" w:eastAsia="Times New Roman" w:hAnsi="Times New Roman" w:cs="Times New Roman"/>
          <w:b/>
          <w:bCs/>
          <w:sz w:val="24"/>
          <w:szCs w:val="24"/>
        </w:rPr>
      </w:pPr>
    </w:p>
    <w:p w14:paraId="4F034785" w14:textId="77777777" w:rsidR="00066D46" w:rsidRDefault="004D460E">
      <w:pPr>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4BDBA955" w14:textId="77777777" w:rsidR="00066D46" w:rsidRDefault="004D460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44FC10E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of this research paper is how much exchange rate pass-through occurs (ERPT) in the realm of Indian pharmaceuticals from 2014 through 2024. While this geographic area has a great deal of global competition with its finished pharmac</w:t>
      </w:r>
      <w:r>
        <w:rPr>
          <w:rFonts w:ascii="Times New Roman" w:eastAsia="Times New Roman" w:hAnsi="Times New Roman" w:cs="Times New Roman"/>
          <w:sz w:val="24"/>
          <w:szCs w:val="24"/>
        </w:rPr>
        <w:t>eutical products, the industry is also heavily reliant upon using Active Pharmaceutical Ingredients (APIs) from foreign sources, thus having its costs of production very much subject to changes in the USD/INR exchange rate. Therefore, by using annual aggre</w:t>
      </w:r>
      <w:r>
        <w:rPr>
          <w:rFonts w:ascii="Times New Roman" w:eastAsia="Times New Roman" w:hAnsi="Times New Roman" w:cs="Times New Roman"/>
          <w:sz w:val="24"/>
          <w:szCs w:val="24"/>
        </w:rPr>
        <w:t>gated time series data, several models, specifically baseline regressions, dynamic lags, and interaction terms with respect to imports, have been employed to assess the degree or value of ERPT to both wholesale pharmaceutical prices (WPI–Pharmaceuticals) a</w:t>
      </w:r>
      <w:r>
        <w:rPr>
          <w:rFonts w:ascii="Times New Roman" w:eastAsia="Times New Roman" w:hAnsi="Times New Roman" w:cs="Times New Roman"/>
          <w:sz w:val="24"/>
          <w:szCs w:val="24"/>
        </w:rPr>
        <w:t xml:space="preserve">nd retail medicine prices (CPI-Medicines). In general, ERPT has been present at considerable rates; however, between levels of producer versus consumer prices, ERPT is observed to transmit at a greater degree and at a faster rate for producers compared to </w:t>
      </w:r>
      <w:r>
        <w:rPr>
          <w:rFonts w:ascii="Times New Roman" w:eastAsia="Times New Roman" w:hAnsi="Times New Roman" w:cs="Times New Roman"/>
          <w:sz w:val="24"/>
          <w:szCs w:val="24"/>
        </w:rPr>
        <w:t>consumers. Import dependence also magnified the impact of ERPT at the producer level. All results indicated sustained levels of reliability upon further determination of validity.</w:t>
      </w:r>
    </w:p>
    <w:p w14:paraId="15220EEB"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56A31766"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pharmaceutical sector is essential in providing af</w:t>
      </w:r>
      <w:r>
        <w:rPr>
          <w:rFonts w:ascii="Times New Roman" w:eastAsia="Times New Roman" w:hAnsi="Times New Roman" w:cs="Times New Roman"/>
          <w:sz w:val="24"/>
          <w:szCs w:val="24"/>
        </w:rPr>
        <w:t>fordable healthcare in India and as one of the largest suppliers of generic medications globally. Its exports of finished formulations are significant, but the industry continues to depend heavily on importing active pharmaceutical ingredients (APIs) and i</w:t>
      </w:r>
      <w:r>
        <w:rPr>
          <w:rFonts w:ascii="Times New Roman" w:eastAsia="Times New Roman" w:hAnsi="Times New Roman" w:cs="Times New Roman"/>
          <w:sz w:val="24"/>
          <w:szCs w:val="24"/>
        </w:rPr>
        <w:t>ntermediates, many of which are strongly correlated with the US dollar. Hence, the changes in the USD/INR currency exchange rate have an immediate impact on the cost of production. When the Indian rupee declines in value, it creates an increase in the dome</w:t>
      </w:r>
      <w:r>
        <w:rPr>
          <w:rFonts w:ascii="Times New Roman" w:eastAsia="Times New Roman" w:hAnsi="Times New Roman" w:cs="Times New Roman"/>
          <w:sz w:val="24"/>
          <w:szCs w:val="24"/>
        </w:rPr>
        <w:t>stic cost of imported goods, creating a cost push at the time of manufacturing, which can affect the price of drugs at the wholesale and retail levels.</w:t>
      </w:r>
    </w:p>
    <w:p w14:paraId="49C58F94"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Exchange rate pass-through (ERPT), how much of a change in exchange rates is passed through to domestic </w:t>
      </w:r>
      <w:r>
        <w:rPr>
          <w:rFonts w:ascii="Times New Roman" w:eastAsia="Times New Roman" w:hAnsi="Times New Roman" w:cs="Times New Roman"/>
          <w:sz w:val="24"/>
          <w:szCs w:val="24"/>
        </w:rPr>
        <w:t xml:space="preserve">prices, varies across sectors at different rates depending on the degree of </w:t>
      </w:r>
      <w:r>
        <w:rPr>
          <w:rFonts w:ascii="Times New Roman" w:eastAsia="Times New Roman" w:hAnsi="Times New Roman" w:cs="Times New Roman"/>
          <w:sz w:val="24"/>
          <w:szCs w:val="24"/>
        </w:rPr>
        <w:lastRenderedPageBreak/>
        <w:t>imported goods, the level of competition in the market, the pricing policies for that sector, and any rigidity in the structure of adjusting the pricing of the imported good. For e</w:t>
      </w:r>
      <w:r>
        <w:rPr>
          <w:rFonts w:ascii="Times New Roman" w:eastAsia="Times New Roman" w:hAnsi="Times New Roman" w:cs="Times New Roman"/>
          <w:sz w:val="24"/>
          <w:szCs w:val="24"/>
        </w:rPr>
        <w:t>xample, in industries that rely heavily upon imported goods, such as the pharmaceutical sector, the producers of drugs will tend to face the impact of the changes in the value of the dollar more quickly as the cost of their raw materials increases immediat</w:t>
      </w:r>
      <w:r>
        <w:rPr>
          <w:rFonts w:ascii="Times New Roman" w:eastAsia="Times New Roman" w:hAnsi="Times New Roman" w:cs="Times New Roman"/>
          <w:sz w:val="24"/>
          <w:szCs w:val="24"/>
        </w:rPr>
        <w:t>ely. However, the price that the consumer pays may not adjust to the increases at the same rate as the producer prices due to the effect of distribution margins, retail markups, and their desire to maintain the stability of their consumer base.</w:t>
      </w:r>
    </w:p>
    <w:p w14:paraId="3B21ED58"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w:t>
      </w:r>
      <w:r>
        <w:rPr>
          <w:rFonts w:ascii="Times New Roman" w:eastAsia="Times New Roman" w:hAnsi="Times New Roman" w:cs="Times New Roman"/>
          <w:sz w:val="24"/>
          <w:szCs w:val="24"/>
        </w:rPr>
        <w:t xml:space="preserve"> sector is reliant on imports, it is necessary to note the size, time, and difference in impacts caused by the foreign exchange rate when researching pharmaceutical producer and consumer prices that were impacted by the rupee devaluation between 2014 and 2</w:t>
      </w:r>
      <w:r>
        <w:rPr>
          <w:rFonts w:ascii="Times New Roman" w:eastAsia="Times New Roman" w:hAnsi="Times New Roman" w:cs="Times New Roman"/>
          <w:sz w:val="24"/>
          <w:szCs w:val="24"/>
        </w:rPr>
        <w:t>024. This research intends to determine if there was a significant change in the producer and consumer prices in the pharmaceutical industry. There is a difference between the level of transmission to the producer level and to the consumer level. There may</w:t>
      </w:r>
      <w:r>
        <w:rPr>
          <w:rFonts w:ascii="Times New Roman" w:eastAsia="Times New Roman" w:hAnsi="Times New Roman" w:cs="Times New Roman"/>
          <w:sz w:val="24"/>
          <w:szCs w:val="24"/>
        </w:rPr>
        <w:t xml:space="preserve"> also be a difference in the level of impact on prices caused by the level of input from imports that are used by the pharmaceutical industry. Understanding how inflation is impacted by different variables in the pharmaceutical industry is important, as it</w:t>
      </w:r>
      <w:r>
        <w:rPr>
          <w:rFonts w:ascii="Times New Roman" w:eastAsia="Times New Roman" w:hAnsi="Times New Roman" w:cs="Times New Roman"/>
          <w:sz w:val="24"/>
          <w:szCs w:val="24"/>
        </w:rPr>
        <w:t xml:space="preserve"> will inform future inflationary adjustment includes consideration for these as well.</w:t>
      </w:r>
    </w:p>
    <w:p w14:paraId="1F9B14E0"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REVIEW OF LITERATURE: </w:t>
      </w:r>
    </w:p>
    <w:p w14:paraId="1B7C88E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Pass Through (ERPT) refers to the degree to which changes in exchange rates affect or influence domestic prices. Classical Economics suggests that when a currency depreciates, the domestic price of imports will increase. It will then create a</w:t>
      </w:r>
      <w:r>
        <w:rPr>
          <w:rFonts w:ascii="Times New Roman" w:eastAsia="Times New Roman" w:hAnsi="Times New Roman" w:cs="Times New Roman"/>
          <w:sz w:val="24"/>
          <w:szCs w:val="24"/>
        </w:rPr>
        <w:t xml:space="preserve">n increase in the production costs and contribute to inflation through cost-push. However, the empirical literature to date has shown that the pass-through differed significantly from country to country, with some instances found that there was a complete </w:t>
      </w:r>
      <w:r>
        <w:rPr>
          <w:rFonts w:ascii="Times New Roman" w:eastAsia="Times New Roman" w:hAnsi="Times New Roman" w:cs="Times New Roman"/>
          <w:sz w:val="24"/>
          <w:szCs w:val="24"/>
        </w:rPr>
        <w:t>pass-through, while in other cases the evidence indicated an incomplete pass-through (Goldberg &amp; Knetter, 1997). The incomplete nature of pass-through may be explained by factors such as rigidities in price, competition in the market, contracts, and govern</w:t>
      </w:r>
      <w:r>
        <w:rPr>
          <w:rFonts w:ascii="Times New Roman" w:eastAsia="Times New Roman" w:hAnsi="Times New Roman" w:cs="Times New Roman"/>
          <w:sz w:val="24"/>
          <w:szCs w:val="24"/>
        </w:rPr>
        <w:t>ment actions. Taylor (2000) contends that in low-inflation countries and in countries where there is a high level of regulation, firms will, on average, absorb the exchange rate shocks rather than immediately increase prices.</w:t>
      </w:r>
    </w:p>
    <w:p w14:paraId="139DC4B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as of late has placed</w:t>
      </w:r>
      <w:r>
        <w:rPr>
          <w:rFonts w:ascii="Times New Roman" w:eastAsia="Times New Roman" w:hAnsi="Times New Roman" w:cs="Times New Roman"/>
          <w:sz w:val="24"/>
          <w:szCs w:val="24"/>
        </w:rPr>
        <w:t xml:space="preserve"> increasing focus on the distinction between short-run and long-run exchange rate pass-through. Firms tend to </w:t>
      </w:r>
      <w:proofErr w:type="gramStart"/>
      <w:r>
        <w:rPr>
          <w:rFonts w:ascii="Times New Roman" w:eastAsia="Times New Roman" w:hAnsi="Times New Roman" w:cs="Times New Roman"/>
          <w:sz w:val="24"/>
          <w:szCs w:val="24"/>
        </w:rPr>
        <w:t>take action</w:t>
      </w:r>
      <w:proofErr w:type="gramEnd"/>
      <w:r>
        <w:rPr>
          <w:rFonts w:ascii="Times New Roman" w:eastAsia="Times New Roman" w:hAnsi="Times New Roman" w:cs="Times New Roman"/>
          <w:sz w:val="24"/>
          <w:szCs w:val="24"/>
        </w:rPr>
        <w:t xml:space="preserve"> either by changing profit margins or changing sourcing strategies in response to cost shocks in the short run, whereas over the long r</w:t>
      </w:r>
      <w:r>
        <w:rPr>
          <w:rFonts w:ascii="Times New Roman" w:eastAsia="Times New Roman" w:hAnsi="Times New Roman" w:cs="Times New Roman"/>
          <w:sz w:val="24"/>
          <w:szCs w:val="24"/>
        </w:rPr>
        <w:t>un, consistent currency fluctuations may have a cumulative effect on pricing policy. Most studies that look at this phenomenon use econometric methodologies capable of estimating both short-run adjustments and long-run equilibrium relationships; examples o</w:t>
      </w:r>
      <w:r>
        <w:rPr>
          <w:rFonts w:ascii="Times New Roman" w:eastAsia="Times New Roman" w:hAnsi="Times New Roman" w:cs="Times New Roman"/>
          <w:sz w:val="24"/>
          <w:szCs w:val="24"/>
        </w:rPr>
        <w:t>f these would be the Autoregressive Distributed Lag Model. The ARDL model is particularly useful because it can be applied to independent variables with different orders of integration, and it provides a straightforward means of interpreting both short- an</w:t>
      </w:r>
      <w:r>
        <w:rPr>
          <w:rFonts w:ascii="Times New Roman" w:eastAsia="Times New Roman" w:hAnsi="Times New Roman" w:cs="Times New Roman"/>
          <w:sz w:val="24"/>
          <w:szCs w:val="24"/>
        </w:rPr>
        <w:t>d long-term effects (</w:t>
      </w:r>
      <w:proofErr w:type="spellStart"/>
      <w:r>
        <w:rPr>
          <w:rFonts w:ascii="Times New Roman" w:eastAsia="Times New Roman" w:hAnsi="Times New Roman" w:cs="Times New Roman"/>
          <w:sz w:val="24"/>
          <w:szCs w:val="24"/>
        </w:rPr>
        <w:t>Pesaran</w:t>
      </w:r>
      <w:proofErr w:type="spellEnd"/>
      <w:r>
        <w:rPr>
          <w:rFonts w:ascii="Times New Roman" w:eastAsia="Times New Roman" w:hAnsi="Times New Roman" w:cs="Times New Roman"/>
          <w:sz w:val="24"/>
          <w:szCs w:val="24"/>
        </w:rPr>
        <w:t xml:space="preserve"> et al., 2001).</w:t>
      </w:r>
    </w:p>
    <w:p w14:paraId="26915BE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conducted in emerging markets indicates that the pass-through effect from exchange rates to local prices has historically been smaller compared to developed markets. This difference has been attributed i</w:t>
      </w:r>
      <w:r>
        <w:rPr>
          <w:rFonts w:ascii="Times New Roman" w:eastAsia="Times New Roman" w:hAnsi="Times New Roman" w:cs="Times New Roman"/>
          <w:sz w:val="24"/>
          <w:szCs w:val="24"/>
        </w:rPr>
        <w:t>n part to price controls, government subsidies, and intervention policies, which are more prevalent in these countries and therefore are a factor in dampening the relationship between exchange rates and prices (</w:t>
      </w:r>
      <w:proofErr w:type="spellStart"/>
      <w:r>
        <w:rPr>
          <w:rFonts w:ascii="Times New Roman" w:eastAsia="Times New Roman" w:hAnsi="Times New Roman" w:cs="Times New Roman"/>
          <w:sz w:val="24"/>
          <w:szCs w:val="24"/>
        </w:rPr>
        <w:t>Choudhri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Hakura</w:t>
      </w:r>
      <w:proofErr w:type="spellEnd"/>
      <w:r>
        <w:rPr>
          <w:rFonts w:ascii="Times New Roman" w:eastAsia="Times New Roman" w:hAnsi="Times New Roman" w:cs="Times New Roman"/>
          <w:sz w:val="24"/>
          <w:szCs w:val="24"/>
        </w:rPr>
        <w:t>, 2006). In addition, when l</w:t>
      </w:r>
      <w:r>
        <w:rPr>
          <w:rFonts w:ascii="Times New Roman" w:eastAsia="Times New Roman" w:hAnsi="Times New Roman" w:cs="Times New Roman"/>
          <w:sz w:val="24"/>
          <w:szCs w:val="24"/>
        </w:rPr>
        <w:t>ooking at producer versus consumer prices, it becomes clear that the former generally have a greater response to changes in currency values, while on the other hand, consumer prices may not always see the same level of effect. This suggests that the increa</w:t>
      </w:r>
      <w:r>
        <w:rPr>
          <w:rFonts w:ascii="Times New Roman" w:eastAsia="Times New Roman" w:hAnsi="Times New Roman" w:cs="Times New Roman"/>
          <w:sz w:val="24"/>
          <w:szCs w:val="24"/>
        </w:rPr>
        <w:t>sed costs are absorbed by the company rather than fully transferred onto the end customer. Different sectors also vary in terms of their responses to changes in currency values based on their import content and regulatory environment, thus making it necess</w:t>
      </w:r>
      <w:r>
        <w:rPr>
          <w:rFonts w:ascii="Times New Roman" w:eastAsia="Times New Roman" w:hAnsi="Times New Roman" w:cs="Times New Roman"/>
          <w:sz w:val="24"/>
          <w:szCs w:val="24"/>
        </w:rPr>
        <w:t>ary to analyze individual industries separately.</w:t>
      </w:r>
    </w:p>
    <w:p w14:paraId="31808810"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evidence of exchange rate pass-through in Indian literature demonstrates the presence of partial and asymmetric pass-through.</w:t>
      </w:r>
    </w:p>
    <w:p w14:paraId="2AF0960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currency depreciation originated in significant changes in both</w:t>
      </w:r>
      <w:r>
        <w:rPr>
          <w:rFonts w:ascii="Times New Roman" w:eastAsia="Times New Roman" w:hAnsi="Times New Roman" w:cs="Times New Roman"/>
          <w:sz w:val="24"/>
          <w:szCs w:val="24"/>
        </w:rPr>
        <w:t xml:space="preserve"> the import price index and the Wholesale Price Index for the wholesale trade in goods, with the consumer inflation component affected later and to a lesser degree (Ghosh 2013). Pyne (2014) used the ARDL modelling framework to find that exchange rate fluct</w:t>
      </w:r>
      <w:r>
        <w:rPr>
          <w:rFonts w:ascii="Times New Roman" w:eastAsia="Times New Roman" w:hAnsi="Times New Roman" w:cs="Times New Roman"/>
          <w:sz w:val="24"/>
          <w:szCs w:val="24"/>
        </w:rPr>
        <w:t xml:space="preserve">uations have a weak and diminishingly modest long-run influence on domestic prices, reflecting institutional barriers and lack of credibility for the monetary policy of India. This supports the theory that aggregated measurements </w:t>
      </w:r>
      <w:r>
        <w:rPr>
          <w:rFonts w:ascii="Times New Roman" w:eastAsia="Times New Roman" w:hAnsi="Times New Roman" w:cs="Times New Roman"/>
          <w:sz w:val="24"/>
          <w:szCs w:val="24"/>
        </w:rPr>
        <w:lastRenderedPageBreak/>
        <w:t xml:space="preserve">of inflation may overlook </w:t>
      </w:r>
      <w:r>
        <w:rPr>
          <w:rFonts w:ascii="Times New Roman" w:eastAsia="Times New Roman" w:hAnsi="Times New Roman" w:cs="Times New Roman"/>
          <w:sz w:val="24"/>
          <w:szCs w:val="24"/>
        </w:rPr>
        <w:t>large differences between various sectors and their respective methods for transmitting price changes.</w:t>
      </w:r>
    </w:p>
    <w:p w14:paraId="6AB901BB"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pharmaceutical sector has particularly strong relevance for evaluating exchange rate pass-through, due to its heavy reliance on imported components a</w:t>
      </w:r>
      <w:r>
        <w:rPr>
          <w:rFonts w:ascii="Times New Roman" w:eastAsia="Times New Roman" w:hAnsi="Times New Roman" w:cs="Times New Roman"/>
          <w:sz w:val="24"/>
          <w:szCs w:val="24"/>
        </w:rPr>
        <w:t>nd finished products. While India is a very large exporter of finished pharmaceuticals, it depends on exported APIs and intermediates to produce pharmaceutical products, and the majority of imported pharmaceutical products and components are sourced from C</w:t>
      </w:r>
      <w:r>
        <w:rPr>
          <w:rFonts w:ascii="Times New Roman" w:eastAsia="Times New Roman" w:hAnsi="Times New Roman" w:cs="Times New Roman"/>
          <w:sz w:val="24"/>
          <w:szCs w:val="24"/>
        </w:rPr>
        <w:t>hina (Department of Pharmaceuticals, 2020). Because of India's dependence on these imports, the pharmaceutical sector is directly impacted by fluctuations in the exchange rate for the rupee and, as a result, the cost of producing essential elements of prod</w:t>
      </w:r>
      <w:r>
        <w:rPr>
          <w:rFonts w:ascii="Times New Roman" w:eastAsia="Times New Roman" w:hAnsi="Times New Roman" w:cs="Times New Roman"/>
          <w:sz w:val="24"/>
          <w:szCs w:val="24"/>
        </w:rPr>
        <w:t>uct manufacturing is directly increased. For manufacturers of pharmaceutical products, this means that they experience cost-push price pressures because they must pay higher prices for their inputs, even if there are no significant changes in domestic dema</w:t>
      </w:r>
      <w:r>
        <w:rPr>
          <w:rFonts w:ascii="Times New Roman" w:eastAsia="Times New Roman" w:hAnsi="Times New Roman" w:cs="Times New Roman"/>
          <w:sz w:val="24"/>
          <w:szCs w:val="24"/>
        </w:rPr>
        <w:t>nd for their products.</w:t>
      </w:r>
    </w:p>
    <w:p w14:paraId="568445B0"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Pharmaceutical companies in India continue to operate under significant regulations despite the higher input costs they have faced recently due to supply chain constraints and other factors. For example, India has enacted the price c</w:t>
      </w:r>
      <w:r>
        <w:rPr>
          <w:rFonts w:ascii="Times New Roman" w:eastAsia="Times New Roman" w:hAnsi="Times New Roman" w:cs="Times New Roman"/>
          <w:sz w:val="24"/>
          <w:szCs w:val="24"/>
        </w:rPr>
        <w:t>eilings for essential medicines through the Drugs (Prices) Control Order (DPCO). This effectively prevents companies from raising prices, even when production costs have increased substantially due to these rising costs. Evaluations of the impact of DPCO s</w:t>
      </w:r>
      <w:r>
        <w:rPr>
          <w:rFonts w:ascii="Times New Roman" w:eastAsia="Times New Roman" w:hAnsi="Times New Roman" w:cs="Times New Roman"/>
          <w:sz w:val="24"/>
          <w:szCs w:val="24"/>
        </w:rPr>
        <w:t>how that this regulation has been effective at keeping medicine prices low but has also resulted in the expulsion of much of the manufacturer's margin from the market (see Selvaraj et al., 2015). These regulations create a difference between inflation on t</w:t>
      </w:r>
      <w:r>
        <w:rPr>
          <w:rFonts w:ascii="Times New Roman" w:eastAsia="Times New Roman" w:hAnsi="Times New Roman" w:cs="Times New Roman"/>
          <w:sz w:val="24"/>
          <w:szCs w:val="24"/>
        </w:rPr>
        <w:t>he producer side and inflation on the consumer side, which indicates that exchange rate shocks would not be passed on to consumers.</w:t>
      </w:r>
    </w:p>
    <w:p w14:paraId="2B725A37"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firm level, studies indicate that the effect of exchange rate depreciation is not consistent among all companies. Com</w:t>
      </w:r>
      <w:r>
        <w:rPr>
          <w:rFonts w:ascii="Times New Roman" w:eastAsia="Times New Roman" w:hAnsi="Times New Roman" w:cs="Times New Roman"/>
          <w:sz w:val="24"/>
          <w:szCs w:val="24"/>
        </w:rPr>
        <w:t>panies that are heavily dependent on exports stand to gain from the depreciation of the rupee, as the increase in export revenues (in foreign currency) can make up for some or all of the increased input costs. Conversely, companies that are primarily focus</w:t>
      </w:r>
      <w:r>
        <w:rPr>
          <w:rFonts w:ascii="Times New Roman" w:eastAsia="Times New Roman" w:hAnsi="Times New Roman" w:cs="Times New Roman"/>
          <w:sz w:val="24"/>
          <w:szCs w:val="24"/>
        </w:rPr>
        <w:t>ed on the domestic market are likely to face declining profit margins (Amiti et al., 2014). However, there still exists a lack of empirical evidence linking exchange rate changes with pharmaceutical pricing and the adjustment patterns of companies in India</w:t>
      </w:r>
      <w:r>
        <w:rPr>
          <w:rFonts w:ascii="Times New Roman" w:eastAsia="Times New Roman" w:hAnsi="Times New Roman" w:cs="Times New Roman"/>
          <w:sz w:val="24"/>
          <w:szCs w:val="24"/>
        </w:rPr>
        <w:t>.</w:t>
      </w:r>
    </w:p>
    <w:p w14:paraId="5CFBAB5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current body of knowledge shows that pass-through to consumers in India is an incomplete one and is driven by institutional and sectoral systems. While studies done in the past have examined aggregate and sectoral price transmission, little work has </w:t>
      </w:r>
      <w:r>
        <w:rPr>
          <w:rFonts w:ascii="Times New Roman" w:eastAsia="Times New Roman" w:hAnsi="Times New Roman" w:cs="Times New Roman"/>
          <w:sz w:val="24"/>
          <w:szCs w:val="24"/>
        </w:rPr>
        <w:t>connected exchange rate changes, pharmaceutical prices at the firm level, and recent time periods. The present work adds to our understanding by looking at the Indian pharmaceutical industry from 2014 to 2024, considering the roles of producers and consume</w:t>
      </w:r>
      <w:r>
        <w:rPr>
          <w:rFonts w:ascii="Times New Roman" w:eastAsia="Times New Roman" w:hAnsi="Times New Roman" w:cs="Times New Roman"/>
          <w:sz w:val="24"/>
          <w:szCs w:val="24"/>
        </w:rPr>
        <w:t>rs in transmitting pricing as well as the effect of regulation on pass-through due to changes in exchange rates.</w:t>
      </w:r>
    </w:p>
    <w:p w14:paraId="3DE86399"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STATEMENT OF THE PROBLEM: </w:t>
      </w:r>
    </w:p>
    <w:p w14:paraId="1741B34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pharmaceutical sector has a significant role in providing low-cost medicines both for the national market</w:t>
      </w:r>
      <w:r>
        <w:rPr>
          <w:rFonts w:ascii="Times New Roman" w:eastAsia="Times New Roman" w:hAnsi="Times New Roman" w:cs="Times New Roman"/>
          <w:sz w:val="24"/>
          <w:szCs w:val="24"/>
        </w:rPr>
        <w:t xml:space="preserve"> and as one of the largest exporters of generic formulations across the globe. The sector has a large volume of finished drug exports but is still very reliant on imports of active pharmaceutical ingredients and intermediates, which are essential component</w:t>
      </w:r>
      <w:r>
        <w:rPr>
          <w:rFonts w:ascii="Times New Roman" w:eastAsia="Times New Roman" w:hAnsi="Times New Roman" w:cs="Times New Roman"/>
          <w:sz w:val="24"/>
          <w:szCs w:val="24"/>
        </w:rPr>
        <w:t>s to manufacture pharmaceuticals. A large portion of these imported products is in US dollars; therefore, the cost structure of pharmaceutical production is primarily driven by fluctuations in the US dollar/Indian rupee currency pair. Consequently, when th</w:t>
      </w:r>
      <w:r>
        <w:rPr>
          <w:rFonts w:ascii="Times New Roman" w:eastAsia="Times New Roman" w:hAnsi="Times New Roman" w:cs="Times New Roman"/>
          <w:sz w:val="24"/>
          <w:szCs w:val="24"/>
        </w:rPr>
        <w:t>e rupee depreciates, the domestic currency cost of imports increases, thereby raising production costs and adding inflationary pressures to the pharmaceutical sector.</w:t>
      </w:r>
    </w:p>
    <w:p w14:paraId="4E86BA2D"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pass-through (ERPT) is how much change in an exchange rate gets passed on t</w:t>
      </w:r>
      <w:r>
        <w:rPr>
          <w:rFonts w:ascii="Times New Roman" w:eastAsia="Times New Roman" w:hAnsi="Times New Roman" w:cs="Times New Roman"/>
          <w:sz w:val="24"/>
          <w:szCs w:val="24"/>
        </w:rPr>
        <w:t>o domestic prices. When a currency depreciates, the cost of purchasing imports rises, which will move along the pricing chain; however, ERPT tends to be only partially passed along the pricing chain and varies by industry based on the amount of imports use</w:t>
      </w:r>
      <w:r>
        <w:rPr>
          <w:rFonts w:ascii="Times New Roman" w:eastAsia="Times New Roman" w:hAnsi="Times New Roman" w:cs="Times New Roman"/>
          <w:sz w:val="24"/>
          <w:szCs w:val="24"/>
        </w:rPr>
        <w:t xml:space="preserve">d in production, the level of competition in the market, pricing methods used, and whether adjustment costs exist. Manufacturers of products that rely heavily on imports, such as pharmaceuticals, will generally have a quicker response to ERPT because they </w:t>
      </w:r>
      <w:r>
        <w:rPr>
          <w:rFonts w:ascii="Times New Roman" w:eastAsia="Times New Roman" w:hAnsi="Times New Roman" w:cs="Times New Roman"/>
          <w:sz w:val="24"/>
          <w:szCs w:val="24"/>
        </w:rPr>
        <w:t>will incur direct increases in costs due to rising import prices. However, the consumer price has a longer delayed response to ERPT because of margin costs, distribution costs, retail markups, and the firm's pursuit to keep its demand constant.</w:t>
      </w:r>
    </w:p>
    <w:p w14:paraId="21A129F7"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neces</w:t>
      </w:r>
      <w:r>
        <w:rPr>
          <w:rFonts w:ascii="Times New Roman" w:eastAsia="Times New Roman" w:hAnsi="Times New Roman" w:cs="Times New Roman"/>
          <w:sz w:val="24"/>
          <w:szCs w:val="24"/>
        </w:rPr>
        <w:t>sary to have a good understanding of the size, timing, and asymmetry of exchange rates being affected by the exchange rate (as an input to production) when considering the pharmaceutical industry’s reliance on imported goods. This study examines whether de</w:t>
      </w:r>
      <w:r>
        <w:rPr>
          <w:rFonts w:ascii="Times New Roman" w:eastAsia="Times New Roman" w:hAnsi="Times New Roman" w:cs="Times New Roman"/>
          <w:sz w:val="24"/>
          <w:szCs w:val="24"/>
        </w:rPr>
        <w:t xml:space="preserve">preciation </w:t>
      </w:r>
      <w:r>
        <w:rPr>
          <w:rFonts w:ascii="Times New Roman" w:eastAsia="Times New Roman" w:hAnsi="Times New Roman" w:cs="Times New Roman"/>
          <w:sz w:val="24"/>
          <w:szCs w:val="24"/>
        </w:rPr>
        <w:lastRenderedPageBreak/>
        <w:t>of the Indian Rupee versus the US Dollar from 2014 to 2024 has had any significant effect on both pharmaceutical producers' prices and consumers' prices in India, plus whether transmission occurs more strongly at the pharmaceutical producer leve</w:t>
      </w:r>
      <w:r>
        <w:rPr>
          <w:rFonts w:ascii="Times New Roman" w:eastAsia="Times New Roman" w:hAnsi="Times New Roman" w:cs="Times New Roman"/>
          <w:sz w:val="24"/>
          <w:szCs w:val="24"/>
        </w:rPr>
        <w:t>l, and if import dependence increases the degree of exchange rate effects. For example, understanding all these factors separately can provide insight into inflation patterns in a heavily import-dependent and strategically desired industry (in this case, p</w:t>
      </w:r>
      <w:r>
        <w:rPr>
          <w:rFonts w:ascii="Times New Roman" w:eastAsia="Times New Roman" w:hAnsi="Times New Roman" w:cs="Times New Roman"/>
          <w:sz w:val="24"/>
          <w:szCs w:val="24"/>
        </w:rPr>
        <w:t>harma).</w:t>
      </w:r>
    </w:p>
    <w:p w14:paraId="3ED3A57F"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NATURE OF STUDY</w:t>
      </w:r>
    </w:p>
    <w:p w14:paraId="5880DEE3"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analytical and empirical study that investigates the effect of exchange rate fluctuations on the price of pharmaceuticals in India by employing quantitative econometric approaches. A sectoral time-series approach is used </w:t>
      </w:r>
      <w:r>
        <w:rPr>
          <w:rFonts w:ascii="Times New Roman" w:eastAsia="Times New Roman" w:hAnsi="Times New Roman" w:cs="Times New Roman"/>
          <w:sz w:val="24"/>
          <w:szCs w:val="24"/>
        </w:rPr>
        <w:t>for this research, with the unit of analysis being the relationship between the USD/INR exchange rate and pharmaceutical producer prices (WPI–Pharmaceuticals) and consumer prices (CPI–Medicines) from the years 2014 to 2024.</w:t>
      </w:r>
    </w:p>
    <w:p w14:paraId="62F39DED"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Baseline regression models will </w:t>
      </w:r>
      <w:r>
        <w:rPr>
          <w:rFonts w:ascii="Times New Roman" w:eastAsia="Times New Roman" w:hAnsi="Times New Roman" w:cs="Times New Roman"/>
          <w:sz w:val="24"/>
          <w:szCs w:val="24"/>
        </w:rPr>
        <w:t>be estimated for measuring the immediate effect of depreciation of the rupee on pharmaceuticals; a dynamic lag model for capturing short-term versus delayed transmission effects; and an interaction model for assessing whether dependence on imports increase</w:t>
      </w:r>
      <w:r>
        <w:rPr>
          <w:rFonts w:ascii="Times New Roman" w:eastAsia="Times New Roman" w:hAnsi="Times New Roman" w:cs="Times New Roman"/>
          <w:sz w:val="24"/>
          <w:szCs w:val="24"/>
        </w:rPr>
        <w:t>s exchange rate pass-through. The data used for the analysis is secondary, and statistical techniques used include descriptive analysis, stationarity tests, and regression estimation methods. The goal is to conduct a structured empirical assessment of exch</w:t>
      </w:r>
      <w:r>
        <w:rPr>
          <w:rFonts w:ascii="Times New Roman" w:eastAsia="Times New Roman" w:hAnsi="Times New Roman" w:cs="Times New Roman"/>
          <w:sz w:val="24"/>
          <w:szCs w:val="24"/>
        </w:rPr>
        <w:t>ange rate pass-through in an industry that is strategically important and has a high proportion of imports.</w:t>
      </w:r>
    </w:p>
    <w:p w14:paraId="36FE89C7"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SCOPE OF THE STUDY</w:t>
      </w:r>
    </w:p>
    <w:p w14:paraId="5DF87AB9"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been defined as limited in the scope of its review to assess exchange rate pass-through and its effects on the Ind</w:t>
      </w:r>
      <w:r>
        <w:rPr>
          <w:rFonts w:ascii="Times New Roman" w:eastAsia="Times New Roman" w:hAnsi="Times New Roman" w:cs="Times New Roman"/>
          <w:sz w:val="24"/>
          <w:szCs w:val="24"/>
        </w:rPr>
        <w:t>ian pharmaceutical industry between 2014 and 2024. This assessment will be done by looking at the effects of depreciation of the rupee on prices at both the producer level (WPI - Pharmaceuticals) and the end-user, or consumer, level (CPI - Medicines), as w</w:t>
      </w:r>
      <w:r>
        <w:rPr>
          <w:rFonts w:ascii="Times New Roman" w:eastAsia="Times New Roman" w:hAnsi="Times New Roman" w:cs="Times New Roman"/>
          <w:sz w:val="24"/>
          <w:szCs w:val="24"/>
        </w:rPr>
        <w:t>ell as how much the use of imports (for import dependence) through the share of API imports has increased the exchange rate pass-through rates.</w:t>
      </w:r>
    </w:p>
    <w:p w14:paraId="2088E679"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will not evaluate cross-country comparisons, firm-level micro-analyses, or evaluations of regulatory</w:t>
      </w:r>
      <w:r>
        <w:rPr>
          <w:rFonts w:ascii="Times New Roman" w:eastAsia="Times New Roman" w:hAnsi="Times New Roman" w:cs="Times New Roman"/>
          <w:sz w:val="24"/>
          <w:szCs w:val="24"/>
        </w:rPr>
        <w:t xml:space="preserve"> impacts; it will only look at sector-specific price indexes and will use </w:t>
      </w:r>
      <w:r>
        <w:rPr>
          <w:rFonts w:ascii="Times New Roman" w:eastAsia="Times New Roman" w:hAnsi="Times New Roman" w:cs="Times New Roman"/>
          <w:sz w:val="24"/>
          <w:szCs w:val="24"/>
        </w:rPr>
        <w:lastRenderedPageBreak/>
        <w:t>available historical data (i.e., annual time-series data). While crude oil will be included as a control variable for robustness, the primary objective of this study will be to bette</w:t>
      </w:r>
      <w:r>
        <w:rPr>
          <w:rFonts w:ascii="Times New Roman" w:eastAsia="Times New Roman" w:hAnsi="Times New Roman" w:cs="Times New Roman"/>
          <w:sz w:val="24"/>
          <w:szCs w:val="24"/>
        </w:rPr>
        <w:t>r understand the overall magnitude, timing, and asymmetry of the exchange rate pass-through along the pricing chain for pharmaceuticals in India.</w:t>
      </w:r>
    </w:p>
    <w:p w14:paraId="3EFE6C93"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STUDY</w:t>
      </w:r>
    </w:p>
    <w:p w14:paraId="41981B38" w14:textId="77777777" w:rsidR="00066D46" w:rsidRDefault="004D460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impact of rupee depreciation on WPI–Pharmaceuticals and CPI–Medicines.</w:t>
      </w:r>
    </w:p>
    <w:p w14:paraId="035908B1" w14:textId="77777777" w:rsidR="00066D46" w:rsidRDefault="004D460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compare the magnitude and speed of pass-through between producer and consumer prices.</w:t>
      </w:r>
    </w:p>
    <w:p w14:paraId="09AF1D82" w14:textId="77777777" w:rsidR="00066D46" w:rsidRDefault="004D460E">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analyze whether API import dependence strengthens exchange rate transmission.</w:t>
      </w:r>
    </w:p>
    <w:p w14:paraId="1E0BC857" w14:textId="77777777" w:rsidR="00066D46" w:rsidRDefault="004D460E">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14:paraId="4511695A"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 of this study is to empirically assess how </w:t>
      </w:r>
      <w:r>
        <w:rPr>
          <w:rFonts w:ascii="Times New Roman" w:eastAsia="Times New Roman" w:hAnsi="Times New Roman" w:cs="Times New Roman"/>
          <w:sz w:val="24"/>
          <w:szCs w:val="24"/>
        </w:rPr>
        <w:t>fluctuations in the Indian rupee can affect inflation through time-series data analysis in the pharmaceutical industry. The data used for this study are secondary and consist of annual data from 2014 to 2024. This study will assess sector price dynamics in</w:t>
      </w:r>
      <w:r>
        <w:rPr>
          <w:rFonts w:ascii="Times New Roman" w:eastAsia="Times New Roman" w:hAnsi="Times New Roman" w:cs="Times New Roman"/>
          <w:sz w:val="24"/>
          <w:szCs w:val="24"/>
        </w:rPr>
        <w:t>stead of aggregate inflation, since the emphasis here is on understanding the pharmaceutical sector in order to identify industry-specific transmission mechanisms not observable from general aggregate measures of inflation.</w:t>
      </w:r>
    </w:p>
    <w:p w14:paraId="480380E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used to conduct the ana</w:t>
      </w:r>
      <w:r>
        <w:rPr>
          <w:rFonts w:ascii="Times New Roman" w:eastAsia="Times New Roman" w:hAnsi="Times New Roman" w:cs="Times New Roman"/>
          <w:sz w:val="24"/>
          <w:szCs w:val="24"/>
        </w:rPr>
        <w:t xml:space="preserve">lysis consists of annual data for the USD/INR exchange rate and the Pharmaceutical Price Index (WPI-Pharmaceuticals and CPI-Medicines). Annual average exchange rates were utilized as an indicator of depreciation in the value of the Indian rupee, while two </w:t>
      </w:r>
      <w:r>
        <w:rPr>
          <w:rFonts w:ascii="Times New Roman" w:eastAsia="Times New Roman" w:hAnsi="Times New Roman" w:cs="Times New Roman"/>
          <w:sz w:val="24"/>
          <w:szCs w:val="24"/>
        </w:rPr>
        <w:t xml:space="preserve">separate healthcare indexes measuring pharmaceutical price movement were utilized; one index (WPI-Pharmaceuticals) reflects pharmaceutical producer price levels, while another index (CPI-Medicines) reflects retail price levels for pharmaceutical products. </w:t>
      </w:r>
      <w:r>
        <w:rPr>
          <w:rFonts w:ascii="Times New Roman" w:eastAsia="Times New Roman" w:hAnsi="Times New Roman" w:cs="Times New Roman"/>
          <w:sz w:val="24"/>
          <w:szCs w:val="24"/>
        </w:rPr>
        <w:t>Oil prices were included as a control variable to capture global cost pressures that may affect production and transport costs. Additionally, import dependence was determined using Active Pharmaceutical Ingredient (API) import data as a percentage of the t</w:t>
      </w:r>
      <w:r>
        <w:rPr>
          <w:rFonts w:ascii="Times New Roman" w:eastAsia="Times New Roman" w:hAnsi="Times New Roman" w:cs="Times New Roman"/>
          <w:sz w:val="24"/>
          <w:szCs w:val="24"/>
        </w:rPr>
        <w:t>otal value of pharmaceutical raw material imports.</w:t>
      </w:r>
    </w:p>
    <w:p w14:paraId="4975FF21"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assess the effects of exchange rate fluctuations, our empirical study includes a number of statistical methods to provide baseline estimates. In order to measure the immediate consequences of changes in</w:t>
      </w:r>
      <w:r>
        <w:rPr>
          <w:rFonts w:ascii="Times New Roman" w:eastAsia="Times New Roman" w:hAnsi="Times New Roman" w:cs="Times New Roman"/>
          <w:sz w:val="24"/>
          <w:szCs w:val="24"/>
        </w:rPr>
        <w:t xml:space="preserve"> the exchange rate on the prices of producers and consumers, we utilize baseline regression models. We are able to compare the degree of pass-through for each price level based on different time intervals, using dynamic lag models to assess both short-term</w:t>
      </w:r>
      <w:r>
        <w:rPr>
          <w:rFonts w:ascii="Times New Roman" w:eastAsia="Times New Roman" w:hAnsi="Times New Roman" w:cs="Times New Roman"/>
          <w:sz w:val="24"/>
          <w:szCs w:val="24"/>
        </w:rPr>
        <w:t xml:space="preserve"> (immediate) and delayed (long-term) pass-through effects along the price chain. In addition, we estimate a model to determine whether higher API import shares increase the magnitude of exchange rate pass-through via an interaction model. Together, these m</w:t>
      </w:r>
      <w:r>
        <w:rPr>
          <w:rFonts w:ascii="Times New Roman" w:eastAsia="Times New Roman" w:hAnsi="Times New Roman" w:cs="Times New Roman"/>
          <w:sz w:val="24"/>
          <w:szCs w:val="24"/>
        </w:rPr>
        <w:t>odels provide a detailed assessment of the total size, time frame, and asymmetry of pass-through across the pricing chain in the Indian pharmaceutical industry, resulting from changes in the value of the rupee against other currencies.</w:t>
      </w:r>
    </w:p>
    <w:p w14:paraId="4EC97891"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HYPOTHESES:</w:t>
      </w:r>
    </w:p>
    <w:p w14:paraId="22233BE1" w14:textId="77777777" w:rsidR="00066D46" w:rsidRDefault="004D460E">
      <w:pPr>
        <w:numPr>
          <w:ilvl w:val="0"/>
          <w:numId w:val="2"/>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H1: Rupe</w:t>
      </w:r>
      <w:r>
        <w:rPr>
          <w:rFonts w:ascii="Times New Roman" w:eastAsia="Times New Roman" w:hAnsi="Times New Roman" w:cs="Times New Roman"/>
          <w:color w:val="000000"/>
          <w:sz w:val="24"/>
          <w:szCs w:val="24"/>
        </w:rPr>
        <w:t>e depreciation positively affects pharmaceutical prices.</w:t>
      </w:r>
    </w:p>
    <w:p w14:paraId="3CBCDB1D" w14:textId="77777777" w:rsidR="00066D46" w:rsidRDefault="004D460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H2: Exchange rate pass-through is stronger and faster at the producer level than at the consumer level.</w:t>
      </w:r>
    </w:p>
    <w:p w14:paraId="342EC01A" w14:textId="77777777" w:rsidR="00066D46" w:rsidRDefault="004D460E">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H3: Greater import dependence amplifies exchange rate pass-through.</w:t>
      </w:r>
    </w:p>
    <w:p w14:paraId="008C73C0" w14:textId="77777777" w:rsidR="00066D46" w:rsidRDefault="004D460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ANALYSIS: </w:t>
      </w:r>
    </w:p>
    <w:p w14:paraId="2741391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descriptive </w:t>
      </w:r>
      <w:r>
        <w:rPr>
          <w:rFonts w:ascii="Times New Roman" w:eastAsia="Times New Roman" w:hAnsi="Times New Roman" w:cs="Times New Roman"/>
          <w:sz w:val="24"/>
          <w:szCs w:val="24"/>
        </w:rPr>
        <w:t>statistics for the nominal exchange rate (USD/INR), pharmaceutical price, and producer prices are proxies measured by WPI (pharmaceuticals) and consumer price consumer medicine prices are proxies measured by CPI (Medicines), for the period 2014-2024, can b</w:t>
      </w:r>
      <w:r>
        <w:rPr>
          <w:rFonts w:ascii="Times New Roman" w:eastAsia="Times New Roman" w:hAnsi="Times New Roman" w:cs="Times New Roman"/>
          <w:sz w:val="24"/>
          <w:szCs w:val="24"/>
        </w:rPr>
        <w:t>e found in the table-1. The data used for calculating those descriptive statistics were based on eleven years of annual observations.</w:t>
      </w:r>
    </w:p>
    <w:p w14:paraId="0C38AF08"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exchange rate series had a mean of 71.10 with a range of 61.9 - 83.2, indicating continued depreciation of the Indian </w:t>
      </w:r>
      <w:r>
        <w:rPr>
          <w:rFonts w:ascii="Times New Roman" w:eastAsia="Times New Roman" w:hAnsi="Times New Roman" w:cs="Times New Roman"/>
          <w:sz w:val="24"/>
          <w:szCs w:val="24"/>
        </w:rPr>
        <w:t>Rupee over the course of this study. Its standard deviation of 7.77 indicates moderate volatility in the exchange rate, enough to add cost pressure to import-based industries (the pharmaceutical industry) from changes in the exchange rate. Its positive ske</w:t>
      </w:r>
      <w:r>
        <w:rPr>
          <w:rFonts w:ascii="Times New Roman" w:eastAsia="Times New Roman" w:hAnsi="Times New Roman" w:cs="Times New Roman"/>
          <w:sz w:val="24"/>
          <w:szCs w:val="24"/>
        </w:rPr>
        <w:t xml:space="preserve">wness (0.368) indicates a right-tailed distribution, which is consistent with the concentration of higher exchange rates occurring toward the end of the sample period. Its negative kurtosis (-1.221) indicates a platykurtic distribution; therefore, changes </w:t>
      </w:r>
      <w:r>
        <w:rPr>
          <w:rFonts w:ascii="Times New Roman" w:eastAsia="Times New Roman" w:hAnsi="Times New Roman" w:cs="Times New Roman"/>
          <w:sz w:val="24"/>
          <w:szCs w:val="24"/>
        </w:rPr>
        <w:t>in the exchange rate during the sample period were more gradual than extreme or abrupt shock-type movements.</w:t>
      </w:r>
    </w:p>
    <w:p w14:paraId="759F8C4C"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average value of the producer price index for pharmaceuticals is 129.32 but has much greater variability when compared to the average value of </w:t>
      </w:r>
      <w:r>
        <w:rPr>
          <w:rFonts w:ascii="Times New Roman" w:eastAsia="Times New Roman" w:hAnsi="Times New Roman" w:cs="Times New Roman"/>
          <w:sz w:val="24"/>
          <w:szCs w:val="24"/>
        </w:rPr>
        <w:t>the currency. The standard deviation of the producer price index is 12.63. Higher variability of producer prices, relative to other inputs, reflects sensitivity to changes in input costs associated with pharmaceuticals' dependency on many imported active p</w:t>
      </w:r>
      <w:r>
        <w:rPr>
          <w:rFonts w:ascii="Times New Roman" w:eastAsia="Times New Roman" w:hAnsi="Times New Roman" w:cs="Times New Roman"/>
          <w:sz w:val="24"/>
          <w:szCs w:val="24"/>
        </w:rPr>
        <w:t>harmaceutical ingredients (APIs). The near-zero skewness (–0.126) indicates that producers' price distributions are largely symmetrical. The negatively skewed kurtosis (–1.229) indicates a trend-dominated or smooth evolution of prices. These observations s</w:t>
      </w:r>
      <w:r>
        <w:rPr>
          <w:rFonts w:ascii="Times New Roman" w:eastAsia="Times New Roman" w:hAnsi="Times New Roman" w:cs="Times New Roman"/>
          <w:sz w:val="24"/>
          <w:szCs w:val="24"/>
        </w:rPr>
        <w:t>upport persistence in producer prices and are indicative of cost-push inflation rather than transient price volatility. This is consistent with the theoretical analysis of exchange rate pass-through at the production level.</w:t>
      </w:r>
    </w:p>
    <w:p w14:paraId="04D6459F"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Consumer medicine prices have a </w:t>
      </w:r>
      <w:r>
        <w:rPr>
          <w:rFonts w:ascii="Times New Roman" w:eastAsia="Times New Roman" w:hAnsi="Times New Roman" w:cs="Times New Roman"/>
          <w:sz w:val="24"/>
          <w:szCs w:val="24"/>
        </w:rPr>
        <w:t>mean of 126.33, with a standard deviation of 13.25, showing very significant variation over time. The positive skew (0.530) indicates that, in the latter years of the sample, there was a greater percentage of consumer medicine prices that had higher values</w:t>
      </w:r>
      <w:r>
        <w:rPr>
          <w:rFonts w:ascii="Times New Roman" w:eastAsia="Times New Roman" w:hAnsi="Times New Roman" w:cs="Times New Roman"/>
          <w:sz w:val="24"/>
          <w:szCs w:val="24"/>
        </w:rPr>
        <w:t>, further supporting cumulative inflationary effects as the cause for increased consumer medicine price inflation over this period of time. However, despite the upward movement in consumer medicine prices, the distribution of consumer medicine prices remai</w:t>
      </w:r>
      <w:r>
        <w:rPr>
          <w:rFonts w:ascii="Times New Roman" w:eastAsia="Times New Roman" w:hAnsi="Times New Roman" w:cs="Times New Roman"/>
          <w:sz w:val="24"/>
          <w:szCs w:val="24"/>
        </w:rPr>
        <w:t>ned quite stable, as indicated by negative kurtosis (–0.379), which suggests no extreme consumer price fluctuations over this evaluation of consumer medicine prices.</w:t>
      </w:r>
    </w:p>
    <w:p w14:paraId="2B39A653"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comparative analysis of producer and consumer price indices indicates a pronounced asymm</w:t>
      </w:r>
      <w:r>
        <w:rPr>
          <w:rFonts w:ascii="Times New Roman" w:eastAsia="Times New Roman" w:hAnsi="Times New Roman" w:cs="Times New Roman"/>
          <w:sz w:val="24"/>
          <w:szCs w:val="24"/>
        </w:rPr>
        <w:t>etry of price behavior. While both the WPI–Pharmaceuticals and CPI–Medicines demonstrate an increasing trend over time, the magnitude of the response of producer prices to changes in exchange rates is substantially greater than that of consumer prices. The</w:t>
      </w:r>
      <w:r>
        <w:rPr>
          <w:rFonts w:ascii="Times New Roman" w:eastAsia="Times New Roman" w:hAnsi="Times New Roman" w:cs="Times New Roman"/>
          <w:sz w:val="24"/>
          <w:szCs w:val="24"/>
        </w:rPr>
        <w:t xml:space="preserve"> diverging behavior between WPI–Pharmaceuticals and CPI–Medicines provides tentative empirical support for the proposition that exchange rate changes are partially passed through in the pharmaceutical industry, with producers absorbing considerable increas</w:t>
      </w:r>
      <w:r>
        <w:rPr>
          <w:rFonts w:ascii="Times New Roman" w:eastAsia="Times New Roman" w:hAnsi="Times New Roman" w:cs="Times New Roman"/>
          <w:sz w:val="24"/>
          <w:szCs w:val="24"/>
        </w:rPr>
        <w:t>es in production costs, while consumer prices are only partially insulated from these cost increases.</w:t>
      </w:r>
    </w:p>
    <w:p w14:paraId="5DAE9584"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failure to respond to consumer medicine prices is largely attributable to the existence of drug price regulation under the Drugs Prices Control Order </w:t>
      </w:r>
      <w:r>
        <w:rPr>
          <w:rFonts w:ascii="Times New Roman" w:eastAsia="Times New Roman" w:hAnsi="Times New Roman" w:cs="Times New Roman"/>
          <w:sz w:val="24"/>
          <w:szCs w:val="24"/>
        </w:rPr>
        <w:t xml:space="preserve">(DPCO), which establishes maximum (ceiling) prices that can be charged for drugs and prevents the transmission of the full amount of higher input prices to consumers. Thus, the costs imposed on drug producers by </w:t>
      </w:r>
      <w:r>
        <w:rPr>
          <w:rFonts w:ascii="Times New Roman" w:eastAsia="Times New Roman" w:hAnsi="Times New Roman" w:cs="Times New Roman"/>
          <w:sz w:val="24"/>
          <w:szCs w:val="24"/>
        </w:rPr>
        <w:lastRenderedPageBreak/>
        <w:t xml:space="preserve">exchange rate fluctuations are reflected to </w:t>
      </w:r>
      <w:r>
        <w:rPr>
          <w:rFonts w:ascii="Times New Roman" w:eastAsia="Times New Roman" w:hAnsi="Times New Roman" w:cs="Times New Roman"/>
          <w:sz w:val="24"/>
          <w:szCs w:val="24"/>
        </w:rPr>
        <w:t>a greater extent in producer prices than in consumer prices.</w:t>
      </w:r>
    </w:p>
    <w:p w14:paraId="0DAAE137"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total, the descriptive statistics present compelling preliminary evidence that rupee depreciation is correlated with increases in pharmaceutical prices, and that rupee depreciation has a dispr</w:t>
      </w:r>
      <w:r>
        <w:rPr>
          <w:rFonts w:ascii="Times New Roman" w:eastAsia="Times New Roman" w:hAnsi="Times New Roman" w:cs="Times New Roman"/>
          <w:sz w:val="24"/>
          <w:szCs w:val="24"/>
        </w:rPr>
        <w:t>oportionately larger effect on prices at the producer than at the consumer level. As a result, this study uses time-series techniques, such as stationarity testing, regression analysis, and ARIMA modeling, to comprehensively evaluate the dynamic process of</w:t>
      </w:r>
      <w:r>
        <w:rPr>
          <w:rFonts w:ascii="Times New Roman" w:eastAsia="Times New Roman" w:hAnsi="Times New Roman" w:cs="Times New Roman"/>
          <w:sz w:val="24"/>
          <w:szCs w:val="24"/>
        </w:rPr>
        <w:t xml:space="preserve"> exchange rate pass-through and the transmission of inflation in the Indian pharmaceutical industry.</w:t>
      </w:r>
    </w:p>
    <w:p w14:paraId="6F8EC2E9" w14:textId="77777777" w:rsidR="00066D46" w:rsidRDefault="004D460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 Descriptive Statistics</w:t>
      </w:r>
    </w:p>
    <w:tbl>
      <w:tblPr>
        <w:tblStyle w:val="a"/>
        <w:tblW w:w="9350" w:type="dxa"/>
        <w:tblInd w:w="0" w:type="dxa"/>
        <w:tblLayout w:type="fixed"/>
        <w:tblLook w:val="0400" w:firstRow="0" w:lastRow="0" w:firstColumn="0" w:lastColumn="0" w:noHBand="0" w:noVBand="1"/>
      </w:tblPr>
      <w:tblGrid>
        <w:gridCol w:w="1276"/>
        <w:gridCol w:w="668"/>
        <w:gridCol w:w="668"/>
        <w:gridCol w:w="777"/>
        <w:gridCol w:w="800"/>
        <w:gridCol w:w="671"/>
        <w:gridCol w:w="601"/>
        <w:gridCol w:w="769"/>
        <w:gridCol w:w="722"/>
        <w:gridCol w:w="668"/>
        <w:gridCol w:w="531"/>
        <w:gridCol w:w="668"/>
        <w:gridCol w:w="531"/>
      </w:tblGrid>
      <w:tr w:rsidR="00066D46" w14:paraId="4F09D3F6" w14:textId="77777777">
        <w:trPr>
          <w:cantSplit/>
          <w:trHeight w:val="20"/>
        </w:trPr>
        <w:tc>
          <w:tcPr>
            <w:tcW w:w="9350"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52D84CDE" w14:textId="77777777" w:rsidR="00066D46" w:rsidRDefault="004D460E">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Descriptive Statistics</w:t>
            </w:r>
          </w:p>
        </w:tc>
      </w:tr>
      <w:tr w:rsidR="00066D46" w14:paraId="5355FE71" w14:textId="77777777">
        <w:trPr>
          <w:cantSplit/>
          <w:trHeight w:val="20"/>
        </w:trPr>
        <w:tc>
          <w:tcPr>
            <w:tcW w:w="1276" w:type="dxa"/>
            <w:vMerge w:val="restart"/>
            <w:tcBorders>
              <w:top w:val="nil"/>
              <w:left w:val="single" w:sz="4" w:space="0" w:color="000000"/>
              <w:bottom w:val="single" w:sz="4" w:space="0" w:color="000000"/>
              <w:right w:val="single" w:sz="4" w:space="0" w:color="000000"/>
            </w:tcBorders>
            <w:shd w:val="clear" w:color="auto" w:fill="FFFFFF"/>
            <w:vAlign w:val="center"/>
          </w:tcPr>
          <w:p w14:paraId="4715731C"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68" w:type="dxa"/>
            <w:tcBorders>
              <w:top w:val="nil"/>
              <w:left w:val="nil"/>
              <w:bottom w:val="single" w:sz="4" w:space="0" w:color="000000"/>
              <w:right w:val="single" w:sz="4" w:space="0" w:color="000000"/>
            </w:tcBorders>
            <w:shd w:val="clear" w:color="auto" w:fill="FFFFFF"/>
            <w:vAlign w:val="center"/>
          </w:tcPr>
          <w:p w14:paraId="1CEDE4D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w:t>
            </w:r>
          </w:p>
        </w:tc>
        <w:tc>
          <w:tcPr>
            <w:tcW w:w="668" w:type="dxa"/>
            <w:tcBorders>
              <w:top w:val="nil"/>
              <w:left w:val="nil"/>
              <w:bottom w:val="single" w:sz="4" w:space="0" w:color="000000"/>
              <w:right w:val="single" w:sz="4" w:space="0" w:color="000000"/>
            </w:tcBorders>
            <w:shd w:val="clear" w:color="auto" w:fill="FFFFFF"/>
            <w:vAlign w:val="center"/>
          </w:tcPr>
          <w:p w14:paraId="6D710CF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Range</w:t>
            </w:r>
          </w:p>
        </w:tc>
        <w:tc>
          <w:tcPr>
            <w:tcW w:w="777" w:type="dxa"/>
            <w:tcBorders>
              <w:top w:val="nil"/>
              <w:left w:val="nil"/>
              <w:bottom w:val="single" w:sz="4" w:space="0" w:color="000000"/>
              <w:right w:val="single" w:sz="4" w:space="0" w:color="000000"/>
            </w:tcBorders>
            <w:shd w:val="clear" w:color="auto" w:fill="FFFFFF"/>
            <w:vAlign w:val="center"/>
          </w:tcPr>
          <w:p w14:paraId="250BE33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Minimum</w:t>
            </w:r>
          </w:p>
        </w:tc>
        <w:tc>
          <w:tcPr>
            <w:tcW w:w="800" w:type="dxa"/>
            <w:tcBorders>
              <w:top w:val="nil"/>
              <w:left w:val="nil"/>
              <w:bottom w:val="single" w:sz="4" w:space="0" w:color="000000"/>
              <w:right w:val="single" w:sz="4" w:space="0" w:color="000000"/>
            </w:tcBorders>
            <w:shd w:val="clear" w:color="auto" w:fill="FFFFFF"/>
            <w:vAlign w:val="center"/>
          </w:tcPr>
          <w:p w14:paraId="541842F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Maximum</w:t>
            </w:r>
          </w:p>
        </w:tc>
        <w:tc>
          <w:tcPr>
            <w:tcW w:w="1272" w:type="dxa"/>
            <w:gridSpan w:val="2"/>
            <w:tcBorders>
              <w:top w:val="single" w:sz="4" w:space="0" w:color="000000"/>
              <w:left w:val="nil"/>
              <w:bottom w:val="single" w:sz="4" w:space="0" w:color="000000"/>
              <w:right w:val="single" w:sz="4" w:space="0" w:color="000000"/>
            </w:tcBorders>
            <w:shd w:val="clear" w:color="auto" w:fill="FFFFFF"/>
            <w:vAlign w:val="center"/>
          </w:tcPr>
          <w:p w14:paraId="41CEE2D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Mean</w:t>
            </w:r>
          </w:p>
        </w:tc>
        <w:tc>
          <w:tcPr>
            <w:tcW w:w="769" w:type="dxa"/>
            <w:tcBorders>
              <w:top w:val="nil"/>
              <w:left w:val="nil"/>
              <w:bottom w:val="single" w:sz="4" w:space="0" w:color="000000"/>
              <w:right w:val="single" w:sz="4" w:space="0" w:color="000000"/>
            </w:tcBorders>
            <w:shd w:val="clear" w:color="auto" w:fill="FFFFFF"/>
            <w:vAlign w:val="center"/>
          </w:tcPr>
          <w:p w14:paraId="38E1206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Deviation</w:t>
            </w:r>
          </w:p>
        </w:tc>
        <w:tc>
          <w:tcPr>
            <w:tcW w:w="722" w:type="dxa"/>
            <w:tcBorders>
              <w:top w:val="nil"/>
              <w:left w:val="nil"/>
              <w:bottom w:val="single" w:sz="4" w:space="0" w:color="000000"/>
              <w:right w:val="single" w:sz="4" w:space="0" w:color="000000"/>
            </w:tcBorders>
            <w:shd w:val="clear" w:color="auto" w:fill="FFFFFF"/>
            <w:vAlign w:val="center"/>
          </w:tcPr>
          <w:p w14:paraId="2FA5088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Variance</w:t>
            </w:r>
          </w:p>
        </w:tc>
        <w:tc>
          <w:tcPr>
            <w:tcW w:w="1199" w:type="dxa"/>
            <w:gridSpan w:val="2"/>
            <w:tcBorders>
              <w:top w:val="single" w:sz="4" w:space="0" w:color="000000"/>
              <w:left w:val="nil"/>
              <w:bottom w:val="single" w:sz="4" w:space="0" w:color="000000"/>
              <w:right w:val="single" w:sz="4" w:space="0" w:color="000000"/>
            </w:tcBorders>
            <w:shd w:val="clear" w:color="auto" w:fill="FFFFFF"/>
            <w:vAlign w:val="center"/>
          </w:tcPr>
          <w:p w14:paraId="694404B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Skewness</w:t>
            </w:r>
          </w:p>
        </w:tc>
        <w:tc>
          <w:tcPr>
            <w:tcW w:w="1199" w:type="dxa"/>
            <w:gridSpan w:val="2"/>
            <w:tcBorders>
              <w:top w:val="single" w:sz="4" w:space="0" w:color="000000"/>
              <w:left w:val="nil"/>
              <w:bottom w:val="single" w:sz="4" w:space="0" w:color="000000"/>
              <w:right w:val="single" w:sz="4" w:space="0" w:color="000000"/>
            </w:tcBorders>
            <w:shd w:val="clear" w:color="auto" w:fill="FFFFFF"/>
            <w:vAlign w:val="center"/>
          </w:tcPr>
          <w:p w14:paraId="7175E81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Kurtosis</w:t>
            </w:r>
          </w:p>
        </w:tc>
      </w:tr>
      <w:tr w:rsidR="00066D46" w14:paraId="089FCE32" w14:textId="77777777">
        <w:trPr>
          <w:trHeight w:val="20"/>
        </w:trPr>
        <w:tc>
          <w:tcPr>
            <w:tcW w:w="1276" w:type="dxa"/>
            <w:vMerge/>
            <w:tcBorders>
              <w:top w:val="nil"/>
              <w:left w:val="single" w:sz="4" w:space="0" w:color="000000"/>
              <w:bottom w:val="single" w:sz="4" w:space="0" w:color="000000"/>
              <w:right w:val="single" w:sz="4" w:space="0" w:color="000000"/>
            </w:tcBorders>
            <w:shd w:val="clear" w:color="auto" w:fill="FFFFFF"/>
            <w:vAlign w:val="center"/>
          </w:tcPr>
          <w:p w14:paraId="250F1C8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668" w:type="dxa"/>
            <w:tcBorders>
              <w:top w:val="nil"/>
              <w:left w:val="nil"/>
              <w:bottom w:val="single" w:sz="4" w:space="0" w:color="000000"/>
              <w:right w:val="single" w:sz="4" w:space="0" w:color="000000"/>
            </w:tcBorders>
            <w:shd w:val="clear" w:color="auto" w:fill="FFFFFF"/>
            <w:vAlign w:val="center"/>
          </w:tcPr>
          <w:p w14:paraId="4FC63AF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68" w:type="dxa"/>
            <w:tcBorders>
              <w:top w:val="nil"/>
              <w:left w:val="nil"/>
              <w:bottom w:val="single" w:sz="4" w:space="0" w:color="000000"/>
              <w:right w:val="single" w:sz="4" w:space="0" w:color="000000"/>
            </w:tcBorders>
            <w:shd w:val="clear" w:color="auto" w:fill="FFFFFF"/>
            <w:vAlign w:val="center"/>
          </w:tcPr>
          <w:p w14:paraId="02D0D9F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777" w:type="dxa"/>
            <w:tcBorders>
              <w:top w:val="nil"/>
              <w:left w:val="nil"/>
              <w:bottom w:val="single" w:sz="4" w:space="0" w:color="000000"/>
              <w:right w:val="single" w:sz="4" w:space="0" w:color="000000"/>
            </w:tcBorders>
            <w:shd w:val="clear" w:color="auto" w:fill="FFFFFF"/>
            <w:vAlign w:val="center"/>
          </w:tcPr>
          <w:p w14:paraId="2147AAF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800" w:type="dxa"/>
            <w:tcBorders>
              <w:top w:val="nil"/>
              <w:left w:val="nil"/>
              <w:bottom w:val="single" w:sz="4" w:space="0" w:color="000000"/>
              <w:right w:val="single" w:sz="4" w:space="0" w:color="000000"/>
            </w:tcBorders>
            <w:shd w:val="clear" w:color="auto" w:fill="FFFFFF"/>
            <w:vAlign w:val="center"/>
          </w:tcPr>
          <w:p w14:paraId="55764FF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71" w:type="dxa"/>
            <w:tcBorders>
              <w:top w:val="nil"/>
              <w:left w:val="nil"/>
              <w:bottom w:val="single" w:sz="4" w:space="0" w:color="000000"/>
              <w:right w:val="single" w:sz="4" w:space="0" w:color="000000"/>
            </w:tcBorders>
            <w:shd w:val="clear" w:color="auto" w:fill="FFFFFF"/>
            <w:vAlign w:val="center"/>
          </w:tcPr>
          <w:p w14:paraId="36E7D60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01" w:type="dxa"/>
            <w:tcBorders>
              <w:top w:val="nil"/>
              <w:left w:val="nil"/>
              <w:bottom w:val="single" w:sz="4" w:space="0" w:color="000000"/>
              <w:right w:val="single" w:sz="4" w:space="0" w:color="000000"/>
            </w:tcBorders>
            <w:shd w:val="clear" w:color="auto" w:fill="FFFFFF"/>
            <w:vAlign w:val="center"/>
          </w:tcPr>
          <w:p w14:paraId="770BD0E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Error</w:t>
            </w:r>
          </w:p>
        </w:tc>
        <w:tc>
          <w:tcPr>
            <w:tcW w:w="769" w:type="dxa"/>
            <w:tcBorders>
              <w:top w:val="nil"/>
              <w:left w:val="nil"/>
              <w:bottom w:val="single" w:sz="4" w:space="0" w:color="000000"/>
              <w:right w:val="single" w:sz="4" w:space="0" w:color="000000"/>
            </w:tcBorders>
            <w:shd w:val="clear" w:color="auto" w:fill="FFFFFF"/>
            <w:vAlign w:val="center"/>
          </w:tcPr>
          <w:p w14:paraId="1B5AAE8D"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722" w:type="dxa"/>
            <w:tcBorders>
              <w:top w:val="nil"/>
              <w:left w:val="nil"/>
              <w:bottom w:val="single" w:sz="4" w:space="0" w:color="000000"/>
              <w:right w:val="single" w:sz="4" w:space="0" w:color="000000"/>
            </w:tcBorders>
            <w:shd w:val="clear" w:color="auto" w:fill="FFFFFF"/>
            <w:vAlign w:val="center"/>
          </w:tcPr>
          <w:p w14:paraId="00E70F5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68" w:type="dxa"/>
            <w:tcBorders>
              <w:top w:val="nil"/>
              <w:left w:val="nil"/>
              <w:bottom w:val="single" w:sz="4" w:space="0" w:color="000000"/>
              <w:right w:val="single" w:sz="4" w:space="0" w:color="000000"/>
            </w:tcBorders>
            <w:shd w:val="clear" w:color="auto" w:fill="FFFFFF"/>
            <w:vAlign w:val="center"/>
          </w:tcPr>
          <w:p w14:paraId="3B447EA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531" w:type="dxa"/>
            <w:tcBorders>
              <w:top w:val="nil"/>
              <w:left w:val="nil"/>
              <w:bottom w:val="single" w:sz="4" w:space="0" w:color="000000"/>
              <w:right w:val="single" w:sz="4" w:space="0" w:color="000000"/>
            </w:tcBorders>
            <w:shd w:val="clear" w:color="auto" w:fill="FFFFFF"/>
            <w:vAlign w:val="center"/>
          </w:tcPr>
          <w:p w14:paraId="4DBCBFA3"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Error</w:t>
            </w:r>
          </w:p>
        </w:tc>
        <w:tc>
          <w:tcPr>
            <w:tcW w:w="668" w:type="dxa"/>
            <w:tcBorders>
              <w:top w:val="nil"/>
              <w:left w:val="nil"/>
              <w:bottom w:val="single" w:sz="4" w:space="0" w:color="000000"/>
              <w:right w:val="single" w:sz="4" w:space="0" w:color="000000"/>
            </w:tcBorders>
            <w:shd w:val="clear" w:color="auto" w:fill="FFFFFF"/>
            <w:vAlign w:val="center"/>
          </w:tcPr>
          <w:p w14:paraId="5D10C12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531" w:type="dxa"/>
            <w:tcBorders>
              <w:top w:val="nil"/>
              <w:left w:val="nil"/>
              <w:bottom w:val="single" w:sz="4" w:space="0" w:color="000000"/>
              <w:right w:val="single" w:sz="4" w:space="0" w:color="000000"/>
            </w:tcBorders>
            <w:shd w:val="clear" w:color="auto" w:fill="FFFFFF"/>
            <w:vAlign w:val="center"/>
          </w:tcPr>
          <w:p w14:paraId="66CE04EC"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Error</w:t>
            </w:r>
          </w:p>
        </w:tc>
      </w:tr>
      <w:tr w:rsidR="00066D46" w14:paraId="0BA6D279"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75B5FC53"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USDINR</w:t>
            </w:r>
          </w:p>
        </w:tc>
        <w:tc>
          <w:tcPr>
            <w:tcW w:w="668" w:type="dxa"/>
            <w:tcBorders>
              <w:top w:val="nil"/>
              <w:left w:val="nil"/>
              <w:bottom w:val="single" w:sz="4" w:space="0" w:color="000000"/>
              <w:right w:val="single" w:sz="4" w:space="0" w:color="000000"/>
            </w:tcBorders>
            <w:shd w:val="clear" w:color="auto" w:fill="FFFFFF"/>
            <w:vAlign w:val="center"/>
          </w:tcPr>
          <w:p w14:paraId="619DE3C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01382B3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21.3</w:t>
            </w:r>
          </w:p>
        </w:tc>
        <w:tc>
          <w:tcPr>
            <w:tcW w:w="777" w:type="dxa"/>
            <w:tcBorders>
              <w:top w:val="nil"/>
              <w:left w:val="nil"/>
              <w:bottom w:val="single" w:sz="4" w:space="0" w:color="000000"/>
              <w:right w:val="single" w:sz="4" w:space="0" w:color="000000"/>
            </w:tcBorders>
            <w:shd w:val="clear" w:color="auto" w:fill="FFFFFF"/>
            <w:vAlign w:val="center"/>
          </w:tcPr>
          <w:p w14:paraId="62DF130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61.9</w:t>
            </w:r>
          </w:p>
        </w:tc>
        <w:tc>
          <w:tcPr>
            <w:tcW w:w="800" w:type="dxa"/>
            <w:tcBorders>
              <w:top w:val="nil"/>
              <w:left w:val="nil"/>
              <w:bottom w:val="single" w:sz="4" w:space="0" w:color="000000"/>
              <w:right w:val="single" w:sz="4" w:space="0" w:color="000000"/>
            </w:tcBorders>
            <w:shd w:val="clear" w:color="auto" w:fill="FFFFFF"/>
            <w:vAlign w:val="center"/>
          </w:tcPr>
          <w:p w14:paraId="22EAE8C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83.2</w:t>
            </w:r>
          </w:p>
        </w:tc>
        <w:tc>
          <w:tcPr>
            <w:tcW w:w="671" w:type="dxa"/>
            <w:tcBorders>
              <w:top w:val="nil"/>
              <w:left w:val="nil"/>
              <w:bottom w:val="single" w:sz="4" w:space="0" w:color="000000"/>
              <w:right w:val="single" w:sz="4" w:space="0" w:color="000000"/>
            </w:tcBorders>
            <w:shd w:val="clear" w:color="auto" w:fill="FFFFFF"/>
            <w:vAlign w:val="center"/>
          </w:tcPr>
          <w:p w14:paraId="28F05CA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71.1</w:t>
            </w:r>
          </w:p>
        </w:tc>
        <w:tc>
          <w:tcPr>
            <w:tcW w:w="601" w:type="dxa"/>
            <w:tcBorders>
              <w:top w:val="nil"/>
              <w:left w:val="nil"/>
              <w:bottom w:val="single" w:sz="4" w:space="0" w:color="000000"/>
              <w:right w:val="single" w:sz="4" w:space="0" w:color="000000"/>
            </w:tcBorders>
            <w:shd w:val="clear" w:color="auto" w:fill="FFFFFF"/>
            <w:vAlign w:val="center"/>
          </w:tcPr>
          <w:p w14:paraId="281E538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2.3439</w:t>
            </w:r>
          </w:p>
        </w:tc>
        <w:tc>
          <w:tcPr>
            <w:tcW w:w="769" w:type="dxa"/>
            <w:tcBorders>
              <w:top w:val="nil"/>
              <w:left w:val="nil"/>
              <w:bottom w:val="single" w:sz="4" w:space="0" w:color="000000"/>
              <w:right w:val="single" w:sz="4" w:space="0" w:color="000000"/>
            </w:tcBorders>
            <w:shd w:val="clear" w:color="auto" w:fill="FFFFFF"/>
            <w:vAlign w:val="center"/>
          </w:tcPr>
          <w:p w14:paraId="2E76F6A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7.7737</w:t>
            </w:r>
          </w:p>
        </w:tc>
        <w:tc>
          <w:tcPr>
            <w:tcW w:w="722" w:type="dxa"/>
            <w:tcBorders>
              <w:top w:val="nil"/>
              <w:left w:val="nil"/>
              <w:bottom w:val="single" w:sz="4" w:space="0" w:color="000000"/>
              <w:right w:val="single" w:sz="4" w:space="0" w:color="000000"/>
            </w:tcBorders>
            <w:shd w:val="clear" w:color="auto" w:fill="FFFFFF"/>
            <w:vAlign w:val="center"/>
          </w:tcPr>
          <w:p w14:paraId="24E1164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60.43</w:t>
            </w:r>
          </w:p>
        </w:tc>
        <w:tc>
          <w:tcPr>
            <w:tcW w:w="668" w:type="dxa"/>
            <w:tcBorders>
              <w:top w:val="nil"/>
              <w:left w:val="nil"/>
              <w:bottom w:val="single" w:sz="4" w:space="0" w:color="000000"/>
              <w:right w:val="single" w:sz="4" w:space="0" w:color="000000"/>
            </w:tcBorders>
            <w:shd w:val="clear" w:color="auto" w:fill="FFFFFF"/>
            <w:vAlign w:val="center"/>
          </w:tcPr>
          <w:p w14:paraId="6A20385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0.368</w:t>
            </w:r>
          </w:p>
        </w:tc>
        <w:tc>
          <w:tcPr>
            <w:tcW w:w="531" w:type="dxa"/>
            <w:tcBorders>
              <w:top w:val="nil"/>
              <w:left w:val="nil"/>
              <w:bottom w:val="single" w:sz="4" w:space="0" w:color="000000"/>
              <w:right w:val="single" w:sz="4" w:space="0" w:color="000000"/>
            </w:tcBorders>
            <w:shd w:val="clear" w:color="auto" w:fill="FFFFFF"/>
            <w:vAlign w:val="center"/>
          </w:tcPr>
          <w:p w14:paraId="711E7BA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0.661</w:t>
            </w:r>
          </w:p>
        </w:tc>
        <w:tc>
          <w:tcPr>
            <w:tcW w:w="668" w:type="dxa"/>
            <w:tcBorders>
              <w:top w:val="nil"/>
              <w:left w:val="nil"/>
              <w:bottom w:val="single" w:sz="4" w:space="0" w:color="000000"/>
              <w:right w:val="single" w:sz="4" w:space="0" w:color="000000"/>
            </w:tcBorders>
            <w:shd w:val="clear" w:color="auto" w:fill="FFFFFF"/>
            <w:vAlign w:val="center"/>
          </w:tcPr>
          <w:p w14:paraId="397AC74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-1.221</w:t>
            </w:r>
          </w:p>
        </w:tc>
        <w:tc>
          <w:tcPr>
            <w:tcW w:w="531" w:type="dxa"/>
            <w:tcBorders>
              <w:top w:val="nil"/>
              <w:left w:val="nil"/>
              <w:bottom w:val="single" w:sz="4" w:space="0" w:color="000000"/>
              <w:right w:val="single" w:sz="4" w:space="0" w:color="000000"/>
            </w:tcBorders>
            <w:shd w:val="clear" w:color="auto" w:fill="FFFFFF"/>
            <w:vAlign w:val="center"/>
          </w:tcPr>
          <w:p w14:paraId="363ADFC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1.279</w:t>
            </w:r>
          </w:p>
        </w:tc>
      </w:tr>
      <w:tr w:rsidR="00066D46" w14:paraId="7D5A639E"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19E519E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WPIPHARMA</w:t>
            </w:r>
          </w:p>
        </w:tc>
        <w:tc>
          <w:tcPr>
            <w:tcW w:w="668" w:type="dxa"/>
            <w:tcBorders>
              <w:top w:val="nil"/>
              <w:left w:val="nil"/>
              <w:bottom w:val="single" w:sz="4" w:space="0" w:color="000000"/>
              <w:right w:val="single" w:sz="4" w:space="0" w:color="000000"/>
            </w:tcBorders>
            <w:shd w:val="clear" w:color="auto" w:fill="FFFFFF"/>
            <w:vAlign w:val="center"/>
          </w:tcPr>
          <w:p w14:paraId="051F0092"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1165921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37.4</w:t>
            </w:r>
          </w:p>
        </w:tc>
        <w:tc>
          <w:tcPr>
            <w:tcW w:w="777" w:type="dxa"/>
            <w:tcBorders>
              <w:top w:val="nil"/>
              <w:left w:val="nil"/>
              <w:bottom w:val="single" w:sz="4" w:space="0" w:color="000000"/>
              <w:right w:val="single" w:sz="4" w:space="0" w:color="000000"/>
            </w:tcBorders>
            <w:shd w:val="clear" w:color="auto" w:fill="FFFFFF"/>
            <w:vAlign w:val="center"/>
          </w:tcPr>
          <w:p w14:paraId="00A361C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109.4</w:t>
            </w:r>
          </w:p>
        </w:tc>
        <w:tc>
          <w:tcPr>
            <w:tcW w:w="800" w:type="dxa"/>
            <w:tcBorders>
              <w:top w:val="nil"/>
              <w:left w:val="nil"/>
              <w:bottom w:val="single" w:sz="4" w:space="0" w:color="000000"/>
              <w:right w:val="single" w:sz="4" w:space="0" w:color="000000"/>
            </w:tcBorders>
            <w:shd w:val="clear" w:color="auto" w:fill="FFFFFF"/>
            <w:vAlign w:val="center"/>
          </w:tcPr>
          <w:p w14:paraId="16EA600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146.8</w:t>
            </w:r>
          </w:p>
        </w:tc>
        <w:tc>
          <w:tcPr>
            <w:tcW w:w="671" w:type="dxa"/>
            <w:tcBorders>
              <w:top w:val="nil"/>
              <w:left w:val="nil"/>
              <w:bottom w:val="single" w:sz="4" w:space="0" w:color="000000"/>
              <w:right w:val="single" w:sz="4" w:space="0" w:color="000000"/>
            </w:tcBorders>
            <w:shd w:val="clear" w:color="auto" w:fill="FFFFFF"/>
            <w:vAlign w:val="center"/>
          </w:tcPr>
          <w:p w14:paraId="38723BB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129.318</w:t>
            </w:r>
          </w:p>
        </w:tc>
        <w:tc>
          <w:tcPr>
            <w:tcW w:w="601" w:type="dxa"/>
            <w:tcBorders>
              <w:top w:val="nil"/>
              <w:left w:val="nil"/>
              <w:bottom w:val="single" w:sz="4" w:space="0" w:color="000000"/>
              <w:right w:val="single" w:sz="4" w:space="0" w:color="000000"/>
            </w:tcBorders>
            <w:shd w:val="clear" w:color="auto" w:fill="FFFFFF"/>
            <w:vAlign w:val="center"/>
          </w:tcPr>
          <w:p w14:paraId="1168CA2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3.8082</w:t>
            </w:r>
          </w:p>
        </w:tc>
        <w:tc>
          <w:tcPr>
            <w:tcW w:w="769" w:type="dxa"/>
            <w:tcBorders>
              <w:top w:val="nil"/>
              <w:left w:val="nil"/>
              <w:bottom w:val="single" w:sz="4" w:space="0" w:color="000000"/>
              <w:right w:val="single" w:sz="4" w:space="0" w:color="000000"/>
            </w:tcBorders>
            <w:shd w:val="clear" w:color="auto" w:fill="FFFFFF"/>
            <w:vAlign w:val="center"/>
          </w:tcPr>
          <w:p w14:paraId="7C204262"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12.6304</w:t>
            </w:r>
          </w:p>
        </w:tc>
        <w:tc>
          <w:tcPr>
            <w:tcW w:w="722" w:type="dxa"/>
            <w:tcBorders>
              <w:top w:val="nil"/>
              <w:left w:val="nil"/>
              <w:bottom w:val="single" w:sz="4" w:space="0" w:color="000000"/>
              <w:right w:val="single" w:sz="4" w:space="0" w:color="000000"/>
            </w:tcBorders>
            <w:shd w:val="clear" w:color="auto" w:fill="FFFFFF"/>
            <w:vAlign w:val="center"/>
          </w:tcPr>
          <w:p w14:paraId="7C9FB25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159.528</w:t>
            </w:r>
          </w:p>
        </w:tc>
        <w:tc>
          <w:tcPr>
            <w:tcW w:w="668" w:type="dxa"/>
            <w:tcBorders>
              <w:top w:val="nil"/>
              <w:left w:val="nil"/>
              <w:bottom w:val="single" w:sz="4" w:space="0" w:color="000000"/>
              <w:right w:val="single" w:sz="4" w:space="0" w:color="000000"/>
            </w:tcBorders>
            <w:shd w:val="clear" w:color="auto" w:fill="FFFFFF"/>
            <w:vAlign w:val="center"/>
          </w:tcPr>
          <w:p w14:paraId="1589C6D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-0.126</w:t>
            </w:r>
          </w:p>
        </w:tc>
        <w:tc>
          <w:tcPr>
            <w:tcW w:w="531" w:type="dxa"/>
            <w:tcBorders>
              <w:top w:val="nil"/>
              <w:left w:val="nil"/>
              <w:bottom w:val="single" w:sz="4" w:space="0" w:color="000000"/>
              <w:right w:val="single" w:sz="4" w:space="0" w:color="000000"/>
            </w:tcBorders>
            <w:shd w:val="clear" w:color="auto" w:fill="FFFFFF"/>
            <w:vAlign w:val="center"/>
          </w:tcPr>
          <w:p w14:paraId="619DFD1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0.661</w:t>
            </w:r>
          </w:p>
        </w:tc>
        <w:tc>
          <w:tcPr>
            <w:tcW w:w="668" w:type="dxa"/>
            <w:tcBorders>
              <w:top w:val="nil"/>
              <w:left w:val="nil"/>
              <w:bottom w:val="single" w:sz="4" w:space="0" w:color="000000"/>
              <w:right w:val="single" w:sz="4" w:space="0" w:color="000000"/>
            </w:tcBorders>
            <w:shd w:val="clear" w:color="auto" w:fill="FFFFFF"/>
            <w:vAlign w:val="center"/>
          </w:tcPr>
          <w:p w14:paraId="05037D8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-1.229</w:t>
            </w:r>
          </w:p>
        </w:tc>
        <w:tc>
          <w:tcPr>
            <w:tcW w:w="531" w:type="dxa"/>
            <w:tcBorders>
              <w:top w:val="nil"/>
              <w:left w:val="nil"/>
              <w:bottom w:val="single" w:sz="4" w:space="0" w:color="000000"/>
              <w:right w:val="single" w:sz="4" w:space="0" w:color="000000"/>
            </w:tcBorders>
            <w:shd w:val="clear" w:color="auto" w:fill="FFFFFF"/>
            <w:vAlign w:val="center"/>
          </w:tcPr>
          <w:p w14:paraId="71F2740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1.279</w:t>
            </w:r>
          </w:p>
        </w:tc>
      </w:tr>
      <w:tr w:rsidR="00066D46" w14:paraId="58647772"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0FACA96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CPIMEDS</w:t>
            </w:r>
          </w:p>
        </w:tc>
        <w:tc>
          <w:tcPr>
            <w:tcW w:w="668" w:type="dxa"/>
            <w:tcBorders>
              <w:top w:val="nil"/>
              <w:left w:val="nil"/>
              <w:bottom w:val="single" w:sz="4" w:space="0" w:color="000000"/>
              <w:right w:val="single" w:sz="4" w:space="0" w:color="000000"/>
            </w:tcBorders>
            <w:shd w:val="clear" w:color="auto" w:fill="FFFFFF"/>
            <w:vAlign w:val="center"/>
          </w:tcPr>
          <w:p w14:paraId="6DEB716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7C6AD4A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43.1</w:t>
            </w:r>
          </w:p>
        </w:tc>
        <w:tc>
          <w:tcPr>
            <w:tcW w:w="777" w:type="dxa"/>
            <w:tcBorders>
              <w:top w:val="nil"/>
              <w:left w:val="nil"/>
              <w:bottom w:val="single" w:sz="4" w:space="0" w:color="000000"/>
              <w:right w:val="single" w:sz="4" w:space="0" w:color="000000"/>
            </w:tcBorders>
            <w:shd w:val="clear" w:color="auto" w:fill="FFFFFF"/>
            <w:vAlign w:val="center"/>
          </w:tcPr>
          <w:p w14:paraId="296D39A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108.2</w:t>
            </w:r>
          </w:p>
        </w:tc>
        <w:tc>
          <w:tcPr>
            <w:tcW w:w="800" w:type="dxa"/>
            <w:tcBorders>
              <w:top w:val="nil"/>
              <w:left w:val="nil"/>
              <w:bottom w:val="single" w:sz="4" w:space="0" w:color="000000"/>
              <w:right w:val="single" w:sz="4" w:space="0" w:color="000000"/>
            </w:tcBorders>
            <w:shd w:val="clear" w:color="auto" w:fill="FFFFFF"/>
            <w:vAlign w:val="center"/>
          </w:tcPr>
          <w:p w14:paraId="5E488E0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151.3</w:t>
            </w:r>
          </w:p>
        </w:tc>
        <w:tc>
          <w:tcPr>
            <w:tcW w:w="671" w:type="dxa"/>
            <w:tcBorders>
              <w:top w:val="nil"/>
              <w:left w:val="nil"/>
              <w:bottom w:val="single" w:sz="4" w:space="0" w:color="000000"/>
              <w:right w:val="single" w:sz="4" w:space="0" w:color="000000"/>
            </w:tcBorders>
            <w:shd w:val="clear" w:color="auto" w:fill="FFFFFF"/>
            <w:vAlign w:val="center"/>
          </w:tcPr>
          <w:p w14:paraId="207EB49C"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126.327</w:t>
            </w:r>
          </w:p>
        </w:tc>
        <w:tc>
          <w:tcPr>
            <w:tcW w:w="601" w:type="dxa"/>
            <w:tcBorders>
              <w:top w:val="nil"/>
              <w:left w:val="nil"/>
              <w:bottom w:val="single" w:sz="4" w:space="0" w:color="000000"/>
              <w:right w:val="single" w:sz="4" w:space="0" w:color="000000"/>
            </w:tcBorders>
            <w:shd w:val="clear" w:color="auto" w:fill="FFFFFF"/>
            <w:vAlign w:val="center"/>
          </w:tcPr>
          <w:p w14:paraId="37E39260"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3.9949</w:t>
            </w:r>
          </w:p>
        </w:tc>
        <w:tc>
          <w:tcPr>
            <w:tcW w:w="769" w:type="dxa"/>
            <w:tcBorders>
              <w:top w:val="nil"/>
              <w:left w:val="nil"/>
              <w:bottom w:val="single" w:sz="4" w:space="0" w:color="000000"/>
              <w:right w:val="single" w:sz="4" w:space="0" w:color="000000"/>
            </w:tcBorders>
            <w:shd w:val="clear" w:color="auto" w:fill="FFFFFF"/>
            <w:vAlign w:val="center"/>
          </w:tcPr>
          <w:p w14:paraId="30732E3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13.2495</w:t>
            </w:r>
          </w:p>
        </w:tc>
        <w:tc>
          <w:tcPr>
            <w:tcW w:w="722" w:type="dxa"/>
            <w:tcBorders>
              <w:top w:val="nil"/>
              <w:left w:val="nil"/>
              <w:bottom w:val="single" w:sz="4" w:space="0" w:color="000000"/>
              <w:right w:val="single" w:sz="4" w:space="0" w:color="000000"/>
            </w:tcBorders>
            <w:shd w:val="clear" w:color="auto" w:fill="FFFFFF"/>
            <w:vAlign w:val="center"/>
          </w:tcPr>
          <w:p w14:paraId="4DC0B67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175.548</w:t>
            </w:r>
          </w:p>
        </w:tc>
        <w:tc>
          <w:tcPr>
            <w:tcW w:w="668" w:type="dxa"/>
            <w:tcBorders>
              <w:top w:val="nil"/>
              <w:left w:val="nil"/>
              <w:bottom w:val="single" w:sz="4" w:space="0" w:color="000000"/>
              <w:right w:val="single" w:sz="4" w:space="0" w:color="000000"/>
            </w:tcBorders>
            <w:shd w:val="clear" w:color="auto" w:fill="FFFFFF"/>
            <w:vAlign w:val="center"/>
          </w:tcPr>
          <w:p w14:paraId="7523EB4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0.53</w:t>
            </w:r>
          </w:p>
        </w:tc>
        <w:tc>
          <w:tcPr>
            <w:tcW w:w="531" w:type="dxa"/>
            <w:tcBorders>
              <w:top w:val="nil"/>
              <w:left w:val="nil"/>
              <w:bottom w:val="single" w:sz="4" w:space="0" w:color="000000"/>
              <w:right w:val="single" w:sz="4" w:space="0" w:color="000000"/>
            </w:tcBorders>
            <w:shd w:val="clear" w:color="auto" w:fill="FFFFFF"/>
            <w:vAlign w:val="center"/>
          </w:tcPr>
          <w:p w14:paraId="7E0722D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0.661</w:t>
            </w:r>
          </w:p>
        </w:tc>
        <w:tc>
          <w:tcPr>
            <w:tcW w:w="668" w:type="dxa"/>
            <w:tcBorders>
              <w:top w:val="nil"/>
              <w:left w:val="nil"/>
              <w:bottom w:val="single" w:sz="4" w:space="0" w:color="000000"/>
              <w:right w:val="single" w:sz="4" w:space="0" w:color="000000"/>
            </w:tcBorders>
            <w:shd w:val="clear" w:color="auto" w:fill="FFFFFF"/>
            <w:vAlign w:val="center"/>
          </w:tcPr>
          <w:p w14:paraId="72D19183"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-0.379</w:t>
            </w:r>
          </w:p>
        </w:tc>
        <w:tc>
          <w:tcPr>
            <w:tcW w:w="531" w:type="dxa"/>
            <w:tcBorders>
              <w:top w:val="nil"/>
              <w:left w:val="nil"/>
              <w:bottom w:val="single" w:sz="4" w:space="0" w:color="000000"/>
              <w:right w:val="single" w:sz="4" w:space="0" w:color="000000"/>
            </w:tcBorders>
            <w:shd w:val="clear" w:color="auto" w:fill="FFFFFF"/>
            <w:vAlign w:val="center"/>
          </w:tcPr>
          <w:p w14:paraId="6CC839F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1.279</w:t>
            </w:r>
          </w:p>
        </w:tc>
      </w:tr>
      <w:tr w:rsidR="00066D46" w14:paraId="333DDD87"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21472B9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Valid N (listwise)</w:t>
            </w:r>
          </w:p>
        </w:tc>
        <w:tc>
          <w:tcPr>
            <w:tcW w:w="668" w:type="dxa"/>
            <w:tcBorders>
              <w:top w:val="nil"/>
              <w:left w:val="nil"/>
              <w:bottom w:val="single" w:sz="4" w:space="0" w:color="000000"/>
              <w:right w:val="single" w:sz="4" w:space="0" w:color="000000"/>
            </w:tcBorders>
            <w:shd w:val="clear" w:color="auto" w:fill="FFFFFF"/>
            <w:vAlign w:val="center"/>
          </w:tcPr>
          <w:p w14:paraId="42608EF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0D5928F2"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777" w:type="dxa"/>
            <w:tcBorders>
              <w:top w:val="nil"/>
              <w:left w:val="nil"/>
              <w:bottom w:val="single" w:sz="4" w:space="0" w:color="000000"/>
              <w:right w:val="single" w:sz="4" w:space="0" w:color="000000"/>
            </w:tcBorders>
            <w:shd w:val="clear" w:color="auto" w:fill="FFFFFF"/>
            <w:vAlign w:val="center"/>
          </w:tcPr>
          <w:p w14:paraId="30847A8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800" w:type="dxa"/>
            <w:tcBorders>
              <w:top w:val="nil"/>
              <w:left w:val="nil"/>
              <w:bottom w:val="single" w:sz="4" w:space="0" w:color="000000"/>
              <w:right w:val="single" w:sz="4" w:space="0" w:color="000000"/>
            </w:tcBorders>
            <w:shd w:val="clear" w:color="auto" w:fill="FFFFFF"/>
            <w:vAlign w:val="center"/>
          </w:tcPr>
          <w:p w14:paraId="655D196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71" w:type="dxa"/>
            <w:tcBorders>
              <w:top w:val="nil"/>
              <w:left w:val="nil"/>
              <w:bottom w:val="single" w:sz="4" w:space="0" w:color="000000"/>
              <w:right w:val="single" w:sz="4" w:space="0" w:color="000000"/>
            </w:tcBorders>
            <w:shd w:val="clear" w:color="auto" w:fill="FFFFFF"/>
            <w:vAlign w:val="center"/>
          </w:tcPr>
          <w:p w14:paraId="3FA4837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01" w:type="dxa"/>
            <w:tcBorders>
              <w:top w:val="nil"/>
              <w:left w:val="nil"/>
              <w:bottom w:val="single" w:sz="4" w:space="0" w:color="000000"/>
              <w:right w:val="single" w:sz="4" w:space="0" w:color="000000"/>
            </w:tcBorders>
            <w:shd w:val="clear" w:color="auto" w:fill="FFFFFF"/>
            <w:vAlign w:val="center"/>
          </w:tcPr>
          <w:p w14:paraId="25557B60"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769" w:type="dxa"/>
            <w:tcBorders>
              <w:top w:val="nil"/>
              <w:left w:val="nil"/>
              <w:bottom w:val="single" w:sz="4" w:space="0" w:color="000000"/>
              <w:right w:val="single" w:sz="4" w:space="0" w:color="000000"/>
            </w:tcBorders>
            <w:shd w:val="clear" w:color="auto" w:fill="FFFFFF"/>
            <w:vAlign w:val="center"/>
          </w:tcPr>
          <w:p w14:paraId="5B6ADC5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722" w:type="dxa"/>
            <w:tcBorders>
              <w:top w:val="nil"/>
              <w:left w:val="nil"/>
              <w:bottom w:val="single" w:sz="4" w:space="0" w:color="000000"/>
              <w:right w:val="single" w:sz="4" w:space="0" w:color="000000"/>
            </w:tcBorders>
            <w:shd w:val="clear" w:color="auto" w:fill="FFFFFF"/>
            <w:vAlign w:val="center"/>
          </w:tcPr>
          <w:p w14:paraId="2D9457A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68" w:type="dxa"/>
            <w:tcBorders>
              <w:top w:val="nil"/>
              <w:left w:val="nil"/>
              <w:bottom w:val="single" w:sz="4" w:space="0" w:color="000000"/>
              <w:right w:val="single" w:sz="4" w:space="0" w:color="000000"/>
            </w:tcBorders>
            <w:shd w:val="clear" w:color="auto" w:fill="FFFFFF"/>
            <w:vAlign w:val="center"/>
          </w:tcPr>
          <w:p w14:paraId="2EF3EEF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531" w:type="dxa"/>
            <w:tcBorders>
              <w:top w:val="nil"/>
              <w:left w:val="nil"/>
              <w:bottom w:val="single" w:sz="4" w:space="0" w:color="000000"/>
              <w:right w:val="single" w:sz="4" w:space="0" w:color="000000"/>
            </w:tcBorders>
            <w:shd w:val="clear" w:color="auto" w:fill="FFFFFF"/>
            <w:vAlign w:val="center"/>
          </w:tcPr>
          <w:p w14:paraId="5F23949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68" w:type="dxa"/>
            <w:tcBorders>
              <w:top w:val="nil"/>
              <w:left w:val="nil"/>
              <w:bottom w:val="single" w:sz="4" w:space="0" w:color="000000"/>
              <w:right w:val="single" w:sz="4" w:space="0" w:color="000000"/>
            </w:tcBorders>
            <w:shd w:val="clear" w:color="auto" w:fill="FFFFFF"/>
            <w:vAlign w:val="center"/>
          </w:tcPr>
          <w:p w14:paraId="7308E97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531" w:type="dxa"/>
            <w:tcBorders>
              <w:top w:val="nil"/>
              <w:left w:val="nil"/>
              <w:bottom w:val="single" w:sz="4" w:space="0" w:color="000000"/>
              <w:right w:val="single" w:sz="4" w:space="0" w:color="000000"/>
            </w:tcBorders>
            <w:shd w:val="clear" w:color="auto" w:fill="FFFFFF"/>
            <w:vAlign w:val="center"/>
          </w:tcPr>
          <w:p w14:paraId="37F0FD9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r>
    </w:tbl>
    <w:p w14:paraId="6768630D"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7">
        <w:r>
          <w:rPr>
            <w:rFonts w:ascii="Times New Roman" w:eastAsia="Times New Roman" w:hAnsi="Times New Roman" w:cs="Times New Roman"/>
            <w:color w:val="0563C1"/>
            <w:sz w:val="20"/>
            <w:szCs w:val="20"/>
            <w:u w:val="single"/>
          </w:rPr>
          <w:t>https://www.rbi.org.in</w:t>
        </w:r>
      </w:hyperlink>
    </w:p>
    <w:p w14:paraId="2AACCFDA"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8">
        <w:r>
          <w:rPr>
            <w:rFonts w:ascii="Times New Roman" w:eastAsia="Times New Roman" w:hAnsi="Times New Roman" w:cs="Times New Roman"/>
            <w:color w:val="0563C1"/>
            <w:sz w:val="20"/>
            <w:szCs w:val="20"/>
            <w:u w:val="single"/>
          </w:rPr>
          <w:t>https://dbie.rbi.org.in</w:t>
        </w:r>
      </w:hyperlink>
    </w:p>
    <w:p w14:paraId="42AEA7C6"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9">
        <w:r>
          <w:rPr>
            <w:rFonts w:ascii="Times New Roman" w:eastAsia="Times New Roman" w:hAnsi="Times New Roman" w:cs="Times New Roman"/>
            <w:color w:val="0563C1"/>
            <w:sz w:val="20"/>
            <w:szCs w:val="20"/>
            <w:u w:val="single"/>
          </w:rPr>
          <w:t>https://www.worldbank.</w:t>
        </w:r>
        <w:r>
          <w:rPr>
            <w:rFonts w:ascii="Times New Roman" w:eastAsia="Times New Roman" w:hAnsi="Times New Roman" w:cs="Times New Roman"/>
            <w:color w:val="0563C1"/>
            <w:sz w:val="20"/>
            <w:szCs w:val="20"/>
            <w:u w:val="single"/>
          </w:rPr>
          <w:t>org</w:t>
        </w:r>
      </w:hyperlink>
    </w:p>
    <w:p w14:paraId="41673F01" w14:textId="77777777" w:rsidR="00066D46" w:rsidRDefault="004D460E">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ESTIMATION:</w:t>
      </w:r>
    </w:p>
    <w:p w14:paraId="30E8EEAB" w14:textId="77777777" w:rsidR="00066D46" w:rsidRDefault="004D460E">
      <w:pPr>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WPIₜ = α₀ + α₁ USDINRₜ + εₜ</w:t>
      </w:r>
    </w:p>
    <w:p w14:paraId="7318DFC6" w14:textId="77777777" w:rsidR="00066D46" w:rsidRDefault="004D460E">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Table-2: Model Summary</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707"/>
        <w:gridCol w:w="752"/>
        <w:gridCol w:w="1030"/>
        <w:gridCol w:w="1030"/>
        <w:gridCol w:w="1030"/>
        <w:gridCol w:w="772"/>
        <w:gridCol w:w="707"/>
        <w:gridCol w:w="707"/>
        <w:gridCol w:w="1036"/>
        <w:gridCol w:w="1029"/>
      </w:tblGrid>
      <w:tr w:rsidR="00066D46" w14:paraId="68B23AC9" w14:textId="77777777">
        <w:trPr>
          <w:cantSplit/>
          <w:trHeight w:val="20"/>
        </w:trPr>
        <w:tc>
          <w:tcPr>
            <w:tcW w:w="9350" w:type="dxa"/>
            <w:gridSpan w:val="11"/>
            <w:shd w:val="clear" w:color="auto" w:fill="FFFFFF"/>
            <w:vAlign w:val="center"/>
          </w:tcPr>
          <w:p w14:paraId="1C4D9DF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Model Summary</w:t>
            </w:r>
          </w:p>
        </w:tc>
      </w:tr>
      <w:tr w:rsidR="00066D46" w14:paraId="2F1AEB01" w14:textId="77777777">
        <w:trPr>
          <w:cantSplit/>
          <w:trHeight w:val="20"/>
        </w:trPr>
        <w:tc>
          <w:tcPr>
            <w:tcW w:w="550" w:type="dxa"/>
            <w:vMerge w:val="restart"/>
            <w:shd w:val="clear" w:color="auto" w:fill="FFFFFF"/>
            <w:vAlign w:val="center"/>
          </w:tcPr>
          <w:p w14:paraId="18862F5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c>
          <w:tcPr>
            <w:tcW w:w="707" w:type="dxa"/>
            <w:vMerge w:val="restart"/>
            <w:shd w:val="clear" w:color="auto" w:fill="FFFFFF"/>
            <w:vAlign w:val="center"/>
          </w:tcPr>
          <w:p w14:paraId="6ED34C9C"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752" w:type="dxa"/>
            <w:vMerge w:val="restart"/>
            <w:shd w:val="clear" w:color="auto" w:fill="FFFFFF"/>
            <w:vAlign w:val="center"/>
          </w:tcPr>
          <w:p w14:paraId="3B2EF05D"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w:t>
            </w:r>
          </w:p>
        </w:tc>
        <w:tc>
          <w:tcPr>
            <w:tcW w:w="1030" w:type="dxa"/>
            <w:vMerge w:val="restart"/>
            <w:shd w:val="clear" w:color="auto" w:fill="FFFFFF"/>
            <w:vAlign w:val="center"/>
          </w:tcPr>
          <w:p w14:paraId="12C7E4A6"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Adjusted R-Square</w:t>
            </w:r>
          </w:p>
        </w:tc>
        <w:tc>
          <w:tcPr>
            <w:tcW w:w="1030" w:type="dxa"/>
            <w:vMerge w:val="restart"/>
            <w:shd w:val="clear" w:color="auto" w:fill="FFFFFF"/>
            <w:vAlign w:val="center"/>
          </w:tcPr>
          <w:p w14:paraId="199B6503"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Error of the Estimate</w:t>
            </w:r>
          </w:p>
        </w:tc>
        <w:tc>
          <w:tcPr>
            <w:tcW w:w="4252" w:type="dxa"/>
            <w:gridSpan w:val="5"/>
            <w:shd w:val="clear" w:color="auto" w:fill="FFFFFF"/>
            <w:vAlign w:val="center"/>
          </w:tcPr>
          <w:p w14:paraId="797EDA1C"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Change Statistics</w:t>
            </w:r>
          </w:p>
        </w:tc>
        <w:tc>
          <w:tcPr>
            <w:tcW w:w="1029" w:type="dxa"/>
            <w:vMerge w:val="restart"/>
            <w:shd w:val="clear" w:color="auto" w:fill="FFFFFF"/>
            <w:vAlign w:val="center"/>
          </w:tcPr>
          <w:p w14:paraId="128262F4"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Durbin-Watson</w:t>
            </w:r>
          </w:p>
        </w:tc>
      </w:tr>
      <w:tr w:rsidR="00066D46" w14:paraId="74A27C9C" w14:textId="77777777">
        <w:trPr>
          <w:cantSplit/>
          <w:trHeight w:val="20"/>
        </w:trPr>
        <w:tc>
          <w:tcPr>
            <w:tcW w:w="550" w:type="dxa"/>
            <w:vMerge/>
            <w:shd w:val="clear" w:color="auto" w:fill="FFFFFF"/>
            <w:vAlign w:val="center"/>
          </w:tcPr>
          <w:p w14:paraId="36B66054"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07" w:type="dxa"/>
            <w:vMerge/>
            <w:shd w:val="clear" w:color="auto" w:fill="FFFFFF"/>
            <w:vAlign w:val="center"/>
          </w:tcPr>
          <w:p w14:paraId="0D9A3DA0"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2" w:type="dxa"/>
            <w:vMerge/>
            <w:shd w:val="clear" w:color="auto" w:fill="FFFFFF"/>
            <w:vAlign w:val="center"/>
          </w:tcPr>
          <w:p w14:paraId="713AE50F"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7B726AA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6F7292C2"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shd w:val="clear" w:color="auto" w:fill="FFFFFF"/>
            <w:vAlign w:val="center"/>
          </w:tcPr>
          <w:p w14:paraId="197513B1"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 Change</w:t>
            </w:r>
          </w:p>
        </w:tc>
        <w:tc>
          <w:tcPr>
            <w:tcW w:w="772" w:type="dxa"/>
            <w:shd w:val="clear" w:color="auto" w:fill="FFFFFF"/>
            <w:vAlign w:val="center"/>
          </w:tcPr>
          <w:p w14:paraId="3B81207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 Change</w:t>
            </w:r>
          </w:p>
        </w:tc>
        <w:tc>
          <w:tcPr>
            <w:tcW w:w="707" w:type="dxa"/>
            <w:shd w:val="clear" w:color="auto" w:fill="FFFFFF"/>
            <w:vAlign w:val="center"/>
          </w:tcPr>
          <w:p w14:paraId="63C7C47B"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df1</w:t>
            </w:r>
          </w:p>
        </w:tc>
        <w:tc>
          <w:tcPr>
            <w:tcW w:w="707" w:type="dxa"/>
            <w:shd w:val="clear" w:color="auto" w:fill="FFFFFF"/>
            <w:vAlign w:val="center"/>
          </w:tcPr>
          <w:p w14:paraId="01C98C90"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df2</w:t>
            </w:r>
          </w:p>
        </w:tc>
        <w:tc>
          <w:tcPr>
            <w:tcW w:w="1036" w:type="dxa"/>
            <w:shd w:val="clear" w:color="auto" w:fill="FFFFFF"/>
            <w:vAlign w:val="center"/>
          </w:tcPr>
          <w:p w14:paraId="2C2216AD"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 F Change</w:t>
            </w:r>
          </w:p>
        </w:tc>
        <w:tc>
          <w:tcPr>
            <w:tcW w:w="1029" w:type="dxa"/>
            <w:vMerge/>
            <w:shd w:val="clear" w:color="auto" w:fill="FFFFFF"/>
            <w:vAlign w:val="center"/>
          </w:tcPr>
          <w:p w14:paraId="32CCC4B1"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066D46" w14:paraId="28E5186F" w14:textId="77777777">
        <w:trPr>
          <w:cantSplit/>
          <w:trHeight w:val="20"/>
        </w:trPr>
        <w:tc>
          <w:tcPr>
            <w:tcW w:w="550" w:type="dxa"/>
            <w:shd w:val="clear" w:color="auto" w:fill="FFFFFF"/>
            <w:vAlign w:val="center"/>
          </w:tcPr>
          <w:p w14:paraId="1893635C"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shd w:val="clear" w:color="auto" w:fill="FFFFFF"/>
            <w:vAlign w:val="center"/>
          </w:tcPr>
          <w:p w14:paraId="69578F78"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w:t>
            </w:r>
            <w:r>
              <w:rPr>
                <w:rFonts w:ascii="Times New Roman" w:eastAsia="Times New Roman" w:hAnsi="Times New Roman" w:cs="Times New Roman"/>
                <w:sz w:val="20"/>
                <w:szCs w:val="20"/>
                <w:vertAlign w:val="superscript"/>
              </w:rPr>
              <w:t>a</w:t>
            </w:r>
          </w:p>
        </w:tc>
        <w:tc>
          <w:tcPr>
            <w:tcW w:w="752" w:type="dxa"/>
            <w:shd w:val="clear" w:color="auto" w:fill="FFFFFF"/>
            <w:vAlign w:val="center"/>
          </w:tcPr>
          <w:p w14:paraId="5F27E0A2"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.907</w:t>
            </w:r>
          </w:p>
        </w:tc>
        <w:tc>
          <w:tcPr>
            <w:tcW w:w="1030" w:type="dxa"/>
            <w:shd w:val="clear" w:color="auto" w:fill="FFFFFF"/>
            <w:vAlign w:val="center"/>
          </w:tcPr>
          <w:p w14:paraId="17E1923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w:t>
            </w:r>
          </w:p>
        </w:tc>
        <w:tc>
          <w:tcPr>
            <w:tcW w:w="1030" w:type="dxa"/>
            <w:shd w:val="clear" w:color="auto" w:fill="FFFFFF"/>
            <w:vAlign w:val="center"/>
          </w:tcPr>
          <w:p w14:paraId="43B379B6"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4.0672</w:t>
            </w:r>
          </w:p>
        </w:tc>
        <w:tc>
          <w:tcPr>
            <w:tcW w:w="1030" w:type="dxa"/>
            <w:shd w:val="clear" w:color="auto" w:fill="FFFFFF"/>
            <w:vAlign w:val="center"/>
          </w:tcPr>
          <w:p w14:paraId="57510F43"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.907</w:t>
            </w:r>
          </w:p>
        </w:tc>
        <w:tc>
          <w:tcPr>
            <w:tcW w:w="772" w:type="dxa"/>
            <w:shd w:val="clear" w:color="auto" w:fill="FFFFFF"/>
            <w:vAlign w:val="center"/>
          </w:tcPr>
          <w:p w14:paraId="5BC35681"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87.436</w:t>
            </w:r>
          </w:p>
        </w:tc>
        <w:tc>
          <w:tcPr>
            <w:tcW w:w="707" w:type="dxa"/>
            <w:shd w:val="clear" w:color="auto" w:fill="FFFFFF"/>
            <w:vAlign w:val="center"/>
          </w:tcPr>
          <w:p w14:paraId="6FDA728B"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shd w:val="clear" w:color="auto" w:fill="FFFFFF"/>
            <w:vAlign w:val="center"/>
          </w:tcPr>
          <w:p w14:paraId="2A693CF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036" w:type="dxa"/>
            <w:shd w:val="clear" w:color="auto" w:fill="FFFFFF"/>
            <w:vAlign w:val="center"/>
          </w:tcPr>
          <w:p w14:paraId="22550DAD"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1029" w:type="dxa"/>
            <w:shd w:val="clear" w:color="auto" w:fill="FFFFFF"/>
            <w:vAlign w:val="center"/>
          </w:tcPr>
          <w:p w14:paraId="33FA6AEF"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1.392</w:t>
            </w:r>
          </w:p>
        </w:tc>
      </w:tr>
    </w:tbl>
    <w:p w14:paraId="77E72A58"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0">
        <w:r>
          <w:rPr>
            <w:rFonts w:ascii="Times New Roman" w:eastAsia="Times New Roman" w:hAnsi="Times New Roman" w:cs="Times New Roman"/>
            <w:color w:val="0563C1"/>
            <w:sz w:val="20"/>
            <w:szCs w:val="20"/>
            <w:u w:val="single"/>
          </w:rPr>
          <w:t>https://www.rbi.org.in</w:t>
        </w:r>
      </w:hyperlink>
    </w:p>
    <w:p w14:paraId="7A5071DE"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11">
        <w:r>
          <w:rPr>
            <w:rFonts w:ascii="Times New Roman" w:eastAsia="Times New Roman" w:hAnsi="Times New Roman" w:cs="Times New Roman"/>
            <w:color w:val="0563C1"/>
            <w:sz w:val="20"/>
            <w:szCs w:val="20"/>
            <w:u w:val="single"/>
          </w:rPr>
          <w:t>https://dbie.rbi.org.in</w:t>
        </w:r>
      </w:hyperlink>
    </w:p>
    <w:p w14:paraId="7B2D543F"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12">
        <w:r>
          <w:rPr>
            <w:rFonts w:ascii="Times New Roman" w:eastAsia="Times New Roman" w:hAnsi="Times New Roman" w:cs="Times New Roman"/>
            <w:color w:val="0563C1"/>
            <w:sz w:val="20"/>
            <w:szCs w:val="20"/>
            <w:u w:val="single"/>
          </w:rPr>
          <w:t>https://www.worldbank.org</w:t>
        </w:r>
      </w:hyperlink>
    </w:p>
    <w:p w14:paraId="1505E5CE" w14:textId="77777777"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Table-3: </w:t>
      </w:r>
      <w:proofErr w:type="spellStart"/>
      <w:r>
        <w:rPr>
          <w:rFonts w:ascii="Times New Roman" w:eastAsia="Times New Roman" w:hAnsi="Times New Roman" w:cs="Times New Roman"/>
          <w:b/>
          <w:bCs/>
          <w:sz w:val="24"/>
          <w:szCs w:val="24"/>
        </w:rPr>
        <w:t>ANOVA</w:t>
      </w:r>
      <w:r>
        <w:rPr>
          <w:rFonts w:ascii="Times New Roman" w:eastAsia="Times New Roman" w:hAnsi="Times New Roman" w:cs="Times New Roman"/>
          <w:b/>
          <w:bCs/>
          <w:sz w:val="24"/>
          <w:szCs w:val="24"/>
          <w:vertAlign w:val="superscript"/>
        </w:rPr>
        <w:t>a</w:t>
      </w:r>
      <w:proofErr w:type="spellEnd"/>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1503"/>
        <w:gridCol w:w="1741"/>
        <w:gridCol w:w="1197"/>
        <w:gridCol w:w="1649"/>
        <w:gridCol w:w="1197"/>
        <w:gridCol w:w="1195"/>
      </w:tblGrid>
      <w:tr w:rsidR="00066D46" w14:paraId="2C83751C" w14:textId="77777777">
        <w:trPr>
          <w:cantSplit/>
          <w:trHeight w:val="144"/>
        </w:trPr>
        <w:tc>
          <w:tcPr>
            <w:tcW w:w="9350" w:type="dxa"/>
            <w:gridSpan w:val="7"/>
            <w:shd w:val="clear" w:color="auto" w:fill="FFFFFF"/>
            <w:vAlign w:val="center"/>
          </w:tcPr>
          <w:p w14:paraId="1E4DDF7D" w14:textId="77777777" w:rsidR="00066D46" w:rsidRDefault="004D460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ANOVA</w:t>
            </w:r>
            <w:r>
              <w:rPr>
                <w:rFonts w:ascii="Times New Roman" w:eastAsia="Times New Roman" w:hAnsi="Times New Roman" w:cs="Times New Roman"/>
                <w:b/>
                <w:bCs/>
                <w:sz w:val="24"/>
                <w:szCs w:val="24"/>
                <w:vertAlign w:val="superscript"/>
              </w:rPr>
              <w:t>a</w:t>
            </w:r>
            <w:proofErr w:type="spellEnd"/>
          </w:p>
        </w:tc>
      </w:tr>
      <w:tr w:rsidR="00066D46" w14:paraId="558F515F" w14:textId="77777777">
        <w:trPr>
          <w:cantSplit/>
          <w:trHeight w:val="144"/>
        </w:trPr>
        <w:tc>
          <w:tcPr>
            <w:tcW w:w="2371" w:type="dxa"/>
            <w:gridSpan w:val="2"/>
            <w:shd w:val="clear" w:color="auto" w:fill="FFFFFF"/>
            <w:vAlign w:val="center"/>
          </w:tcPr>
          <w:p w14:paraId="4A307D9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41" w:type="dxa"/>
            <w:shd w:val="clear" w:color="auto" w:fill="FFFFFF"/>
            <w:vAlign w:val="center"/>
          </w:tcPr>
          <w:p w14:paraId="414E5867"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97" w:type="dxa"/>
            <w:shd w:val="clear" w:color="auto" w:fill="FFFFFF"/>
            <w:vAlign w:val="center"/>
          </w:tcPr>
          <w:p w14:paraId="75A245C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649" w:type="dxa"/>
            <w:shd w:val="clear" w:color="auto" w:fill="FFFFFF"/>
            <w:vAlign w:val="center"/>
          </w:tcPr>
          <w:p w14:paraId="6D5ACAE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97" w:type="dxa"/>
            <w:shd w:val="clear" w:color="auto" w:fill="FFFFFF"/>
            <w:vAlign w:val="center"/>
          </w:tcPr>
          <w:p w14:paraId="4F265548"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95" w:type="dxa"/>
            <w:shd w:val="clear" w:color="auto" w:fill="FFFFFF"/>
            <w:vAlign w:val="center"/>
          </w:tcPr>
          <w:p w14:paraId="0CA29DE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066D46" w14:paraId="0B91E553" w14:textId="77777777">
        <w:trPr>
          <w:cantSplit/>
          <w:trHeight w:val="144"/>
        </w:trPr>
        <w:tc>
          <w:tcPr>
            <w:tcW w:w="868" w:type="dxa"/>
            <w:vMerge w:val="restart"/>
            <w:shd w:val="clear" w:color="auto" w:fill="FFFFFF"/>
            <w:vAlign w:val="center"/>
          </w:tcPr>
          <w:p w14:paraId="76318FC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3" w:type="dxa"/>
            <w:shd w:val="clear" w:color="auto" w:fill="FFFFFF"/>
            <w:vAlign w:val="center"/>
          </w:tcPr>
          <w:p w14:paraId="66660FE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41" w:type="dxa"/>
            <w:shd w:val="clear" w:color="auto" w:fill="FFFFFF"/>
            <w:vAlign w:val="center"/>
          </w:tcPr>
          <w:p w14:paraId="747CCA6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1446.395</w:t>
            </w:r>
          </w:p>
        </w:tc>
        <w:tc>
          <w:tcPr>
            <w:tcW w:w="1197" w:type="dxa"/>
            <w:shd w:val="clear" w:color="auto" w:fill="FFFFFF"/>
            <w:vAlign w:val="center"/>
          </w:tcPr>
          <w:p w14:paraId="726D1E0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9" w:type="dxa"/>
            <w:shd w:val="clear" w:color="auto" w:fill="FFFFFF"/>
            <w:vAlign w:val="center"/>
          </w:tcPr>
          <w:p w14:paraId="5F25689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1446.395</w:t>
            </w:r>
          </w:p>
        </w:tc>
        <w:tc>
          <w:tcPr>
            <w:tcW w:w="1197" w:type="dxa"/>
            <w:shd w:val="clear" w:color="auto" w:fill="FFFFFF"/>
            <w:vAlign w:val="center"/>
          </w:tcPr>
          <w:p w14:paraId="3929C99C"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87.436</w:t>
            </w:r>
          </w:p>
        </w:tc>
        <w:tc>
          <w:tcPr>
            <w:tcW w:w="1195" w:type="dxa"/>
            <w:shd w:val="clear" w:color="auto" w:fill="FFFFFF"/>
            <w:vAlign w:val="center"/>
          </w:tcPr>
          <w:p w14:paraId="1328495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066D46" w14:paraId="183C04D4" w14:textId="77777777">
        <w:trPr>
          <w:cantSplit/>
          <w:trHeight w:val="144"/>
        </w:trPr>
        <w:tc>
          <w:tcPr>
            <w:tcW w:w="868" w:type="dxa"/>
            <w:vMerge/>
            <w:shd w:val="clear" w:color="auto" w:fill="FFFFFF"/>
            <w:vAlign w:val="center"/>
          </w:tcPr>
          <w:p w14:paraId="7717516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549ADBB8"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41" w:type="dxa"/>
            <w:shd w:val="clear" w:color="auto" w:fill="FFFFFF"/>
            <w:vAlign w:val="center"/>
          </w:tcPr>
          <w:p w14:paraId="53EC130F"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148.881</w:t>
            </w:r>
          </w:p>
        </w:tc>
        <w:tc>
          <w:tcPr>
            <w:tcW w:w="1197" w:type="dxa"/>
            <w:shd w:val="clear" w:color="auto" w:fill="FFFFFF"/>
            <w:vAlign w:val="center"/>
          </w:tcPr>
          <w:p w14:paraId="22A411E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9" w:type="dxa"/>
            <w:shd w:val="clear" w:color="auto" w:fill="FFFFFF"/>
            <w:vAlign w:val="center"/>
          </w:tcPr>
          <w:p w14:paraId="0B4F6A2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16.542</w:t>
            </w:r>
          </w:p>
        </w:tc>
        <w:tc>
          <w:tcPr>
            <w:tcW w:w="1197" w:type="dxa"/>
            <w:shd w:val="clear" w:color="auto" w:fill="FFFFFF"/>
            <w:vAlign w:val="center"/>
          </w:tcPr>
          <w:p w14:paraId="00A89D49" w14:textId="77777777" w:rsidR="00066D46" w:rsidRDefault="00066D46">
            <w:pPr>
              <w:spacing w:after="0" w:line="240" w:lineRule="auto"/>
              <w:jc w:val="center"/>
              <w:rPr>
                <w:rFonts w:ascii="Times New Roman" w:eastAsia="Times New Roman" w:hAnsi="Times New Roman" w:cs="Times New Roman"/>
                <w:sz w:val="24"/>
                <w:szCs w:val="24"/>
              </w:rPr>
            </w:pPr>
          </w:p>
        </w:tc>
        <w:tc>
          <w:tcPr>
            <w:tcW w:w="1195" w:type="dxa"/>
            <w:shd w:val="clear" w:color="auto" w:fill="FFFFFF"/>
            <w:vAlign w:val="center"/>
          </w:tcPr>
          <w:p w14:paraId="5FA6ACB2" w14:textId="77777777" w:rsidR="00066D46" w:rsidRDefault="00066D46">
            <w:pPr>
              <w:spacing w:after="0" w:line="240" w:lineRule="auto"/>
              <w:jc w:val="center"/>
              <w:rPr>
                <w:rFonts w:ascii="Times New Roman" w:eastAsia="Times New Roman" w:hAnsi="Times New Roman" w:cs="Times New Roman"/>
                <w:sz w:val="24"/>
                <w:szCs w:val="24"/>
              </w:rPr>
            </w:pPr>
          </w:p>
        </w:tc>
      </w:tr>
      <w:tr w:rsidR="00066D46" w14:paraId="77E9304D" w14:textId="77777777">
        <w:trPr>
          <w:cantSplit/>
          <w:trHeight w:val="144"/>
        </w:trPr>
        <w:tc>
          <w:tcPr>
            <w:tcW w:w="868" w:type="dxa"/>
            <w:vMerge/>
            <w:shd w:val="clear" w:color="auto" w:fill="FFFFFF"/>
            <w:vAlign w:val="center"/>
          </w:tcPr>
          <w:p w14:paraId="519207FD"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6A495FF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41" w:type="dxa"/>
            <w:shd w:val="clear" w:color="auto" w:fill="FFFFFF"/>
            <w:vAlign w:val="center"/>
          </w:tcPr>
          <w:p w14:paraId="1BF40FA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1595.276</w:t>
            </w:r>
          </w:p>
        </w:tc>
        <w:tc>
          <w:tcPr>
            <w:tcW w:w="1197" w:type="dxa"/>
            <w:shd w:val="clear" w:color="auto" w:fill="FFFFFF"/>
            <w:vAlign w:val="center"/>
          </w:tcPr>
          <w:p w14:paraId="7D0A447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9" w:type="dxa"/>
            <w:shd w:val="clear" w:color="auto" w:fill="FFFFFF"/>
            <w:vAlign w:val="center"/>
          </w:tcPr>
          <w:p w14:paraId="0DF1D3FD" w14:textId="77777777" w:rsidR="00066D46" w:rsidRDefault="00066D46">
            <w:pPr>
              <w:spacing w:after="0" w:line="240" w:lineRule="auto"/>
              <w:jc w:val="center"/>
              <w:rPr>
                <w:rFonts w:ascii="Times New Roman" w:eastAsia="Times New Roman" w:hAnsi="Times New Roman" w:cs="Times New Roman"/>
                <w:sz w:val="24"/>
                <w:szCs w:val="24"/>
              </w:rPr>
            </w:pPr>
          </w:p>
        </w:tc>
        <w:tc>
          <w:tcPr>
            <w:tcW w:w="1197" w:type="dxa"/>
            <w:shd w:val="clear" w:color="auto" w:fill="FFFFFF"/>
            <w:vAlign w:val="center"/>
          </w:tcPr>
          <w:p w14:paraId="115E5878" w14:textId="77777777" w:rsidR="00066D46" w:rsidRDefault="00066D46">
            <w:pPr>
              <w:spacing w:after="0" w:line="240" w:lineRule="auto"/>
              <w:jc w:val="center"/>
              <w:rPr>
                <w:rFonts w:ascii="Times New Roman" w:eastAsia="Times New Roman" w:hAnsi="Times New Roman" w:cs="Times New Roman"/>
                <w:sz w:val="24"/>
                <w:szCs w:val="24"/>
              </w:rPr>
            </w:pPr>
          </w:p>
        </w:tc>
        <w:tc>
          <w:tcPr>
            <w:tcW w:w="1195" w:type="dxa"/>
            <w:shd w:val="clear" w:color="auto" w:fill="FFFFFF"/>
            <w:vAlign w:val="center"/>
          </w:tcPr>
          <w:p w14:paraId="6B74B8FA" w14:textId="77777777" w:rsidR="00066D46" w:rsidRDefault="00066D46">
            <w:pPr>
              <w:spacing w:after="0" w:line="240" w:lineRule="auto"/>
              <w:jc w:val="center"/>
              <w:rPr>
                <w:rFonts w:ascii="Times New Roman" w:eastAsia="Times New Roman" w:hAnsi="Times New Roman" w:cs="Times New Roman"/>
                <w:sz w:val="24"/>
                <w:szCs w:val="24"/>
              </w:rPr>
            </w:pPr>
          </w:p>
        </w:tc>
      </w:tr>
    </w:tbl>
    <w:p w14:paraId="47EEDFF3"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3">
        <w:r>
          <w:rPr>
            <w:rFonts w:ascii="Times New Roman" w:eastAsia="Times New Roman" w:hAnsi="Times New Roman" w:cs="Times New Roman"/>
            <w:color w:val="0563C1"/>
            <w:sz w:val="20"/>
            <w:szCs w:val="20"/>
            <w:u w:val="single"/>
          </w:rPr>
          <w:t>https://www.rbi.org.in</w:t>
        </w:r>
      </w:hyperlink>
    </w:p>
    <w:p w14:paraId="32124F5C"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14">
        <w:r>
          <w:rPr>
            <w:rFonts w:ascii="Times New Roman" w:eastAsia="Times New Roman" w:hAnsi="Times New Roman" w:cs="Times New Roman"/>
            <w:color w:val="0563C1"/>
            <w:sz w:val="20"/>
            <w:szCs w:val="20"/>
            <w:u w:val="single"/>
          </w:rPr>
          <w:t>https://dbie.rbi.org.in</w:t>
        </w:r>
      </w:hyperlink>
    </w:p>
    <w:p w14:paraId="037B4D59"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15">
        <w:r>
          <w:rPr>
            <w:rFonts w:ascii="Times New Roman" w:eastAsia="Times New Roman" w:hAnsi="Times New Roman" w:cs="Times New Roman"/>
            <w:color w:val="0563C1"/>
            <w:sz w:val="20"/>
            <w:szCs w:val="20"/>
            <w:u w:val="single"/>
          </w:rPr>
          <w:t>https://www.worldbank.org</w:t>
        </w:r>
      </w:hyperlink>
    </w:p>
    <w:p w14:paraId="2C530967" w14:textId="77777777"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Table-4: Coefficients</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1223"/>
        <w:gridCol w:w="853"/>
        <w:gridCol w:w="1079"/>
        <w:gridCol w:w="1449"/>
        <w:gridCol w:w="643"/>
        <w:gridCol w:w="840"/>
        <w:gridCol w:w="967"/>
        <w:gridCol w:w="840"/>
        <w:gridCol w:w="845"/>
      </w:tblGrid>
      <w:tr w:rsidR="00066D46" w14:paraId="77B9FAC7" w14:textId="77777777">
        <w:trPr>
          <w:cantSplit/>
          <w:trHeight w:val="20"/>
        </w:trPr>
        <w:tc>
          <w:tcPr>
            <w:tcW w:w="9350" w:type="dxa"/>
            <w:gridSpan w:val="10"/>
            <w:shd w:val="clear" w:color="auto" w:fill="FFFFFF"/>
            <w:vAlign w:val="center"/>
          </w:tcPr>
          <w:p w14:paraId="089C857E" w14:textId="77777777" w:rsidR="00066D46" w:rsidRDefault="004D460E">
            <w:pPr>
              <w:spacing w:after="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Coefficients</w:t>
            </w:r>
            <w:r>
              <w:rPr>
                <w:rFonts w:ascii="Times New Roman" w:eastAsia="Times New Roman" w:hAnsi="Times New Roman" w:cs="Times New Roman"/>
                <w:b/>
                <w:bCs/>
                <w:sz w:val="24"/>
                <w:szCs w:val="24"/>
                <w:vertAlign w:val="superscript"/>
              </w:rPr>
              <w:t>a</w:t>
            </w:r>
            <w:proofErr w:type="spellEnd"/>
          </w:p>
        </w:tc>
      </w:tr>
      <w:tr w:rsidR="00066D46" w14:paraId="4104E5A9" w14:textId="77777777">
        <w:trPr>
          <w:cantSplit/>
          <w:trHeight w:val="20"/>
        </w:trPr>
        <w:tc>
          <w:tcPr>
            <w:tcW w:w="1834" w:type="dxa"/>
            <w:gridSpan w:val="2"/>
            <w:vMerge w:val="restart"/>
            <w:shd w:val="clear" w:color="auto" w:fill="FFFFFF"/>
            <w:vAlign w:val="center"/>
          </w:tcPr>
          <w:p w14:paraId="34D6937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932" w:type="dxa"/>
            <w:gridSpan w:val="2"/>
            <w:shd w:val="clear" w:color="auto" w:fill="FFFFFF"/>
            <w:vAlign w:val="center"/>
          </w:tcPr>
          <w:p w14:paraId="26E4EB2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49" w:type="dxa"/>
            <w:shd w:val="clear" w:color="auto" w:fill="FFFFFF"/>
            <w:vAlign w:val="center"/>
          </w:tcPr>
          <w:p w14:paraId="371E9269"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643" w:type="dxa"/>
            <w:vMerge w:val="restart"/>
            <w:shd w:val="clear" w:color="auto" w:fill="FFFFFF"/>
            <w:vAlign w:val="center"/>
          </w:tcPr>
          <w:p w14:paraId="2AE38C0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40" w:type="dxa"/>
            <w:vMerge w:val="restart"/>
            <w:shd w:val="clear" w:color="auto" w:fill="FFFFFF"/>
            <w:vAlign w:val="center"/>
          </w:tcPr>
          <w:p w14:paraId="7680BA9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c>
          <w:tcPr>
            <w:tcW w:w="2652" w:type="dxa"/>
            <w:gridSpan w:val="3"/>
            <w:shd w:val="clear" w:color="auto" w:fill="FFFFFF"/>
            <w:vAlign w:val="center"/>
          </w:tcPr>
          <w:p w14:paraId="43842ED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Correlations</w:t>
            </w:r>
          </w:p>
        </w:tc>
      </w:tr>
      <w:tr w:rsidR="00066D46" w14:paraId="0C0242F0" w14:textId="77777777">
        <w:trPr>
          <w:cantSplit/>
          <w:trHeight w:val="20"/>
        </w:trPr>
        <w:tc>
          <w:tcPr>
            <w:tcW w:w="1834" w:type="dxa"/>
            <w:gridSpan w:val="2"/>
            <w:vMerge/>
            <w:shd w:val="clear" w:color="auto" w:fill="FFFFFF"/>
            <w:vAlign w:val="center"/>
          </w:tcPr>
          <w:p w14:paraId="73EB6726"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53" w:type="dxa"/>
            <w:shd w:val="clear" w:color="auto" w:fill="FFFFFF"/>
            <w:vAlign w:val="center"/>
          </w:tcPr>
          <w:p w14:paraId="28E10615"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79" w:type="dxa"/>
            <w:shd w:val="clear" w:color="auto" w:fill="FFFFFF"/>
            <w:vAlign w:val="center"/>
          </w:tcPr>
          <w:p w14:paraId="5BB30F0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9" w:type="dxa"/>
            <w:shd w:val="clear" w:color="auto" w:fill="FFFFFF"/>
            <w:vAlign w:val="center"/>
          </w:tcPr>
          <w:p w14:paraId="7F551AC5"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643" w:type="dxa"/>
            <w:vMerge/>
            <w:shd w:val="clear" w:color="auto" w:fill="FFFFFF"/>
            <w:vAlign w:val="center"/>
          </w:tcPr>
          <w:p w14:paraId="7EF0E87B"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40" w:type="dxa"/>
            <w:vMerge/>
            <w:shd w:val="clear" w:color="auto" w:fill="FFFFFF"/>
            <w:vAlign w:val="center"/>
          </w:tcPr>
          <w:p w14:paraId="7B13ACB1"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67" w:type="dxa"/>
            <w:shd w:val="clear" w:color="auto" w:fill="FFFFFF"/>
            <w:vAlign w:val="center"/>
          </w:tcPr>
          <w:p w14:paraId="3CD505C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Zero-order</w:t>
            </w:r>
          </w:p>
        </w:tc>
        <w:tc>
          <w:tcPr>
            <w:tcW w:w="840" w:type="dxa"/>
            <w:shd w:val="clear" w:color="auto" w:fill="FFFFFF"/>
            <w:vAlign w:val="center"/>
          </w:tcPr>
          <w:p w14:paraId="534C5AE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Partial</w:t>
            </w:r>
          </w:p>
        </w:tc>
        <w:tc>
          <w:tcPr>
            <w:tcW w:w="845" w:type="dxa"/>
            <w:shd w:val="clear" w:color="auto" w:fill="FFFFFF"/>
            <w:vAlign w:val="center"/>
          </w:tcPr>
          <w:p w14:paraId="3348D43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w:t>
            </w:r>
          </w:p>
        </w:tc>
      </w:tr>
      <w:tr w:rsidR="00066D46" w14:paraId="21EA9E52" w14:textId="77777777">
        <w:trPr>
          <w:cantSplit/>
          <w:trHeight w:val="20"/>
        </w:trPr>
        <w:tc>
          <w:tcPr>
            <w:tcW w:w="611" w:type="dxa"/>
            <w:vMerge w:val="restart"/>
            <w:shd w:val="clear" w:color="auto" w:fill="FFFFFF"/>
            <w:vAlign w:val="center"/>
          </w:tcPr>
          <w:p w14:paraId="4DCE957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23" w:type="dxa"/>
            <w:shd w:val="clear" w:color="auto" w:fill="FFFFFF"/>
            <w:vAlign w:val="center"/>
          </w:tcPr>
          <w:p w14:paraId="094859B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53" w:type="dxa"/>
            <w:shd w:val="clear" w:color="auto" w:fill="FFFFFF"/>
            <w:vAlign w:val="center"/>
          </w:tcPr>
          <w:p w14:paraId="37A5608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19.320</w:t>
            </w:r>
          </w:p>
        </w:tc>
        <w:tc>
          <w:tcPr>
            <w:tcW w:w="1079" w:type="dxa"/>
            <w:shd w:val="clear" w:color="auto" w:fill="FFFFFF"/>
            <w:vAlign w:val="center"/>
          </w:tcPr>
          <w:p w14:paraId="5E75A9C2"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11.827</w:t>
            </w:r>
          </w:p>
        </w:tc>
        <w:tc>
          <w:tcPr>
            <w:tcW w:w="1449" w:type="dxa"/>
            <w:shd w:val="clear" w:color="auto" w:fill="FFFFFF"/>
            <w:vAlign w:val="center"/>
          </w:tcPr>
          <w:p w14:paraId="62FE5B94" w14:textId="77777777" w:rsidR="00066D46" w:rsidRDefault="00066D46">
            <w:pPr>
              <w:spacing w:after="0"/>
              <w:jc w:val="center"/>
              <w:rPr>
                <w:rFonts w:ascii="Times New Roman" w:eastAsia="Times New Roman" w:hAnsi="Times New Roman" w:cs="Times New Roman"/>
                <w:sz w:val="24"/>
                <w:szCs w:val="24"/>
              </w:rPr>
            </w:pPr>
          </w:p>
        </w:tc>
        <w:tc>
          <w:tcPr>
            <w:tcW w:w="643" w:type="dxa"/>
            <w:shd w:val="clear" w:color="auto" w:fill="FFFFFF"/>
            <w:vAlign w:val="center"/>
          </w:tcPr>
          <w:p w14:paraId="530C306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1.633</w:t>
            </w:r>
          </w:p>
        </w:tc>
        <w:tc>
          <w:tcPr>
            <w:tcW w:w="840" w:type="dxa"/>
            <w:shd w:val="clear" w:color="auto" w:fill="FFFFFF"/>
            <w:vAlign w:val="center"/>
          </w:tcPr>
          <w:p w14:paraId="15A8DD7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967" w:type="dxa"/>
            <w:shd w:val="clear" w:color="auto" w:fill="FFFFFF"/>
            <w:vAlign w:val="center"/>
          </w:tcPr>
          <w:p w14:paraId="0A4605F7" w14:textId="77777777" w:rsidR="00066D46" w:rsidRDefault="00066D46">
            <w:pPr>
              <w:spacing w:after="0"/>
              <w:jc w:val="center"/>
              <w:rPr>
                <w:rFonts w:ascii="Times New Roman" w:eastAsia="Times New Roman" w:hAnsi="Times New Roman" w:cs="Times New Roman"/>
                <w:sz w:val="24"/>
                <w:szCs w:val="24"/>
              </w:rPr>
            </w:pPr>
          </w:p>
        </w:tc>
        <w:tc>
          <w:tcPr>
            <w:tcW w:w="840" w:type="dxa"/>
            <w:shd w:val="clear" w:color="auto" w:fill="FFFFFF"/>
            <w:vAlign w:val="center"/>
          </w:tcPr>
          <w:p w14:paraId="3B5F8A61" w14:textId="77777777" w:rsidR="00066D46" w:rsidRDefault="00066D46">
            <w:pPr>
              <w:spacing w:after="0"/>
              <w:jc w:val="center"/>
              <w:rPr>
                <w:rFonts w:ascii="Times New Roman" w:eastAsia="Times New Roman" w:hAnsi="Times New Roman" w:cs="Times New Roman"/>
                <w:sz w:val="24"/>
                <w:szCs w:val="24"/>
              </w:rPr>
            </w:pPr>
          </w:p>
        </w:tc>
        <w:tc>
          <w:tcPr>
            <w:tcW w:w="845" w:type="dxa"/>
            <w:shd w:val="clear" w:color="auto" w:fill="FFFFFF"/>
            <w:vAlign w:val="center"/>
          </w:tcPr>
          <w:p w14:paraId="5B4C872D" w14:textId="77777777" w:rsidR="00066D46" w:rsidRDefault="00066D46">
            <w:pPr>
              <w:spacing w:after="0"/>
              <w:jc w:val="center"/>
              <w:rPr>
                <w:rFonts w:ascii="Times New Roman" w:eastAsia="Times New Roman" w:hAnsi="Times New Roman" w:cs="Times New Roman"/>
                <w:sz w:val="24"/>
                <w:szCs w:val="24"/>
              </w:rPr>
            </w:pPr>
          </w:p>
        </w:tc>
      </w:tr>
      <w:tr w:rsidR="00066D46" w14:paraId="296C13AB" w14:textId="77777777">
        <w:trPr>
          <w:cantSplit/>
          <w:trHeight w:val="20"/>
        </w:trPr>
        <w:tc>
          <w:tcPr>
            <w:tcW w:w="611" w:type="dxa"/>
            <w:vMerge/>
            <w:shd w:val="clear" w:color="auto" w:fill="FFFFFF"/>
            <w:vAlign w:val="center"/>
          </w:tcPr>
          <w:p w14:paraId="40C86284"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23" w:type="dxa"/>
            <w:shd w:val="clear" w:color="auto" w:fill="FFFFFF"/>
            <w:vAlign w:val="center"/>
          </w:tcPr>
          <w:p w14:paraId="62783AA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USDINR</w:t>
            </w:r>
          </w:p>
        </w:tc>
        <w:tc>
          <w:tcPr>
            <w:tcW w:w="853" w:type="dxa"/>
            <w:shd w:val="clear" w:color="auto" w:fill="FFFFFF"/>
            <w:vAlign w:val="center"/>
          </w:tcPr>
          <w:p w14:paraId="396F8E5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1.547</w:t>
            </w:r>
          </w:p>
        </w:tc>
        <w:tc>
          <w:tcPr>
            <w:tcW w:w="1079" w:type="dxa"/>
            <w:shd w:val="clear" w:color="auto" w:fill="FFFFFF"/>
            <w:vAlign w:val="center"/>
          </w:tcPr>
          <w:p w14:paraId="07B529E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449" w:type="dxa"/>
            <w:shd w:val="clear" w:color="auto" w:fill="FFFFFF"/>
            <w:vAlign w:val="center"/>
          </w:tcPr>
          <w:p w14:paraId="4C154B8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643" w:type="dxa"/>
            <w:shd w:val="clear" w:color="auto" w:fill="FFFFFF"/>
            <w:vAlign w:val="center"/>
          </w:tcPr>
          <w:p w14:paraId="67FF2DE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9.351</w:t>
            </w:r>
          </w:p>
        </w:tc>
        <w:tc>
          <w:tcPr>
            <w:tcW w:w="840" w:type="dxa"/>
            <w:shd w:val="clear" w:color="auto" w:fill="FFFFFF"/>
            <w:vAlign w:val="center"/>
          </w:tcPr>
          <w:p w14:paraId="4390785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967" w:type="dxa"/>
            <w:shd w:val="clear" w:color="auto" w:fill="FFFFFF"/>
            <w:vAlign w:val="center"/>
          </w:tcPr>
          <w:p w14:paraId="18658CC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840" w:type="dxa"/>
            <w:shd w:val="clear" w:color="auto" w:fill="FFFFFF"/>
            <w:vAlign w:val="center"/>
          </w:tcPr>
          <w:p w14:paraId="0AD5983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845" w:type="dxa"/>
            <w:shd w:val="clear" w:color="auto" w:fill="FFFFFF"/>
            <w:vAlign w:val="center"/>
          </w:tcPr>
          <w:p w14:paraId="3F3D302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r>
    </w:tbl>
    <w:p w14:paraId="323B4B02"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6">
        <w:r>
          <w:rPr>
            <w:rFonts w:ascii="Times New Roman" w:eastAsia="Times New Roman" w:hAnsi="Times New Roman" w:cs="Times New Roman"/>
            <w:color w:val="0563C1"/>
            <w:sz w:val="20"/>
            <w:szCs w:val="20"/>
            <w:u w:val="single"/>
          </w:rPr>
          <w:t>https://www.rbi.org.in</w:t>
        </w:r>
      </w:hyperlink>
    </w:p>
    <w:p w14:paraId="27B954EF"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17">
        <w:r>
          <w:rPr>
            <w:rFonts w:ascii="Times New Roman" w:eastAsia="Times New Roman" w:hAnsi="Times New Roman" w:cs="Times New Roman"/>
            <w:color w:val="0563C1"/>
            <w:sz w:val="20"/>
            <w:szCs w:val="20"/>
            <w:u w:val="single"/>
          </w:rPr>
          <w:t>https://dbie.rbi.org.in</w:t>
        </w:r>
      </w:hyperlink>
    </w:p>
    <w:p w14:paraId="0BFC1A1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18">
        <w:r>
          <w:rPr>
            <w:rFonts w:ascii="Times New Roman" w:eastAsia="Times New Roman" w:hAnsi="Times New Roman" w:cs="Times New Roman"/>
            <w:color w:val="0563C1"/>
            <w:sz w:val="20"/>
            <w:szCs w:val="20"/>
            <w:u w:val="single"/>
          </w:rPr>
          <w:t>https://www.worldbank.org</w:t>
        </w:r>
      </w:hyperlink>
    </w:p>
    <w:p w14:paraId="618084FE" w14:textId="77777777"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Table-5: Residuals </w:t>
      </w:r>
      <w:proofErr w:type="spellStart"/>
      <w:r>
        <w:rPr>
          <w:rFonts w:ascii="Times New Roman" w:eastAsia="Times New Roman" w:hAnsi="Times New Roman" w:cs="Times New Roman"/>
          <w:b/>
          <w:bCs/>
          <w:sz w:val="24"/>
          <w:szCs w:val="24"/>
        </w:rPr>
        <w:t>Statistics</w:t>
      </w:r>
      <w:r>
        <w:rPr>
          <w:rFonts w:ascii="Times New Roman" w:eastAsia="Times New Roman" w:hAnsi="Times New Roman" w:cs="Times New Roman"/>
          <w:b/>
          <w:bCs/>
          <w:sz w:val="24"/>
          <w:szCs w:val="24"/>
          <w:vertAlign w:val="superscript"/>
        </w:rPr>
        <w:t>a</w:t>
      </w:r>
      <w:proofErr w:type="spellEnd"/>
    </w:p>
    <w:tbl>
      <w:tblPr>
        <w:tblStyle w:val="a3"/>
        <w:tblW w:w="93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30"/>
        <w:gridCol w:w="1309"/>
        <w:gridCol w:w="1346"/>
        <w:gridCol w:w="1251"/>
        <w:gridCol w:w="1765"/>
        <w:gridCol w:w="1249"/>
      </w:tblGrid>
      <w:tr w:rsidR="00066D46" w14:paraId="79B2CD28" w14:textId="77777777">
        <w:trPr>
          <w:cantSplit/>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A7AF26C"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Residuals </w:t>
            </w:r>
            <w:proofErr w:type="spellStart"/>
            <w:r>
              <w:rPr>
                <w:rFonts w:ascii="Times New Roman" w:eastAsia="Times New Roman" w:hAnsi="Times New Roman" w:cs="Times New Roman"/>
                <w:b/>
                <w:bCs/>
                <w:sz w:val="24"/>
                <w:szCs w:val="24"/>
              </w:rPr>
              <w:t>Statistics</w:t>
            </w:r>
            <w:r>
              <w:rPr>
                <w:rFonts w:ascii="Times New Roman" w:eastAsia="Times New Roman" w:hAnsi="Times New Roman" w:cs="Times New Roman"/>
                <w:b/>
                <w:bCs/>
                <w:sz w:val="24"/>
                <w:szCs w:val="24"/>
                <w:vertAlign w:val="superscript"/>
              </w:rPr>
              <w:t>a</w:t>
            </w:r>
            <w:proofErr w:type="spellEnd"/>
          </w:p>
        </w:tc>
      </w:tr>
      <w:tr w:rsidR="00066D46" w14:paraId="46252FE0"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57303" w14:textId="77777777" w:rsidR="00066D46" w:rsidRDefault="00066D46">
            <w:pPr>
              <w:spacing w:after="0" w:line="240" w:lineRule="auto"/>
              <w:jc w:val="center"/>
              <w:rPr>
                <w:rFonts w:ascii="Times New Roman" w:eastAsia="Times New Roman" w:hAnsi="Times New Roman" w:cs="Times New Roman"/>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A211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54C5F"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FB58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2B2EF"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66F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066D46" w14:paraId="00A7CA37"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A75AD"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1246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115.085</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E198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148.038</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5F3A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129.318</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07267"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12.0266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1D07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61F4FD8A"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5570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97AF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-5.6849</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F5AF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7.4209</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11AD5"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F2F3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3.8585</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29ED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5C7B645A"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F8A0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DE6E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13CD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1.557</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89C4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F961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E1C2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66540490"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5BC85"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DFC68"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-1.398</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8DD3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AC8F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B901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42B7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71435C43" w14:textId="77777777">
        <w:trPr>
          <w:cantSplit/>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03FF91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CPIₜ = β₀ </w:t>
            </w:r>
            <w:r>
              <w:rPr>
                <w:rFonts w:ascii="Times New Roman" w:eastAsia="Times New Roman" w:hAnsi="Times New Roman" w:cs="Times New Roman"/>
                <w:sz w:val="24"/>
                <w:szCs w:val="24"/>
              </w:rPr>
              <w:t>+ β₁ USDINRₜ + uₜ</w:t>
            </w:r>
          </w:p>
        </w:tc>
      </w:tr>
    </w:tbl>
    <w:p w14:paraId="40377B0A"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9">
        <w:r>
          <w:rPr>
            <w:rFonts w:ascii="Times New Roman" w:eastAsia="Times New Roman" w:hAnsi="Times New Roman" w:cs="Times New Roman"/>
            <w:color w:val="0563C1"/>
            <w:sz w:val="20"/>
            <w:szCs w:val="20"/>
            <w:u w:val="single"/>
          </w:rPr>
          <w:t>https://www.rbi.org.in</w:t>
        </w:r>
      </w:hyperlink>
    </w:p>
    <w:p w14:paraId="2B77FC7C"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0">
        <w:r>
          <w:rPr>
            <w:rFonts w:ascii="Times New Roman" w:eastAsia="Times New Roman" w:hAnsi="Times New Roman" w:cs="Times New Roman"/>
            <w:color w:val="0563C1"/>
            <w:sz w:val="20"/>
            <w:szCs w:val="20"/>
            <w:u w:val="single"/>
          </w:rPr>
          <w:t>https://dbie.rbi.org.in</w:t>
        </w:r>
      </w:hyperlink>
    </w:p>
    <w:p w14:paraId="351DF052"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21">
        <w:r>
          <w:rPr>
            <w:rFonts w:ascii="Times New Roman" w:eastAsia="Times New Roman" w:hAnsi="Times New Roman" w:cs="Times New Roman"/>
            <w:color w:val="0563C1"/>
            <w:sz w:val="20"/>
            <w:szCs w:val="20"/>
            <w:u w:val="single"/>
          </w:rPr>
          <w:t>https://www.worldbank.org</w:t>
        </w:r>
      </w:hyperlink>
    </w:p>
    <w:p w14:paraId="58995A5F" w14:textId="77777777"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Table-6: Model Summary</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707"/>
        <w:gridCol w:w="752"/>
        <w:gridCol w:w="1030"/>
        <w:gridCol w:w="1030"/>
        <w:gridCol w:w="1030"/>
        <w:gridCol w:w="772"/>
        <w:gridCol w:w="709"/>
        <w:gridCol w:w="709"/>
        <w:gridCol w:w="1032"/>
        <w:gridCol w:w="1029"/>
      </w:tblGrid>
      <w:tr w:rsidR="00066D46" w14:paraId="67D54D71" w14:textId="77777777">
        <w:trPr>
          <w:cantSplit/>
          <w:trHeight w:val="20"/>
        </w:trPr>
        <w:tc>
          <w:tcPr>
            <w:tcW w:w="9350" w:type="dxa"/>
            <w:gridSpan w:val="11"/>
            <w:shd w:val="clear" w:color="auto" w:fill="FFFFFF"/>
            <w:vAlign w:val="center"/>
          </w:tcPr>
          <w:p w14:paraId="0E2CCD86"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Model Summary</w:t>
            </w:r>
          </w:p>
        </w:tc>
      </w:tr>
      <w:tr w:rsidR="00066D46" w14:paraId="0CF3F856" w14:textId="77777777">
        <w:trPr>
          <w:cantSplit/>
          <w:trHeight w:val="20"/>
        </w:trPr>
        <w:tc>
          <w:tcPr>
            <w:tcW w:w="550" w:type="dxa"/>
            <w:vMerge w:val="restart"/>
            <w:shd w:val="clear" w:color="auto" w:fill="FFFFFF"/>
            <w:vAlign w:val="center"/>
          </w:tcPr>
          <w:p w14:paraId="7D08D7FE"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c>
          <w:tcPr>
            <w:tcW w:w="707" w:type="dxa"/>
            <w:vMerge w:val="restart"/>
            <w:shd w:val="clear" w:color="auto" w:fill="FFFFFF"/>
            <w:vAlign w:val="center"/>
          </w:tcPr>
          <w:p w14:paraId="57531359"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752" w:type="dxa"/>
            <w:vMerge w:val="restart"/>
            <w:shd w:val="clear" w:color="auto" w:fill="FFFFFF"/>
            <w:vAlign w:val="center"/>
          </w:tcPr>
          <w:p w14:paraId="291A22B6"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w:t>
            </w:r>
          </w:p>
        </w:tc>
        <w:tc>
          <w:tcPr>
            <w:tcW w:w="1030" w:type="dxa"/>
            <w:vMerge w:val="restart"/>
            <w:shd w:val="clear" w:color="auto" w:fill="FFFFFF"/>
            <w:vAlign w:val="center"/>
          </w:tcPr>
          <w:p w14:paraId="6AB270BD"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Adjusted R-Square</w:t>
            </w:r>
          </w:p>
        </w:tc>
        <w:tc>
          <w:tcPr>
            <w:tcW w:w="1030" w:type="dxa"/>
            <w:vMerge w:val="restart"/>
            <w:shd w:val="clear" w:color="auto" w:fill="FFFFFF"/>
            <w:vAlign w:val="center"/>
          </w:tcPr>
          <w:p w14:paraId="5A9BED95"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Error of the Estimate</w:t>
            </w:r>
          </w:p>
        </w:tc>
        <w:tc>
          <w:tcPr>
            <w:tcW w:w="4252" w:type="dxa"/>
            <w:gridSpan w:val="5"/>
            <w:shd w:val="clear" w:color="auto" w:fill="FFFFFF"/>
            <w:vAlign w:val="center"/>
          </w:tcPr>
          <w:p w14:paraId="2AF64EB0"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Change Statistics</w:t>
            </w:r>
          </w:p>
        </w:tc>
        <w:tc>
          <w:tcPr>
            <w:tcW w:w="1029" w:type="dxa"/>
            <w:vMerge w:val="restart"/>
            <w:shd w:val="clear" w:color="auto" w:fill="FFFFFF"/>
            <w:vAlign w:val="center"/>
          </w:tcPr>
          <w:p w14:paraId="46357C72"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Durbin-Watson</w:t>
            </w:r>
          </w:p>
        </w:tc>
      </w:tr>
      <w:tr w:rsidR="00066D46" w14:paraId="3508B406" w14:textId="77777777">
        <w:trPr>
          <w:cantSplit/>
          <w:trHeight w:val="20"/>
        </w:trPr>
        <w:tc>
          <w:tcPr>
            <w:tcW w:w="550" w:type="dxa"/>
            <w:vMerge/>
            <w:shd w:val="clear" w:color="auto" w:fill="FFFFFF"/>
            <w:vAlign w:val="center"/>
          </w:tcPr>
          <w:p w14:paraId="068AA355"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07" w:type="dxa"/>
            <w:vMerge/>
            <w:shd w:val="clear" w:color="auto" w:fill="FFFFFF"/>
            <w:vAlign w:val="center"/>
          </w:tcPr>
          <w:p w14:paraId="0FA8AE2D"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2" w:type="dxa"/>
            <w:vMerge/>
            <w:shd w:val="clear" w:color="auto" w:fill="FFFFFF"/>
            <w:vAlign w:val="center"/>
          </w:tcPr>
          <w:p w14:paraId="552EB3F6"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7BBAC65F"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47591AD4"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shd w:val="clear" w:color="auto" w:fill="FFFFFF"/>
            <w:vAlign w:val="center"/>
          </w:tcPr>
          <w:p w14:paraId="40671BA5"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 Change</w:t>
            </w:r>
          </w:p>
        </w:tc>
        <w:tc>
          <w:tcPr>
            <w:tcW w:w="772" w:type="dxa"/>
            <w:shd w:val="clear" w:color="auto" w:fill="FFFFFF"/>
            <w:vAlign w:val="center"/>
          </w:tcPr>
          <w:p w14:paraId="4E9C609B"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 Change</w:t>
            </w:r>
          </w:p>
        </w:tc>
        <w:tc>
          <w:tcPr>
            <w:tcW w:w="709" w:type="dxa"/>
            <w:shd w:val="clear" w:color="auto" w:fill="FFFFFF"/>
            <w:vAlign w:val="center"/>
          </w:tcPr>
          <w:p w14:paraId="60330814"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df1</w:t>
            </w:r>
          </w:p>
        </w:tc>
        <w:tc>
          <w:tcPr>
            <w:tcW w:w="709" w:type="dxa"/>
            <w:shd w:val="clear" w:color="auto" w:fill="FFFFFF"/>
            <w:vAlign w:val="center"/>
          </w:tcPr>
          <w:p w14:paraId="20C9C514"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df2</w:t>
            </w:r>
          </w:p>
        </w:tc>
        <w:tc>
          <w:tcPr>
            <w:tcW w:w="1032" w:type="dxa"/>
            <w:shd w:val="clear" w:color="auto" w:fill="FFFFFF"/>
            <w:vAlign w:val="center"/>
          </w:tcPr>
          <w:p w14:paraId="779A53A0"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 F Change</w:t>
            </w:r>
          </w:p>
        </w:tc>
        <w:tc>
          <w:tcPr>
            <w:tcW w:w="1029" w:type="dxa"/>
            <w:vMerge/>
            <w:shd w:val="clear" w:color="auto" w:fill="FFFFFF"/>
            <w:vAlign w:val="center"/>
          </w:tcPr>
          <w:p w14:paraId="76870646"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066D46" w14:paraId="10CBB0A7" w14:textId="77777777">
        <w:trPr>
          <w:cantSplit/>
          <w:trHeight w:val="20"/>
        </w:trPr>
        <w:tc>
          <w:tcPr>
            <w:tcW w:w="550" w:type="dxa"/>
            <w:shd w:val="clear" w:color="auto" w:fill="FFFFFF"/>
            <w:vAlign w:val="center"/>
          </w:tcPr>
          <w:p w14:paraId="29EF291E"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shd w:val="clear" w:color="auto" w:fill="FFFFFF"/>
            <w:vAlign w:val="center"/>
          </w:tcPr>
          <w:p w14:paraId="57091CB1"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w:t>
            </w:r>
            <w:r>
              <w:rPr>
                <w:rFonts w:ascii="Times New Roman" w:eastAsia="Times New Roman" w:hAnsi="Times New Roman" w:cs="Times New Roman"/>
                <w:sz w:val="20"/>
                <w:szCs w:val="20"/>
                <w:vertAlign w:val="superscript"/>
              </w:rPr>
              <w:t>a</w:t>
            </w:r>
          </w:p>
        </w:tc>
        <w:tc>
          <w:tcPr>
            <w:tcW w:w="752" w:type="dxa"/>
            <w:shd w:val="clear" w:color="auto" w:fill="FFFFFF"/>
            <w:vAlign w:val="center"/>
          </w:tcPr>
          <w:p w14:paraId="139EA65E"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.924</w:t>
            </w:r>
          </w:p>
        </w:tc>
        <w:tc>
          <w:tcPr>
            <w:tcW w:w="1030" w:type="dxa"/>
            <w:shd w:val="clear" w:color="auto" w:fill="FFFFFF"/>
            <w:vAlign w:val="center"/>
          </w:tcPr>
          <w:p w14:paraId="4861257C"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w:t>
            </w:r>
          </w:p>
        </w:tc>
        <w:tc>
          <w:tcPr>
            <w:tcW w:w="1030" w:type="dxa"/>
            <w:shd w:val="clear" w:color="auto" w:fill="FFFFFF"/>
            <w:vAlign w:val="center"/>
          </w:tcPr>
          <w:p w14:paraId="51E7EEDF"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3.8605</w:t>
            </w:r>
          </w:p>
        </w:tc>
        <w:tc>
          <w:tcPr>
            <w:tcW w:w="1030" w:type="dxa"/>
            <w:shd w:val="clear" w:color="auto" w:fill="FFFFFF"/>
            <w:vAlign w:val="center"/>
          </w:tcPr>
          <w:p w14:paraId="49C3BF45"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.924</w:t>
            </w:r>
          </w:p>
        </w:tc>
        <w:tc>
          <w:tcPr>
            <w:tcW w:w="772" w:type="dxa"/>
            <w:shd w:val="clear" w:color="auto" w:fill="FFFFFF"/>
            <w:vAlign w:val="center"/>
          </w:tcPr>
          <w:p w14:paraId="758DA73C"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108.792</w:t>
            </w:r>
          </w:p>
        </w:tc>
        <w:tc>
          <w:tcPr>
            <w:tcW w:w="709" w:type="dxa"/>
            <w:shd w:val="clear" w:color="auto" w:fill="FFFFFF"/>
            <w:vAlign w:val="center"/>
          </w:tcPr>
          <w:p w14:paraId="56559B96"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shd w:val="clear" w:color="auto" w:fill="FFFFFF"/>
            <w:vAlign w:val="center"/>
          </w:tcPr>
          <w:p w14:paraId="2D3EADD3"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032" w:type="dxa"/>
            <w:shd w:val="clear" w:color="auto" w:fill="FFFFFF"/>
            <w:vAlign w:val="center"/>
          </w:tcPr>
          <w:p w14:paraId="589F3372"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1029" w:type="dxa"/>
            <w:shd w:val="clear" w:color="auto" w:fill="FFFFFF"/>
            <w:vAlign w:val="center"/>
          </w:tcPr>
          <w:p w14:paraId="6E85744D"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bl>
    <w:p w14:paraId="7144A1C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22">
        <w:r>
          <w:rPr>
            <w:rFonts w:ascii="Times New Roman" w:eastAsia="Times New Roman" w:hAnsi="Times New Roman" w:cs="Times New Roman"/>
            <w:color w:val="0563C1"/>
            <w:sz w:val="20"/>
            <w:szCs w:val="20"/>
            <w:u w:val="single"/>
          </w:rPr>
          <w:t>https://www.rbi.org.in</w:t>
        </w:r>
      </w:hyperlink>
    </w:p>
    <w:p w14:paraId="70FE2D98"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3">
        <w:r>
          <w:rPr>
            <w:rFonts w:ascii="Times New Roman" w:eastAsia="Times New Roman" w:hAnsi="Times New Roman" w:cs="Times New Roman"/>
            <w:color w:val="0563C1"/>
            <w:sz w:val="20"/>
            <w:szCs w:val="20"/>
            <w:u w:val="single"/>
          </w:rPr>
          <w:t>https://dbie.rbi.org.in</w:t>
        </w:r>
      </w:hyperlink>
    </w:p>
    <w:p w14:paraId="62282152"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24">
        <w:r>
          <w:rPr>
            <w:rFonts w:ascii="Times New Roman" w:eastAsia="Times New Roman" w:hAnsi="Times New Roman" w:cs="Times New Roman"/>
            <w:color w:val="0563C1"/>
            <w:sz w:val="20"/>
            <w:szCs w:val="20"/>
            <w:u w:val="single"/>
          </w:rPr>
          <w:t>https://www.worldbank.org</w:t>
        </w:r>
      </w:hyperlink>
    </w:p>
    <w:p w14:paraId="38931F6E" w14:textId="77777777"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Table-7: </w:t>
      </w:r>
      <w:proofErr w:type="spellStart"/>
      <w:r>
        <w:rPr>
          <w:rFonts w:ascii="Times New Roman" w:eastAsia="Times New Roman" w:hAnsi="Times New Roman" w:cs="Times New Roman"/>
          <w:b/>
          <w:bCs/>
          <w:sz w:val="24"/>
          <w:szCs w:val="24"/>
        </w:rPr>
        <w:t>ANOVA</w:t>
      </w:r>
      <w:r>
        <w:rPr>
          <w:rFonts w:ascii="Times New Roman" w:eastAsia="Times New Roman" w:hAnsi="Times New Roman" w:cs="Times New Roman"/>
          <w:b/>
          <w:bCs/>
          <w:sz w:val="24"/>
          <w:szCs w:val="24"/>
          <w:vertAlign w:val="superscript"/>
        </w:rPr>
        <w:t>a</w:t>
      </w:r>
      <w:proofErr w:type="spellEnd"/>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1503"/>
        <w:gridCol w:w="1741"/>
        <w:gridCol w:w="1197"/>
        <w:gridCol w:w="1649"/>
        <w:gridCol w:w="1197"/>
        <w:gridCol w:w="1195"/>
      </w:tblGrid>
      <w:tr w:rsidR="00066D46" w14:paraId="79286A08" w14:textId="77777777">
        <w:trPr>
          <w:cantSplit/>
        </w:trPr>
        <w:tc>
          <w:tcPr>
            <w:tcW w:w="9350" w:type="dxa"/>
            <w:gridSpan w:val="7"/>
            <w:shd w:val="clear" w:color="auto" w:fill="FFFFFF"/>
            <w:vAlign w:val="center"/>
          </w:tcPr>
          <w:p w14:paraId="7F29943A" w14:textId="77777777" w:rsidR="00066D46" w:rsidRDefault="004D460E">
            <w:pPr>
              <w:spacing w:after="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ANOVA</w:t>
            </w:r>
            <w:r>
              <w:rPr>
                <w:rFonts w:ascii="Times New Roman" w:eastAsia="Times New Roman" w:hAnsi="Times New Roman" w:cs="Times New Roman"/>
                <w:b/>
                <w:bCs/>
                <w:sz w:val="24"/>
                <w:szCs w:val="24"/>
                <w:vertAlign w:val="superscript"/>
              </w:rPr>
              <w:t>a</w:t>
            </w:r>
            <w:proofErr w:type="spellEnd"/>
          </w:p>
        </w:tc>
      </w:tr>
      <w:tr w:rsidR="00066D46" w14:paraId="67BE16BE" w14:textId="77777777">
        <w:trPr>
          <w:cantSplit/>
        </w:trPr>
        <w:tc>
          <w:tcPr>
            <w:tcW w:w="2371" w:type="dxa"/>
            <w:gridSpan w:val="2"/>
            <w:shd w:val="clear" w:color="auto" w:fill="FFFFFF"/>
            <w:vAlign w:val="center"/>
          </w:tcPr>
          <w:p w14:paraId="1E78A39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41" w:type="dxa"/>
            <w:shd w:val="clear" w:color="auto" w:fill="FFFFFF"/>
            <w:vAlign w:val="center"/>
          </w:tcPr>
          <w:p w14:paraId="1528232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97" w:type="dxa"/>
            <w:shd w:val="clear" w:color="auto" w:fill="FFFFFF"/>
            <w:vAlign w:val="center"/>
          </w:tcPr>
          <w:p w14:paraId="3FDA815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649" w:type="dxa"/>
            <w:shd w:val="clear" w:color="auto" w:fill="FFFFFF"/>
            <w:vAlign w:val="center"/>
          </w:tcPr>
          <w:p w14:paraId="3C9FBF9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97" w:type="dxa"/>
            <w:shd w:val="clear" w:color="auto" w:fill="FFFFFF"/>
            <w:vAlign w:val="center"/>
          </w:tcPr>
          <w:p w14:paraId="5785E26A"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95" w:type="dxa"/>
            <w:shd w:val="clear" w:color="auto" w:fill="FFFFFF"/>
            <w:vAlign w:val="center"/>
          </w:tcPr>
          <w:p w14:paraId="464BDF3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066D46" w14:paraId="4C305C83" w14:textId="77777777">
        <w:trPr>
          <w:cantSplit/>
        </w:trPr>
        <w:tc>
          <w:tcPr>
            <w:tcW w:w="868" w:type="dxa"/>
            <w:vMerge w:val="restart"/>
            <w:shd w:val="clear" w:color="auto" w:fill="FFFFFF"/>
            <w:vAlign w:val="center"/>
          </w:tcPr>
          <w:p w14:paraId="027B5CD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3" w:type="dxa"/>
            <w:shd w:val="clear" w:color="auto" w:fill="FFFFFF"/>
            <w:vAlign w:val="center"/>
          </w:tcPr>
          <w:p w14:paraId="51A5EB4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41" w:type="dxa"/>
            <w:shd w:val="clear" w:color="auto" w:fill="FFFFFF"/>
            <w:vAlign w:val="center"/>
          </w:tcPr>
          <w:p w14:paraId="653F61E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1621.352</w:t>
            </w:r>
          </w:p>
        </w:tc>
        <w:tc>
          <w:tcPr>
            <w:tcW w:w="1197" w:type="dxa"/>
            <w:shd w:val="clear" w:color="auto" w:fill="FFFFFF"/>
            <w:vAlign w:val="center"/>
          </w:tcPr>
          <w:p w14:paraId="4B9BAF5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9" w:type="dxa"/>
            <w:shd w:val="clear" w:color="auto" w:fill="FFFFFF"/>
            <w:vAlign w:val="center"/>
          </w:tcPr>
          <w:p w14:paraId="2EA3517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1621.352</w:t>
            </w:r>
          </w:p>
        </w:tc>
        <w:tc>
          <w:tcPr>
            <w:tcW w:w="1197" w:type="dxa"/>
            <w:shd w:val="clear" w:color="auto" w:fill="FFFFFF"/>
            <w:vAlign w:val="center"/>
          </w:tcPr>
          <w:p w14:paraId="4A78EB1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108.792</w:t>
            </w:r>
          </w:p>
        </w:tc>
        <w:tc>
          <w:tcPr>
            <w:tcW w:w="1195" w:type="dxa"/>
            <w:shd w:val="clear" w:color="auto" w:fill="FFFFFF"/>
            <w:vAlign w:val="center"/>
          </w:tcPr>
          <w:p w14:paraId="1BDEC4C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066D46" w14:paraId="13CAECAF" w14:textId="77777777">
        <w:trPr>
          <w:cantSplit/>
        </w:trPr>
        <w:tc>
          <w:tcPr>
            <w:tcW w:w="868" w:type="dxa"/>
            <w:vMerge/>
            <w:shd w:val="clear" w:color="auto" w:fill="FFFFFF"/>
            <w:vAlign w:val="center"/>
          </w:tcPr>
          <w:p w14:paraId="7659F35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73D9441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41" w:type="dxa"/>
            <w:shd w:val="clear" w:color="auto" w:fill="FFFFFF"/>
            <w:vAlign w:val="center"/>
          </w:tcPr>
          <w:p w14:paraId="71153CE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134.129</w:t>
            </w:r>
          </w:p>
        </w:tc>
        <w:tc>
          <w:tcPr>
            <w:tcW w:w="1197" w:type="dxa"/>
            <w:shd w:val="clear" w:color="auto" w:fill="FFFFFF"/>
            <w:vAlign w:val="center"/>
          </w:tcPr>
          <w:p w14:paraId="56CF60E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9" w:type="dxa"/>
            <w:shd w:val="clear" w:color="auto" w:fill="FFFFFF"/>
            <w:vAlign w:val="center"/>
          </w:tcPr>
          <w:p w14:paraId="6CC68F02"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14.903</w:t>
            </w:r>
          </w:p>
        </w:tc>
        <w:tc>
          <w:tcPr>
            <w:tcW w:w="1197" w:type="dxa"/>
            <w:shd w:val="clear" w:color="auto" w:fill="FFFFFF"/>
            <w:vAlign w:val="center"/>
          </w:tcPr>
          <w:p w14:paraId="186925EE" w14:textId="77777777" w:rsidR="00066D46" w:rsidRDefault="00066D46">
            <w:pPr>
              <w:spacing w:after="0"/>
              <w:jc w:val="center"/>
              <w:rPr>
                <w:rFonts w:ascii="Times New Roman" w:eastAsia="Times New Roman" w:hAnsi="Times New Roman" w:cs="Times New Roman"/>
                <w:sz w:val="24"/>
                <w:szCs w:val="24"/>
              </w:rPr>
            </w:pPr>
          </w:p>
        </w:tc>
        <w:tc>
          <w:tcPr>
            <w:tcW w:w="1195" w:type="dxa"/>
            <w:shd w:val="clear" w:color="auto" w:fill="FFFFFF"/>
            <w:vAlign w:val="center"/>
          </w:tcPr>
          <w:p w14:paraId="14E0EC03" w14:textId="77777777" w:rsidR="00066D46" w:rsidRDefault="00066D46">
            <w:pPr>
              <w:spacing w:after="0"/>
              <w:jc w:val="center"/>
              <w:rPr>
                <w:rFonts w:ascii="Times New Roman" w:eastAsia="Times New Roman" w:hAnsi="Times New Roman" w:cs="Times New Roman"/>
                <w:sz w:val="24"/>
                <w:szCs w:val="24"/>
              </w:rPr>
            </w:pPr>
          </w:p>
        </w:tc>
      </w:tr>
      <w:tr w:rsidR="00066D46" w14:paraId="5B6C468A" w14:textId="77777777">
        <w:trPr>
          <w:cantSplit/>
        </w:trPr>
        <w:tc>
          <w:tcPr>
            <w:tcW w:w="868" w:type="dxa"/>
            <w:vMerge/>
            <w:shd w:val="clear" w:color="auto" w:fill="FFFFFF"/>
            <w:vAlign w:val="center"/>
          </w:tcPr>
          <w:p w14:paraId="6AE6B4E3"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2FB654F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41" w:type="dxa"/>
            <w:shd w:val="clear" w:color="auto" w:fill="FFFFFF"/>
            <w:vAlign w:val="center"/>
          </w:tcPr>
          <w:p w14:paraId="00E63BC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1755.482</w:t>
            </w:r>
          </w:p>
        </w:tc>
        <w:tc>
          <w:tcPr>
            <w:tcW w:w="1197" w:type="dxa"/>
            <w:shd w:val="clear" w:color="auto" w:fill="FFFFFF"/>
            <w:vAlign w:val="center"/>
          </w:tcPr>
          <w:p w14:paraId="1B9130E5"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9" w:type="dxa"/>
            <w:shd w:val="clear" w:color="auto" w:fill="FFFFFF"/>
            <w:vAlign w:val="center"/>
          </w:tcPr>
          <w:p w14:paraId="2C0D799D" w14:textId="77777777" w:rsidR="00066D46" w:rsidRDefault="00066D46">
            <w:pPr>
              <w:spacing w:after="0"/>
              <w:jc w:val="center"/>
              <w:rPr>
                <w:rFonts w:ascii="Times New Roman" w:eastAsia="Times New Roman" w:hAnsi="Times New Roman" w:cs="Times New Roman"/>
                <w:sz w:val="24"/>
                <w:szCs w:val="24"/>
              </w:rPr>
            </w:pPr>
          </w:p>
        </w:tc>
        <w:tc>
          <w:tcPr>
            <w:tcW w:w="1197" w:type="dxa"/>
            <w:shd w:val="clear" w:color="auto" w:fill="FFFFFF"/>
            <w:vAlign w:val="center"/>
          </w:tcPr>
          <w:p w14:paraId="1BFF58C3" w14:textId="77777777" w:rsidR="00066D46" w:rsidRDefault="00066D46">
            <w:pPr>
              <w:spacing w:after="0"/>
              <w:jc w:val="center"/>
              <w:rPr>
                <w:rFonts w:ascii="Times New Roman" w:eastAsia="Times New Roman" w:hAnsi="Times New Roman" w:cs="Times New Roman"/>
                <w:sz w:val="24"/>
                <w:szCs w:val="24"/>
              </w:rPr>
            </w:pPr>
          </w:p>
        </w:tc>
        <w:tc>
          <w:tcPr>
            <w:tcW w:w="1195" w:type="dxa"/>
            <w:shd w:val="clear" w:color="auto" w:fill="FFFFFF"/>
            <w:vAlign w:val="center"/>
          </w:tcPr>
          <w:p w14:paraId="2DFCEF12" w14:textId="77777777" w:rsidR="00066D46" w:rsidRDefault="00066D46">
            <w:pPr>
              <w:spacing w:after="0"/>
              <w:jc w:val="center"/>
              <w:rPr>
                <w:rFonts w:ascii="Times New Roman" w:eastAsia="Times New Roman" w:hAnsi="Times New Roman" w:cs="Times New Roman"/>
                <w:sz w:val="24"/>
                <w:szCs w:val="24"/>
              </w:rPr>
            </w:pPr>
          </w:p>
        </w:tc>
      </w:tr>
    </w:tbl>
    <w:p w14:paraId="63DAF8C8"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25">
        <w:r>
          <w:rPr>
            <w:rFonts w:ascii="Times New Roman" w:eastAsia="Times New Roman" w:hAnsi="Times New Roman" w:cs="Times New Roman"/>
            <w:color w:val="0563C1"/>
            <w:sz w:val="20"/>
            <w:szCs w:val="20"/>
            <w:u w:val="single"/>
          </w:rPr>
          <w:t>https://www.rbi.org.in</w:t>
        </w:r>
      </w:hyperlink>
    </w:p>
    <w:p w14:paraId="6286EE51"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6">
        <w:r>
          <w:rPr>
            <w:rFonts w:ascii="Times New Roman" w:eastAsia="Times New Roman" w:hAnsi="Times New Roman" w:cs="Times New Roman"/>
            <w:color w:val="0563C1"/>
            <w:sz w:val="20"/>
            <w:szCs w:val="20"/>
            <w:u w:val="single"/>
          </w:rPr>
          <w:t>https://dbie.rbi.org.in</w:t>
        </w:r>
      </w:hyperlink>
    </w:p>
    <w:p w14:paraId="6D717536"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27">
        <w:r>
          <w:rPr>
            <w:rFonts w:ascii="Times New Roman" w:eastAsia="Times New Roman" w:hAnsi="Times New Roman" w:cs="Times New Roman"/>
            <w:color w:val="0563C1"/>
            <w:sz w:val="20"/>
            <w:szCs w:val="20"/>
            <w:u w:val="single"/>
          </w:rPr>
          <w:t>https://www.worldbank.org</w:t>
        </w:r>
      </w:hyperlink>
    </w:p>
    <w:p w14:paraId="34AA8603" w14:textId="77777777"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Table-8: Residuals </w:t>
      </w:r>
      <w:proofErr w:type="spellStart"/>
      <w:r>
        <w:rPr>
          <w:rFonts w:ascii="Times New Roman" w:eastAsia="Times New Roman" w:hAnsi="Times New Roman" w:cs="Times New Roman"/>
          <w:b/>
          <w:bCs/>
          <w:sz w:val="24"/>
          <w:szCs w:val="24"/>
        </w:rPr>
        <w:t>Statistics</w:t>
      </w:r>
      <w:r>
        <w:rPr>
          <w:rFonts w:ascii="Times New Roman" w:eastAsia="Times New Roman" w:hAnsi="Times New Roman" w:cs="Times New Roman"/>
          <w:b/>
          <w:bCs/>
          <w:sz w:val="24"/>
          <w:szCs w:val="24"/>
          <w:vertAlign w:val="superscript"/>
        </w:rPr>
        <w:t>a</w:t>
      </w:r>
      <w:proofErr w:type="spellEnd"/>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6"/>
        <w:gridCol w:w="1229"/>
        <w:gridCol w:w="1264"/>
        <w:gridCol w:w="1174"/>
        <w:gridCol w:w="1657"/>
        <w:gridCol w:w="1090"/>
      </w:tblGrid>
      <w:tr w:rsidR="00066D46" w14:paraId="223DC134" w14:textId="77777777">
        <w:trPr>
          <w:cantSplit/>
          <w:trHeight w:val="20"/>
        </w:trPr>
        <w:tc>
          <w:tcPr>
            <w:tcW w:w="9350" w:type="dxa"/>
            <w:gridSpan w:val="6"/>
            <w:shd w:val="clear" w:color="auto" w:fill="FFFFFF"/>
            <w:vAlign w:val="center"/>
          </w:tcPr>
          <w:p w14:paraId="0CE4026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Residuals </w:t>
            </w:r>
            <w:proofErr w:type="spellStart"/>
            <w:r>
              <w:rPr>
                <w:rFonts w:ascii="Times New Roman" w:eastAsia="Times New Roman" w:hAnsi="Times New Roman" w:cs="Times New Roman"/>
                <w:b/>
                <w:bCs/>
                <w:sz w:val="24"/>
                <w:szCs w:val="24"/>
              </w:rPr>
              <w:t>Statistics</w:t>
            </w:r>
            <w:r>
              <w:rPr>
                <w:rFonts w:ascii="Times New Roman" w:eastAsia="Times New Roman" w:hAnsi="Times New Roman" w:cs="Times New Roman"/>
                <w:b/>
                <w:bCs/>
                <w:sz w:val="24"/>
                <w:szCs w:val="24"/>
                <w:vertAlign w:val="superscript"/>
              </w:rPr>
              <w:t>a</w:t>
            </w:r>
            <w:proofErr w:type="spellEnd"/>
          </w:p>
        </w:tc>
      </w:tr>
      <w:tr w:rsidR="00066D46" w14:paraId="7B7E37D4" w14:textId="77777777">
        <w:trPr>
          <w:cantSplit/>
          <w:trHeight w:val="20"/>
        </w:trPr>
        <w:tc>
          <w:tcPr>
            <w:tcW w:w="2936" w:type="dxa"/>
            <w:shd w:val="clear" w:color="auto" w:fill="FFFFFF"/>
            <w:vAlign w:val="center"/>
          </w:tcPr>
          <w:p w14:paraId="3629A4CF" w14:textId="77777777" w:rsidR="00066D46" w:rsidRDefault="00066D46">
            <w:pPr>
              <w:spacing w:after="0"/>
              <w:jc w:val="center"/>
              <w:rPr>
                <w:rFonts w:ascii="Times New Roman" w:eastAsia="Times New Roman" w:hAnsi="Times New Roman" w:cs="Times New Roman"/>
                <w:sz w:val="24"/>
                <w:szCs w:val="24"/>
              </w:rPr>
            </w:pPr>
          </w:p>
        </w:tc>
        <w:tc>
          <w:tcPr>
            <w:tcW w:w="1229" w:type="dxa"/>
            <w:shd w:val="clear" w:color="auto" w:fill="FFFFFF"/>
            <w:vAlign w:val="center"/>
          </w:tcPr>
          <w:p w14:paraId="76A4668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264" w:type="dxa"/>
            <w:shd w:val="clear" w:color="auto" w:fill="FFFFFF"/>
            <w:vAlign w:val="center"/>
          </w:tcPr>
          <w:p w14:paraId="1BFE0DE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174" w:type="dxa"/>
            <w:shd w:val="clear" w:color="auto" w:fill="FFFFFF"/>
            <w:vAlign w:val="center"/>
          </w:tcPr>
          <w:p w14:paraId="7C682E0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657" w:type="dxa"/>
            <w:shd w:val="clear" w:color="auto" w:fill="FFFFFF"/>
            <w:vAlign w:val="center"/>
          </w:tcPr>
          <w:p w14:paraId="43BBD8C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090" w:type="dxa"/>
            <w:shd w:val="clear" w:color="auto" w:fill="FFFFFF"/>
            <w:vAlign w:val="center"/>
          </w:tcPr>
          <w:p w14:paraId="18792B4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066D46" w14:paraId="60BEFAB0" w14:textId="77777777">
        <w:trPr>
          <w:cantSplit/>
          <w:trHeight w:val="20"/>
        </w:trPr>
        <w:tc>
          <w:tcPr>
            <w:tcW w:w="2936" w:type="dxa"/>
            <w:shd w:val="clear" w:color="auto" w:fill="FFFFFF"/>
            <w:vAlign w:val="center"/>
          </w:tcPr>
          <w:p w14:paraId="3430B59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229" w:type="dxa"/>
            <w:shd w:val="clear" w:color="auto" w:fill="FFFFFF"/>
            <w:vAlign w:val="center"/>
          </w:tcPr>
          <w:p w14:paraId="4BB2C87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111.258</w:t>
            </w:r>
          </w:p>
        </w:tc>
        <w:tc>
          <w:tcPr>
            <w:tcW w:w="1264" w:type="dxa"/>
            <w:shd w:val="clear" w:color="auto" w:fill="FFFFFF"/>
            <w:vAlign w:val="center"/>
          </w:tcPr>
          <w:p w14:paraId="24C0F43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146.147</w:t>
            </w:r>
          </w:p>
        </w:tc>
        <w:tc>
          <w:tcPr>
            <w:tcW w:w="1174" w:type="dxa"/>
            <w:shd w:val="clear" w:color="auto" w:fill="FFFFFF"/>
            <w:vAlign w:val="center"/>
          </w:tcPr>
          <w:p w14:paraId="1966A9C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126.327</w:t>
            </w:r>
          </w:p>
        </w:tc>
        <w:tc>
          <w:tcPr>
            <w:tcW w:w="1657" w:type="dxa"/>
            <w:shd w:val="clear" w:color="auto" w:fill="FFFFFF"/>
            <w:vAlign w:val="center"/>
          </w:tcPr>
          <w:p w14:paraId="128C9E3A"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12.7332</w:t>
            </w:r>
          </w:p>
        </w:tc>
        <w:tc>
          <w:tcPr>
            <w:tcW w:w="1090" w:type="dxa"/>
            <w:shd w:val="clear" w:color="auto" w:fill="FFFFFF"/>
            <w:vAlign w:val="center"/>
          </w:tcPr>
          <w:p w14:paraId="379EC38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505DE579" w14:textId="77777777">
        <w:trPr>
          <w:cantSplit/>
          <w:trHeight w:val="20"/>
        </w:trPr>
        <w:tc>
          <w:tcPr>
            <w:tcW w:w="2936" w:type="dxa"/>
            <w:shd w:val="clear" w:color="auto" w:fill="FFFFFF"/>
            <w:vAlign w:val="center"/>
          </w:tcPr>
          <w:p w14:paraId="19A40F13"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229" w:type="dxa"/>
            <w:shd w:val="clear" w:color="auto" w:fill="FFFFFF"/>
            <w:vAlign w:val="center"/>
          </w:tcPr>
          <w:p w14:paraId="45E31D4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-4.1413</w:t>
            </w:r>
          </w:p>
        </w:tc>
        <w:tc>
          <w:tcPr>
            <w:tcW w:w="1264" w:type="dxa"/>
            <w:shd w:val="clear" w:color="auto" w:fill="FFFFFF"/>
            <w:vAlign w:val="center"/>
          </w:tcPr>
          <w:p w14:paraId="34E6EA4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6.8663</w:t>
            </w:r>
          </w:p>
        </w:tc>
        <w:tc>
          <w:tcPr>
            <w:tcW w:w="1174" w:type="dxa"/>
            <w:shd w:val="clear" w:color="auto" w:fill="FFFFFF"/>
            <w:vAlign w:val="center"/>
          </w:tcPr>
          <w:p w14:paraId="19B7B769"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57" w:type="dxa"/>
            <w:shd w:val="clear" w:color="auto" w:fill="FFFFFF"/>
            <w:vAlign w:val="center"/>
          </w:tcPr>
          <w:p w14:paraId="3804016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3.6624</w:t>
            </w:r>
          </w:p>
        </w:tc>
        <w:tc>
          <w:tcPr>
            <w:tcW w:w="1090" w:type="dxa"/>
            <w:shd w:val="clear" w:color="auto" w:fill="FFFFFF"/>
            <w:vAlign w:val="center"/>
          </w:tcPr>
          <w:p w14:paraId="0CB6801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636E1CD6" w14:textId="77777777">
        <w:trPr>
          <w:cantSplit/>
          <w:trHeight w:val="20"/>
        </w:trPr>
        <w:tc>
          <w:tcPr>
            <w:tcW w:w="2936" w:type="dxa"/>
            <w:shd w:val="clear" w:color="auto" w:fill="FFFFFF"/>
            <w:vAlign w:val="center"/>
          </w:tcPr>
          <w:p w14:paraId="3D394659"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229" w:type="dxa"/>
            <w:shd w:val="clear" w:color="auto" w:fill="FFFFFF"/>
            <w:vAlign w:val="center"/>
          </w:tcPr>
          <w:p w14:paraId="594C93A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w:t>
            </w:r>
          </w:p>
        </w:tc>
        <w:tc>
          <w:tcPr>
            <w:tcW w:w="1264" w:type="dxa"/>
            <w:shd w:val="clear" w:color="auto" w:fill="FFFFFF"/>
            <w:vAlign w:val="center"/>
          </w:tcPr>
          <w:p w14:paraId="69CA61C2"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1.557</w:t>
            </w:r>
          </w:p>
        </w:tc>
        <w:tc>
          <w:tcPr>
            <w:tcW w:w="1174" w:type="dxa"/>
            <w:shd w:val="clear" w:color="auto" w:fill="FFFFFF"/>
            <w:vAlign w:val="center"/>
          </w:tcPr>
          <w:p w14:paraId="141550B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657" w:type="dxa"/>
            <w:shd w:val="clear" w:color="auto" w:fill="FFFFFF"/>
            <w:vAlign w:val="center"/>
          </w:tcPr>
          <w:p w14:paraId="10C6D613"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90" w:type="dxa"/>
            <w:shd w:val="clear" w:color="auto" w:fill="FFFFFF"/>
            <w:vAlign w:val="center"/>
          </w:tcPr>
          <w:p w14:paraId="370F5CF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2A22014B" w14:textId="77777777">
        <w:trPr>
          <w:cantSplit/>
          <w:trHeight w:val="20"/>
        </w:trPr>
        <w:tc>
          <w:tcPr>
            <w:tcW w:w="2936" w:type="dxa"/>
            <w:shd w:val="clear" w:color="auto" w:fill="FFFFFF"/>
            <w:vAlign w:val="center"/>
          </w:tcPr>
          <w:p w14:paraId="125524E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229" w:type="dxa"/>
            <w:shd w:val="clear" w:color="auto" w:fill="FFFFFF"/>
            <w:vAlign w:val="center"/>
          </w:tcPr>
          <w:p w14:paraId="677629C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-1.073</w:t>
            </w:r>
          </w:p>
        </w:tc>
        <w:tc>
          <w:tcPr>
            <w:tcW w:w="1264" w:type="dxa"/>
            <w:shd w:val="clear" w:color="auto" w:fill="FFFFFF"/>
            <w:vAlign w:val="center"/>
          </w:tcPr>
          <w:p w14:paraId="3B2DB26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1.779</w:t>
            </w:r>
          </w:p>
        </w:tc>
        <w:tc>
          <w:tcPr>
            <w:tcW w:w="1174" w:type="dxa"/>
            <w:shd w:val="clear" w:color="auto" w:fill="FFFFFF"/>
            <w:vAlign w:val="center"/>
          </w:tcPr>
          <w:p w14:paraId="6321DD9A"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657" w:type="dxa"/>
            <w:shd w:val="clear" w:color="auto" w:fill="FFFFFF"/>
            <w:vAlign w:val="center"/>
          </w:tcPr>
          <w:p w14:paraId="253F420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c>
          <w:tcPr>
            <w:tcW w:w="1090" w:type="dxa"/>
            <w:shd w:val="clear" w:color="auto" w:fill="FFFFFF"/>
            <w:vAlign w:val="center"/>
          </w:tcPr>
          <w:p w14:paraId="06D4BB4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14:paraId="759853F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28">
        <w:r>
          <w:rPr>
            <w:rFonts w:ascii="Times New Roman" w:eastAsia="Times New Roman" w:hAnsi="Times New Roman" w:cs="Times New Roman"/>
            <w:color w:val="0563C1"/>
            <w:sz w:val="20"/>
            <w:szCs w:val="20"/>
            <w:u w:val="single"/>
          </w:rPr>
          <w:t>https://www.rbi.org.in</w:t>
        </w:r>
      </w:hyperlink>
    </w:p>
    <w:p w14:paraId="6FD91924"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9">
        <w:r>
          <w:rPr>
            <w:rFonts w:ascii="Times New Roman" w:eastAsia="Times New Roman" w:hAnsi="Times New Roman" w:cs="Times New Roman"/>
            <w:color w:val="0563C1"/>
            <w:sz w:val="20"/>
            <w:szCs w:val="20"/>
            <w:u w:val="single"/>
          </w:rPr>
          <w:t>https://dbie.rbi.org.in</w:t>
        </w:r>
      </w:hyperlink>
    </w:p>
    <w:p w14:paraId="76A67D2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Commodity markets outl</w:t>
      </w:r>
      <w:r>
        <w:rPr>
          <w:rFonts w:ascii="Times New Roman" w:eastAsia="Times New Roman" w:hAnsi="Times New Roman" w:cs="Times New Roman"/>
          <w:sz w:val="20"/>
          <w:szCs w:val="20"/>
        </w:rPr>
        <w:t xml:space="preserve">ook. </w:t>
      </w:r>
      <w:hyperlink r:id="rId30">
        <w:r>
          <w:rPr>
            <w:rFonts w:ascii="Times New Roman" w:eastAsia="Times New Roman" w:hAnsi="Times New Roman" w:cs="Times New Roman"/>
            <w:color w:val="0563C1"/>
            <w:sz w:val="20"/>
            <w:szCs w:val="20"/>
            <w:u w:val="single"/>
          </w:rPr>
          <w:t>https://www.worldbank.org</w:t>
        </w:r>
      </w:hyperlink>
    </w:p>
    <w:p w14:paraId="6C1B28F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exchange rate coefficient estimate from the CPI-Medicines regression is 1.638, with a t-statistic value of 10.430 and a p-value of 0.000. This result demonstrates that exchange</w:t>
      </w:r>
      <w:r>
        <w:rPr>
          <w:rFonts w:ascii="Times New Roman" w:eastAsia="Times New Roman" w:hAnsi="Times New Roman" w:cs="Times New Roman"/>
          <w:sz w:val="24"/>
          <w:szCs w:val="24"/>
        </w:rPr>
        <w:t xml:space="preserve"> rate variability has an observable, positive, and statistically significant impact on prices for consumer medicines. While the magnitudes of these coefficients seem similar to producer price model coefficients, their economic interpretation must be incorp</w:t>
      </w:r>
      <w:r>
        <w:rPr>
          <w:rFonts w:ascii="Times New Roman" w:eastAsia="Times New Roman" w:hAnsi="Times New Roman" w:cs="Times New Roman"/>
          <w:sz w:val="24"/>
          <w:szCs w:val="24"/>
        </w:rPr>
        <w:t>orated into a more complete picture of the price adjustment process, and also along with the time-series characteristics of consumer prices. Stationarity analysis completed previously on the CPI-Medicines shows that consumer prices have high levels of pers</w:t>
      </w:r>
      <w:r>
        <w:rPr>
          <w:rFonts w:ascii="Times New Roman" w:eastAsia="Times New Roman" w:hAnsi="Times New Roman" w:cs="Times New Roman"/>
          <w:sz w:val="24"/>
          <w:szCs w:val="24"/>
        </w:rPr>
        <w:t>istence, which leads to slow rates of mean reversion. Thus, consumer prices appear to adjust slowly to changes in exchange rates rather than adjust immediately after changes occur.</w:t>
      </w:r>
    </w:p>
    <w:p w14:paraId="69004F3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comparison of the two models shows a significant amount of asymmetry in t</w:t>
      </w:r>
      <w:r>
        <w:rPr>
          <w:rFonts w:ascii="Times New Roman" w:eastAsia="Times New Roman" w:hAnsi="Times New Roman" w:cs="Times New Roman"/>
          <w:sz w:val="24"/>
          <w:szCs w:val="24"/>
        </w:rPr>
        <w:t>erms of exchange rate pass-through between the pharmaceutical price chain and both producer-level and consumer-level data. At the producer level, degradation in exchange rates impacts production input costs through previously imported APIs. This is the bas</w:t>
      </w:r>
      <w:r>
        <w:rPr>
          <w:rFonts w:ascii="Times New Roman" w:eastAsia="Times New Roman" w:hAnsi="Times New Roman" w:cs="Times New Roman"/>
          <w:sz w:val="24"/>
          <w:szCs w:val="24"/>
        </w:rPr>
        <w:t>is of relatively quick and significant adjustments to wholesale pricing as a result of the exchange rate effects on input costs, and this relationship can be seen as a strong statistical relationship in the WPI-Pharmaceuticals model. Therefore, producer pr</w:t>
      </w:r>
      <w:r>
        <w:rPr>
          <w:rFonts w:ascii="Times New Roman" w:eastAsia="Times New Roman" w:hAnsi="Times New Roman" w:cs="Times New Roman"/>
          <w:sz w:val="24"/>
          <w:szCs w:val="24"/>
        </w:rPr>
        <w:t>ices are the primary means by which exchange rate shocks impact the pharmaceutical industry as a whole.</w:t>
      </w:r>
    </w:p>
    <w:p w14:paraId="4BEB108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relationship between the exchange rate coefficient (significant) and the adjustment in consumer prices for medicines has a different dynamic than </w:t>
      </w:r>
      <w:r>
        <w:rPr>
          <w:rFonts w:ascii="Times New Roman" w:eastAsia="Times New Roman" w:hAnsi="Times New Roman" w:cs="Times New Roman"/>
          <w:sz w:val="24"/>
          <w:szCs w:val="24"/>
        </w:rPr>
        <w:t>with wholesale prices. Regulatory and institutional constraints limit how much and how quickly any increase in price could be passed through to the final consumer as part of the consumer's purchase of consumer goods. Therefore, cost increases due to the ex</w:t>
      </w:r>
      <w:r>
        <w:rPr>
          <w:rFonts w:ascii="Times New Roman" w:eastAsia="Times New Roman" w:hAnsi="Times New Roman" w:cs="Times New Roman"/>
          <w:sz w:val="24"/>
          <w:szCs w:val="24"/>
        </w:rPr>
        <w:t>change rate will be partly absorbed by the producers (suppliers) and/or passed onto consumers slowly over time. This interpretation is consistent with both the persistence of CPI - Medicines in the unit root analysis and also the smooth upward trend for co</w:t>
      </w:r>
      <w:r>
        <w:rPr>
          <w:rFonts w:ascii="Times New Roman" w:eastAsia="Times New Roman" w:hAnsi="Times New Roman" w:cs="Times New Roman"/>
          <w:sz w:val="24"/>
          <w:szCs w:val="24"/>
        </w:rPr>
        <w:t>nsumer prices within the descriptive and graphic analyses.</w:t>
      </w:r>
    </w:p>
    <w:p w14:paraId="13E6AD78"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statistics provide additional evidence for the validity of the models that were estimated in the analysis. The Durbin-Watson statistic for the WPI-Pharmaceutical model is located at 1.39</w:t>
      </w:r>
      <w:r>
        <w:rPr>
          <w:rFonts w:ascii="Times New Roman" w:eastAsia="Times New Roman" w:hAnsi="Times New Roman" w:cs="Times New Roman"/>
          <w:sz w:val="24"/>
          <w:szCs w:val="24"/>
        </w:rPr>
        <w:t>2, indicating some level of positive autocorrelation, which is expected in short time series and therefore should not detract from the primary conclusions. Based on an estimated Durbin-Watson statistic of 2.016, the CPI - Medicines model does not exhibit s</w:t>
      </w:r>
      <w:r>
        <w:rPr>
          <w:rFonts w:ascii="Times New Roman" w:eastAsia="Times New Roman" w:hAnsi="Times New Roman" w:cs="Times New Roman"/>
          <w:sz w:val="24"/>
          <w:szCs w:val="24"/>
        </w:rPr>
        <w:t>erial correlation in the residuals of the estimated equation. Residual diagnostic statistics for both models indicate that the residual distributions are centered at zero and have a limited amount of variability, indicating an adequate fit of OLS-based spe</w:t>
      </w:r>
      <w:r>
        <w:rPr>
          <w:rFonts w:ascii="Times New Roman" w:eastAsia="Times New Roman" w:hAnsi="Times New Roman" w:cs="Times New Roman"/>
          <w:sz w:val="24"/>
          <w:szCs w:val="24"/>
        </w:rPr>
        <w:t>cifications for both models.</w:t>
      </w:r>
    </w:p>
    <w:p w14:paraId="1399899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cross-section regressions show a distinct pattern of asymmetrical Exchange Rate Pass-Through (ERPT) within the Indian Pharmaceutical Industry. While RUPEE depreciation (i.e., fall in the value of the INR agai</w:t>
      </w:r>
      <w:r>
        <w:rPr>
          <w:rFonts w:ascii="Times New Roman" w:eastAsia="Times New Roman" w:hAnsi="Times New Roman" w:cs="Times New Roman"/>
          <w:sz w:val="24"/>
          <w:szCs w:val="24"/>
        </w:rPr>
        <w:t>nst the major currencies) will impact both producer and consumer prices, the changes at the Producer Price Level are much more responsive and volatile relative to Consumer Prices; this is primarily because Producers are exposed directly to exchange rate fl</w:t>
      </w:r>
      <w:r>
        <w:rPr>
          <w:rFonts w:ascii="Times New Roman" w:eastAsia="Times New Roman" w:hAnsi="Times New Roman" w:cs="Times New Roman"/>
          <w:sz w:val="24"/>
          <w:szCs w:val="24"/>
        </w:rPr>
        <w:t xml:space="preserve">uctuations whereas there is always some degree of regulation of the sale price of pharmaceuticals at the Consumer Level. These findings are indicative of a substantial amount of import reliance and price regulation, both of which have a significant impact </w:t>
      </w:r>
      <w:r>
        <w:rPr>
          <w:rFonts w:ascii="Times New Roman" w:eastAsia="Times New Roman" w:hAnsi="Times New Roman" w:cs="Times New Roman"/>
          <w:sz w:val="24"/>
          <w:szCs w:val="24"/>
        </w:rPr>
        <w:t>on inflation behavior within the Pharmaceutical Industry.</w:t>
      </w:r>
    </w:p>
    <w:p w14:paraId="043F69A1" w14:textId="77777777" w:rsidR="00066D46" w:rsidRDefault="004D460E">
      <w:pPr>
        <w:spacing w:before="24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Results from the regressions that were done to measure the effect of Indian Rupee depreciation on prices of pharmaceuticals between 2014 and 2024 have met the first objective of the research, with e</w:t>
      </w:r>
      <w:r>
        <w:rPr>
          <w:rFonts w:ascii="Times New Roman" w:eastAsia="Times New Roman" w:hAnsi="Times New Roman" w:cs="Times New Roman"/>
          <w:i/>
          <w:iCs/>
          <w:sz w:val="24"/>
          <w:szCs w:val="24"/>
        </w:rPr>
        <w:t xml:space="preserve">vidence of a significant positive relationship between rupee depreciation and the prices of pharmaceuticals (H₁). The comparison between the producer price regressions and </w:t>
      </w:r>
      <w:r>
        <w:rPr>
          <w:rFonts w:ascii="Times New Roman" w:eastAsia="Times New Roman" w:hAnsi="Times New Roman" w:cs="Times New Roman"/>
          <w:i/>
          <w:iCs/>
          <w:sz w:val="24"/>
          <w:szCs w:val="24"/>
        </w:rPr>
        <w:lastRenderedPageBreak/>
        <w:t>customer price regressions was made in order to evaluate the second objective of the</w:t>
      </w:r>
      <w:r>
        <w:rPr>
          <w:rFonts w:ascii="Times New Roman" w:eastAsia="Times New Roman" w:hAnsi="Times New Roman" w:cs="Times New Roman"/>
          <w:i/>
          <w:iCs/>
          <w:sz w:val="24"/>
          <w:szCs w:val="24"/>
        </w:rPr>
        <w:t xml:space="preserve"> research, which asked whether there was an unequal amount of exchange rate pass-through to producer versus customer prices.</w:t>
      </w:r>
    </w:p>
    <w:p w14:paraId="0FC3F2D3" w14:textId="77777777" w:rsidR="00066D46" w:rsidRDefault="004D460E">
      <w:pPr>
        <w:spacing w:before="24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Additionally, the consumer medicines price adjustment was slower and less extreme than that of producer prices (H₂), which supports</w:t>
      </w:r>
      <w:r>
        <w:rPr>
          <w:rFonts w:ascii="Times New Roman" w:eastAsia="Times New Roman" w:hAnsi="Times New Roman" w:cs="Times New Roman"/>
          <w:i/>
          <w:iCs/>
          <w:sz w:val="24"/>
          <w:szCs w:val="24"/>
        </w:rPr>
        <w:t xml:space="preserve"> Hypothesis 2. The degree of asymmetry in price adjustments was consistent with the idea that price regulation under the Drugs (Prices) Control Order in India affects the degree to which exchange rate changes are passed through to consumers (H₃). Basically</w:t>
      </w:r>
      <w:r>
        <w:rPr>
          <w:rFonts w:ascii="Times New Roman" w:eastAsia="Times New Roman" w:hAnsi="Times New Roman" w:cs="Times New Roman"/>
          <w:i/>
          <w:iCs/>
          <w:sz w:val="24"/>
          <w:szCs w:val="24"/>
        </w:rPr>
        <w:t xml:space="preserve">, the economy shows that depreciation of the Indian rupee has an inflationary effect on the pharmaceutical industry in India, with a larger and more immediate effect on producers than consumers. Producer-level transmission is stronger and more direct than </w:t>
      </w:r>
      <w:r>
        <w:rPr>
          <w:rFonts w:ascii="Times New Roman" w:eastAsia="Times New Roman" w:hAnsi="Times New Roman" w:cs="Times New Roman"/>
          <w:i/>
          <w:iCs/>
          <w:sz w:val="24"/>
          <w:szCs w:val="24"/>
        </w:rPr>
        <w:t>consumer-level transmission due to the effects of regulations on the consumer market. The results will help shape pharmaceutical price regulation, foreign exchange management, and the need to decrease imports of pharmaceuticals in the future.</w:t>
      </w:r>
    </w:p>
    <w:p w14:paraId="6B473801" w14:textId="77777777" w:rsidR="00066D46" w:rsidRDefault="004D460E">
      <w:pPr>
        <w:spacing w:before="240" w:line="36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Figure-1: USD</w:t>
      </w:r>
      <w:r>
        <w:rPr>
          <w:rFonts w:ascii="Times New Roman" w:eastAsia="Times New Roman" w:hAnsi="Times New Roman" w:cs="Times New Roman"/>
          <w:b/>
          <w:bCs/>
          <w:sz w:val="24"/>
          <w:szCs w:val="24"/>
        </w:rPr>
        <w:t>/INR Exchange Rate Movement</w:t>
      </w:r>
    </w:p>
    <w:p w14:paraId="263C76C6" w14:textId="77777777" w:rsidR="00066D46" w:rsidRDefault="004D460E">
      <w:pPr>
        <w:spacing w:before="240" w:line="36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52D2430B" wp14:editId="6762DB54">
            <wp:extent cx="5200650" cy="1638300"/>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200650" cy="1638300"/>
                    </a:xfrm>
                    <a:prstGeom prst="rect">
                      <a:avLst/>
                    </a:prstGeom>
                    <a:ln w="25400">
                      <a:solidFill>
                        <a:srgbClr val="5B9BD5"/>
                      </a:solidFill>
                      <a:prstDash val="solid"/>
                    </a:ln>
                  </pic:spPr>
                </pic:pic>
              </a:graphicData>
            </a:graphic>
          </wp:inline>
        </w:drawing>
      </w:r>
    </w:p>
    <w:p w14:paraId="78A55FDF" w14:textId="77777777" w:rsidR="00066D46" w:rsidRDefault="004D460E">
      <w:pPr>
        <w:spacing w:before="240" w:line="36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Figure-2: Consumer Price Index (CPI) of pharmaceutical products</w:t>
      </w:r>
    </w:p>
    <w:p w14:paraId="7B5BD4F6" w14:textId="77777777" w:rsidR="00066D46" w:rsidRDefault="004D460E">
      <w:pPr>
        <w:spacing w:before="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568519A7" wp14:editId="4B360A56">
            <wp:extent cx="5219700" cy="1419225"/>
            <wp:effectExtent l="25400" t="25400" r="25400" b="254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219700" cy="1419225"/>
                    </a:xfrm>
                    <a:prstGeom prst="rect">
                      <a:avLst/>
                    </a:prstGeom>
                    <a:ln w="25400">
                      <a:solidFill>
                        <a:srgbClr val="5B9BD5"/>
                      </a:solidFill>
                      <a:prstDash val="solid"/>
                    </a:ln>
                  </pic:spPr>
                </pic:pic>
              </a:graphicData>
            </a:graphic>
          </wp:inline>
        </w:drawing>
      </w:r>
    </w:p>
    <w:p w14:paraId="0D05D163" w14:textId="77777777" w:rsidR="00066D46" w:rsidRDefault="004D460E">
      <w:pPr>
        <w:spacing w:before="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Figure-3: Wholesale Price Index of pharmaceuticals</w:t>
      </w:r>
    </w:p>
    <w:p w14:paraId="333E8BB9" w14:textId="77777777" w:rsidR="00066D46" w:rsidRDefault="004D460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3769F1" wp14:editId="2FE8478D">
            <wp:extent cx="5153025" cy="1546225"/>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153025" cy="1546225"/>
                    </a:xfrm>
                    <a:prstGeom prst="rect">
                      <a:avLst/>
                    </a:prstGeom>
                    <a:ln w="25400">
                      <a:solidFill>
                        <a:srgbClr val="5B9BD5"/>
                      </a:solidFill>
                      <a:prstDash val="solid"/>
                    </a:ln>
                  </pic:spPr>
                </pic:pic>
              </a:graphicData>
            </a:graphic>
          </wp:inline>
        </w:drawing>
      </w:r>
    </w:p>
    <w:p w14:paraId="0182FA00"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shown in Figure 1, USD/INR Exchange Rate Movement, the annual trend in the value of the Indian Rupee (I</w:t>
      </w:r>
      <w:r>
        <w:rPr>
          <w:rFonts w:ascii="Times New Roman" w:eastAsia="Times New Roman" w:hAnsi="Times New Roman" w:cs="Times New Roman"/>
          <w:sz w:val="24"/>
          <w:szCs w:val="24"/>
        </w:rPr>
        <w:t>NR) compared to the United States Dollar (USD) from 2014 to 2024 has been steadily increasing and demonstrates that INR has continued to depreciate against the USD. The general trend over this period has also been upward, although there were periods of sli</w:t>
      </w:r>
      <w:r>
        <w:rPr>
          <w:rFonts w:ascii="Times New Roman" w:eastAsia="Times New Roman" w:hAnsi="Times New Roman" w:cs="Times New Roman"/>
          <w:sz w:val="24"/>
          <w:szCs w:val="24"/>
        </w:rPr>
        <w:t>ght fluctuation within the middle of the date range. The upward trend in USD/INR indicates that the pressures of the exchange rate continue to exist for an extended period of time and will cause extended cost pressure on businesses that import goods from o</w:t>
      </w:r>
      <w:r>
        <w:rPr>
          <w:rFonts w:ascii="Times New Roman" w:eastAsia="Times New Roman" w:hAnsi="Times New Roman" w:cs="Times New Roman"/>
          <w:sz w:val="24"/>
          <w:szCs w:val="24"/>
        </w:rPr>
        <w:t>ther countries. An example of an industry where this will have an impact is the pharmaceutical industry, because many pharmaceuticals are sourced through imports.</w:t>
      </w:r>
    </w:p>
    <w:p w14:paraId="18BD718C"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On the other hand, Figure 2 charts the pattern of increase in the Consumer Price Index (CPI)</w:t>
      </w:r>
      <w:r>
        <w:rPr>
          <w:rFonts w:ascii="Times New Roman" w:eastAsia="Times New Roman" w:hAnsi="Times New Roman" w:cs="Times New Roman"/>
          <w:sz w:val="24"/>
          <w:szCs w:val="24"/>
        </w:rPr>
        <w:t xml:space="preserve"> of pharmaceutical products over the period of time of the study. The pattern shows a relatively constant rise in the CPI for pharmaceutical products with a more rapid increase in the later years of the study than earlier, yet relatively smooth representin</w:t>
      </w:r>
      <w:r>
        <w:rPr>
          <w:rFonts w:ascii="Times New Roman" w:eastAsia="Times New Roman" w:hAnsi="Times New Roman" w:cs="Times New Roman"/>
          <w:sz w:val="24"/>
          <w:szCs w:val="24"/>
        </w:rPr>
        <w:t>g moderate price transmission from the manufacturer to the consumer. Thus, while there has been an overall increase in prices as a result of cost pressures influenced by exchange rate fluctuations, these costs will only be partially passed on to the consum</w:t>
      </w:r>
      <w:r>
        <w:rPr>
          <w:rFonts w:ascii="Times New Roman" w:eastAsia="Times New Roman" w:hAnsi="Times New Roman" w:cs="Times New Roman"/>
          <w:sz w:val="24"/>
          <w:szCs w:val="24"/>
        </w:rPr>
        <w:t>er indicating there is pharmaceutical price regulation in place.</w:t>
      </w:r>
    </w:p>
    <w:p w14:paraId="36B9CD65"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Wholesale Price Index for Pharmaceuticals depicted in Figure 3 illustrates that there has been a steady and pronounced increase in the Wholesale Price Index of pharmaceuticals from 2014 </w:t>
      </w:r>
      <w:r>
        <w:rPr>
          <w:rFonts w:ascii="Times New Roman" w:eastAsia="Times New Roman" w:hAnsi="Times New Roman" w:cs="Times New Roman"/>
          <w:sz w:val="24"/>
          <w:szCs w:val="24"/>
        </w:rPr>
        <w:t xml:space="preserve">to 2024. As demonstrated in the figure, there has been a marked increase in inflationary pressures at the producer level of pharmaceuticals. Compared with Consumer Prices, Wholesale Prices of Pharmaceuticals have increased at a faster rate. This trend may </w:t>
      </w:r>
      <w:r>
        <w:rPr>
          <w:rFonts w:ascii="Times New Roman" w:eastAsia="Times New Roman" w:hAnsi="Times New Roman" w:cs="Times New Roman"/>
          <w:sz w:val="24"/>
          <w:szCs w:val="24"/>
        </w:rPr>
        <w:t xml:space="preserve">be attributed to the high dependence on imported Active Pharmaceutical Ingredients (API's) in the production of </w:t>
      </w:r>
      <w:r>
        <w:rPr>
          <w:rFonts w:ascii="Times New Roman" w:eastAsia="Times New Roman" w:hAnsi="Times New Roman" w:cs="Times New Roman"/>
          <w:sz w:val="24"/>
          <w:szCs w:val="24"/>
        </w:rPr>
        <w:lastRenderedPageBreak/>
        <w:t>pharmaceuticals and is evidence that there is increasing pass-through by producers to the wholesale price level from Exchange Rate fluctuations.</w:t>
      </w:r>
    </w:p>
    <w:p w14:paraId="11097040" w14:textId="77777777" w:rsidR="00066D46" w:rsidRDefault="004D460E">
      <w:pPr>
        <w:tabs>
          <w:tab w:val="left" w:pos="4212"/>
        </w:tabs>
        <w:jc w:val="center"/>
        <w:rPr>
          <w:rFonts w:ascii="Times New Roman" w:eastAsia="Times New Roman" w:hAnsi="Times New Roman" w:cs="Times New Roman"/>
          <w:b/>
          <w:bCs/>
        </w:rPr>
      </w:pPr>
      <w:r>
        <w:rPr>
          <w:rFonts w:ascii="Times New Roman" w:eastAsia="Times New Roman" w:hAnsi="Times New Roman" w:cs="Times New Roman"/>
          <w:b/>
          <w:bCs/>
        </w:rPr>
        <w:t>Table-9: ADF Tests for WPI and CPI</w:t>
      </w:r>
    </w:p>
    <w:p w14:paraId="32240D3C" w14:textId="77777777" w:rsidR="00066D46" w:rsidRDefault="004D460E">
      <w:pPr>
        <w:tabs>
          <w:tab w:val="left" w:pos="4212"/>
        </w:tabs>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7D0DAF94" wp14:editId="1115CC49">
            <wp:extent cx="2895600" cy="399351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895600" cy="3993515"/>
                    </a:xfrm>
                    <a:prstGeom prst="rect">
                      <a:avLst/>
                    </a:prstGeom>
                    <a:ln/>
                  </pic:spPr>
                </pic:pic>
              </a:graphicData>
            </a:graphic>
          </wp:inline>
        </w:drawing>
      </w:r>
      <w:r>
        <w:rPr>
          <w:rFonts w:ascii="Times New Roman" w:eastAsia="Times New Roman" w:hAnsi="Times New Roman" w:cs="Times New Roman"/>
          <w:b/>
          <w:bCs/>
          <w:noProof/>
        </w:rPr>
        <w:drawing>
          <wp:inline distT="0" distB="0" distL="0" distR="0" wp14:anchorId="0C4AC864" wp14:editId="3F03D5B1">
            <wp:extent cx="2867025" cy="399351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2867025" cy="3993515"/>
                    </a:xfrm>
                    <a:prstGeom prst="rect">
                      <a:avLst/>
                    </a:prstGeom>
                    <a:ln/>
                  </pic:spPr>
                </pic:pic>
              </a:graphicData>
            </a:graphic>
          </wp:inline>
        </w:drawing>
      </w:r>
    </w:p>
    <w:p w14:paraId="2C1C834D"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Augmented Dickey-Fuller (ADF) unit root test is used to assess the stationarity properties of price indices for pharmaceutical products. Since non-stationary variables can produce spurious results when regressed </w:t>
      </w:r>
      <w:r>
        <w:rPr>
          <w:rFonts w:ascii="Times New Roman" w:eastAsia="Times New Roman" w:hAnsi="Times New Roman" w:cs="Times New Roman"/>
          <w:sz w:val="24"/>
          <w:szCs w:val="24"/>
        </w:rPr>
        <w:t>on one another without appropriate transformation, the ADF test will indicate to the analyst whether or not the series is stationary or has a unit root.</w:t>
      </w:r>
    </w:p>
    <w:p w14:paraId="5CE5E5E8"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ADF test is initially applied to the levels of the Wholesale Price Index for pharmaceuticals (WPI-</w:t>
      </w:r>
      <w:r>
        <w:rPr>
          <w:rFonts w:ascii="Times New Roman" w:eastAsia="Times New Roman" w:hAnsi="Times New Roman" w:cs="Times New Roman"/>
          <w:sz w:val="24"/>
          <w:szCs w:val="24"/>
        </w:rPr>
        <w:t xml:space="preserve">Pharmaceuticals) and the Consumer Price Index for medicines (CPI-Medicines). Both of the level test statistics are statistically significant; therefore, we cannot reject the null hypothesis that both series have a unit root. Therefore, both pharmaceutical </w:t>
      </w:r>
      <w:r>
        <w:rPr>
          <w:rFonts w:ascii="Times New Roman" w:eastAsia="Times New Roman" w:hAnsi="Times New Roman" w:cs="Times New Roman"/>
          <w:sz w:val="24"/>
          <w:szCs w:val="24"/>
        </w:rPr>
        <w:t>producer prices and consumer medicine prices are non-stationary in levels, which indicates that they have changing means and variances over time, and they will also have shocks to their prices that will be persistent rather than momentary.</w:t>
      </w:r>
    </w:p>
    <w:p w14:paraId="7AB1D350"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ADF test's </w:t>
      </w:r>
      <w:r>
        <w:rPr>
          <w:rFonts w:ascii="Times New Roman" w:eastAsia="Times New Roman" w:hAnsi="Times New Roman" w:cs="Times New Roman"/>
          <w:sz w:val="24"/>
          <w:szCs w:val="24"/>
        </w:rPr>
        <w:t>use on the first difference of the data series shows the order of integration because of the existence of non-stationarity. The ADF test on the first difference of the WPI used to measure the price at which a pharmaceutical manufacturer pays for an input h</w:t>
      </w:r>
      <w:r>
        <w:rPr>
          <w:rFonts w:ascii="Times New Roman" w:eastAsia="Times New Roman" w:hAnsi="Times New Roman" w:cs="Times New Roman"/>
          <w:sz w:val="24"/>
          <w:szCs w:val="24"/>
        </w:rPr>
        <w:t>as a test statistic of -3.7940 with an associated probability of 0.0270. The probability value is below the conventional 5% significance level, and the test statistic is more negative than the critical value, thus indicating that the null hypothesis of the</w:t>
      </w:r>
      <w:r>
        <w:rPr>
          <w:rFonts w:ascii="Times New Roman" w:eastAsia="Times New Roman" w:hAnsi="Times New Roman" w:cs="Times New Roman"/>
          <w:sz w:val="24"/>
          <w:szCs w:val="24"/>
        </w:rPr>
        <w:t xml:space="preserve"> existence of a unit root can be rejected at a significance level of 5%. This means that the changes in pharmaceutical producer prices are stationary after first differencing, thus indicating that the WPI for pharmaceutical products is integrated of order </w:t>
      </w:r>
      <w:r>
        <w:rPr>
          <w:rFonts w:ascii="Times New Roman" w:eastAsia="Times New Roman" w:hAnsi="Times New Roman" w:cs="Times New Roman"/>
          <w:sz w:val="24"/>
          <w:szCs w:val="24"/>
        </w:rPr>
        <w:t>one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1)).</w:t>
      </w:r>
    </w:p>
    <w:p w14:paraId="1304A2B2"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statistical rejection of the unit root for the first difference of the WPI for Pharmaceutical products indicates that there is persistence in the prices at which manufacturers purchase inputs; however, changes in those same prices have a p</w:t>
      </w:r>
      <w:r>
        <w:rPr>
          <w:rFonts w:ascii="Times New Roman" w:eastAsia="Times New Roman" w:hAnsi="Times New Roman" w:cs="Times New Roman"/>
          <w:sz w:val="24"/>
          <w:szCs w:val="24"/>
        </w:rPr>
        <w:t xml:space="preserve">redictable and stable process of returning to the mean. In terms of economics, this indicates that changes to pharmaceutical producer prices caused by input cost increases caused by a depreciation of the Rupee or an increase in the price of importable raw </w:t>
      </w:r>
      <w:r>
        <w:rPr>
          <w:rFonts w:ascii="Times New Roman" w:eastAsia="Times New Roman" w:hAnsi="Times New Roman" w:cs="Times New Roman"/>
          <w:sz w:val="24"/>
          <w:szCs w:val="24"/>
        </w:rPr>
        <w:t xml:space="preserve">ingredient pharmaceuticals are permanent, but have predictable and permanent effects on, for example, how much a manufacturer pays for the input over time. An appropriate dynamic econometric model can be used to describe the change process. Based on these </w:t>
      </w:r>
      <w:r>
        <w:rPr>
          <w:rFonts w:ascii="Times New Roman" w:eastAsia="Times New Roman" w:hAnsi="Times New Roman" w:cs="Times New Roman"/>
          <w:sz w:val="24"/>
          <w:szCs w:val="24"/>
        </w:rPr>
        <w:t>results from the ADF test on the differenced WPI–Pharmaceuticals series, producer prices are stable but exhibit long-term stickiness, and changing over time for producer price changes can be modeled with dynamic econometric models. Therefore, the effect of</w:t>
      </w:r>
      <w:r>
        <w:rPr>
          <w:rFonts w:ascii="Times New Roman" w:eastAsia="Times New Roman" w:hAnsi="Times New Roman" w:cs="Times New Roman"/>
          <w:sz w:val="24"/>
          <w:szCs w:val="24"/>
        </w:rPr>
        <w:t xml:space="preserve"> an exogenous shock (such as a rise in input costs from rupee depreciation) to the price producers pay to procure active pharmaceutical ingredients can be modeled and predicted with certainty over time.</w:t>
      </w:r>
    </w:p>
    <w:p w14:paraId="33E2393E"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ADF test of the differenced consumer price index</w:t>
      </w:r>
      <w:r>
        <w:rPr>
          <w:rFonts w:ascii="Times New Roman" w:eastAsia="Times New Roman" w:hAnsi="Times New Roman" w:cs="Times New Roman"/>
          <w:sz w:val="24"/>
          <w:szCs w:val="24"/>
        </w:rPr>
        <w:t xml:space="preserve"> of medicines has produced a test statistic of –2.3101 and a corresponding significance level of 0.1901. The significance level for this report is significantly above the 10 per cent level of significance, and, in addition, the absolute test statistic does</w:t>
      </w:r>
      <w:r>
        <w:rPr>
          <w:rFonts w:ascii="Times New Roman" w:eastAsia="Times New Roman" w:hAnsi="Times New Roman" w:cs="Times New Roman"/>
          <w:sz w:val="24"/>
          <w:szCs w:val="24"/>
        </w:rPr>
        <w:t xml:space="preserve"> not exceed the critical values for both the 1 per cent and 5 per cent and the 10 per cent level of significance. Therefore, the null hypothesis of a unit root is not rejected using differencing at the amount tested. The results indicate that the prices of</w:t>
      </w:r>
      <w:r>
        <w:rPr>
          <w:rFonts w:ascii="Times New Roman" w:eastAsia="Times New Roman" w:hAnsi="Times New Roman" w:cs="Times New Roman"/>
          <w:sz w:val="24"/>
          <w:szCs w:val="24"/>
        </w:rPr>
        <w:t xml:space="preserve"> consumer medicines are highly persistent and do not revert to the mean over short time periods. </w:t>
      </w:r>
    </w:p>
    <w:p w14:paraId="08BACA4E"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difference between the probability values of WPI–Pharmaceutical (0.0270) and CPI–Medicines (0.1901) highlights a divergence in the dynamics of producer </w:t>
      </w:r>
      <w:r>
        <w:rPr>
          <w:rFonts w:ascii="Times New Roman" w:eastAsia="Times New Roman" w:hAnsi="Times New Roman" w:cs="Times New Roman"/>
          <w:sz w:val="24"/>
          <w:szCs w:val="24"/>
        </w:rPr>
        <w:t xml:space="preserve">and consumer prices within the pharmaceutical industry. Whereas producer prices tend to respond in a statistical manner that is assumed stable once differenced, consumer prices adjust at a much slower rate and are affected by long-term structural factors. </w:t>
      </w:r>
      <w:r>
        <w:rPr>
          <w:rFonts w:ascii="Times New Roman" w:eastAsia="Times New Roman" w:hAnsi="Times New Roman" w:cs="Times New Roman"/>
          <w:sz w:val="24"/>
          <w:szCs w:val="24"/>
        </w:rPr>
        <w:t>Price persistence between the CPI–Medicines suggests that price adjustments are made over time rather than being made immediately.</w:t>
      </w:r>
    </w:p>
    <w:p w14:paraId="00EFD075"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pattern of price persistence can be interpreted from a regulatory perspective as being supported by the Cambodian regul</w:t>
      </w:r>
      <w:r>
        <w:rPr>
          <w:rFonts w:ascii="Times New Roman" w:eastAsia="Times New Roman" w:hAnsi="Times New Roman" w:cs="Times New Roman"/>
          <w:sz w:val="24"/>
          <w:szCs w:val="24"/>
        </w:rPr>
        <w:t>atory regime related to pharmaceutical pricing. Under the Drugs (Prices) Control Order, companies cannot pass through cost increases directly or immediately to consumers; therefore, cost pressure from exchange rate changes will either be absorbed at the pr</w:t>
      </w:r>
      <w:r>
        <w:rPr>
          <w:rFonts w:ascii="Times New Roman" w:eastAsia="Times New Roman" w:hAnsi="Times New Roman" w:cs="Times New Roman"/>
          <w:sz w:val="24"/>
          <w:szCs w:val="24"/>
        </w:rPr>
        <w:t>oducer level or passed on to customers only slowly, producing prolonged inflationary impacts rather than abrupt price changes.</w:t>
      </w:r>
    </w:p>
    <w:p w14:paraId="0B1CBBE0" w14:textId="77777777" w:rsidR="00066D46" w:rsidRDefault="004D460E">
      <w:pPr>
        <w:tabs>
          <w:tab w:val="left" w:pos="0"/>
        </w:tabs>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The results from the ADF tests show clear differences between the stationarity characteristics of the WPI–Pharmaceuticals and CP</w:t>
      </w:r>
      <w:r>
        <w:rPr>
          <w:rFonts w:ascii="Times New Roman" w:eastAsia="Times New Roman" w:hAnsi="Times New Roman" w:cs="Times New Roman"/>
          <w:i/>
          <w:iCs/>
          <w:sz w:val="24"/>
          <w:szCs w:val="24"/>
        </w:rPr>
        <w:t xml:space="preserve">I–Medicines prices. Both the WPI–Pharmaceuticals and CPI–Medicines are nonstationary at the first level, but after taking the first difference of the WPI–Pharmaceuticals price index, the values become stationary, while the CPI–Medicines prices remain very </w:t>
      </w:r>
      <w:r>
        <w:rPr>
          <w:rFonts w:ascii="Times New Roman" w:eastAsia="Times New Roman" w:hAnsi="Times New Roman" w:cs="Times New Roman"/>
          <w:i/>
          <w:iCs/>
          <w:sz w:val="24"/>
          <w:szCs w:val="24"/>
        </w:rPr>
        <w:t>persistent at the tested level. This highlights that there is an appropriate basis for applying dynamic time-series econometric methods in the subsequent analyses, as well as the early evidence of asymmetrical price adjustments between producer and consume</w:t>
      </w:r>
      <w:r>
        <w:rPr>
          <w:rFonts w:ascii="Times New Roman" w:eastAsia="Times New Roman" w:hAnsi="Times New Roman" w:cs="Times New Roman"/>
          <w:i/>
          <w:iCs/>
          <w:sz w:val="24"/>
          <w:szCs w:val="24"/>
        </w:rPr>
        <w:t>r levels in the pharmaceutical industry.</w:t>
      </w:r>
    </w:p>
    <w:p w14:paraId="686029A9" w14:textId="77777777" w:rsidR="00066D46" w:rsidRDefault="00066D46">
      <w:pPr>
        <w:rPr>
          <w:rFonts w:ascii="Times New Roman" w:eastAsia="Times New Roman" w:hAnsi="Times New Roman" w:cs="Times New Roman"/>
          <w:b/>
          <w:bCs/>
          <w:sz w:val="24"/>
          <w:szCs w:val="24"/>
        </w:rPr>
      </w:pPr>
    </w:p>
    <w:p w14:paraId="4C2B20F5" w14:textId="77777777" w:rsidR="00066D46" w:rsidRDefault="00066D46">
      <w:pPr>
        <w:rPr>
          <w:rFonts w:ascii="Times New Roman" w:eastAsia="Times New Roman" w:hAnsi="Times New Roman" w:cs="Times New Roman"/>
          <w:b/>
          <w:bCs/>
          <w:sz w:val="24"/>
          <w:szCs w:val="24"/>
        </w:rPr>
      </w:pPr>
    </w:p>
    <w:p w14:paraId="2D9C3005" w14:textId="77777777" w:rsidR="00066D46" w:rsidRDefault="004D460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Dynamic Lag Model Results</w:t>
      </w:r>
    </w:p>
    <w:p w14:paraId="5BEB0190" w14:textId="3E78E9F1" w:rsidR="00066D46" w:rsidRDefault="004B3941">
      <w:pPr>
        <w:rPr>
          <w:rFonts w:ascii="Times New Roman" w:eastAsia="Times New Roman" w:hAnsi="Times New Roman" w:cs="Times New Roman"/>
        </w:rPr>
      </w:pPr>
      <w:r>
        <w:rPr>
          <w:rFonts w:ascii="Times New Roman" w:eastAsia="Times New Roman" w:hAnsi="Times New Roman" w:cs="Times New Roman"/>
        </w:rPr>
        <w:t>Table 10. Producer Price Lag Specification</w:t>
      </w:r>
    </w:p>
    <w:p w14:paraId="61A7D1AB" w14:textId="77777777" w:rsidR="00066D46" w:rsidRDefault="004D460E">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553E2D8" wp14:editId="1E324A4B">
            <wp:extent cx="4754880" cy="173736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l="183" t="1087" r="15944" b="16305"/>
                    <a:stretch>
                      <a:fillRect/>
                    </a:stretch>
                  </pic:blipFill>
                  <pic:spPr>
                    <a:xfrm>
                      <a:off x="0" y="0"/>
                      <a:ext cx="4754880" cy="1737360"/>
                    </a:xfrm>
                    <a:prstGeom prst="rect">
                      <a:avLst/>
                    </a:prstGeom>
                    <a:ln/>
                  </pic:spPr>
                </pic:pic>
              </a:graphicData>
            </a:graphic>
          </wp:inline>
        </w:drawing>
      </w:r>
    </w:p>
    <w:p w14:paraId="7E237D96"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shock impacts on pharmaceutical producer price behavior are tested using a dynamic lag specification of pharmaceutical producers</w:t>
      </w:r>
      <w:r>
        <w:rPr>
          <w:rFonts w:ascii="Times New Roman" w:eastAsia="Times New Roman" w:hAnsi="Times New Roman" w:cs="Times New Roman"/>
          <w:sz w:val="24"/>
          <w:szCs w:val="24"/>
        </w:rPr>
        <w:t>' wholesale price. Results indicate that contemporaneous exchange rate shocks have a positive, statistically significant coefficient (β = 0.924, p &lt; 0.05), while the lagged exchange rate coefficient is positive but statistically insignificant (β=0.603, p &gt;</w:t>
      </w:r>
      <w:r>
        <w:rPr>
          <w:rFonts w:ascii="Times New Roman" w:eastAsia="Times New Roman" w:hAnsi="Times New Roman" w:cs="Times New Roman"/>
          <w:sz w:val="24"/>
          <w:szCs w:val="24"/>
        </w:rPr>
        <w:t xml:space="preserve"> 0.10). This suggests that pharmaceutical producer price changes are predominantly passed through by means of contemporaneous exchange rate changes, with little or no distribution of exchange rate changes over time.</w:t>
      </w:r>
    </w:p>
    <w:p w14:paraId="3295D5FC"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 assessment of contemporaneou</w:t>
      </w:r>
      <w:r>
        <w:rPr>
          <w:rFonts w:ascii="Times New Roman" w:eastAsia="Times New Roman" w:hAnsi="Times New Roman" w:cs="Times New Roman"/>
          <w:sz w:val="24"/>
          <w:szCs w:val="24"/>
        </w:rPr>
        <w:t>s significance, we conclude that the transmission of cost from depreciation of the currency to production-level pricing occurs immediately, confirming our observation of the importance of imported goods in the production of pharmaceutical products. The fac</w:t>
      </w:r>
      <w:r>
        <w:rPr>
          <w:rFonts w:ascii="Times New Roman" w:eastAsia="Times New Roman" w:hAnsi="Times New Roman" w:cs="Times New Roman"/>
          <w:sz w:val="24"/>
          <w:szCs w:val="24"/>
        </w:rPr>
        <w:t>t that the lagged term adds nothing to the model suggests that the effect of exchange rate shocks on wholesale prices is not persistent. The R2 of the model is approximately equal to 0.92, indicating that there is a great deal of explanatory power associat</w:t>
      </w:r>
      <w:r>
        <w:rPr>
          <w:rFonts w:ascii="Times New Roman" w:eastAsia="Times New Roman" w:hAnsi="Times New Roman" w:cs="Times New Roman"/>
          <w:sz w:val="24"/>
          <w:szCs w:val="24"/>
        </w:rPr>
        <w:t>ed with exchange rate dynamics with regard to production price level inflation.</w:t>
      </w:r>
    </w:p>
    <w:p w14:paraId="393EED01" w14:textId="77777777" w:rsidR="00066D46" w:rsidRDefault="004D460E">
      <w:pPr>
        <w:rPr>
          <w:rFonts w:ascii="Times New Roman" w:eastAsia="Times New Roman" w:hAnsi="Times New Roman" w:cs="Times New Roman"/>
          <w:b/>
          <w:bCs/>
        </w:rPr>
      </w:pPr>
      <w:r>
        <w:rPr>
          <w:rFonts w:ascii="Times New Roman" w:eastAsia="Times New Roman" w:hAnsi="Times New Roman" w:cs="Times New Roman"/>
          <w:b/>
          <w:bCs/>
        </w:rPr>
        <w:t xml:space="preserve">CONSUMER LAG MODEL </w:t>
      </w:r>
    </w:p>
    <w:p w14:paraId="68F394F4" w14:textId="77777777" w:rsidR="004B3941" w:rsidRDefault="004B3941">
      <w:pPr>
        <w:rPr>
          <w:rFonts w:ascii="Times New Roman" w:eastAsia="Times New Roman" w:hAnsi="Times New Roman" w:cs="Times New Roman"/>
          <w:b/>
          <w:bCs/>
        </w:rPr>
      </w:pPr>
    </w:p>
    <w:p w14:paraId="7DE9A175" w14:textId="77777777" w:rsidR="004B3941" w:rsidRDefault="004B3941">
      <w:pPr>
        <w:rPr>
          <w:rFonts w:ascii="Times New Roman" w:eastAsia="Times New Roman" w:hAnsi="Times New Roman" w:cs="Times New Roman"/>
          <w:b/>
          <w:bCs/>
        </w:rPr>
      </w:pPr>
    </w:p>
    <w:p w14:paraId="6875E6A0" w14:textId="1DBD6365" w:rsidR="003600A9" w:rsidRDefault="004B3941" w:rsidP="003600A9">
      <w:pPr>
        <w:rPr>
          <w:rFonts w:ascii="Times New Roman" w:eastAsia="Times New Roman" w:hAnsi="Times New Roman" w:cs="Times New Roman"/>
          <w:b/>
          <w:bCs/>
        </w:rPr>
      </w:pPr>
      <w:r>
        <w:rPr>
          <w:rFonts w:ascii="Times New Roman" w:eastAsia="Times New Roman" w:hAnsi="Times New Roman" w:cs="Times New Roman"/>
          <w:b/>
          <w:bCs/>
        </w:rPr>
        <w:t>Table 11.</w:t>
      </w:r>
      <w:r w:rsidR="003600A9" w:rsidRPr="003600A9">
        <w:rPr>
          <w:rFonts w:ascii="Times New Roman" w:eastAsia="Times New Roman" w:hAnsi="Times New Roman" w:cs="Times New Roman"/>
          <w:b/>
          <w:bCs/>
        </w:rPr>
        <w:t xml:space="preserve"> </w:t>
      </w:r>
      <w:r w:rsidR="003600A9">
        <w:rPr>
          <w:rFonts w:ascii="Times New Roman" w:eastAsia="Times New Roman" w:hAnsi="Times New Roman" w:cs="Times New Roman"/>
          <w:b/>
          <w:bCs/>
        </w:rPr>
        <w:t xml:space="preserve">CONSUMER LAG MODEL </w:t>
      </w:r>
    </w:p>
    <w:p w14:paraId="75095F15" w14:textId="0E1D867F" w:rsidR="004B3941" w:rsidRDefault="004B3941">
      <w:pPr>
        <w:rPr>
          <w:rFonts w:ascii="Times New Roman" w:eastAsia="Times New Roman" w:hAnsi="Times New Roman" w:cs="Times New Roman"/>
          <w:b/>
          <w:bCs/>
        </w:rPr>
      </w:pPr>
    </w:p>
    <w:p w14:paraId="3E170BA4" w14:textId="77777777" w:rsidR="00066D46" w:rsidRDefault="004D460E">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A58E036" wp14:editId="0E9E3D9B">
            <wp:extent cx="5029200" cy="164401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t="648" r="17372" b="27131"/>
                    <a:stretch>
                      <a:fillRect/>
                    </a:stretch>
                  </pic:blipFill>
                  <pic:spPr>
                    <a:xfrm>
                      <a:off x="0" y="0"/>
                      <a:ext cx="5029200" cy="1644015"/>
                    </a:xfrm>
                    <a:prstGeom prst="rect">
                      <a:avLst/>
                    </a:prstGeom>
                    <a:ln/>
                  </pic:spPr>
                </pic:pic>
              </a:graphicData>
            </a:graphic>
          </wp:inline>
        </w:drawing>
      </w:r>
    </w:p>
    <w:p w14:paraId="152668F9"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lag specification for the price of consumer medicine indicates a different structure of adjustment. Both the </w:t>
      </w:r>
      <w:r>
        <w:rPr>
          <w:rFonts w:ascii="Times New Roman" w:eastAsia="Times New Roman" w:hAnsi="Times New Roman" w:cs="Times New Roman"/>
          <w:sz w:val="24"/>
          <w:szCs w:val="24"/>
        </w:rPr>
        <w:t>contemporaneous exchange rate coefficient (β = 0.807, p &lt; 0.05) and the lagged (i.e., past) exchange rate coefficient (β = 1.001, p &lt; 0.01) are statistically significant, with the lagged effect being greater than the contemporaneous effect. This suggests t</w:t>
      </w:r>
      <w:r>
        <w:rPr>
          <w:rFonts w:ascii="Times New Roman" w:eastAsia="Times New Roman" w:hAnsi="Times New Roman" w:cs="Times New Roman"/>
          <w:sz w:val="24"/>
          <w:szCs w:val="24"/>
        </w:rPr>
        <w:t>hat there is a distribution of exchange rate pass-through to consumer prices over time rather than an instantaneous pass-through. The strong lagged effect indicates that retail price adjustment is persistent, with increased costs at the production level be</w:t>
      </w:r>
      <w:r>
        <w:rPr>
          <w:rFonts w:ascii="Times New Roman" w:eastAsia="Times New Roman" w:hAnsi="Times New Roman" w:cs="Times New Roman"/>
          <w:sz w:val="24"/>
          <w:szCs w:val="24"/>
        </w:rPr>
        <w:t>ing slowly transmitted to retail through multiple distribution channels and pricing strategies. The R² value of the model is approximately 0.96, which further indicates the impact of exchange rate dynamics on the development of consumer pharmaceutical infl</w:t>
      </w:r>
      <w:r>
        <w:rPr>
          <w:rFonts w:ascii="Times New Roman" w:eastAsia="Times New Roman" w:hAnsi="Times New Roman" w:cs="Times New Roman"/>
          <w:sz w:val="24"/>
          <w:szCs w:val="24"/>
        </w:rPr>
        <w:t>ation.</w:t>
      </w:r>
    </w:p>
    <w:p w14:paraId="7D95DC7D"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Asymmetrical Pass-Through Between Pricing Levels:</w:t>
      </w:r>
      <w:r>
        <w:rPr>
          <w:rFonts w:ascii="Times New Roman" w:eastAsia="Times New Roman" w:hAnsi="Times New Roman" w:cs="Times New Roman"/>
          <w:sz w:val="24"/>
          <w:szCs w:val="24"/>
        </w:rPr>
        <w:t xml:space="preserve"> Asymmetrical pass-through of exchange-rate shocks along the drug pricing continuum can be illustrated by comparing lag models across both producer and consumer drug prices; there appears to be primar</w:t>
      </w:r>
      <w:r>
        <w:rPr>
          <w:rFonts w:ascii="Times New Roman" w:eastAsia="Times New Roman" w:hAnsi="Times New Roman" w:cs="Times New Roman"/>
          <w:sz w:val="24"/>
          <w:szCs w:val="24"/>
        </w:rPr>
        <w:t xml:space="preserve">ily contemporaneous pass-through for producer prices with respect to input price shocks, while there appears to be considerable lagged pass-through for consumer prices. This differential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respective pass-through suggests that exchange rate </w:t>
      </w:r>
      <w:r>
        <w:rPr>
          <w:rFonts w:ascii="Times New Roman" w:eastAsia="Times New Roman" w:hAnsi="Times New Roman" w:cs="Times New Roman"/>
          <w:sz w:val="24"/>
          <w:szCs w:val="24"/>
        </w:rPr>
        <w:t>shocks are primarily absorbed at the production level and subsequently transmitted to final consumers over an extended period.</w:t>
      </w:r>
    </w:p>
    <w:p w14:paraId="7938A4E9" w14:textId="77777777" w:rsidR="00066D46" w:rsidRDefault="004D460E">
      <w:pPr>
        <w:spacing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lag analysis results support the hypothesis that exchange rate depreciation has a meaningful effect on how prices change for </w:t>
      </w:r>
      <w:r>
        <w:rPr>
          <w:rFonts w:ascii="Times New Roman" w:eastAsia="Times New Roman" w:hAnsi="Times New Roman" w:cs="Times New Roman"/>
          <w:i/>
          <w:iCs/>
          <w:sz w:val="24"/>
          <w:szCs w:val="24"/>
        </w:rPr>
        <w:t>pharmaceutical products, thus achieving the goal of evaluating exchange rate pass-through by industry sector. The evidence of related adjustment at the production stage and non-related (lagged) adjustment at the consumption stage is strong support for ther</w:t>
      </w:r>
      <w:r>
        <w:rPr>
          <w:rFonts w:ascii="Times New Roman" w:eastAsia="Times New Roman" w:hAnsi="Times New Roman" w:cs="Times New Roman"/>
          <w:i/>
          <w:iCs/>
          <w:sz w:val="24"/>
          <w:szCs w:val="24"/>
        </w:rPr>
        <w:t xml:space="preserve">e being asymmetrical transmission of prices between market levels for pharmaceutical products across different price levels as they adjust one after another to shocks </w:t>
      </w:r>
      <w:r>
        <w:rPr>
          <w:rFonts w:ascii="Times New Roman" w:eastAsia="Times New Roman" w:hAnsi="Times New Roman" w:cs="Times New Roman"/>
          <w:i/>
          <w:iCs/>
          <w:sz w:val="24"/>
          <w:szCs w:val="24"/>
        </w:rPr>
        <w:lastRenderedPageBreak/>
        <w:t>caused by fluctuations in exchange rates impacting each step along the supply chain seque</w:t>
      </w:r>
      <w:r>
        <w:rPr>
          <w:rFonts w:ascii="Times New Roman" w:eastAsia="Times New Roman" w:hAnsi="Times New Roman" w:cs="Times New Roman"/>
          <w:i/>
          <w:iCs/>
          <w:sz w:val="24"/>
          <w:szCs w:val="24"/>
        </w:rPr>
        <w:t>ntially and not at once like previously believed.</w:t>
      </w:r>
    </w:p>
    <w:p w14:paraId="0D1B8871" w14:textId="77777777" w:rsidR="00066D46" w:rsidRDefault="004D46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IMPLICATIONS:</w:t>
      </w:r>
    </w:p>
    <w:p w14:paraId="744E0C06"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from this research show many important implications for policies relating to how companies price pharmaceuticals, how the government should oversee changes in currency </w:t>
      </w:r>
      <w:r>
        <w:rPr>
          <w:rFonts w:ascii="Times New Roman" w:eastAsia="Times New Roman" w:hAnsi="Times New Roman" w:cs="Times New Roman"/>
          <w:sz w:val="24"/>
          <w:szCs w:val="24"/>
        </w:rPr>
        <w:t>exchange rates, and how to manage the manufacture of pharmaceuticals in India. Being able to determine that there is a statistically significant pass-through of the currency (INR) depreciation at the producer level (the pharmaceutical company) indicates to</w:t>
      </w:r>
      <w:r>
        <w:rPr>
          <w:rFonts w:ascii="Times New Roman" w:eastAsia="Times New Roman" w:hAnsi="Times New Roman" w:cs="Times New Roman"/>
          <w:sz w:val="24"/>
          <w:szCs w:val="24"/>
        </w:rPr>
        <w:t xml:space="preserve"> all involved that this is a very significant increase in the cost of producing pharmaceuticals. It is apparent that the Indian pharmaceutical industry is vulnerable to fluctuations in the currency exchange rate, and this is driven by the fact that the vas</w:t>
      </w:r>
      <w:r>
        <w:rPr>
          <w:rFonts w:ascii="Times New Roman" w:eastAsia="Times New Roman" w:hAnsi="Times New Roman" w:cs="Times New Roman"/>
          <w:sz w:val="24"/>
          <w:szCs w:val="24"/>
        </w:rPr>
        <w:t>t majority of the Active Pharmaceutical Ingredients (APIs) used in the manufacturing of pharmaceuticals are imported. From this perspective, the importance of enhancing domestic API manufacturing capability through targeted incentive programs, infrastructu</w:t>
      </w:r>
      <w:r>
        <w:rPr>
          <w:rFonts w:ascii="Times New Roman" w:eastAsia="Times New Roman" w:hAnsi="Times New Roman" w:cs="Times New Roman"/>
          <w:sz w:val="24"/>
          <w:szCs w:val="24"/>
        </w:rPr>
        <w:t>re assistance, and long-term industrial policy is clear. Reducing the dependence on imported APIs would help to eliminate some of the cost pressure that results from depreciation of the INR, as well as improve the overall resilience of the pharmaceutical s</w:t>
      </w:r>
      <w:r>
        <w:rPr>
          <w:rFonts w:ascii="Times New Roman" w:eastAsia="Times New Roman" w:hAnsi="Times New Roman" w:cs="Times New Roman"/>
          <w:sz w:val="24"/>
          <w:szCs w:val="24"/>
        </w:rPr>
        <w:t>upply network (generic and branded) in India.</w:t>
      </w:r>
    </w:p>
    <w:p w14:paraId="71302C20"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implications of the disparity between producer price and consumer medicine price inflation in terms of pricing policy are as follows: producer price fluidity is much greater than that of consumer pricing be</w:t>
      </w:r>
      <w:r>
        <w:rPr>
          <w:rFonts w:ascii="Times New Roman" w:eastAsia="Times New Roman" w:hAnsi="Times New Roman" w:cs="Times New Roman"/>
          <w:sz w:val="24"/>
          <w:szCs w:val="24"/>
        </w:rPr>
        <w:t>cause price can control can significantly limit the extent to which regulated drug pricing can respond to changes in producer price (DPCO). Thus, pharmaceutical pricing policy has successfully insulated consumers from the impacts of higher producer costs r</w:t>
      </w:r>
      <w:r>
        <w:rPr>
          <w:rFonts w:ascii="Times New Roman" w:eastAsia="Times New Roman" w:hAnsi="Times New Roman" w:cs="Times New Roman"/>
          <w:sz w:val="24"/>
          <w:szCs w:val="24"/>
        </w:rPr>
        <w:t>esulting from sudden or prolonged deterioration in currency value, as pharmaceutical price regulation has been successful in protecting consumers from the immediate impact of exchange rate-induced price inflation. Nonetheless, prolonged producer cost press</w:t>
      </w:r>
      <w:r>
        <w:rPr>
          <w:rFonts w:ascii="Times New Roman" w:eastAsia="Times New Roman" w:hAnsi="Times New Roman" w:cs="Times New Roman"/>
          <w:sz w:val="24"/>
          <w:szCs w:val="24"/>
        </w:rPr>
        <w:t>ure may lead to margin squeeze, lower investment, or supply-side stress. Therefore, policy-makers should regularly assess the appropriateness of consumer/producer pricing parity by establishing the pricing ceiling and permitting regulated drug prices to ad</w:t>
      </w:r>
      <w:r>
        <w:rPr>
          <w:rFonts w:ascii="Times New Roman" w:eastAsia="Times New Roman" w:hAnsi="Times New Roman" w:cs="Times New Roman"/>
          <w:sz w:val="24"/>
          <w:szCs w:val="24"/>
        </w:rPr>
        <w:t>just in a limited, transparent, and based on cost to reflect the extent of production costs during periods of volatility in currency.</w:t>
      </w:r>
    </w:p>
    <w:p w14:paraId="6019C1D5"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Implications of pricing policy on macroeconomic and exchange rate policy are also significant. Given that currency depreci</w:t>
      </w:r>
      <w:r>
        <w:rPr>
          <w:rFonts w:ascii="Times New Roman" w:eastAsia="Times New Roman" w:hAnsi="Times New Roman" w:cs="Times New Roman"/>
          <w:sz w:val="24"/>
          <w:szCs w:val="24"/>
        </w:rPr>
        <w:t>ation transmits to pharmaceutical price inflation primarily via the cost channel, then exchange rate stability is critical for assuring both macroeconomic balance as well as consumer/producer stretch. Sudden or prolonged periods of currency depreciation ca</w:t>
      </w:r>
      <w:r>
        <w:rPr>
          <w:rFonts w:ascii="Times New Roman" w:eastAsia="Times New Roman" w:hAnsi="Times New Roman" w:cs="Times New Roman"/>
          <w:sz w:val="24"/>
          <w:szCs w:val="24"/>
        </w:rPr>
        <w:t>n increase healthcare costs indirectly by increasing costs to producers, and thus healthcare consumers, even though their prices are controlled. Coordinated, active involvement of monetary authorities and relevant sector regulators would help alleviate the</w:t>
      </w:r>
      <w:r>
        <w:rPr>
          <w:rFonts w:ascii="Times New Roman" w:eastAsia="Times New Roman" w:hAnsi="Times New Roman" w:cs="Times New Roman"/>
          <w:sz w:val="24"/>
          <w:szCs w:val="24"/>
        </w:rPr>
        <w:t xml:space="preserve"> inflationary implications of these indirect costs.</w:t>
      </w:r>
    </w:p>
    <w:p w14:paraId="572DEC1B" w14:textId="77777777" w:rsidR="00066D46" w:rsidRDefault="004D46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7C7BEF3"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shown by empirical data that the depreciation of exchange rates has a strong correlation with inflation of pharmaceutical prices, especially in the production stage. Furthermore, there is evidence of contemporaneous pass-through to producers' p</w:t>
      </w:r>
      <w:r>
        <w:rPr>
          <w:rFonts w:ascii="Times New Roman" w:eastAsia="Times New Roman" w:hAnsi="Times New Roman" w:cs="Times New Roman"/>
          <w:sz w:val="24"/>
          <w:szCs w:val="24"/>
        </w:rPr>
        <w:t>rices, indicating that the degree of volatility in currency values also has a direct impact on the costs of manufacturing through the channel of imports. Therefore, it is critical to reduce structural dependence on imported active pharmaceutical ingredient</w:t>
      </w:r>
      <w:r>
        <w:rPr>
          <w:rFonts w:ascii="Times New Roman" w:eastAsia="Times New Roman" w:hAnsi="Times New Roman" w:cs="Times New Roman"/>
          <w:sz w:val="24"/>
          <w:szCs w:val="24"/>
        </w:rPr>
        <w:t>s (API) in the production of medicines. Policies to promote the development of domestic API manufacturing capacity, encourage supply chain diversification, and facilitate technological upgrading will help alleviate cost pressures arising from exchange rate</w:t>
      </w:r>
      <w:r>
        <w:rPr>
          <w:rFonts w:ascii="Times New Roman" w:eastAsia="Times New Roman" w:hAnsi="Times New Roman" w:cs="Times New Roman"/>
          <w:sz w:val="24"/>
          <w:szCs w:val="24"/>
        </w:rPr>
        <w:t xml:space="preserve"> fluctuations. </w:t>
      </w:r>
    </w:p>
    <w:p w14:paraId="64F51C68" w14:textId="77777777" w:rsidR="00066D46" w:rsidRDefault="004D460E">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Lagged adjustments in the prices of consumer medicine suggest that the effects of exchange rate shocks occur gradually through the pricing chain. Thus, inflationary pressures from the depreciation of currency may persist for a number of per</w:t>
      </w:r>
      <w:r>
        <w:rPr>
          <w:rFonts w:ascii="Times New Roman" w:eastAsia="Times New Roman" w:hAnsi="Times New Roman" w:cs="Times New Roman"/>
          <w:sz w:val="24"/>
          <w:szCs w:val="24"/>
        </w:rPr>
        <w:t>iods, well after volatility in exchange rates has stabilized. From a macroeconomic point of view, the stability of the exchange rate has a significant effect on managing sector-specific inflation through the pharmaceutical sector, which is an industry that</w:t>
      </w:r>
      <w:r>
        <w:rPr>
          <w:rFonts w:ascii="Times New Roman" w:eastAsia="Times New Roman" w:hAnsi="Times New Roman" w:cs="Times New Roman"/>
          <w:sz w:val="24"/>
          <w:szCs w:val="24"/>
        </w:rPr>
        <w:t xml:space="preserve"> relies heavily on imports.</w:t>
      </w:r>
      <w:r>
        <w:rPr>
          <w:rFonts w:ascii="Times New Roman" w:eastAsia="Times New Roman" w:hAnsi="Times New Roman" w:cs="Times New Roman"/>
          <w:b/>
          <w:bCs/>
          <w:sz w:val="24"/>
          <w:szCs w:val="24"/>
        </w:rPr>
        <w:t xml:space="preserve"> </w:t>
      </w:r>
    </w:p>
    <w:p w14:paraId="2A4FC176"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Asymmetrical timing of the pass-through between producer prices and consumer prices has implications for the sustainability of an industry. Pharmaceutical companies may experience short-term margin pressure if they are faced wi</w:t>
      </w:r>
      <w:r>
        <w:rPr>
          <w:rFonts w:ascii="Times New Roman" w:eastAsia="Times New Roman" w:hAnsi="Times New Roman" w:cs="Times New Roman"/>
          <w:sz w:val="24"/>
          <w:szCs w:val="24"/>
        </w:rPr>
        <w:t>th immediate increases in their costs of production but are only able to adjust their retail prices gradually. Thus, it will be important to develop policy measures aimed at enhancing the cost-resiliency of pharmaceutical firms. These could include providi</w:t>
      </w:r>
      <w:r>
        <w:rPr>
          <w:rFonts w:ascii="Times New Roman" w:eastAsia="Times New Roman" w:hAnsi="Times New Roman" w:cs="Times New Roman"/>
          <w:sz w:val="24"/>
          <w:szCs w:val="24"/>
        </w:rPr>
        <w:t xml:space="preserve">ng incentives for producing inputs domestically, improving logistics efficiencies, and </w:t>
      </w:r>
      <w:r>
        <w:rPr>
          <w:rFonts w:ascii="Times New Roman" w:eastAsia="Times New Roman" w:hAnsi="Times New Roman" w:cs="Times New Roman"/>
          <w:sz w:val="24"/>
          <w:szCs w:val="24"/>
        </w:rPr>
        <w:lastRenderedPageBreak/>
        <w:t xml:space="preserve">creating financial risk management strategies (such as currency hedging) to manage the financial risks associated with foreign exchange movements. Overall, the findings </w:t>
      </w:r>
      <w:r>
        <w:rPr>
          <w:rFonts w:ascii="Times New Roman" w:eastAsia="Times New Roman" w:hAnsi="Times New Roman" w:cs="Times New Roman"/>
          <w:sz w:val="24"/>
          <w:szCs w:val="24"/>
        </w:rPr>
        <w:t>indicate that the influence of exchange rate movements on pharmaceutical inflation occurs principally through the cost channel, and also suggest that enhancement of domestic production capabilities, in addition to maintaining stable macroeconomic condition</w:t>
      </w:r>
      <w:r>
        <w:rPr>
          <w:rFonts w:ascii="Times New Roman" w:eastAsia="Times New Roman" w:hAnsi="Times New Roman" w:cs="Times New Roman"/>
          <w:sz w:val="24"/>
          <w:szCs w:val="24"/>
        </w:rPr>
        <w:t>s, will minimize the pharmaceutical industry's vulnerability to external shocks to the value of the currency.</w:t>
      </w:r>
    </w:p>
    <w:p w14:paraId="50BD9320" w14:textId="77777777" w:rsidR="00066D46" w:rsidRDefault="00066D46">
      <w:pPr>
        <w:spacing w:line="360" w:lineRule="auto"/>
        <w:jc w:val="both"/>
        <w:rPr>
          <w:rFonts w:ascii="Times New Roman" w:eastAsia="Times New Roman" w:hAnsi="Times New Roman" w:cs="Times New Roman"/>
          <w:b/>
          <w:bCs/>
          <w:sz w:val="24"/>
          <w:szCs w:val="24"/>
        </w:rPr>
      </w:pPr>
    </w:p>
    <w:p w14:paraId="13C20280" w14:textId="77777777" w:rsidR="00066D46" w:rsidRDefault="004D46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14E6B41B" w14:textId="77777777" w:rsidR="00066D46" w:rsidRDefault="004D460E">
      <w:pPr>
        <w:spacing w:line="360" w:lineRule="auto"/>
        <w:ind w:firstLine="720"/>
        <w:jc w:val="both"/>
        <w:rPr>
          <w:rFonts w:ascii="Times New Roman" w:eastAsia="Times New Roman" w:hAnsi="Times New Roman" w:cs="Times New Roman"/>
          <w:sz w:val="24"/>
          <w:szCs w:val="24"/>
        </w:rPr>
      </w:pPr>
      <w:bookmarkStart w:id="1" w:name="_rjcz06dj5oh" w:colFirst="0" w:colLast="0"/>
      <w:bookmarkEnd w:id="1"/>
      <w:r>
        <w:rPr>
          <w:rFonts w:ascii="Times New Roman" w:eastAsia="Times New Roman" w:hAnsi="Times New Roman" w:cs="Times New Roman"/>
          <w:sz w:val="24"/>
          <w:szCs w:val="24"/>
        </w:rPr>
        <w:t>There are multiple limitations associated with this research. First, the analysis is based on annual data collected from a shorter s</w:t>
      </w:r>
      <w:r>
        <w:rPr>
          <w:rFonts w:ascii="Times New Roman" w:eastAsia="Times New Roman" w:hAnsi="Times New Roman" w:cs="Times New Roman"/>
          <w:sz w:val="24"/>
          <w:szCs w:val="24"/>
        </w:rPr>
        <w:t xml:space="preserve">ample period, thus limiting the complexity of the econometric models and constraining the ability to measure high-frequency adjustment dynamics. Both the use of aggregate sector indices to represent prices at the firm level and input exposure can disguise </w:t>
      </w:r>
      <w:r>
        <w:rPr>
          <w:rFonts w:ascii="Times New Roman" w:eastAsia="Times New Roman" w:hAnsi="Times New Roman" w:cs="Times New Roman"/>
          <w:sz w:val="24"/>
          <w:szCs w:val="24"/>
        </w:rPr>
        <w:t xml:space="preserve">firm-level distinctiveness in their pricing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Furthermore, this research demonstrates considerable evidence that exchange rate changes result in changes to pharmaceutical prices; some important determinants of pharmaceutical price changes, such as</w:t>
      </w:r>
      <w:r>
        <w:rPr>
          <w:rFonts w:ascii="Times New Roman" w:eastAsia="Times New Roman" w:hAnsi="Times New Roman" w:cs="Times New Roman"/>
          <w:sz w:val="24"/>
          <w:szCs w:val="24"/>
        </w:rPr>
        <w:t xml:space="preserve"> the levels of demand for products, the cost structure at the firm level, and global supply shocks, were not included in the modelling. Thus, future studies that incorporate higher frequency data and/or pricing information at the micro-level may provide be</w:t>
      </w:r>
      <w:r>
        <w:rPr>
          <w:rFonts w:ascii="Times New Roman" w:eastAsia="Times New Roman" w:hAnsi="Times New Roman" w:cs="Times New Roman"/>
          <w:sz w:val="24"/>
          <w:szCs w:val="24"/>
        </w:rPr>
        <w:t xml:space="preserve">tter insights into the exchange rate transmission mechanism within the pharmaceutical industry. The literature has been enriched as a result of the data-based analysis of currency exchange rate pass-through at sectoral levels and the timing of when prices </w:t>
      </w:r>
      <w:r>
        <w:rPr>
          <w:rFonts w:ascii="Times New Roman" w:eastAsia="Times New Roman" w:hAnsi="Times New Roman" w:cs="Times New Roman"/>
          <w:sz w:val="24"/>
          <w:szCs w:val="24"/>
        </w:rPr>
        <w:t>adjust. These results indicate that maintaining stable currency exchange rates, having a sufficient local supply of raw materials to produce pharmaceuticals, and having adaptable supply chains are key considerations in managing pharmaceutical price increas</w:t>
      </w:r>
      <w:r>
        <w:rPr>
          <w:rFonts w:ascii="Times New Roman" w:eastAsia="Times New Roman" w:hAnsi="Times New Roman" w:cs="Times New Roman"/>
          <w:sz w:val="24"/>
          <w:szCs w:val="24"/>
        </w:rPr>
        <w:t>es. Future studies can expand the scope of this research through the use of more frequent data collection methods, firm-specific pricing data, and greater diversity of cost-related measures in order to provide a more reliable picture of both short-term dyn</w:t>
      </w:r>
      <w:r>
        <w:rPr>
          <w:rFonts w:ascii="Times New Roman" w:eastAsia="Times New Roman" w:hAnsi="Times New Roman" w:cs="Times New Roman"/>
          <w:sz w:val="24"/>
          <w:szCs w:val="24"/>
        </w:rPr>
        <w:t>amics and structural heterogeneity within the pharmaceutical industry.</w:t>
      </w:r>
    </w:p>
    <w:p w14:paraId="71982DD9" w14:textId="77777777" w:rsidR="00066D46" w:rsidRDefault="004D460E">
      <w:pPr>
        <w:rPr>
          <w:rFonts w:ascii="Times New Roman" w:eastAsia="Times New Roman" w:hAnsi="Times New Roman" w:cs="Times New Roman"/>
        </w:rPr>
      </w:pPr>
      <w:r>
        <w:rPr>
          <w:rFonts w:ascii="Times New Roman" w:eastAsia="Times New Roman" w:hAnsi="Times New Roman" w:cs="Times New Roman"/>
          <w:b/>
          <w:bCs/>
        </w:rPr>
        <w:t xml:space="preserve">REFERENCES: </w:t>
      </w:r>
    </w:p>
    <w:p w14:paraId="7623C6F4"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Campa, J. M., &amp; Goldberg, L. S. (2005). Exchange rate pass-through into import prices. </w:t>
      </w:r>
      <w:r>
        <w:rPr>
          <w:rFonts w:ascii="Times New Roman" w:eastAsia="Times New Roman" w:hAnsi="Times New Roman" w:cs="Times New Roman"/>
          <w:i/>
          <w:iCs/>
        </w:rPr>
        <w:t>Review of Economics and Statistics, 87</w:t>
      </w:r>
      <w:r>
        <w:rPr>
          <w:rFonts w:ascii="Times New Roman" w:eastAsia="Times New Roman" w:hAnsi="Times New Roman" w:cs="Times New Roman"/>
        </w:rPr>
        <w:t xml:space="preserve">(4), 679–690. </w:t>
      </w:r>
      <w:hyperlink r:id="rId38">
        <w:r>
          <w:rPr>
            <w:rFonts w:ascii="Times New Roman" w:eastAsia="Times New Roman" w:hAnsi="Times New Roman" w:cs="Times New Roman"/>
            <w:color w:val="0563C1"/>
            <w:u w:val="single"/>
          </w:rPr>
          <w:t>https://doi.org/10.1162/003465305775098189</w:t>
        </w:r>
      </w:hyperlink>
    </w:p>
    <w:p w14:paraId="559478D9"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Chaudhuri, S. (2012). </w:t>
      </w:r>
      <w:r>
        <w:rPr>
          <w:rFonts w:ascii="Times New Roman" w:eastAsia="Times New Roman" w:hAnsi="Times New Roman" w:cs="Times New Roman"/>
          <w:i/>
          <w:iCs/>
        </w:rPr>
        <w:t>The WTO and India’s pharmaceuticals industry: Patent protection, TRIPS, and developing countries.</w:t>
      </w:r>
      <w:r>
        <w:rPr>
          <w:rFonts w:ascii="Times New Roman" w:eastAsia="Times New Roman" w:hAnsi="Times New Roman" w:cs="Times New Roman"/>
        </w:rPr>
        <w:t xml:space="preserve"> Oxford University Press.</w:t>
      </w:r>
    </w:p>
    <w:p w14:paraId="3BED0090"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Enders, W. (2015). </w:t>
      </w:r>
      <w:r>
        <w:rPr>
          <w:rFonts w:ascii="Times New Roman" w:eastAsia="Times New Roman" w:hAnsi="Times New Roman" w:cs="Times New Roman"/>
          <w:i/>
          <w:iCs/>
        </w:rPr>
        <w:t xml:space="preserve">Applied econometric </w:t>
      </w:r>
      <w:r>
        <w:rPr>
          <w:rFonts w:ascii="Times New Roman" w:eastAsia="Times New Roman" w:hAnsi="Times New Roman" w:cs="Times New Roman"/>
          <w:i/>
          <w:iCs/>
        </w:rPr>
        <w:t>time series</w:t>
      </w:r>
      <w:r>
        <w:rPr>
          <w:rFonts w:ascii="Times New Roman" w:eastAsia="Times New Roman" w:hAnsi="Times New Roman" w:cs="Times New Roman"/>
        </w:rPr>
        <w:t xml:space="preserve"> (4th ed.). Wiley.</w:t>
      </w:r>
    </w:p>
    <w:p w14:paraId="0E3B6517"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Ghosh, S. (2013). Exchange rate pass-through, macro fundamentals, and regime choice in India. </w:t>
      </w:r>
      <w:r>
        <w:rPr>
          <w:rFonts w:ascii="Times New Roman" w:eastAsia="Times New Roman" w:hAnsi="Times New Roman" w:cs="Times New Roman"/>
          <w:i/>
          <w:iCs/>
        </w:rPr>
        <w:t>Journal of Macroeconomics, 36</w:t>
      </w:r>
      <w:r>
        <w:rPr>
          <w:rFonts w:ascii="Times New Roman" w:eastAsia="Times New Roman" w:hAnsi="Times New Roman" w:cs="Times New Roman"/>
        </w:rPr>
        <w:t xml:space="preserve">, 206–218. </w:t>
      </w:r>
      <w:hyperlink r:id="rId39">
        <w:r>
          <w:rPr>
            <w:rFonts w:ascii="Times New Roman" w:eastAsia="Times New Roman" w:hAnsi="Times New Roman" w:cs="Times New Roman"/>
            <w:color w:val="0563C1"/>
            <w:u w:val="single"/>
          </w:rPr>
          <w:t>https://doi.org/10.1016/j.jm</w:t>
        </w:r>
        <w:r>
          <w:rPr>
            <w:rFonts w:ascii="Times New Roman" w:eastAsia="Times New Roman" w:hAnsi="Times New Roman" w:cs="Times New Roman"/>
            <w:color w:val="0563C1"/>
            <w:u w:val="single"/>
          </w:rPr>
          <w:t>acro.2012.10.001</w:t>
        </w:r>
      </w:hyperlink>
    </w:p>
    <w:p w14:paraId="17A1CF7E"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Goldberg, P. K., &amp; Knetter, M. M. (1997). Goods prices and exchange rates: What have we learned? </w:t>
      </w:r>
      <w:r>
        <w:rPr>
          <w:rFonts w:ascii="Times New Roman" w:eastAsia="Times New Roman" w:hAnsi="Times New Roman" w:cs="Times New Roman"/>
          <w:i/>
          <w:iCs/>
        </w:rPr>
        <w:t>Journal of Economic Literature, 35</w:t>
      </w:r>
      <w:r>
        <w:rPr>
          <w:rFonts w:ascii="Times New Roman" w:eastAsia="Times New Roman" w:hAnsi="Times New Roman" w:cs="Times New Roman"/>
        </w:rPr>
        <w:t>(3), 1243–1272.</w:t>
      </w:r>
    </w:p>
    <w:p w14:paraId="35A1C7BA"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Gopinath, G., </w:t>
      </w:r>
      <w:proofErr w:type="spellStart"/>
      <w:r>
        <w:rPr>
          <w:rFonts w:ascii="Times New Roman" w:eastAsia="Times New Roman" w:hAnsi="Times New Roman" w:cs="Times New Roman"/>
        </w:rPr>
        <w:t>Itskhoki</w:t>
      </w:r>
      <w:proofErr w:type="spellEnd"/>
      <w:r>
        <w:rPr>
          <w:rFonts w:ascii="Times New Roman" w:eastAsia="Times New Roman" w:hAnsi="Times New Roman" w:cs="Times New Roman"/>
        </w:rPr>
        <w:t xml:space="preserve">, O., &amp; </w:t>
      </w:r>
      <w:proofErr w:type="spellStart"/>
      <w:r>
        <w:rPr>
          <w:rFonts w:ascii="Times New Roman" w:eastAsia="Times New Roman" w:hAnsi="Times New Roman" w:cs="Times New Roman"/>
        </w:rPr>
        <w:t>Rigobon</w:t>
      </w:r>
      <w:proofErr w:type="spellEnd"/>
      <w:r>
        <w:rPr>
          <w:rFonts w:ascii="Times New Roman" w:eastAsia="Times New Roman" w:hAnsi="Times New Roman" w:cs="Times New Roman"/>
        </w:rPr>
        <w:t xml:space="preserve">, R. (2010). Currency choice and exchange rate pass-through. </w:t>
      </w:r>
      <w:r>
        <w:rPr>
          <w:rFonts w:ascii="Times New Roman" w:eastAsia="Times New Roman" w:hAnsi="Times New Roman" w:cs="Times New Roman"/>
          <w:i/>
          <w:iCs/>
        </w:rPr>
        <w:t>American Economic Review, 100</w:t>
      </w:r>
      <w:r>
        <w:rPr>
          <w:rFonts w:ascii="Times New Roman" w:eastAsia="Times New Roman" w:hAnsi="Times New Roman" w:cs="Times New Roman"/>
        </w:rPr>
        <w:t xml:space="preserve">(1), 304–336. </w:t>
      </w:r>
      <w:hyperlink r:id="rId40">
        <w:r>
          <w:rPr>
            <w:rFonts w:ascii="Times New Roman" w:eastAsia="Times New Roman" w:hAnsi="Times New Roman" w:cs="Times New Roman"/>
            <w:color w:val="0563C1"/>
            <w:u w:val="single"/>
          </w:rPr>
          <w:t>https://doi.org/10.1257/aer.100.1.304</w:t>
        </w:r>
      </w:hyperlink>
    </w:p>
    <w:p w14:paraId="1A77F1D4"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Government of India. (2013). </w:t>
      </w:r>
      <w:r>
        <w:rPr>
          <w:rFonts w:ascii="Times New Roman" w:eastAsia="Times New Roman" w:hAnsi="Times New Roman" w:cs="Times New Roman"/>
          <w:i/>
          <w:iCs/>
        </w:rPr>
        <w:t>Drugs (Prices) Control Order</w:t>
      </w:r>
      <w:r>
        <w:rPr>
          <w:rFonts w:ascii="Times New Roman" w:eastAsia="Times New Roman" w:hAnsi="Times New Roman" w:cs="Times New Roman"/>
          <w:i/>
          <w:iCs/>
        </w:rPr>
        <w:t>, 2013.</w:t>
      </w:r>
      <w:r>
        <w:rPr>
          <w:rFonts w:ascii="Times New Roman" w:eastAsia="Times New Roman" w:hAnsi="Times New Roman" w:cs="Times New Roman"/>
        </w:rPr>
        <w:t xml:space="preserve"> Ministry of Chemicals and Fertilizers. </w:t>
      </w:r>
      <w:hyperlink r:id="rId41">
        <w:r>
          <w:rPr>
            <w:rFonts w:ascii="Times New Roman" w:eastAsia="Times New Roman" w:hAnsi="Times New Roman" w:cs="Times New Roman"/>
            <w:color w:val="0563C1"/>
            <w:u w:val="single"/>
          </w:rPr>
          <w:t>https://egazette.nic.in</w:t>
        </w:r>
      </w:hyperlink>
    </w:p>
    <w:p w14:paraId="068521E5"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Gujarati, D. N., &amp; Porter, D. C. (2009). </w:t>
      </w:r>
      <w:r>
        <w:rPr>
          <w:rFonts w:ascii="Times New Roman" w:eastAsia="Times New Roman" w:hAnsi="Times New Roman" w:cs="Times New Roman"/>
          <w:i/>
          <w:iCs/>
        </w:rPr>
        <w:t>Basic econometrics</w:t>
      </w:r>
      <w:r>
        <w:rPr>
          <w:rFonts w:ascii="Times New Roman" w:eastAsia="Times New Roman" w:hAnsi="Times New Roman" w:cs="Times New Roman"/>
        </w:rPr>
        <w:t xml:space="preserve"> (5th ed.). McGraw-Hill.</w:t>
      </w:r>
    </w:p>
    <w:p w14:paraId="3C71F36E"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KPMG. (2020). </w:t>
      </w:r>
      <w:r>
        <w:rPr>
          <w:rFonts w:ascii="Times New Roman" w:eastAsia="Times New Roman" w:hAnsi="Times New Roman" w:cs="Times New Roman"/>
          <w:i/>
          <w:iCs/>
        </w:rPr>
        <w:t>Indian pharmaceutical industry: Cost struct</w:t>
      </w:r>
      <w:r>
        <w:rPr>
          <w:rFonts w:ascii="Times New Roman" w:eastAsia="Times New Roman" w:hAnsi="Times New Roman" w:cs="Times New Roman"/>
          <w:i/>
          <w:iCs/>
        </w:rPr>
        <w:t>ure and API dependence.</w:t>
      </w:r>
      <w:r>
        <w:rPr>
          <w:rFonts w:ascii="Times New Roman" w:eastAsia="Times New Roman" w:hAnsi="Times New Roman" w:cs="Times New Roman"/>
        </w:rPr>
        <w:t xml:space="preserve"> KPMG India.</w:t>
      </w:r>
    </w:p>
    <w:p w14:paraId="7A94A75D"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Ministry of Statistics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Implementation. (2024). </w:t>
      </w:r>
      <w:r>
        <w:rPr>
          <w:rFonts w:ascii="Times New Roman" w:eastAsia="Times New Roman" w:hAnsi="Times New Roman" w:cs="Times New Roman"/>
          <w:i/>
          <w:iCs/>
        </w:rPr>
        <w:t>Consumer price index.</w:t>
      </w:r>
      <w:r>
        <w:rPr>
          <w:rFonts w:ascii="Times New Roman" w:eastAsia="Times New Roman" w:hAnsi="Times New Roman" w:cs="Times New Roman"/>
        </w:rPr>
        <w:t xml:space="preserve"> Government of India. </w:t>
      </w:r>
      <w:hyperlink r:id="rId42">
        <w:r>
          <w:rPr>
            <w:rFonts w:ascii="Times New Roman" w:eastAsia="Times New Roman" w:hAnsi="Times New Roman" w:cs="Times New Roman"/>
            <w:color w:val="0563C1"/>
            <w:u w:val="single"/>
          </w:rPr>
          <w:t>https://www.mospi.gov.in</w:t>
        </w:r>
      </w:hyperlink>
    </w:p>
    <w:p w14:paraId="33E583E9" w14:textId="77777777" w:rsidR="00066D46" w:rsidRDefault="004D460E">
      <w:pPr>
        <w:jc w:val="both"/>
        <w:rPr>
          <w:rFonts w:ascii="Times New Roman" w:eastAsia="Times New Roman" w:hAnsi="Times New Roman" w:cs="Times New Roman"/>
          <w:color w:val="000000"/>
        </w:rPr>
      </w:pPr>
      <w:r>
        <w:rPr>
          <w:rFonts w:ascii="Times New Roman" w:eastAsia="Times New Roman" w:hAnsi="Times New Roman" w:cs="Times New Roman"/>
        </w:rPr>
        <w:t>National Pharmaceutical Pricing Authority. (20</w:t>
      </w:r>
      <w:r>
        <w:rPr>
          <w:rFonts w:ascii="Times New Roman" w:eastAsia="Times New Roman" w:hAnsi="Times New Roman" w:cs="Times New Roman"/>
        </w:rPr>
        <w:t xml:space="preserve">23). </w:t>
      </w:r>
      <w:r>
        <w:rPr>
          <w:rFonts w:ascii="Times New Roman" w:eastAsia="Times New Roman" w:hAnsi="Times New Roman" w:cs="Times New Roman"/>
          <w:i/>
          <w:iCs/>
        </w:rPr>
        <w:t>Drug price control order and ceiling price notifications.</w:t>
      </w:r>
      <w:r>
        <w:rPr>
          <w:rFonts w:ascii="Times New Roman" w:eastAsia="Times New Roman" w:hAnsi="Times New Roman" w:cs="Times New Roman"/>
        </w:rPr>
        <w:t xml:space="preserve"> Government of India. </w:t>
      </w:r>
      <w:hyperlink r:id="rId43">
        <w:r>
          <w:rPr>
            <w:rFonts w:ascii="Times New Roman" w:eastAsia="Times New Roman" w:hAnsi="Times New Roman" w:cs="Times New Roman"/>
            <w:color w:val="0563C1"/>
            <w:u w:val="single"/>
          </w:rPr>
          <w:t>https://www.nppaindia.nic.in</w:t>
        </w:r>
      </w:hyperlink>
    </w:p>
    <w:p w14:paraId="0702557E"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NITI Aayog. (2021). </w:t>
      </w:r>
      <w:r>
        <w:rPr>
          <w:rFonts w:ascii="Times New Roman" w:eastAsia="Times New Roman" w:hAnsi="Times New Roman" w:cs="Times New Roman"/>
          <w:i/>
          <w:iCs/>
        </w:rPr>
        <w:t xml:space="preserve">Active pharmaceutical ingredients: Manufacturing and import dependence in </w:t>
      </w:r>
      <w:r>
        <w:rPr>
          <w:rFonts w:ascii="Times New Roman" w:eastAsia="Times New Roman" w:hAnsi="Times New Roman" w:cs="Times New Roman"/>
          <w:i/>
          <w:iCs/>
        </w:rPr>
        <w:t>India.</w:t>
      </w:r>
      <w:r>
        <w:rPr>
          <w:rFonts w:ascii="Times New Roman" w:eastAsia="Times New Roman" w:hAnsi="Times New Roman" w:cs="Times New Roman"/>
        </w:rPr>
        <w:t xml:space="preserve"> Government of India. </w:t>
      </w:r>
      <w:hyperlink r:id="rId44">
        <w:r>
          <w:rPr>
            <w:rFonts w:ascii="Times New Roman" w:eastAsia="Times New Roman" w:hAnsi="Times New Roman" w:cs="Times New Roman"/>
            <w:color w:val="0563C1"/>
            <w:u w:val="single"/>
          </w:rPr>
          <w:t>https://www.niti.gov.in</w:t>
        </w:r>
      </w:hyperlink>
    </w:p>
    <w:p w14:paraId="7F968010"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Office of the Economic Adviser. (2024). </w:t>
      </w:r>
      <w:r>
        <w:rPr>
          <w:rFonts w:ascii="Times New Roman" w:eastAsia="Times New Roman" w:hAnsi="Times New Roman" w:cs="Times New Roman"/>
          <w:i/>
          <w:iCs/>
        </w:rPr>
        <w:t>Wholesale price index.</w:t>
      </w:r>
      <w:r>
        <w:rPr>
          <w:rFonts w:ascii="Times New Roman" w:eastAsia="Times New Roman" w:hAnsi="Times New Roman" w:cs="Times New Roman"/>
        </w:rPr>
        <w:t xml:space="preserve"> Ministry of Commerce and Industry, Government of India. </w:t>
      </w:r>
      <w:hyperlink r:id="rId45">
        <w:r>
          <w:rPr>
            <w:rFonts w:ascii="Times New Roman" w:eastAsia="Times New Roman" w:hAnsi="Times New Roman" w:cs="Times New Roman"/>
            <w:color w:val="0563C1"/>
            <w:u w:val="single"/>
          </w:rPr>
          <w:t>https://eaindustry.nic.in</w:t>
        </w:r>
      </w:hyperlink>
    </w:p>
    <w:p w14:paraId="4BBBD5FB"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Pyne, S., &amp; Roy, S. (2017). Exchange rate pass-through to inflation in India: A disaggregated analysis. </w:t>
      </w:r>
      <w:r>
        <w:rPr>
          <w:rFonts w:ascii="Times New Roman" w:eastAsia="Times New Roman" w:hAnsi="Times New Roman" w:cs="Times New Roman"/>
          <w:i/>
          <w:iCs/>
        </w:rPr>
        <w:t>Economic Modelling, 61</w:t>
      </w:r>
      <w:r>
        <w:rPr>
          <w:rFonts w:ascii="Times New Roman" w:eastAsia="Times New Roman" w:hAnsi="Times New Roman" w:cs="Times New Roman"/>
        </w:rPr>
        <w:t xml:space="preserve">, 1–12. </w:t>
      </w:r>
      <w:hyperlink r:id="rId46">
        <w:r>
          <w:rPr>
            <w:rFonts w:ascii="Times New Roman" w:eastAsia="Times New Roman" w:hAnsi="Times New Roman" w:cs="Times New Roman"/>
            <w:color w:val="0563C1"/>
            <w:u w:val="single"/>
          </w:rPr>
          <w:t>https://doi.org/10.1016/j.</w:t>
        </w:r>
        <w:r>
          <w:rPr>
            <w:rFonts w:ascii="Times New Roman" w:eastAsia="Times New Roman" w:hAnsi="Times New Roman" w:cs="Times New Roman"/>
            <w:color w:val="0563C1"/>
            <w:u w:val="single"/>
          </w:rPr>
          <w:t>econmod.2016.11.002</w:t>
        </w:r>
      </w:hyperlink>
    </w:p>
    <w:p w14:paraId="000CD4E1"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Reserve Bank of India. (2022). Exchange rate pass-through to domestic prices in India. </w:t>
      </w:r>
      <w:r>
        <w:rPr>
          <w:rFonts w:ascii="Times New Roman" w:eastAsia="Times New Roman" w:hAnsi="Times New Roman" w:cs="Times New Roman"/>
          <w:i/>
          <w:iCs/>
        </w:rPr>
        <w:t>RBI Bulletin.</w:t>
      </w:r>
      <w:r>
        <w:rPr>
          <w:rFonts w:ascii="Times New Roman" w:eastAsia="Times New Roman" w:hAnsi="Times New Roman" w:cs="Times New Roman"/>
        </w:rPr>
        <w:t xml:space="preserve"> </w:t>
      </w:r>
      <w:hyperlink r:id="rId47">
        <w:r>
          <w:rPr>
            <w:rFonts w:ascii="Times New Roman" w:eastAsia="Times New Roman" w:hAnsi="Times New Roman" w:cs="Times New Roman"/>
            <w:color w:val="0563C1"/>
            <w:u w:val="single"/>
          </w:rPr>
          <w:t>https://www.rbi.org.in</w:t>
        </w:r>
      </w:hyperlink>
    </w:p>
    <w:p w14:paraId="074F7549"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Reserve Bank of India. (2024). </w:t>
      </w:r>
      <w:r>
        <w:rPr>
          <w:rFonts w:ascii="Times New Roman" w:eastAsia="Times New Roman" w:hAnsi="Times New Roman" w:cs="Times New Roman"/>
          <w:i/>
          <w:iCs/>
        </w:rPr>
        <w:t>Database on the Indian economy.</w:t>
      </w:r>
      <w:r>
        <w:rPr>
          <w:rFonts w:ascii="Times New Roman" w:eastAsia="Times New Roman" w:hAnsi="Times New Roman" w:cs="Times New Roman"/>
        </w:rPr>
        <w:t xml:space="preserve"> </w:t>
      </w:r>
      <w:hyperlink r:id="rId48">
        <w:r>
          <w:rPr>
            <w:rFonts w:ascii="Times New Roman" w:eastAsia="Times New Roman" w:hAnsi="Times New Roman" w:cs="Times New Roman"/>
            <w:color w:val="0563C1"/>
            <w:u w:val="single"/>
          </w:rPr>
          <w:t>https://dbie.rbi.org.in</w:t>
        </w:r>
      </w:hyperlink>
    </w:p>
    <w:p w14:paraId="0E53382F"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Selvaraj, S., &amp; Karan, A. K. (2009). Deepening health insecurity in India: Evidence from National Sample Surveys since the 1980s. </w:t>
      </w:r>
      <w:r>
        <w:rPr>
          <w:rFonts w:ascii="Times New Roman" w:eastAsia="Times New Roman" w:hAnsi="Times New Roman" w:cs="Times New Roman"/>
          <w:i/>
          <w:iCs/>
        </w:rPr>
        <w:t>Economic and Political Weekly, 44</w:t>
      </w:r>
      <w:r>
        <w:rPr>
          <w:rFonts w:ascii="Times New Roman" w:eastAsia="Times New Roman" w:hAnsi="Times New Roman" w:cs="Times New Roman"/>
        </w:rPr>
        <w:t>(40), 55–60.</w:t>
      </w:r>
    </w:p>
    <w:p w14:paraId="299F08DC" w14:textId="77777777" w:rsidR="00066D46" w:rsidRDefault="004D460E">
      <w:pPr>
        <w:jc w:val="both"/>
        <w:rPr>
          <w:rFonts w:ascii="Times New Roman" w:eastAsia="Times New Roman" w:hAnsi="Times New Roman" w:cs="Times New Roman"/>
        </w:rPr>
      </w:pPr>
      <w:r>
        <w:rPr>
          <w:rFonts w:ascii="Times New Roman" w:eastAsia="Times New Roman" w:hAnsi="Times New Roman" w:cs="Times New Roman"/>
        </w:rPr>
        <w:t xml:space="preserve">Taylor, J. B. </w:t>
      </w:r>
      <w:r>
        <w:rPr>
          <w:rFonts w:ascii="Times New Roman" w:eastAsia="Times New Roman" w:hAnsi="Times New Roman" w:cs="Times New Roman"/>
        </w:rPr>
        <w:t xml:space="preserve">(2000). Low inflation, pass-through, and the pricing power of firms. </w:t>
      </w:r>
      <w:r>
        <w:rPr>
          <w:rFonts w:ascii="Times New Roman" w:eastAsia="Times New Roman" w:hAnsi="Times New Roman" w:cs="Times New Roman"/>
          <w:i/>
          <w:iCs/>
        </w:rPr>
        <w:t>European Economic Review, 44</w:t>
      </w:r>
      <w:r>
        <w:rPr>
          <w:rFonts w:ascii="Times New Roman" w:eastAsia="Times New Roman" w:hAnsi="Times New Roman" w:cs="Times New Roman"/>
        </w:rPr>
        <w:t xml:space="preserve">(7), 1389–1408. </w:t>
      </w:r>
      <w:hyperlink r:id="rId49">
        <w:r>
          <w:rPr>
            <w:rFonts w:ascii="Times New Roman" w:eastAsia="Times New Roman" w:hAnsi="Times New Roman" w:cs="Times New Roman"/>
            <w:color w:val="0563C1"/>
            <w:u w:val="single"/>
          </w:rPr>
          <w:t>https://doi.org/10.1016/S0014-2921(00)00037-4</w:t>
        </w:r>
      </w:hyperlink>
    </w:p>
    <w:p w14:paraId="5523A087" w14:textId="77777777" w:rsidR="00066D46" w:rsidRDefault="004D460E">
      <w:pPr>
        <w:jc w:val="both"/>
        <w:rPr>
          <w:rFonts w:ascii="Times New Roman" w:eastAsia="Times New Roman" w:hAnsi="Times New Roman" w:cs="Times New Roman"/>
          <w:sz w:val="24"/>
          <w:szCs w:val="24"/>
        </w:rPr>
      </w:pPr>
      <w:r>
        <w:rPr>
          <w:rFonts w:ascii="Times New Roman" w:eastAsia="Times New Roman" w:hAnsi="Times New Roman" w:cs="Times New Roman"/>
        </w:rPr>
        <w:t xml:space="preserve">World Bank. (2024). </w:t>
      </w:r>
      <w:r>
        <w:rPr>
          <w:rFonts w:ascii="Times New Roman" w:eastAsia="Times New Roman" w:hAnsi="Times New Roman" w:cs="Times New Roman"/>
          <w:i/>
          <w:iCs/>
        </w:rPr>
        <w:t>Commodity ma</w:t>
      </w:r>
      <w:r>
        <w:rPr>
          <w:rFonts w:ascii="Times New Roman" w:eastAsia="Times New Roman" w:hAnsi="Times New Roman" w:cs="Times New Roman"/>
          <w:i/>
          <w:iCs/>
        </w:rPr>
        <w:t>rkets outlook.</w:t>
      </w:r>
      <w:r>
        <w:rPr>
          <w:rFonts w:ascii="Times New Roman" w:eastAsia="Times New Roman" w:hAnsi="Times New Roman" w:cs="Times New Roman"/>
        </w:rPr>
        <w:t xml:space="preserve"> </w:t>
      </w:r>
      <w:hyperlink r:id="rId50">
        <w:r>
          <w:rPr>
            <w:rFonts w:ascii="Times New Roman" w:eastAsia="Times New Roman" w:hAnsi="Times New Roman" w:cs="Times New Roman"/>
            <w:color w:val="0563C1"/>
            <w:u w:val="single"/>
          </w:rPr>
          <w:t>https://www.worldbank.org</w:t>
        </w:r>
      </w:hyperlink>
    </w:p>
    <w:sectPr w:rsidR="00066D46">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9E0EB" w14:textId="77777777" w:rsidR="004D460E" w:rsidRDefault="004D460E" w:rsidP="008A2774">
      <w:pPr>
        <w:spacing w:after="0" w:line="240" w:lineRule="auto"/>
      </w:pPr>
      <w:r>
        <w:separator/>
      </w:r>
    </w:p>
  </w:endnote>
  <w:endnote w:type="continuationSeparator" w:id="0">
    <w:p w14:paraId="3594E6B7" w14:textId="77777777" w:rsidR="004D460E" w:rsidRDefault="004D460E" w:rsidP="008A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4D0FAF2-31CE-4B4A-B145-E365A1E96B75}"/>
    <w:embedBold r:id="rId2" w:fontKey="{60F72B47-2E2F-417F-B8C2-1110B78672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391C07E-2214-43A1-B47A-E56E984C2DA3}"/>
  </w:font>
  <w:font w:name="Cambria">
    <w:panose1 w:val="02040503050406030204"/>
    <w:charset w:val="00"/>
    <w:family w:val="roman"/>
    <w:pitch w:val="variable"/>
    <w:sig w:usb0="E00006FF" w:usb1="420024FF" w:usb2="02000000" w:usb3="00000000" w:csb0="0000019F" w:csb1="00000000"/>
    <w:embedRegular r:id="rId4" w:fontKey="{E509620A-3067-4258-BA07-17B6B8AF8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DD7C" w14:textId="77777777" w:rsidR="008A2774" w:rsidRDefault="008A2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7C252" w14:textId="77777777" w:rsidR="008A2774" w:rsidRDefault="008A27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A2A75" w14:textId="77777777" w:rsidR="008A2774" w:rsidRDefault="008A2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BF408" w14:textId="77777777" w:rsidR="004D460E" w:rsidRDefault="004D460E" w:rsidP="008A2774">
      <w:pPr>
        <w:spacing w:after="0" w:line="240" w:lineRule="auto"/>
      </w:pPr>
      <w:r>
        <w:separator/>
      </w:r>
    </w:p>
  </w:footnote>
  <w:footnote w:type="continuationSeparator" w:id="0">
    <w:p w14:paraId="78566532" w14:textId="77777777" w:rsidR="004D460E" w:rsidRDefault="004D460E" w:rsidP="008A2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940B" w14:textId="628E201C" w:rsidR="008A2774" w:rsidRDefault="008A2774">
    <w:pPr>
      <w:pStyle w:val="Header"/>
    </w:pPr>
    <w:r>
      <w:rPr>
        <w:noProof/>
      </w:rPr>
      <w:pict w14:anchorId="64F69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00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A40E" w14:textId="29EA7283" w:rsidR="008A2774" w:rsidRDefault="008A2774">
    <w:pPr>
      <w:pStyle w:val="Header"/>
    </w:pPr>
    <w:r>
      <w:rPr>
        <w:noProof/>
      </w:rPr>
      <w:pict w14:anchorId="163FD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00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BB09C" w14:textId="7F8D1FDE" w:rsidR="008A2774" w:rsidRDefault="008A2774">
    <w:pPr>
      <w:pStyle w:val="Header"/>
    </w:pPr>
    <w:r>
      <w:rPr>
        <w:noProof/>
      </w:rPr>
      <w:pict w14:anchorId="0A5F2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00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C30E1"/>
    <w:multiLevelType w:val="multilevel"/>
    <w:tmpl w:val="EDC0A4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EC71C3"/>
    <w:multiLevelType w:val="multilevel"/>
    <w:tmpl w:val="0C8A8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46"/>
    <w:rsid w:val="00066D46"/>
    <w:rsid w:val="003600A9"/>
    <w:rsid w:val="003F7654"/>
    <w:rsid w:val="004B3941"/>
    <w:rsid w:val="004D460E"/>
    <w:rsid w:val="008A2774"/>
    <w:rsid w:val="00BE03DB"/>
    <w:rsid w:val="00C10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FBF16F"/>
  <w15:docId w15:val="{8F2ED4EC-1FA8-4600-8327-4B4BEDBC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8A2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74"/>
  </w:style>
  <w:style w:type="paragraph" w:styleId="Footer">
    <w:name w:val="footer"/>
    <w:basedOn w:val="Normal"/>
    <w:link w:val="FooterChar"/>
    <w:uiPriority w:val="99"/>
    <w:unhideWhenUsed/>
    <w:rsid w:val="008A2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rbi.org.in" TargetMode="External"/><Relationship Id="rId18" Type="http://schemas.openxmlformats.org/officeDocument/2006/relationships/hyperlink" Target="https://www.worldbank.org" TargetMode="External"/><Relationship Id="rId26" Type="http://schemas.openxmlformats.org/officeDocument/2006/relationships/hyperlink" Target="https://dbie.rbi.org.in" TargetMode="External"/><Relationship Id="rId39" Type="http://schemas.openxmlformats.org/officeDocument/2006/relationships/hyperlink" Target="https://doi.org/10.1016/j.jmacro.2012.10.001" TargetMode="External"/><Relationship Id="rId21" Type="http://schemas.openxmlformats.org/officeDocument/2006/relationships/hyperlink" Target="https://www.worldbank.org" TargetMode="External"/><Relationship Id="rId34" Type="http://schemas.openxmlformats.org/officeDocument/2006/relationships/image" Target="media/image4.png"/><Relationship Id="rId42" Type="http://schemas.openxmlformats.org/officeDocument/2006/relationships/hyperlink" Target="https://www.mospi.gov.in/" TargetMode="External"/><Relationship Id="rId47" Type="http://schemas.openxmlformats.org/officeDocument/2006/relationships/hyperlink" Target="https://www.rbi.org.in/" TargetMode="External"/><Relationship Id="rId50" Type="http://schemas.openxmlformats.org/officeDocument/2006/relationships/hyperlink" Target="https://www.worldbank.org/" TargetMode="External"/><Relationship Id="rId55" Type="http://schemas.openxmlformats.org/officeDocument/2006/relationships/header" Target="header3.xml"/><Relationship Id="rId7" Type="http://schemas.openxmlformats.org/officeDocument/2006/relationships/hyperlink" Target="https://www.rbi.org.in" TargetMode="External"/><Relationship Id="rId2" Type="http://schemas.openxmlformats.org/officeDocument/2006/relationships/styles" Target="styles.xml"/><Relationship Id="rId16" Type="http://schemas.openxmlformats.org/officeDocument/2006/relationships/hyperlink" Target="https://www.rbi.org.in" TargetMode="External"/><Relationship Id="rId29" Type="http://schemas.openxmlformats.org/officeDocument/2006/relationships/hyperlink" Target="https://dbie.rbi.org.in" TargetMode="External"/><Relationship Id="rId11" Type="http://schemas.openxmlformats.org/officeDocument/2006/relationships/hyperlink" Target="https://dbie.rbi.org.in" TargetMode="External"/><Relationship Id="rId24" Type="http://schemas.openxmlformats.org/officeDocument/2006/relationships/hyperlink" Target="https://www.worldbank.org"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doi.org/10.1257/aer.100.1.304" TargetMode="External"/><Relationship Id="rId45" Type="http://schemas.openxmlformats.org/officeDocument/2006/relationships/hyperlink" Target="https://eaindustry.nic.in/"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rbi.org.in" TargetMode="External"/><Relationship Id="rId4" Type="http://schemas.openxmlformats.org/officeDocument/2006/relationships/webSettings" Target="webSettings.xml"/><Relationship Id="rId9" Type="http://schemas.openxmlformats.org/officeDocument/2006/relationships/hyperlink" Target="https://www.worldbank.org" TargetMode="External"/><Relationship Id="rId14" Type="http://schemas.openxmlformats.org/officeDocument/2006/relationships/hyperlink" Target="https://dbie.rbi.org.in" TargetMode="External"/><Relationship Id="rId22" Type="http://schemas.openxmlformats.org/officeDocument/2006/relationships/hyperlink" Target="https://www.rbi.org.in" TargetMode="External"/><Relationship Id="rId27" Type="http://schemas.openxmlformats.org/officeDocument/2006/relationships/hyperlink" Target="https://www.worldbank.org" TargetMode="External"/><Relationship Id="rId30" Type="http://schemas.openxmlformats.org/officeDocument/2006/relationships/hyperlink" Target="https://www.worldbank.org" TargetMode="External"/><Relationship Id="rId35" Type="http://schemas.openxmlformats.org/officeDocument/2006/relationships/image" Target="media/image5.png"/><Relationship Id="rId43" Type="http://schemas.openxmlformats.org/officeDocument/2006/relationships/hyperlink" Target="https://www.nppaindia.nic.in/" TargetMode="External"/><Relationship Id="rId48" Type="http://schemas.openxmlformats.org/officeDocument/2006/relationships/hyperlink" Target="https://dbie.rbi.org.in/" TargetMode="External"/><Relationship Id="rId56" Type="http://schemas.openxmlformats.org/officeDocument/2006/relationships/footer" Target="footer3.xml"/><Relationship Id="rId8" Type="http://schemas.openxmlformats.org/officeDocument/2006/relationships/hyperlink" Target="https://dbie.rbi.org.in"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worldbank.org" TargetMode="External"/><Relationship Id="rId17" Type="http://schemas.openxmlformats.org/officeDocument/2006/relationships/hyperlink" Target="https://dbie.rbi.org.in" TargetMode="External"/><Relationship Id="rId25" Type="http://schemas.openxmlformats.org/officeDocument/2006/relationships/hyperlink" Target="https://www.rbi.org.in" TargetMode="External"/><Relationship Id="rId33" Type="http://schemas.openxmlformats.org/officeDocument/2006/relationships/image" Target="media/image3.png"/><Relationship Id="rId38" Type="http://schemas.openxmlformats.org/officeDocument/2006/relationships/hyperlink" Target="https://doi.org/10.1162/003465305775098189" TargetMode="External"/><Relationship Id="rId46" Type="http://schemas.openxmlformats.org/officeDocument/2006/relationships/hyperlink" Target="https://doi.org/10.1016/j.econmod.2016.11.002" TargetMode="External"/><Relationship Id="rId20" Type="http://schemas.openxmlformats.org/officeDocument/2006/relationships/hyperlink" Target="https://dbie.rbi.org.in" TargetMode="External"/><Relationship Id="rId41" Type="http://schemas.openxmlformats.org/officeDocument/2006/relationships/hyperlink" Target="https://egazette.nic.in/"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bank.org" TargetMode="External"/><Relationship Id="rId23" Type="http://schemas.openxmlformats.org/officeDocument/2006/relationships/hyperlink" Target="https://dbie.rbi.org.in" TargetMode="External"/><Relationship Id="rId28" Type="http://schemas.openxmlformats.org/officeDocument/2006/relationships/hyperlink" Target="https://www.rbi.org.in" TargetMode="External"/><Relationship Id="rId36" Type="http://schemas.openxmlformats.org/officeDocument/2006/relationships/image" Target="media/image6.png"/><Relationship Id="rId49" Type="http://schemas.openxmlformats.org/officeDocument/2006/relationships/hyperlink" Target="https://doi.org/10.1016/S0014-2921(00)00037-4" TargetMode="External"/><Relationship Id="rId57" Type="http://schemas.openxmlformats.org/officeDocument/2006/relationships/fontTable" Target="fontTable.xml"/><Relationship Id="rId10" Type="http://schemas.openxmlformats.org/officeDocument/2006/relationships/hyperlink" Target="https://www.rbi.org.in" TargetMode="External"/><Relationship Id="rId31" Type="http://schemas.openxmlformats.org/officeDocument/2006/relationships/image" Target="media/image1.png"/><Relationship Id="rId44" Type="http://schemas.openxmlformats.org/officeDocument/2006/relationships/hyperlink" Target="https://www.niti.gov.in/"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8179</Words>
  <Characters>46622</Characters>
  <Application>Microsoft Office Word</Application>
  <DocSecurity>0</DocSecurity>
  <Lines>388</Lines>
  <Paragraphs>109</Paragraphs>
  <ScaleCrop>false</ScaleCrop>
  <Company/>
  <LinksUpToDate>false</LinksUpToDate>
  <CharactersWithSpaces>54692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2026-03-10T11:21:00Z</dcterms:created>
  <dcterms:modified xsi:type="dcterms:W3CDTF">2026-03-11T11:38:00Z</dcterms:modified>
</cp:coreProperties>
</file>