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FE0C8" w14:textId="465E5965" w:rsidR="00754C9A" w:rsidRDefault="007F7FEE" w:rsidP="00732369">
      <w:pPr>
        <w:pStyle w:val="Title"/>
        <w:spacing w:after="0" w:line="480" w:lineRule="auto"/>
        <w:jc w:val="both"/>
        <w:rPr>
          <w:rFonts w:ascii="Arial" w:hAnsi="Arial" w:cs="Arial"/>
        </w:rPr>
      </w:pPr>
      <w:r w:rsidRPr="007F7FEE">
        <w:rPr>
          <w:rFonts w:ascii="Arial" w:hAnsi="Arial" w:cs="Arial"/>
        </w:rPr>
        <w:t>Original Research Paper</w:t>
      </w:r>
    </w:p>
    <w:p w14:paraId="74A6DF68" w14:textId="77777777" w:rsidR="007F7FEE" w:rsidRPr="00732369" w:rsidRDefault="007F7FEE" w:rsidP="00732369">
      <w:pPr>
        <w:pStyle w:val="Title"/>
        <w:spacing w:after="0" w:line="480" w:lineRule="auto"/>
        <w:jc w:val="both"/>
        <w:rPr>
          <w:rFonts w:ascii="Arial" w:hAnsi="Arial" w:cs="Arial"/>
        </w:rPr>
      </w:pPr>
    </w:p>
    <w:p w14:paraId="497F2322" w14:textId="77777777" w:rsidR="00CD2AEF" w:rsidRPr="00732369" w:rsidRDefault="00CD2AEF" w:rsidP="00732369">
      <w:pPr>
        <w:pStyle w:val="Author"/>
        <w:spacing w:line="480" w:lineRule="auto"/>
        <w:rPr>
          <w:rFonts w:ascii="Arial" w:hAnsi="Arial" w:cs="Arial"/>
          <w:bCs/>
          <w:iCs/>
          <w:kern w:val="28"/>
          <w:sz w:val="36"/>
        </w:rPr>
      </w:pPr>
      <w:r w:rsidRPr="00732369">
        <w:rPr>
          <w:rFonts w:ascii="Arial" w:hAnsi="Arial" w:cs="Arial"/>
          <w:bCs/>
          <w:iCs/>
          <w:kern w:val="28"/>
          <w:sz w:val="36"/>
        </w:rPr>
        <w:t xml:space="preserve">Value Relevance of Earnings and Book Value in Stock Price Determination: An Empirical Study on Selected Listed Companies in India </w:t>
      </w:r>
    </w:p>
    <w:p w14:paraId="2D73BE52" w14:textId="77777777" w:rsidR="00CD2AEF" w:rsidRPr="00732369" w:rsidRDefault="00CD2AEF" w:rsidP="00732369">
      <w:pPr>
        <w:pStyle w:val="Author"/>
        <w:spacing w:line="480" w:lineRule="auto"/>
        <w:rPr>
          <w:rFonts w:ascii="Arial" w:hAnsi="Arial" w:cs="Arial"/>
          <w:bCs/>
          <w:iCs/>
          <w:kern w:val="28"/>
          <w:sz w:val="36"/>
        </w:rPr>
      </w:pPr>
    </w:p>
    <w:p w14:paraId="1CE9E976" w14:textId="77777777" w:rsidR="00B01FCD" w:rsidRPr="00732369" w:rsidRDefault="00C72512" w:rsidP="00732369">
      <w:pPr>
        <w:pStyle w:val="Copyright"/>
        <w:spacing w:after="0" w:line="480" w:lineRule="auto"/>
        <w:jc w:val="both"/>
        <w:rPr>
          <w:rFonts w:ascii="Arial" w:hAnsi="Arial" w:cs="Arial"/>
        </w:rPr>
        <w:sectPr w:rsidR="00B01FCD" w:rsidRPr="00732369" w:rsidSect="0008773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296" w:gutter="0"/>
          <w:cols w:space="720"/>
          <w:docGrid w:linePitch="272"/>
        </w:sectPr>
      </w:pPr>
      <w:r>
        <w:rPr>
          <w:rFonts w:ascii="Arial" w:hAnsi="Arial" w:cs="Arial"/>
        </w:rPr>
      </w:r>
      <w:r>
        <w:rPr>
          <w:rFonts w:ascii="Arial" w:hAnsi="Arial" w:cs="Arial"/>
        </w:rPr>
        <w:pict w14:anchorId="7DEDF7E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32369">
        <w:rPr>
          <w:rFonts w:ascii="Arial" w:hAnsi="Arial" w:cs="Arial"/>
        </w:rPr>
        <w:t>.</w:t>
      </w:r>
    </w:p>
    <w:p w14:paraId="54AE13A1" w14:textId="77777777" w:rsidR="00B01FCD" w:rsidRPr="00732369" w:rsidRDefault="00CD2AEF" w:rsidP="00732369">
      <w:pPr>
        <w:pStyle w:val="AbstHead"/>
        <w:spacing w:after="0" w:line="480" w:lineRule="auto"/>
        <w:jc w:val="both"/>
        <w:rPr>
          <w:rFonts w:ascii="Arial" w:hAnsi="Arial" w:cs="Arial"/>
        </w:rPr>
      </w:pPr>
      <w:r w:rsidRPr="00732369">
        <w:rPr>
          <w:rFonts w:ascii="Arial" w:hAnsi="Arial" w:cs="Arial"/>
        </w:rPr>
        <w:t>ABSTRACT</w:t>
      </w:r>
    </w:p>
    <w:p w14:paraId="3533F76F" w14:textId="77777777" w:rsidR="00790ADA" w:rsidRPr="00732369" w:rsidRDefault="00790ADA" w:rsidP="00732369">
      <w:pPr>
        <w:pStyle w:val="AbstHead"/>
        <w:spacing w:after="0" w:line="48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732369" w14:paraId="3DBB8193" w14:textId="77777777" w:rsidTr="001E44FE">
        <w:tc>
          <w:tcPr>
            <w:tcW w:w="9576" w:type="dxa"/>
            <w:shd w:val="clear" w:color="auto" w:fill="F2F2F2"/>
          </w:tcPr>
          <w:p w14:paraId="25A81F0A" w14:textId="77777777" w:rsidR="00505F06" w:rsidRPr="00732369" w:rsidRDefault="00DB79FD" w:rsidP="00732369">
            <w:pPr>
              <w:pStyle w:val="Body"/>
              <w:spacing w:after="0" w:line="480" w:lineRule="auto"/>
              <w:rPr>
                <w:rFonts w:ascii="Arial" w:eastAsia="Calibri" w:hAnsi="Arial" w:cs="Arial"/>
                <w:szCs w:val="22"/>
              </w:rPr>
            </w:pPr>
            <w:r w:rsidRPr="00732369">
              <w:rPr>
                <w:rFonts w:ascii="Arial" w:eastAsia="Calibri" w:hAnsi="Arial" w:cs="Arial"/>
                <w:szCs w:val="22"/>
              </w:rPr>
              <w:t xml:space="preserve">This paper explores the value relevance of accounting information by studying the efficiency of selected accounting metrics to explain stock price fluctuations of select companies in the National Stock Exchange Nifty-50 index. The main objective of this study is to empirically assess the individual and combined explanatory power of earnings per share (EPS) and book value per share (BVPS) in determining the stock prices of a final sample of 24 companies from 2016-2017 to 2024-2025. The period of the study coincides with the period of accounting reforms introduced through the adoption of Indian Accounting Standards (Ind AS) in India. The research uses the Ohlson (1995) price regression model to establish the statistical relationship between stock prices and key accounting variables through the use of both annual cross-sectional data and the pooled panel data. The study also examines the change in value relevance over the nine-year period to detect any change in the information content of accounting data over the period. The results show that book value per share has a significant and higher explanatory power of stock price movement compared to the explanatory power of earnings per share for the sample companies. However, the combined regression model which includes both the variables (EPS and BVPS) provides better explanatory power as compared to models with individual variables. The results indicate </w:t>
            </w:r>
            <w:r w:rsidRPr="00732369">
              <w:rPr>
                <w:rFonts w:ascii="Arial" w:eastAsia="Calibri" w:hAnsi="Arial" w:cs="Arial"/>
                <w:szCs w:val="22"/>
              </w:rPr>
              <w:lastRenderedPageBreak/>
              <w:t>that in India accounting information still plays a meaningful role in the determination of stock prices. This research contributes to the value relevance literature as it presents recent evidence from the Indian capital market, and provides some insights for investors, regulators and standard-setters regarding the continued importance of traditional accounting metrics in equity valuation processes.</w:t>
            </w:r>
          </w:p>
        </w:tc>
      </w:tr>
    </w:tbl>
    <w:p w14:paraId="5D66AE0E" w14:textId="77777777" w:rsidR="00636EB2" w:rsidRPr="00732369" w:rsidRDefault="00636EB2" w:rsidP="00732369">
      <w:pPr>
        <w:pStyle w:val="Body"/>
        <w:spacing w:after="0" w:line="480" w:lineRule="auto"/>
        <w:rPr>
          <w:rFonts w:ascii="Arial" w:hAnsi="Arial" w:cs="Arial"/>
          <w:i/>
        </w:rPr>
      </w:pPr>
    </w:p>
    <w:p w14:paraId="47303E21" w14:textId="77777777" w:rsidR="00790ADA" w:rsidRPr="00732369" w:rsidRDefault="00DB79FD" w:rsidP="00732369">
      <w:pPr>
        <w:pStyle w:val="Body"/>
        <w:spacing w:after="0" w:line="480" w:lineRule="auto"/>
        <w:rPr>
          <w:rFonts w:ascii="Arial" w:hAnsi="Arial" w:cs="Arial"/>
          <w:i/>
        </w:rPr>
      </w:pPr>
      <w:r w:rsidRPr="00732369">
        <w:rPr>
          <w:rFonts w:ascii="Arial" w:hAnsi="Arial" w:cs="Arial"/>
          <w:i/>
        </w:rPr>
        <w:t>Keywords: Value relevance, Earnings per Share, Book Value per Share, Ohlson Model (1995), Nifty-50 index.</w:t>
      </w:r>
    </w:p>
    <w:p w14:paraId="20CC592C" w14:textId="77777777" w:rsidR="00505F06" w:rsidRPr="00732369" w:rsidRDefault="00505F06" w:rsidP="00732369">
      <w:pPr>
        <w:pStyle w:val="Body"/>
        <w:spacing w:after="0" w:line="480" w:lineRule="auto"/>
        <w:rPr>
          <w:rFonts w:ascii="Arial" w:hAnsi="Arial" w:cs="Arial"/>
          <w:i/>
        </w:rPr>
      </w:pPr>
    </w:p>
    <w:p w14:paraId="5A85B703" w14:textId="77777777" w:rsidR="00790ADA" w:rsidRPr="00732369" w:rsidRDefault="00DB79FD" w:rsidP="00732369">
      <w:pPr>
        <w:pStyle w:val="AbstHead"/>
        <w:spacing w:after="0" w:line="480" w:lineRule="auto"/>
        <w:rPr>
          <w:rFonts w:ascii="Arial" w:hAnsi="Arial" w:cs="Arial"/>
        </w:rPr>
      </w:pPr>
      <w:r w:rsidRPr="00732369">
        <w:rPr>
          <w:rFonts w:ascii="Arial" w:hAnsi="Arial" w:cs="Arial"/>
        </w:rPr>
        <w:t>1. INTRODUCTION</w:t>
      </w:r>
    </w:p>
    <w:p w14:paraId="56CAD99C" w14:textId="77777777" w:rsidR="00DB79FD" w:rsidRPr="00732369" w:rsidRDefault="00DB79FD" w:rsidP="00732369">
      <w:pPr>
        <w:spacing w:line="480" w:lineRule="auto"/>
        <w:rPr>
          <w:rFonts w:ascii="Arial" w:hAnsi="Arial" w:cs="Arial"/>
          <w:b/>
          <w:sz w:val="22"/>
        </w:rPr>
      </w:pPr>
      <w:r w:rsidRPr="00732369">
        <w:rPr>
          <w:rFonts w:ascii="Arial" w:hAnsi="Arial" w:cs="Arial"/>
          <w:b/>
          <w:sz w:val="22"/>
        </w:rPr>
        <w:t>1.1. Background of the study</w:t>
      </w:r>
    </w:p>
    <w:p w14:paraId="3F0B289D" w14:textId="77777777" w:rsidR="00DB79FD" w:rsidRPr="00732369" w:rsidRDefault="00DB79FD" w:rsidP="00732369">
      <w:pPr>
        <w:pStyle w:val="AbstHead"/>
        <w:spacing w:after="0" w:line="480" w:lineRule="auto"/>
        <w:jc w:val="both"/>
        <w:rPr>
          <w:rFonts w:ascii="Arial" w:hAnsi="Arial" w:cs="Arial"/>
          <w:b w:val="0"/>
          <w:caps w:val="0"/>
          <w:sz w:val="20"/>
        </w:rPr>
      </w:pPr>
      <w:r w:rsidRPr="00732369">
        <w:rPr>
          <w:rFonts w:ascii="Arial" w:hAnsi="Arial" w:cs="Arial"/>
          <w:b w:val="0"/>
          <w:caps w:val="0"/>
          <w:sz w:val="20"/>
        </w:rPr>
        <w:t>Information contained in financial statements is referred to as accounting information. Value relevance is how well the financial statement figures, such as earnings per share and book value per share, are able to capture stock prices or stock returns fluctuations</w:t>
      </w:r>
      <w:r w:rsidR="00587FCD" w:rsidRPr="00732369">
        <w:rPr>
          <w:rFonts w:ascii="Arial" w:hAnsi="Arial" w:cs="Arial"/>
          <w:b w:val="0"/>
          <w:caps w:val="0"/>
          <w:sz w:val="20"/>
        </w:rPr>
        <w:t xml:space="preserve"> (</w:t>
      </w:r>
      <w:r w:rsidR="00587FCD" w:rsidRPr="00732369">
        <w:rPr>
          <w:rFonts w:ascii="Arial" w:hAnsi="Arial" w:cs="Arial"/>
          <w:b w:val="0"/>
          <w:color w:val="222222"/>
          <w:sz w:val="20"/>
          <w:shd w:val="clear" w:color="auto" w:fill="FFFFFF"/>
        </w:rPr>
        <w:t>Karğın</w:t>
      </w:r>
      <w:r w:rsidR="00587FCD" w:rsidRPr="00732369">
        <w:rPr>
          <w:rFonts w:ascii="Arial" w:hAnsi="Arial" w:cs="Arial"/>
          <w:b w:val="0"/>
          <w:sz w:val="20"/>
        </w:rPr>
        <w:t>, 2013)</w:t>
      </w:r>
      <w:r w:rsidRPr="00732369">
        <w:rPr>
          <w:rFonts w:ascii="Arial" w:hAnsi="Arial" w:cs="Arial"/>
          <w:b w:val="0"/>
          <w:caps w:val="0"/>
          <w:sz w:val="20"/>
        </w:rPr>
        <w:t>. It is an important measure of the usefulness of accounting information by investors and other users of accounting information (Barth et al., 2001). Accounting information is said to be value relevant when it affects the user's economic decision making by helping them update their previous evaluation of a company. Researchers measure value relevance by looking at the statistical relationship between the accounting numbers from the balance sheet and from the income statement with respect to the market value of the company (Francis &amp; Schipper, 1999</w:t>
      </w:r>
      <w:r w:rsidR="00846DAB" w:rsidRPr="00732369">
        <w:rPr>
          <w:rFonts w:ascii="Arial" w:hAnsi="Arial" w:cs="Arial"/>
          <w:b w:val="0"/>
          <w:caps w:val="0"/>
          <w:sz w:val="20"/>
        </w:rPr>
        <w:t xml:space="preserve">; </w:t>
      </w:r>
      <w:proofErr w:type="spellStart"/>
      <w:r w:rsidR="00846DAB" w:rsidRPr="00732369">
        <w:rPr>
          <w:rFonts w:ascii="Arial" w:hAnsi="Arial" w:cs="Arial"/>
          <w:b w:val="0"/>
          <w:sz w:val="20"/>
        </w:rPr>
        <w:t>S</w:t>
      </w:r>
      <w:r w:rsidR="00846DAB" w:rsidRPr="00732369">
        <w:rPr>
          <w:rFonts w:ascii="Arial" w:hAnsi="Arial" w:cs="Arial"/>
          <w:b w:val="0"/>
          <w:caps w:val="0"/>
          <w:sz w:val="20"/>
        </w:rPr>
        <w:t>audiye</w:t>
      </w:r>
      <w:proofErr w:type="spellEnd"/>
      <w:r w:rsidR="00846DAB" w:rsidRPr="00732369">
        <w:rPr>
          <w:rFonts w:ascii="Arial" w:hAnsi="Arial" w:cs="Arial"/>
          <w:b w:val="0"/>
          <w:caps w:val="0"/>
          <w:sz w:val="20"/>
        </w:rPr>
        <w:t xml:space="preserve">, </w:t>
      </w:r>
      <w:r w:rsidR="00846DAB" w:rsidRPr="00732369">
        <w:rPr>
          <w:rFonts w:ascii="Arial" w:hAnsi="Arial" w:cs="Arial"/>
          <w:b w:val="0"/>
          <w:sz w:val="20"/>
        </w:rPr>
        <w:t>2012</w:t>
      </w:r>
      <w:r w:rsidRPr="00732369">
        <w:rPr>
          <w:rFonts w:ascii="Arial" w:hAnsi="Arial" w:cs="Arial"/>
          <w:b w:val="0"/>
          <w:caps w:val="0"/>
          <w:sz w:val="20"/>
        </w:rPr>
        <w:t>). Financial statements are created to present an accurate and honest representation of a company's financial status and performance. As investors use this information to make predictions about stock prices and make investment decisions, the accuracy of the financial statement figures needs to be verified. If accounting information does not reveal any significant relationship with stock returns, then it loses its usefulness and relevance. Value relevance studies attempt to assess the predictive power of accounting variables by calculating adjusted R</w:t>
      </w:r>
      <w:r w:rsidRPr="00732369">
        <w:rPr>
          <w:rFonts w:ascii="Arial" w:hAnsi="Arial" w:cs="Arial"/>
          <w:b w:val="0"/>
          <w:caps w:val="0"/>
          <w:sz w:val="20"/>
          <w:vertAlign w:val="superscript"/>
        </w:rPr>
        <w:t>2</w:t>
      </w:r>
      <w:r w:rsidRPr="00732369">
        <w:rPr>
          <w:rFonts w:ascii="Arial" w:hAnsi="Arial" w:cs="Arial"/>
          <w:b w:val="0"/>
          <w:caps w:val="0"/>
          <w:sz w:val="20"/>
        </w:rPr>
        <w:t xml:space="preserve"> of regression models. Although research shows that value relevance has improved generally over time with the better disclosure standards and more conservative accounting practices, different factors can affect its level. These include the growth of intangible assets, the adoption of fair value accounting under IFRS and differences across the industries (Barth et al., 2017). India has experienced major developments in its </w:t>
      </w:r>
      <w:r w:rsidRPr="00732369">
        <w:rPr>
          <w:rFonts w:ascii="Arial" w:hAnsi="Arial" w:cs="Arial"/>
          <w:b w:val="0"/>
          <w:caps w:val="0"/>
          <w:sz w:val="20"/>
        </w:rPr>
        <w:lastRenderedPageBreak/>
        <w:t>financial reporting scenario and has moved from Indian Generally Accepted Accounting Principles (IGAAP) to Indian Accounting Standards (Ind AS), which has been converged largely with the International Financial Reporting Standards (IFRS). This shift was intended to increase the comparability and the transparency of the financial statements, which in turn has an influence on the value relevance of accounting information (Bhatia &amp; Mulenga, 2019). Continuous evaluation is therefore needed to ensure that financial reporting aids in efficient allocation of capital. Value relevance study helps investors to find meaningful metrics for decision making. This work seeks to examine the value relevance of key accounting metrics in the Indian context. It uses an analysis of the extent to which accounting data, such as earnings and book value of equity, are associated with stock prices.</w:t>
      </w:r>
    </w:p>
    <w:p w14:paraId="2A21DAF0" w14:textId="77777777" w:rsidR="00DB79FD" w:rsidRPr="00732369" w:rsidRDefault="00DB79FD" w:rsidP="00732369">
      <w:pPr>
        <w:spacing w:line="480" w:lineRule="auto"/>
        <w:rPr>
          <w:rFonts w:ascii="Arial" w:hAnsi="Arial" w:cs="Arial"/>
        </w:rPr>
      </w:pPr>
      <w:r w:rsidRPr="00732369">
        <w:rPr>
          <w:rFonts w:ascii="Arial" w:hAnsi="Arial" w:cs="Arial"/>
          <w:b/>
          <w:sz w:val="22"/>
        </w:rPr>
        <w:t>1.2 Research Problem</w:t>
      </w:r>
    </w:p>
    <w:p w14:paraId="6FD90319" w14:textId="77777777" w:rsidR="00DB79FD" w:rsidRPr="00732369" w:rsidRDefault="00DB79FD" w:rsidP="00732369">
      <w:pPr>
        <w:spacing w:line="480" w:lineRule="auto"/>
        <w:jc w:val="both"/>
        <w:rPr>
          <w:rFonts w:ascii="Arial" w:hAnsi="Arial" w:cs="Arial"/>
        </w:rPr>
      </w:pPr>
      <w:r w:rsidRPr="00732369">
        <w:rPr>
          <w:rFonts w:ascii="Arial" w:hAnsi="Arial" w:cs="Arial"/>
        </w:rPr>
        <w:t>Although accounting information is widely used in investment decision-making, there is an on-going debate about the degree to which conventional accounting information is incorporated into market valuation of firms. Investors tend to use financial indicators like earnings per share (EPS) and book value per share (BVPS) when evaluating firm performance and determining the real value of shares. These accounting numbers are expected to provide relevant information about profitability and the net worth of a company and therefore, influence the price of stocks in the capital market. However, with the increased complexity of financial reporting, the increased importance of intangible assets, and the changing dynamics of the markets, there is a question as to whether these traditional accounting variables are still effective at explaining stock price movements. Although several studies have examined the value relevance of accounting information in different markets, empirical evidence in regards to the comparative explanatory power of EPS and BVPS in the Indian capital market has been mixed and at times inconclusive. Therefore, the major research problem of the present study is to examine whether the earnings per share and book value per share significantly explain the stock prices of selected Nifty-50 companies and to assess their individual as well as combined value relevance.</w:t>
      </w:r>
    </w:p>
    <w:p w14:paraId="7358D515" w14:textId="77777777" w:rsidR="00DB79FD" w:rsidRPr="00732369" w:rsidRDefault="00DB79FD" w:rsidP="00732369">
      <w:pPr>
        <w:spacing w:line="480" w:lineRule="auto"/>
        <w:rPr>
          <w:rFonts w:ascii="Arial" w:hAnsi="Arial" w:cs="Arial"/>
          <w:b/>
          <w:sz w:val="22"/>
        </w:rPr>
      </w:pPr>
      <w:r w:rsidRPr="00732369">
        <w:rPr>
          <w:rFonts w:ascii="Arial" w:hAnsi="Arial" w:cs="Arial"/>
          <w:b/>
          <w:sz w:val="22"/>
        </w:rPr>
        <w:t>1.3 Literature Review</w:t>
      </w:r>
    </w:p>
    <w:p w14:paraId="31F38256" w14:textId="77777777" w:rsidR="00DB79FD" w:rsidRPr="00732369" w:rsidRDefault="00DB79FD" w:rsidP="00732369">
      <w:pPr>
        <w:spacing w:line="480" w:lineRule="auto"/>
        <w:jc w:val="both"/>
        <w:rPr>
          <w:rFonts w:ascii="Arial" w:hAnsi="Arial" w:cs="Arial"/>
        </w:rPr>
      </w:pPr>
      <w:r w:rsidRPr="00732369">
        <w:rPr>
          <w:rFonts w:ascii="Arial" w:hAnsi="Arial" w:cs="Arial"/>
        </w:rPr>
        <w:t xml:space="preserve">Research on the value relevance of accounting information has gained significant momentum particularly after the accounting standard reform in India. Value relevance studies analyze the determinants of stock </w:t>
      </w:r>
      <w:r w:rsidRPr="00732369">
        <w:rPr>
          <w:rFonts w:ascii="Arial" w:hAnsi="Arial" w:cs="Arial"/>
        </w:rPr>
        <w:lastRenderedPageBreak/>
        <w:t>prices by examining the explanatory power of financial statement variables such as earnings per share (EPS) and book value per share (BVPS) of the company.</w:t>
      </w:r>
    </w:p>
    <w:p w14:paraId="65DBF2E2" w14:textId="77777777" w:rsidR="00DB79FD" w:rsidRPr="00732369" w:rsidRDefault="00DB79FD" w:rsidP="00732369">
      <w:pPr>
        <w:spacing w:line="480" w:lineRule="auto"/>
        <w:jc w:val="both"/>
        <w:rPr>
          <w:rFonts w:ascii="Arial" w:hAnsi="Arial" w:cs="Arial"/>
        </w:rPr>
      </w:pPr>
      <w:r w:rsidRPr="00732369">
        <w:rPr>
          <w:rFonts w:ascii="Arial" w:hAnsi="Arial" w:cs="Arial"/>
        </w:rPr>
        <w:t xml:space="preserve">Mir &amp; Butt (2025) conducted a study on the top 30 companies listed on BSE SENSEX concluded that EPS and BVPS are both significantly related to share price changes in the Indian stock market during the period 2015-2019 indicating the presence of value relevance of key accounting information metrics. EPS exhibited higher explanatory power compared to BVPS which highlights the primacy of earnings performance in valuation decisions by investors. Rao et al., (2023) compared the value relevance of accounting information between pre and post implementation of Indian Accounting Standards (Ind AS) for Nifty 50 firms for 2011-2022. The authors reported that the accounting information retains its value relevance in both periods but BVPS and net cash flow from investing activities exhibited high explanatory power in explaining share prices but some profit measures have lost significance following Ind AS reflecting changing investor response towards accounting disclosures in new reporting framework. Vohra et al., (2025) studied the explanatory power of EPS and BVPS jointly and separately from 2015-2019 for the top 30 BSE SENSEX firms using Ohlson model (1995) on yearly cross sectional and pooled data. The study found that EPS and BVPS jointly account for 55.86% of the variation in stock prices in the pooled data thus provides evidence of good value relevance of accounting variables for equity valuation in Indian market. Specifically, EPS showed more powerful explanatory power than BVPS, which emphasizes the emphasis of investors on earnings performance. Srivastava &amp; </w:t>
      </w:r>
      <w:proofErr w:type="spellStart"/>
      <w:r w:rsidRPr="00732369">
        <w:rPr>
          <w:rFonts w:ascii="Arial" w:hAnsi="Arial" w:cs="Arial"/>
        </w:rPr>
        <w:t>Muharam</w:t>
      </w:r>
      <w:proofErr w:type="spellEnd"/>
      <w:r w:rsidRPr="00732369">
        <w:rPr>
          <w:rFonts w:ascii="Arial" w:hAnsi="Arial" w:cs="Arial"/>
        </w:rPr>
        <w:t>, (2021) performed a study spanning the years of IFRS convergence (2015-2019) based on 3440 firm year observations confirmed that both earnings and book values remained statistically significant in explaining stock prices although the value relevance of earnings increased as time progressed while that of BVPS declined. Yearly adjusted R squared estimates revealed that EPS explanatory power rose but the power of BVPS declined during the IFRS transition. Jain &amp; Rao, (2022) showed that the value relevance of accounting information is enhanced by the enhanced reporting environment with Ind AS implementation. The results suggest that there are stronger links between share price and key accounting variables post adoption, though the relative impact of book value may reduce relative earnings impact. Indian research reinforces the point that accounting information is still statistically relevant in stock valuation and regulatory changes like Ind AS affect the magnitude of this informational relevance over time.</w:t>
      </w:r>
    </w:p>
    <w:p w14:paraId="4201B98B" w14:textId="77777777" w:rsidR="00DB79FD" w:rsidRPr="00732369" w:rsidRDefault="00DB79FD" w:rsidP="00732369">
      <w:pPr>
        <w:spacing w:line="480" w:lineRule="auto"/>
        <w:rPr>
          <w:rFonts w:ascii="Arial" w:hAnsi="Arial" w:cs="Arial"/>
        </w:rPr>
      </w:pPr>
      <w:r w:rsidRPr="00732369">
        <w:rPr>
          <w:rFonts w:ascii="Arial" w:hAnsi="Arial" w:cs="Arial"/>
          <w:b/>
          <w:sz w:val="22"/>
        </w:rPr>
        <w:lastRenderedPageBreak/>
        <w:t>1. 4 Research Gap</w:t>
      </w:r>
    </w:p>
    <w:p w14:paraId="5737E37C" w14:textId="77777777" w:rsidR="00DB79FD" w:rsidRPr="00732369" w:rsidRDefault="00DB79FD" w:rsidP="00732369">
      <w:pPr>
        <w:spacing w:line="480" w:lineRule="auto"/>
        <w:jc w:val="both"/>
        <w:rPr>
          <w:rFonts w:ascii="Arial" w:hAnsi="Arial" w:cs="Arial"/>
        </w:rPr>
      </w:pPr>
      <w:r w:rsidRPr="00732369">
        <w:rPr>
          <w:rFonts w:ascii="Arial" w:hAnsi="Arial" w:cs="Arial"/>
        </w:rPr>
        <w:t xml:space="preserve">While many studies on the value relevance of accounting information have been conducted in India, they usually refer to shorter timeframe, usually considering information around the period of the adoption of Indian Accounting Standards (Ind AS). These studies tend to offer a limited scope of analysis, mostly comparing before and after adoption without a detailed probing of the long-term impact of Ind AS adoption on value relevance. </w:t>
      </w:r>
      <w:proofErr w:type="gramStart"/>
      <w:r w:rsidRPr="00732369">
        <w:rPr>
          <w:rFonts w:ascii="Arial" w:hAnsi="Arial" w:cs="Arial"/>
        </w:rPr>
        <w:t>Also</w:t>
      </w:r>
      <w:proofErr w:type="gramEnd"/>
      <w:r w:rsidRPr="00732369">
        <w:rPr>
          <w:rFonts w:ascii="Arial" w:hAnsi="Arial" w:cs="Arial"/>
        </w:rPr>
        <w:t xml:space="preserve"> most research mainly focuses on the immediate effects of Ind AS adoption not considering the evaluation of the long term impact on the following years. This study seeks to address these gaps by offering a comprehensive study that goes beyond the first phase of adoption. It analyzes value relevance of accounting information for all the years since the Ind AS adoption, and provides a more comprehensive picture of its long-term impact. Additionally, this study is unique in being focused on the post-Ind AS adoption period, with year-by-year value relevance changes in addition to a pooled data analysis. By including both pre- and post-COVID time periods, it also adds to the understanding of the role of external shocks, such as the pandemic, that may have impacted the relationship between accounting information and market valuation.</w:t>
      </w:r>
    </w:p>
    <w:p w14:paraId="161EEBA9" w14:textId="77777777" w:rsidR="00DB79FD" w:rsidRPr="00732369" w:rsidRDefault="00DB79FD" w:rsidP="00732369">
      <w:pPr>
        <w:spacing w:line="480" w:lineRule="auto"/>
        <w:rPr>
          <w:rFonts w:ascii="Arial" w:hAnsi="Arial" w:cs="Arial"/>
        </w:rPr>
      </w:pPr>
      <w:r w:rsidRPr="00732369">
        <w:rPr>
          <w:rFonts w:ascii="Arial" w:hAnsi="Arial" w:cs="Arial"/>
          <w:b/>
          <w:sz w:val="22"/>
        </w:rPr>
        <w:t>1. 5 Objectives of the Study</w:t>
      </w:r>
    </w:p>
    <w:p w14:paraId="3B435D2E" w14:textId="77777777" w:rsidR="00DB79FD" w:rsidRPr="00732369" w:rsidRDefault="00DB79FD" w:rsidP="00732369">
      <w:pPr>
        <w:pStyle w:val="ListParagraph"/>
        <w:numPr>
          <w:ilvl w:val="0"/>
          <w:numId w:val="31"/>
        </w:numPr>
        <w:spacing w:line="480" w:lineRule="auto"/>
        <w:jc w:val="both"/>
        <w:rPr>
          <w:rFonts w:cs="Arial"/>
        </w:rPr>
      </w:pPr>
      <w:r w:rsidRPr="00732369">
        <w:rPr>
          <w:rFonts w:cs="Arial"/>
        </w:rPr>
        <w:t>To ascertain the individual and combined value relevance of accounting information represented by EPS and BVPS on stock price on the panel data of selected Nifty-50 companies for the FY 2016-17 to FY 2024-25.</w:t>
      </w:r>
    </w:p>
    <w:p w14:paraId="225A7CB0" w14:textId="77777777" w:rsidR="00DB79FD" w:rsidRPr="00732369" w:rsidRDefault="00DB79FD" w:rsidP="00732369">
      <w:pPr>
        <w:pStyle w:val="ListParagraph"/>
        <w:numPr>
          <w:ilvl w:val="0"/>
          <w:numId w:val="31"/>
        </w:numPr>
        <w:spacing w:line="480" w:lineRule="auto"/>
        <w:jc w:val="both"/>
        <w:rPr>
          <w:rFonts w:cs="Arial"/>
        </w:rPr>
      </w:pPr>
      <w:r w:rsidRPr="00732369">
        <w:rPr>
          <w:rFonts w:cs="Arial"/>
        </w:rPr>
        <w:t>To observe the change in value relevance of accounting information of the select Nifty-50 companies over the period of study.</w:t>
      </w:r>
    </w:p>
    <w:p w14:paraId="046E30A7" w14:textId="77777777" w:rsidR="00790ADA" w:rsidRPr="00732369" w:rsidRDefault="00AF5A41" w:rsidP="00732369">
      <w:pPr>
        <w:pStyle w:val="AbstHead"/>
        <w:spacing w:after="0" w:line="480" w:lineRule="auto"/>
        <w:jc w:val="both"/>
        <w:rPr>
          <w:rFonts w:ascii="Arial" w:hAnsi="Arial" w:cs="Arial"/>
        </w:rPr>
      </w:pPr>
      <w:r w:rsidRPr="00732369">
        <w:rPr>
          <w:rFonts w:ascii="Arial" w:hAnsi="Arial" w:cs="Arial"/>
        </w:rPr>
        <w:t>2. METHODOLOGY</w:t>
      </w:r>
    </w:p>
    <w:p w14:paraId="124D1970" w14:textId="77777777" w:rsidR="00AF5A41" w:rsidRPr="00732369" w:rsidRDefault="00AF5A41" w:rsidP="00732369">
      <w:pPr>
        <w:spacing w:line="480" w:lineRule="auto"/>
        <w:jc w:val="both"/>
        <w:rPr>
          <w:rFonts w:ascii="Arial" w:hAnsi="Arial" w:cs="Arial"/>
        </w:rPr>
      </w:pPr>
      <w:r w:rsidRPr="00732369">
        <w:rPr>
          <w:rFonts w:ascii="Arial" w:hAnsi="Arial" w:cs="Arial"/>
        </w:rPr>
        <w:t xml:space="preserve">This study aims at examining the separate and joint predictive capacity of Earnings per Share (EPS) and Book Value per Share (BVPS) in explaining stock prices, for a sample of 24 companies from the financial year 2016-2017 to 2024-2025. The research uses the Ohlson (1995) price regression model to determine the statistical relationship between the stock prices and their important accounting variables using annual cross-sectional data and pooled panel data. A panel data analysis was done on 216 firm year observations to reach </w:t>
      </w:r>
      <w:proofErr w:type="spellStart"/>
      <w:r w:rsidRPr="00732369">
        <w:rPr>
          <w:rFonts w:ascii="Arial" w:hAnsi="Arial" w:cs="Arial"/>
        </w:rPr>
        <w:t>at</w:t>
      </w:r>
      <w:proofErr w:type="spellEnd"/>
      <w:r w:rsidRPr="00732369">
        <w:rPr>
          <w:rFonts w:ascii="Arial" w:hAnsi="Arial" w:cs="Arial"/>
        </w:rPr>
        <w:t xml:space="preserve"> conclusion. The sample for the study was taken from the companies present in </w:t>
      </w:r>
      <w:r w:rsidRPr="00732369">
        <w:rPr>
          <w:rFonts w:ascii="Arial" w:hAnsi="Arial" w:cs="Arial"/>
        </w:rPr>
        <w:lastRenderedPageBreak/>
        <w:t xml:space="preserve">the Nifty-50 Index, excluding the companies of banking, insurance and financial sector because of their specific industry regulations. Additionally, firms with missing data were removed from the sample, leaving a final sample of 24 companies. Data for this research was gathered from the annual reports of the firms, corporate database PROWESS and websites such as NSE and </w:t>
      </w:r>
      <w:proofErr w:type="spellStart"/>
      <w:r w:rsidRPr="00732369">
        <w:rPr>
          <w:rFonts w:ascii="Arial" w:hAnsi="Arial" w:cs="Arial"/>
        </w:rPr>
        <w:t>Moneycontrol</w:t>
      </w:r>
      <w:proofErr w:type="spellEnd"/>
      <w:r w:rsidRPr="00732369">
        <w:rPr>
          <w:rFonts w:ascii="Arial" w:hAnsi="Arial" w:cs="Arial"/>
        </w:rPr>
        <w:t>. The research uses the model in Ohlson (1995) price regression to investigate the value relevance of EPS and BVPS. The statistical significance of the model is checked using pooled Ordinary Least Squares (OLS) regression with every accounting variable (EPS and BVPS) as an independent variable and stock prices (</w:t>
      </w:r>
      <w:proofErr w:type="spellStart"/>
      <w:r w:rsidRPr="00732369">
        <w:rPr>
          <w:rFonts w:ascii="Arial" w:hAnsi="Arial" w:cs="Arial"/>
        </w:rPr>
        <w:t>MP</w:t>
      </w:r>
      <w:r w:rsidR="008A553F" w:rsidRPr="00732369">
        <w:rPr>
          <w:rFonts w:ascii="Arial" w:hAnsi="Arial" w:cs="Arial"/>
        </w:rPr>
        <w:t>S</w:t>
      </w:r>
      <w:r w:rsidRPr="00732369">
        <w:rPr>
          <w:rFonts w:ascii="Arial" w:hAnsi="Arial" w:cs="Arial"/>
          <w:vertAlign w:val="subscript"/>
        </w:rPr>
        <w:t>kt</w:t>
      </w:r>
      <w:proofErr w:type="spellEnd"/>
      <w:r w:rsidRPr="00732369">
        <w:rPr>
          <w:rFonts w:ascii="Arial" w:hAnsi="Arial" w:cs="Arial"/>
        </w:rPr>
        <w:t>) as a dependent variable. The explanatory power of the model is measured by the adjusted R-squared (Adj. R</w:t>
      </w:r>
      <w:r w:rsidRPr="00732369">
        <w:rPr>
          <w:rFonts w:ascii="Arial" w:hAnsi="Arial" w:cs="Arial"/>
          <w:vertAlign w:val="superscript"/>
        </w:rPr>
        <w:t>2</w:t>
      </w:r>
      <w:r w:rsidRPr="00732369">
        <w:rPr>
          <w:rFonts w:ascii="Arial" w:hAnsi="Arial" w:cs="Arial"/>
        </w:rPr>
        <w:t>) which measures how much of the variance in the stock prices is explained by the accounting variables. To assess the individual and combined impact of EPS and BVPS on stock prices, there are three regression models used:</w:t>
      </w:r>
    </w:p>
    <w:p w14:paraId="32D59BF4" w14:textId="77777777" w:rsidR="00AF5A41" w:rsidRPr="00732369" w:rsidRDefault="00AF5A41" w:rsidP="00732369">
      <w:pPr>
        <w:spacing w:line="480" w:lineRule="auto"/>
        <w:jc w:val="both"/>
        <w:rPr>
          <w:rFonts w:ascii="Arial" w:hAnsi="Arial" w:cs="Arial"/>
        </w:rPr>
      </w:pPr>
      <w:r w:rsidRPr="00732369">
        <w:rPr>
          <w:rFonts w:ascii="Arial" w:hAnsi="Arial" w:cs="Arial"/>
        </w:rPr>
        <w:t xml:space="preserve">Model1. </w:t>
      </w:r>
      <w:proofErr w:type="spellStart"/>
      <w:r w:rsidRPr="00732369">
        <w:rPr>
          <w:rFonts w:ascii="Arial" w:hAnsi="Arial" w:cs="Arial"/>
        </w:rPr>
        <w:t>MP</w:t>
      </w:r>
      <w:r w:rsidR="008A553F" w:rsidRPr="00732369">
        <w:rPr>
          <w:rFonts w:ascii="Arial" w:hAnsi="Arial" w:cs="Arial"/>
        </w:rPr>
        <w:t>S</w:t>
      </w:r>
      <w:r w:rsidRPr="00732369">
        <w:rPr>
          <w:rFonts w:ascii="Arial" w:hAnsi="Arial" w:cs="Arial"/>
          <w:vertAlign w:val="subscript"/>
        </w:rPr>
        <w:t>kt</w:t>
      </w:r>
      <w:proofErr w:type="spellEnd"/>
      <w:r w:rsidRPr="00732369">
        <w:rPr>
          <w:rFonts w:ascii="Arial" w:hAnsi="Arial" w:cs="Arial"/>
        </w:rPr>
        <w:t>= a</w:t>
      </w:r>
      <w:r w:rsidRPr="00732369">
        <w:rPr>
          <w:rFonts w:ascii="Arial" w:hAnsi="Arial" w:cs="Arial"/>
          <w:vertAlign w:val="subscript"/>
        </w:rPr>
        <w:t>0</w:t>
      </w:r>
      <w:r w:rsidRPr="00732369">
        <w:rPr>
          <w:rFonts w:ascii="Arial" w:hAnsi="Arial" w:cs="Arial"/>
        </w:rPr>
        <w:t xml:space="preserve"> + a</w:t>
      </w:r>
      <w:r w:rsidRPr="00732369">
        <w:rPr>
          <w:rFonts w:ascii="Arial" w:hAnsi="Arial" w:cs="Arial"/>
          <w:vertAlign w:val="subscript"/>
        </w:rPr>
        <w:t>1</w:t>
      </w:r>
      <w:r w:rsidRPr="00732369">
        <w:rPr>
          <w:rFonts w:ascii="Arial" w:hAnsi="Arial" w:cs="Arial"/>
        </w:rPr>
        <w:t xml:space="preserve"> </w:t>
      </w:r>
      <w:proofErr w:type="spellStart"/>
      <w:r w:rsidRPr="00732369">
        <w:rPr>
          <w:rFonts w:ascii="Arial" w:hAnsi="Arial" w:cs="Arial"/>
        </w:rPr>
        <w:t>EPS</w:t>
      </w:r>
      <w:r w:rsidRPr="00732369">
        <w:rPr>
          <w:rFonts w:ascii="Arial" w:hAnsi="Arial" w:cs="Arial"/>
          <w:vertAlign w:val="subscript"/>
        </w:rPr>
        <w:t>kt</w:t>
      </w:r>
      <w:proofErr w:type="spellEnd"/>
      <w:r w:rsidRPr="00732369">
        <w:rPr>
          <w:rFonts w:ascii="Arial" w:hAnsi="Arial" w:cs="Arial"/>
        </w:rPr>
        <w:t xml:space="preserve"> + a</w:t>
      </w:r>
      <w:r w:rsidRPr="00732369">
        <w:rPr>
          <w:rFonts w:ascii="Arial" w:hAnsi="Arial" w:cs="Arial"/>
          <w:vertAlign w:val="subscript"/>
        </w:rPr>
        <w:t>2</w:t>
      </w:r>
      <w:r w:rsidRPr="00732369">
        <w:rPr>
          <w:rFonts w:ascii="Arial" w:hAnsi="Arial" w:cs="Arial"/>
        </w:rPr>
        <w:t xml:space="preserve"> </w:t>
      </w:r>
      <w:proofErr w:type="spellStart"/>
      <w:r w:rsidRPr="00732369">
        <w:rPr>
          <w:rFonts w:ascii="Arial" w:hAnsi="Arial" w:cs="Arial"/>
        </w:rPr>
        <w:t>BVPS</w:t>
      </w:r>
      <w:r w:rsidRPr="00732369">
        <w:rPr>
          <w:rFonts w:ascii="Arial" w:hAnsi="Arial" w:cs="Arial"/>
          <w:vertAlign w:val="subscript"/>
        </w:rPr>
        <w:t>kt</w:t>
      </w:r>
      <w:proofErr w:type="spellEnd"/>
      <w:r w:rsidRPr="00732369">
        <w:rPr>
          <w:rFonts w:ascii="Arial" w:hAnsi="Arial" w:cs="Arial"/>
        </w:rPr>
        <w:t xml:space="preserve"> + </w:t>
      </w:r>
      <w:proofErr w:type="spellStart"/>
      <w:r w:rsidRPr="00732369">
        <w:rPr>
          <w:rFonts w:ascii="Arial" w:hAnsi="Arial" w:cs="Arial"/>
        </w:rPr>
        <w:t>e</w:t>
      </w:r>
      <w:r w:rsidRPr="00732369">
        <w:rPr>
          <w:rFonts w:ascii="Arial" w:hAnsi="Arial" w:cs="Arial"/>
          <w:vertAlign w:val="subscript"/>
        </w:rPr>
        <w:t>kt</w:t>
      </w:r>
      <w:proofErr w:type="spellEnd"/>
    </w:p>
    <w:p w14:paraId="47CCB74E" w14:textId="77777777" w:rsidR="00AF5A41" w:rsidRPr="00732369" w:rsidRDefault="00AF5A41" w:rsidP="00732369">
      <w:pPr>
        <w:spacing w:line="480" w:lineRule="auto"/>
        <w:jc w:val="both"/>
        <w:rPr>
          <w:rFonts w:ascii="Arial" w:hAnsi="Arial" w:cs="Arial"/>
        </w:rPr>
      </w:pPr>
      <w:r w:rsidRPr="00732369">
        <w:rPr>
          <w:rFonts w:ascii="Arial" w:hAnsi="Arial" w:cs="Arial"/>
        </w:rPr>
        <w:t xml:space="preserve">Model2. </w:t>
      </w:r>
      <w:proofErr w:type="spellStart"/>
      <w:r w:rsidRPr="00732369">
        <w:rPr>
          <w:rFonts w:ascii="Arial" w:hAnsi="Arial" w:cs="Arial"/>
        </w:rPr>
        <w:t>MP</w:t>
      </w:r>
      <w:r w:rsidR="005166BB" w:rsidRPr="00732369">
        <w:rPr>
          <w:rFonts w:ascii="Arial" w:hAnsi="Arial" w:cs="Arial"/>
        </w:rPr>
        <w:t>S</w:t>
      </w:r>
      <w:r w:rsidRPr="00732369">
        <w:rPr>
          <w:rFonts w:ascii="Arial" w:hAnsi="Arial" w:cs="Arial"/>
          <w:vertAlign w:val="subscript"/>
        </w:rPr>
        <w:t>kt</w:t>
      </w:r>
      <w:proofErr w:type="spellEnd"/>
      <w:r w:rsidRPr="00732369">
        <w:rPr>
          <w:rFonts w:ascii="Arial" w:hAnsi="Arial" w:cs="Arial"/>
        </w:rPr>
        <w:t>= b</w:t>
      </w:r>
      <w:r w:rsidRPr="00732369">
        <w:rPr>
          <w:rFonts w:ascii="Arial" w:hAnsi="Arial" w:cs="Arial"/>
          <w:vertAlign w:val="subscript"/>
        </w:rPr>
        <w:t>0</w:t>
      </w:r>
      <w:r w:rsidRPr="00732369">
        <w:rPr>
          <w:rFonts w:ascii="Arial" w:hAnsi="Arial" w:cs="Arial"/>
        </w:rPr>
        <w:t xml:space="preserve"> + b</w:t>
      </w:r>
      <w:r w:rsidRPr="00732369">
        <w:rPr>
          <w:rFonts w:ascii="Arial" w:hAnsi="Arial" w:cs="Arial"/>
          <w:vertAlign w:val="subscript"/>
        </w:rPr>
        <w:t>1</w:t>
      </w:r>
      <w:r w:rsidRPr="00732369">
        <w:rPr>
          <w:rFonts w:ascii="Arial" w:hAnsi="Arial" w:cs="Arial"/>
        </w:rPr>
        <w:t xml:space="preserve"> </w:t>
      </w:r>
      <w:proofErr w:type="spellStart"/>
      <w:r w:rsidRPr="00732369">
        <w:rPr>
          <w:rFonts w:ascii="Arial" w:hAnsi="Arial" w:cs="Arial"/>
        </w:rPr>
        <w:t>EPS</w:t>
      </w:r>
      <w:r w:rsidRPr="00732369">
        <w:rPr>
          <w:rFonts w:ascii="Arial" w:hAnsi="Arial" w:cs="Arial"/>
          <w:vertAlign w:val="subscript"/>
        </w:rPr>
        <w:t>kt</w:t>
      </w:r>
      <w:proofErr w:type="spellEnd"/>
      <w:r w:rsidRPr="00732369">
        <w:rPr>
          <w:rFonts w:ascii="Arial" w:hAnsi="Arial" w:cs="Arial"/>
        </w:rPr>
        <w:t xml:space="preserve"> + </w:t>
      </w:r>
      <w:proofErr w:type="spellStart"/>
      <w:r w:rsidRPr="00732369">
        <w:rPr>
          <w:rFonts w:ascii="Arial" w:hAnsi="Arial" w:cs="Arial"/>
        </w:rPr>
        <w:t>e</w:t>
      </w:r>
      <w:r w:rsidRPr="00732369">
        <w:rPr>
          <w:rFonts w:ascii="Arial" w:hAnsi="Arial" w:cs="Arial"/>
          <w:vertAlign w:val="subscript"/>
        </w:rPr>
        <w:t>kt</w:t>
      </w:r>
      <w:proofErr w:type="spellEnd"/>
    </w:p>
    <w:p w14:paraId="13A1191C" w14:textId="77777777" w:rsidR="00AF5A41" w:rsidRPr="00732369" w:rsidRDefault="00AF5A41" w:rsidP="00732369">
      <w:pPr>
        <w:spacing w:line="480" w:lineRule="auto"/>
        <w:jc w:val="both"/>
        <w:rPr>
          <w:rFonts w:ascii="Arial" w:hAnsi="Arial" w:cs="Arial"/>
        </w:rPr>
      </w:pPr>
      <w:r w:rsidRPr="00732369">
        <w:rPr>
          <w:rFonts w:ascii="Arial" w:hAnsi="Arial" w:cs="Arial"/>
        </w:rPr>
        <w:t xml:space="preserve">Model3. </w:t>
      </w:r>
      <w:proofErr w:type="spellStart"/>
      <w:r w:rsidRPr="00732369">
        <w:rPr>
          <w:rFonts w:ascii="Arial" w:hAnsi="Arial" w:cs="Arial"/>
        </w:rPr>
        <w:t>MP</w:t>
      </w:r>
      <w:r w:rsidR="005166BB" w:rsidRPr="00732369">
        <w:rPr>
          <w:rFonts w:ascii="Arial" w:hAnsi="Arial" w:cs="Arial"/>
        </w:rPr>
        <w:t>S</w:t>
      </w:r>
      <w:r w:rsidRPr="00732369">
        <w:rPr>
          <w:rFonts w:ascii="Arial" w:hAnsi="Arial" w:cs="Arial"/>
          <w:vertAlign w:val="subscript"/>
        </w:rPr>
        <w:t>kt</w:t>
      </w:r>
      <w:proofErr w:type="spellEnd"/>
      <w:r w:rsidRPr="00732369">
        <w:rPr>
          <w:rFonts w:ascii="Arial" w:hAnsi="Arial" w:cs="Arial"/>
        </w:rPr>
        <w:t>=c</w:t>
      </w:r>
      <w:r w:rsidRPr="00732369">
        <w:rPr>
          <w:rFonts w:ascii="Arial" w:hAnsi="Arial" w:cs="Arial"/>
          <w:vertAlign w:val="subscript"/>
        </w:rPr>
        <w:t>0</w:t>
      </w:r>
      <w:r w:rsidRPr="00732369">
        <w:rPr>
          <w:rFonts w:ascii="Arial" w:hAnsi="Arial" w:cs="Arial"/>
        </w:rPr>
        <w:t xml:space="preserve"> + c</w:t>
      </w:r>
      <w:r w:rsidRPr="00732369">
        <w:rPr>
          <w:rFonts w:ascii="Arial" w:hAnsi="Arial" w:cs="Arial"/>
          <w:vertAlign w:val="subscript"/>
        </w:rPr>
        <w:t>1</w:t>
      </w:r>
      <w:r w:rsidRPr="00732369">
        <w:rPr>
          <w:rFonts w:ascii="Arial" w:hAnsi="Arial" w:cs="Arial"/>
        </w:rPr>
        <w:t xml:space="preserve"> </w:t>
      </w:r>
      <w:proofErr w:type="spellStart"/>
      <w:r w:rsidRPr="00732369">
        <w:rPr>
          <w:rFonts w:ascii="Arial" w:hAnsi="Arial" w:cs="Arial"/>
        </w:rPr>
        <w:t>BVPS</w:t>
      </w:r>
      <w:r w:rsidRPr="00732369">
        <w:rPr>
          <w:rFonts w:ascii="Arial" w:hAnsi="Arial" w:cs="Arial"/>
          <w:vertAlign w:val="subscript"/>
        </w:rPr>
        <w:t>kt</w:t>
      </w:r>
      <w:proofErr w:type="spellEnd"/>
      <w:r w:rsidRPr="00732369">
        <w:rPr>
          <w:rFonts w:ascii="Arial" w:hAnsi="Arial" w:cs="Arial"/>
          <w:vertAlign w:val="subscript"/>
        </w:rPr>
        <w:t xml:space="preserve"> </w:t>
      </w:r>
      <w:r w:rsidRPr="00732369">
        <w:rPr>
          <w:rFonts w:ascii="Arial" w:hAnsi="Arial" w:cs="Arial"/>
        </w:rPr>
        <w:t xml:space="preserve">+ </w:t>
      </w:r>
      <w:proofErr w:type="spellStart"/>
      <w:r w:rsidRPr="00732369">
        <w:rPr>
          <w:rFonts w:ascii="Arial" w:hAnsi="Arial" w:cs="Arial"/>
        </w:rPr>
        <w:t>e</w:t>
      </w:r>
      <w:r w:rsidRPr="00732369">
        <w:rPr>
          <w:rFonts w:ascii="Arial" w:hAnsi="Arial" w:cs="Arial"/>
          <w:vertAlign w:val="subscript"/>
        </w:rPr>
        <w:t>kt</w:t>
      </w:r>
      <w:proofErr w:type="spellEnd"/>
    </w:p>
    <w:p w14:paraId="264CFE9F" w14:textId="77777777" w:rsidR="00AF5A41" w:rsidRPr="00732369" w:rsidRDefault="00AF5A41" w:rsidP="00732369">
      <w:pPr>
        <w:spacing w:line="480" w:lineRule="auto"/>
        <w:jc w:val="both"/>
        <w:rPr>
          <w:rFonts w:ascii="Arial" w:hAnsi="Arial" w:cs="Arial"/>
        </w:rPr>
      </w:pPr>
      <w:r w:rsidRPr="00732369">
        <w:rPr>
          <w:rFonts w:ascii="Arial" w:hAnsi="Arial" w:cs="Arial"/>
        </w:rPr>
        <w:t>Where,</w:t>
      </w:r>
    </w:p>
    <w:p w14:paraId="72D0DD1F" w14:textId="77777777" w:rsidR="00AF5A41" w:rsidRPr="00732369" w:rsidRDefault="00AF5A41" w:rsidP="00732369">
      <w:pPr>
        <w:spacing w:line="480" w:lineRule="auto"/>
        <w:jc w:val="both"/>
        <w:rPr>
          <w:rFonts w:ascii="Arial" w:hAnsi="Arial" w:cs="Arial"/>
        </w:rPr>
      </w:pPr>
      <w:proofErr w:type="spellStart"/>
      <w:r w:rsidRPr="00732369">
        <w:rPr>
          <w:rFonts w:ascii="Arial" w:hAnsi="Arial" w:cs="Arial"/>
        </w:rPr>
        <w:t>MP</w:t>
      </w:r>
      <w:r w:rsidR="008A553F" w:rsidRPr="00732369">
        <w:rPr>
          <w:rFonts w:ascii="Arial" w:hAnsi="Arial" w:cs="Arial"/>
        </w:rPr>
        <w:t>S</w:t>
      </w:r>
      <w:r w:rsidRPr="00732369">
        <w:rPr>
          <w:rFonts w:ascii="Arial" w:hAnsi="Arial" w:cs="Arial"/>
          <w:vertAlign w:val="subscript"/>
        </w:rPr>
        <w:t>kt</w:t>
      </w:r>
      <w:proofErr w:type="spellEnd"/>
      <w:r w:rsidRPr="00732369">
        <w:rPr>
          <w:rFonts w:ascii="Arial" w:hAnsi="Arial" w:cs="Arial"/>
        </w:rPr>
        <w:t xml:space="preserve"> = Market price</w:t>
      </w:r>
      <w:r w:rsidR="00CB47F6" w:rsidRPr="00732369">
        <w:rPr>
          <w:rFonts w:ascii="Arial" w:hAnsi="Arial" w:cs="Arial"/>
        </w:rPr>
        <w:t xml:space="preserve"> (Adjusted closing price)</w:t>
      </w:r>
      <w:r w:rsidRPr="00732369">
        <w:rPr>
          <w:rFonts w:ascii="Arial" w:hAnsi="Arial" w:cs="Arial"/>
        </w:rPr>
        <w:t xml:space="preserve"> per share of firm k in the year t after the balance sheet date</w:t>
      </w:r>
    </w:p>
    <w:p w14:paraId="51BFD36A" w14:textId="77777777" w:rsidR="00AF5A41" w:rsidRPr="00732369" w:rsidRDefault="00AF5A41" w:rsidP="00732369">
      <w:pPr>
        <w:spacing w:line="480" w:lineRule="auto"/>
        <w:jc w:val="both"/>
        <w:rPr>
          <w:rFonts w:ascii="Arial" w:hAnsi="Arial" w:cs="Arial"/>
        </w:rPr>
      </w:pPr>
      <w:proofErr w:type="spellStart"/>
      <w:r w:rsidRPr="00732369">
        <w:rPr>
          <w:rFonts w:ascii="Arial" w:hAnsi="Arial" w:cs="Arial"/>
        </w:rPr>
        <w:t>EPS</w:t>
      </w:r>
      <w:r w:rsidRPr="00732369">
        <w:rPr>
          <w:rFonts w:ascii="Arial" w:hAnsi="Arial" w:cs="Arial"/>
          <w:vertAlign w:val="subscript"/>
        </w:rPr>
        <w:t>kt</w:t>
      </w:r>
      <w:proofErr w:type="spellEnd"/>
      <w:r w:rsidRPr="00732369">
        <w:rPr>
          <w:rFonts w:ascii="Arial" w:hAnsi="Arial" w:cs="Arial"/>
        </w:rPr>
        <w:t xml:space="preserve"> = Earnings per share for firm k in the year t.</w:t>
      </w:r>
    </w:p>
    <w:p w14:paraId="471E6BBD" w14:textId="77777777" w:rsidR="00AF5A41" w:rsidRPr="00732369" w:rsidRDefault="00AF5A41" w:rsidP="00732369">
      <w:pPr>
        <w:spacing w:line="480" w:lineRule="auto"/>
        <w:jc w:val="both"/>
        <w:rPr>
          <w:rFonts w:ascii="Arial" w:hAnsi="Arial" w:cs="Arial"/>
        </w:rPr>
      </w:pPr>
      <w:proofErr w:type="spellStart"/>
      <w:r w:rsidRPr="00732369">
        <w:rPr>
          <w:rFonts w:ascii="Arial" w:hAnsi="Arial" w:cs="Arial"/>
        </w:rPr>
        <w:t>BVPS</w:t>
      </w:r>
      <w:r w:rsidRPr="00732369">
        <w:rPr>
          <w:rFonts w:ascii="Arial" w:hAnsi="Arial" w:cs="Arial"/>
          <w:vertAlign w:val="subscript"/>
        </w:rPr>
        <w:t>kt</w:t>
      </w:r>
      <w:proofErr w:type="spellEnd"/>
      <w:r w:rsidRPr="00732369">
        <w:rPr>
          <w:rFonts w:ascii="Arial" w:hAnsi="Arial" w:cs="Arial"/>
        </w:rPr>
        <w:t xml:space="preserve"> = Book value of equity per share for firm k in the year t.</w:t>
      </w:r>
    </w:p>
    <w:p w14:paraId="75181084" w14:textId="77777777" w:rsidR="00AF5A41" w:rsidRPr="00732369" w:rsidRDefault="00AF5A41" w:rsidP="00732369">
      <w:pPr>
        <w:spacing w:line="480" w:lineRule="auto"/>
        <w:jc w:val="both"/>
        <w:rPr>
          <w:rFonts w:ascii="Arial" w:hAnsi="Arial" w:cs="Arial"/>
        </w:rPr>
      </w:pPr>
      <w:proofErr w:type="spellStart"/>
      <w:r w:rsidRPr="00732369">
        <w:rPr>
          <w:rFonts w:ascii="Arial" w:hAnsi="Arial" w:cs="Arial"/>
        </w:rPr>
        <w:t>e</w:t>
      </w:r>
      <w:r w:rsidRPr="00732369">
        <w:rPr>
          <w:rFonts w:ascii="Arial" w:hAnsi="Arial" w:cs="Arial"/>
          <w:vertAlign w:val="subscript"/>
        </w:rPr>
        <w:t>kt</w:t>
      </w:r>
      <w:proofErr w:type="spellEnd"/>
      <w:r w:rsidRPr="00732369">
        <w:rPr>
          <w:rFonts w:ascii="Arial" w:hAnsi="Arial" w:cs="Arial"/>
        </w:rPr>
        <w:t xml:space="preserve"> = Error term for firm k in the year t.</w:t>
      </w:r>
    </w:p>
    <w:p w14:paraId="373E9682" w14:textId="77777777" w:rsidR="00790ADA" w:rsidRPr="00732369" w:rsidRDefault="00AF5A41" w:rsidP="00732369">
      <w:pPr>
        <w:spacing w:line="480" w:lineRule="auto"/>
        <w:jc w:val="both"/>
        <w:rPr>
          <w:rFonts w:ascii="Arial" w:hAnsi="Arial" w:cs="Arial"/>
        </w:rPr>
      </w:pPr>
      <w:r w:rsidRPr="00732369">
        <w:rPr>
          <w:rFonts w:ascii="Arial" w:hAnsi="Arial" w:cs="Arial"/>
        </w:rPr>
        <w:t>The first model is the price regression model, which was proposed by Ohlson (1995). The second model is applied to determine the individual value relevance of EPS (Earnings per Share). The third model is applied to find the individual value relevance of BVPS (Book Value per Share). The first model is used to measure the value relevance of EPS and BVPS combined. The second and third models are the decomposition of the first model to find out how much variation of the stock price is explained by each variable.</w:t>
      </w:r>
    </w:p>
    <w:p w14:paraId="7720CB1F" w14:textId="77777777" w:rsidR="00AF5A41" w:rsidRPr="00732369" w:rsidRDefault="00AF5A41" w:rsidP="00732369">
      <w:pPr>
        <w:spacing w:line="480" w:lineRule="auto"/>
        <w:jc w:val="both"/>
        <w:rPr>
          <w:rFonts w:ascii="Arial" w:hAnsi="Arial" w:cs="Arial"/>
        </w:rPr>
      </w:pPr>
    </w:p>
    <w:p w14:paraId="401D528E" w14:textId="77777777" w:rsidR="00790ADA" w:rsidRPr="00732369" w:rsidRDefault="00217DC8" w:rsidP="00732369">
      <w:pPr>
        <w:pStyle w:val="Head1"/>
        <w:spacing w:after="0" w:line="480" w:lineRule="auto"/>
        <w:jc w:val="both"/>
        <w:rPr>
          <w:rFonts w:ascii="Arial" w:hAnsi="Arial" w:cs="Arial"/>
        </w:rPr>
      </w:pPr>
      <w:r w:rsidRPr="00732369">
        <w:rPr>
          <w:rFonts w:ascii="Arial" w:hAnsi="Arial" w:cs="Arial"/>
        </w:rPr>
        <w:lastRenderedPageBreak/>
        <w:t>3. DATA ANALYSIS AND INTERPRETATIONS</w:t>
      </w:r>
    </w:p>
    <w:p w14:paraId="3FF4F9D0" w14:textId="77777777" w:rsidR="005166BB" w:rsidRPr="00732369" w:rsidRDefault="00D653C8" w:rsidP="00732369">
      <w:pPr>
        <w:pStyle w:val="NormalWeb"/>
        <w:spacing w:line="480" w:lineRule="auto"/>
        <w:jc w:val="both"/>
        <w:rPr>
          <w:rFonts w:ascii="Arial" w:hAnsi="Arial" w:cs="Arial"/>
          <w:sz w:val="20"/>
        </w:rPr>
      </w:pPr>
      <w:r w:rsidRPr="00732369">
        <w:rPr>
          <w:rFonts w:ascii="Arial" w:hAnsi="Arial" w:cs="Arial"/>
          <w:sz w:val="20"/>
        </w:rPr>
        <w:t>Based on the outlined methodology, regression analysis was performed on the collected data to examine the value relevance of EPS and BVPS. The regression analysis results and interpretations are presented in this section.</w:t>
      </w:r>
    </w:p>
    <w:p w14:paraId="34206D71" w14:textId="77777777" w:rsidR="004676B5" w:rsidRPr="00732369" w:rsidRDefault="004676B5" w:rsidP="00732369">
      <w:pPr>
        <w:pStyle w:val="NormalWeb"/>
        <w:spacing w:line="480" w:lineRule="auto"/>
        <w:jc w:val="both"/>
        <w:rPr>
          <w:rFonts w:ascii="Arial" w:hAnsi="Arial" w:cs="Arial"/>
          <w:b/>
          <w:sz w:val="20"/>
        </w:rPr>
      </w:pPr>
      <w:r w:rsidRPr="00732369">
        <w:rPr>
          <w:rFonts w:ascii="Arial" w:hAnsi="Arial" w:cs="Arial"/>
          <w:b/>
          <w:color w:val="000000"/>
          <w:sz w:val="22"/>
          <w:szCs w:val="22"/>
        </w:rPr>
        <w:t>Table 1. Descriptive Statistics of Study Variables</w:t>
      </w:r>
    </w:p>
    <w:tbl>
      <w:tblPr>
        <w:tblW w:w="0" w:type="auto"/>
        <w:tblCellMar>
          <w:top w:w="15" w:type="dxa"/>
          <w:left w:w="15" w:type="dxa"/>
          <w:bottom w:w="15" w:type="dxa"/>
          <w:right w:w="15" w:type="dxa"/>
        </w:tblCellMar>
        <w:tblLook w:val="04A0" w:firstRow="1" w:lastRow="0" w:firstColumn="1" w:lastColumn="0" w:noHBand="0" w:noVBand="1"/>
      </w:tblPr>
      <w:tblGrid>
        <w:gridCol w:w="1009"/>
        <w:gridCol w:w="1509"/>
        <w:gridCol w:w="1026"/>
        <w:gridCol w:w="1086"/>
        <w:gridCol w:w="1108"/>
        <w:gridCol w:w="1153"/>
      </w:tblGrid>
      <w:tr w:rsidR="004676B5" w:rsidRPr="00732369" w14:paraId="1F4B0508" w14:textId="77777777" w:rsidTr="00940DE1">
        <w:tc>
          <w:tcPr>
            <w:tcW w:w="0" w:type="auto"/>
            <w:tcMar>
              <w:top w:w="0" w:type="dxa"/>
              <w:left w:w="115" w:type="dxa"/>
              <w:bottom w:w="0" w:type="dxa"/>
              <w:right w:w="115" w:type="dxa"/>
            </w:tcMar>
            <w:hideMark/>
          </w:tcPr>
          <w:p w14:paraId="5B134976" w14:textId="77777777" w:rsidR="004676B5" w:rsidRPr="00732369" w:rsidRDefault="004676B5" w:rsidP="00732369">
            <w:pPr>
              <w:pStyle w:val="NormalWeb"/>
              <w:spacing w:before="0" w:beforeAutospacing="0" w:after="200" w:afterAutospacing="0" w:line="480" w:lineRule="auto"/>
              <w:rPr>
                <w:rFonts w:ascii="Arial" w:hAnsi="Arial" w:cs="Arial"/>
                <w:b/>
                <w:sz w:val="20"/>
              </w:rPr>
            </w:pPr>
            <w:r w:rsidRPr="00732369">
              <w:rPr>
                <w:rFonts w:ascii="Arial" w:hAnsi="Arial" w:cs="Arial"/>
                <w:b/>
                <w:color w:val="000000"/>
                <w:sz w:val="20"/>
                <w:szCs w:val="22"/>
              </w:rPr>
              <w:t>Variable</w:t>
            </w:r>
          </w:p>
        </w:tc>
        <w:tc>
          <w:tcPr>
            <w:tcW w:w="0" w:type="auto"/>
            <w:tcMar>
              <w:top w:w="0" w:type="dxa"/>
              <w:left w:w="115" w:type="dxa"/>
              <w:bottom w:w="0" w:type="dxa"/>
              <w:right w:w="115" w:type="dxa"/>
            </w:tcMar>
            <w:hideMark/>
          </w:tcPr>
          <w:p w14:paraId="0DF623AA" w14:textId="77777777" w:rsidR="004676B5" w:rsidRPr="00732369" w:rsidRDefault="004676B5" w:rsidP="00732369">
            <w:pPr>
              <w:pStyle w:val="NormalWeb"/>
              <w:spacing w:before="0" w:beforeAutospacing="0" w:after="200" w:afterAutospacing="0" w:line="480" w:lineRule="auto"/>
              <w:rPr>
                <w:rFonts w:ascii="Arial" w:hAnsi="Arial" w:cs="Arial"/>
                <w:b/>
                <w:sz w:val="20"/>
              </w:rPr>
            </w:pPr>
            <w:r w:rsidRPr="00732369">
              <w:rPr>
                <w:rFonts w:ascii="Arial" w:hAnsi="Arial" w:cs="Arial"/>
                <w:b/>
                <w:color w:val="000000"/>
                <w:sz w:val="20"/>
                <w:szCs w:val="22"/>
              </w:rPr>
              <w:t>Observations</w:t>
            </w:r>
          </w:p>
        </w:tc>
        <w:tc>
          <w:tcPr>
            <w:tcW w:w="0" w:type="auto"/>
            <w:tcMar>
              <w:top w:w="0" w:type="dxa"/>
              <w:left w:w="115" w:type="dxa"/>
              <w:bottom w:w="0" w:type="dxa"/>
              <w:right w:w="115" w:type="dxa"/>
            </w:tcMar>
            <w:hideMark/>
          </w:tcPr>
          <w:p w14:paraId="36C2E489" w14:textId="77777777" w:rsidR="004676B5" w:rsidRPr="00732369" w:rsidRDefault="004676B5" w:rsidP="00732369">
            <w:pPr>
              <w:pStyle w:val="NormalWeb"/>
              <w:spacing w:before="0" w:beforeAutospacing="0" w:after="200" w:afterAutospacing="0" w:line="480" w:lineRule="auto"/>
              <w:rPr>
                <w:rFonts w:ascii="Arial" w:hAnsi="Arial" w:cs="Arial"/>
                <w:b/>
                <w:sz w:val="20"/>
              </w:rPr>
            </w:pPr>
            <w:r w:rsidRPr="00732369">
              <w:rPr>
                <w:rFonts w:ascii="Arial" w:hAnsi="Arial" w:cs="Arial"/>
                <w:b/>
                <w:color w:val="000000"/>
                <w:sz w:val="20"/>
                <w:szCs w:val="22"/>
              </w:rPr>
              <w:t>Mean</w:t>
            </w:r>
          </w:p>
        </w:tc>
        <w:tc>
          <w:tcPr>
            <w:tcW w:w="0" w:type="auto"/>
            <w:tcMar>
              <w:top w:w="0" w:type="dxa"/>
              <w:left w:w="115" w:type="dxa"/>
              <w:bottom w:w="0" w:type="dxa"/>
              <w:right w:w="115" w:type="dxa"/>
            </w:tcMar>
            <w:hideMark/>
          </w:tcPr>
          <w:p w14:paraId="6DC622F3" w14:textId="77777777" w:rsidR="004676B5" w:rsidRPr="00732369" w:rsidRDefault="004676B5" w:rsidP="00732369">
            <w:pPr>
              <w:pStyle w:val="NormalWeb"/>
              <w:spacing w:before="0" w:beforeAutospacing="0" w:after="200" w:afterAutospacing="0" w:line="480" w:lineRule="auto"/>
              <w:rPr>
                <w:rFonts w:ascii="Arial" w:hAnsi="Arial" w:cs="Arial"/>
                <w:b/>
                <w:sz w:val="20"/>
              </w:rPr>
            </w:pPr>
            <w:r w:rsidRPr="00732369">
              <w:rPr>
                <w:rFonts w:ascii="Arial" w:hAnsi="Arial" w:cs="Arial"/>
                <w:b/>
                <w:color w:val="000000"/>
                <w:sz w:val="20"/>
                <w:szCs w:val="22"/>
              </w:rPr>
              <w:t>Std. Dev.</w:t>
            </w:r>
          </w:p>
        </w:tc>
        <w:tc>
          <w:tcPr>
            <w:tcW w:w="0" w:type="auto"/>
            <w:tcMar>
              <w:top w:w="0" w:type="dxa"/>
              <w:left w:w="115" w:type="dxa"/>
              <w:bottom w:w="0" w:type="dxa"/>
              <w:right w:w="115" w:type="dxa"/>
            </w:tcMar>
            <w:hideMark/>
          </w:tcPr>
          <w:p w14:paraId="6537B38B" w14:textId="77777777" w:rsidR="004676B5" w:rsidRPr="00732369" w:rsidRDefault="004676B5" w:rsidP="00732369">
            <w:pPr>
              <w:pStyle w:val="NormalWeb"/>
              <w:spacing w:before="0" w:beforeAutospacing="0" w:after="200" w:afterAutospacing="0" w:line="480" w:lineRule="auto"/>
              <w:rPr>
                <w:rFonts w:ascii="Arial" w:hAnsi="Arial" w:cs="Arial"/>
                <w:b/>
                <w:sz w:val="20"/>
              </w:rPr>
            </w:pPr>
            <w:r w:rsidRPr="00732369">
              <w:rPr>
                <w:rFonts w:ascii="Arial" w:hAnsi="Arial" w:cs="Arial"/>
                <w:b/>
                <w:color w:val="000000"/>
                <w:sz w:val="20"/>
                <w:szCs w:val="22"/>
              </w:rPr>
              <w:t>Minimum</w:t>
            </w:r>
          </w:p>
        </w:tc>
        <w:tc>
          <w:tcPr>
            <w:tcW w:w="0" w:type="auto"/>
            <w:tcMar>
              <w:top w:w="0" w:type="dxa"/>
              <w:left w:w="115" w:type="dxa"/>
              <w:bottom w:w="0" w:type="dxa"/>
              <w:right w:w="115" w:type="dxa"/>
            </w:tcMar>
            <w:hideMark/>
          </w:tcPr>
          <w:p w14:paraId="24EFD1A9" w14:textId="77777777" w:rsidR="004676B5" w:rsidRPr="00732369" w:rsidRDefault="004676B5" w:rsidP="00732369">
            <w:pPr>
              <w:pStyle w:val="NormalWeb"/>
              <w:spacing w:before="0" w:beforeAutospacing="0" w:after="200" w:afterAutospacing="0" w:line="480" w:lineRule="auto"/>
              <w:rPr>
                <w:rFonts w:ascii="Arial" w:hAnsi="Arial" w:cs="Arial"/>
                <w:b/>
                <w:sz w:val="20"/>
              </w:rPr>
            </w:pPr>
            <w:r w:rsidRPr="00732369">
              <w:rPr>
                <w:rFonts w:ascii="Arial" w:hAnsi="Arial" w:cs="Arial"/>
                <w:b/>
                <w:color w:val="000000"/>
                <w:sz w:val="20"/>
                <w:szCs w:val="22"/>
              </w:rPr>
              <w:t>Maximum</w:t>
            </w:r>
          </w:p>
        </w:tc>
      </w:tr>
      <w:tr w:rsidR="004676B5" w:rsidRPr="00732369" w14:paraId="57DDAF17" w14:textId="77777777" w:rsidTr="00940DE1">
        <w:tc>
          <w:tcPr>
            <w:tcW w:w="0" w:type="auto"/>
            <w:tcMar>
              <w:top w:w="0" w:type="dxa"/>
              <w:left w:w="115" w:type="dxa"/>
              <w:bottom w:w="0" w:type="dxa"/>
              <w:right w:w="115" w:type="dxa"/>
            </w:tcMar>
            <w:hideMark/>
          </w:tcPr>
          <w:p w14:paraId="1C0CC612" w14:textId="77777777" w:rsidR="004676B5" w:rsidRPr="00732369" w:rsidRDefault="00CB47F6"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sz w:val="20"/>
                <w:szCs w:val="20"/>
              </w:rPr>
              <w:t>MP</w:t>
            </w:r>
            <w:r w:rsidR="008A553F" w:rsidRPr="00732369">
              <w:rPr>
                <w:rFonts w:ascii="Arial" w:hAnsi="Arial" w:cs="Arial"/>
                <w:sz w:val="20"/>
                <w:szCs w:val="20"/>
              </w:rPr>
              <w:t>S</w:t>
            </w:r>
          </w:p>
        </w:tc>
        <w:tc>
          <w:tcPr>
            <w:tcW w:w="0" w:type="auto"/>
            <w:tcMar>
              <w:top w:w="0" w:type="dxa"/>
              <w:left w:w="115" w:type="dxa"/>
              <w:bottom w:w="0" w:type="dxa"/>
              <w:right w:w="115" w:type="dxa"/>
            </w:tcMar>
            <w:hideMark/>
          </w:tcPr>
          <w:p w14:paraId="311762ED" w14:textId="77777777"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216</w:t>
            </w:r>
          </w:p>
        </w:tc>
        <w:tc>
          <w:tcPr>
            <w:tcW w:w="0" w:type="auto"/>
            <w:tcMar>
              <w:top w:w="0" w:type="dxa"/>
              <w:left w:w="115" w:type="dxa"/>
              <w:bottom w:w="0" w:type="dxa"/>
              <w:right w:w="115" w:type="dxa"/>
            </w:tcMar>
            <w:hideMark/>
          </w:tcPr>
          <w:p w14:paraId="693AF563" w14:textId="77777777"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1952.66</w:t>
            </w:r>
          </w:p>
        </w:tc>
        <w:tc>
          <w:tcPr>
            <w:tcW w:w="0" w:type="auto"/>
            <w:tcMar>
              <w:top w:w="0" w:type="dxa"/>
              <w:left w:w="115" w:type="dxa"/>
              <w:bottom w:w="0" w:type="dxa"/>
              <w:right w:w="115" w:type="dxa"/>
            </w:tcMar>
            <w:hideMark/>
          </w:tcPr>
          <w:p w14:paraId="15E4C842" w14:textId="77777777"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2274.46</w:t>
            </w:r>
          </w:p>
        </w:tc>
        <w:tc>
          <w:tcPr>
            <w:tcW w:w="0" w:type="auto"/>
            <w:tcMar>
              <w:top w:w="0" w:type="dxa"/>
              <w:left w:w="115" w:type="dxa"/>
              <w:bottom w:w="0" w:type="dxa"/>
              <w:right w:w="115" w:type="dxa"/>
            </w:tcMar>
            <w:hideMark/>
          </w:tcPr>
          <w:p w14:paraId="04E35808" w14:textId="77777777"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68.30</w:t>
            </w:r>
          </w:p>
        </w:tc>
        <w:tc>
          <w:tcPr>
            <w:tcW w:w="0" w:type="auto"/>
            <w:tcMar>
              <w:top w:w="0" w:type="dxa"/>
              <w:left w:w="115" w:type="dxa"/>
              <w:bottom w:w="0" w:type="dxa"/>
              <w:right w:w="115" w:type="dxa"/>
            </w:tcMar>
            <w:hideMark/>
          </w:tcPr>
          <w:p w14:paraId="20B4EC65" w14:textId="77777777"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12600.35</w:t>
            </w:r>
          </w:p>
        </w:tc>
      </w:tr>
      <w:tr w:rsidR="004676B5" w:rsidRPr="00732369" w14:paraId="1BFC039F" w14:textId="77777777" w:rsidTr="00940DE1">
        <w:tc>
          <w:tcPr>
            <w:tcW w:w="0" w:type="auto"/>
            <w:tcMar>
              <w:top w:w="0" w:type="dxa"/>
              <w:left w:w="115" w:type="dxa"/>
              <w:bottom w:w="0" w:type="dxa"/>
              <w:right w:w="115" w:type="dxa"/>
            </w:tcMar>
            <w:hideMark/>
          </w:tcPr>
          <w:p w14:paraId="6E92DB5F" w14:textId="77777777"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EPS</w:t>
            </w:r>
          </w:p>
        </w:tc>
        <w:tc>
          <w:tcPr>
            <w:tcW w:w="0" w:type="auto"/>
            <w:tcMar>
              <w:top w:w="0" w:type="dxa"/>
              <w:left w:w="115" w:type="dxa"/>
              <w:bottom w:w="0" w:type="dxa"/>
              <w:right w:w="115" w:type="dxa"/>
            </w:tcMar>
            <w:hideMark/>
          </w:tcPr>
          <w:p w14:paraId="12F6B96F" w14:textId="77777777"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216</w:t>
            </w:r>
          </w:p>
        </w:tc>
        <w:tc>
          <w:tcPr>
            <w:tcW w:w="0" w:type="auto"/>
            <w:tcMar>
              <w:top w:w="0" w:type="dxa"/>
              <w:left w:w="115" w:type="dxa"/>
              <w:bottom w:w="0" w:type="dxa"/>
              <w:right w:w="115" w:type="dxa"/>
            </w:tcMar>
            <w:hideMark/>
          </w:tcPr>
          <w:p w14:paraId="1E349CC9" w14:textId="77777777"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64.62</w:t>
            </w:r>
          </w:p>
        </w:tc>
        <w:tc>
          <w:tcPr>
            <w:tcW w:w="0" w:type="auto"/>
            <w:tcMar>
              <w:top w:w="0" w:type="dxa"/>
              <w:left w:w="115" w:type="dxa"/>
              <w:bottom w:w="0" w:type="dxa"/>
              <w:right w:w="115" w:type="dxa"/>
            </w:tcMar>
            <w:hideMark/>
          </w:tcPr>
          <w:p w14:paraId="636F8D1B" w14:textId="77777777"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73.08</w:t>
            </w:r>
          </w:p>
        </w:tc>
        <w:tc>
          <w:tcPr>
            <w:tcW w:w="0" w:type="auto"/>
            <w:tcMar>
              <w:top w:w="0" w:type="dxa"/>
              <w:left w:w="115" w:type="dxa"/>
              <w:bottom w:w="0" w:type="dxa"/>
              <w:right w:w="115" w:type="dxa"/>
            </w:tcMar>
            <w:hideMark/>
          </w:tcPr>
          <w:p w14:paraId="49852697" w14:textId="77777777"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-46.75</w:t>
            </w:r>
          </w:p>
        </w:tc>
        <w:tc>
          <w:tcPr>
            <w:tcW w:w="0" w:type="auto"/>
            <w:tcMar>
              <w:top w:w="0" w:type="dxa"/>
              <w:left w:w="115" w:type="dxa"/>
              <w:bottom w:w="0" w:type="dxa"/>
              <w:right w:w="115" w:type="dxa"/>
            </w:tcMar>
            <w:hideMark/>
          </w:tcPr>
          <w:p w14:paraId="14264A45" w14:textId="77777777"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452.94</w:t>
            </w:r>
          </w:p>
        </w:tc>
      </w:tr>
      <w:tr w:rsidR="004676B5" w:rsidRPr="00732369" w14:paraId="3AF58633" w14:textId="77777777" w:rsidTr="00940DE1">
        <w:tc>
          <w:tcPr>
            <w:tcW w:w="0" w:type="auto"/>
            <w:tcMar>
              <w:top w:w="0" w:type="dxa"/>
              <w:left w:w="115" w:type="dxa"/>
              <w:bottom w:w="0" w:type="dxa"/>
              <w:right w:w="115" w:type="dxa"/>
            </w:tcMar>
            <w:hideMark/>
          </w:tcPr>
          <w:p w14:paraId="2E23BA56" w14:textId="77777777"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B</w:t>
            </w:r>
            <w:r w:rsidR="008A553F" w:rsidRPr="00732369">
              <w:rPr>
                <w:rFonts w:ascii="Arial" w:hAnsi="Arial" w:cs="Arial"/>
                <w:color w:val="000000"/>
                <w:sz w:val="22"/>
                <w:szCs w:val="22"/>
              </w:rPr>
              <w:t>VPS</w:t>
            </w:r>
          </w:p>
        </w:tc>
        <w:tc>
          <w:tcPr>
            <w:tcW w:w="0" w:type="auto"/>
            <w:tcMar>
              <w:top w:w="0" w:type="dxa"/>
              <w:left w:w="115" w:type="dxa"/>
              <w:bottom w:w="0" w:type="dxa"/>
              <w:right w:w="115" w:type="dxa"/>
            </w:tcMar>
            <w:hideMark/>
          </w:tcPr>
          <w:p w14:paraId="2BB04B56" w14:textId="77777777"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216</w:t>
            </w:r>
          </w:p>
        </w:tc>
        <w:tc>
          <w:tcPr>
            <w:tcW w:w="0" w:type="auto"/>
            <w:tcMar>
              <w:top w:w="0" w:type="dxa"/>
              <w:left w:w="115" w:type="dxa"/>
              <w:bottom w:w="0" w:type="dxa"/>
              <w:right w:w="115" w:type="dxa"/>
            </w:tcMar>
            <w:hideMark/>
          </w:tcPr>
          <w:p w14:paraId="2546F0C5" w14:textId="77777777"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395.12</w:t>
            </w:r>
          </w:p>
        </w:tc>
        <w:tc>
          <w:tcPr>
            <w:tcW w:w="0" w:type="auto"/>
            <w:tcMar>
              <w:top w:w="0" w:type="dxa"/>
              <w:left w:w="115" w:type="dxa"/>
              <w:bottom w:w="0" w:type="dxa"/>
              <w:right w:w="115" w:type="dxa"/>
            </w:tcMar>
            <w:hideMark/>
          </w:tcPr>
          <w:p w14:paraId="2D8F76D5" w14:textId="77777777"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456.64</w:t>
            </w:r>
          </w:p>
        </w:tc>
        <w:tc>
          <w:tcPr>
            <w:tcW w:w="0" w:type="auto"/>
            <w:tcMar>
              <w:top w:w="0" w:type="dxa"/>
              <w:left w:w="115" w:type="dxa"/>
              <w:bottom w:w="0" w:type="dxa"/>
              <w:right w:w="115" w:type="dxa"/>
            </w:tcMar>
            <w:hideMark/>
          </w:tcPr>
          <w:p w14:paraId="73CE84DE" w14:textId="77777777"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25.41</w:t>
            </w:r>
          </w:p>
        </w:tc>
        <w:tc>
          <w:tcPr>
            <w:tcW w:w="0" w:type="auto"/>
            <w:tcMar>
              <w:top w:w="0" w:type="dxa"/>
              <w:left w:w="115" w:type="dxa"/>
              <w:bottom w:w="0" w:type="dxa"/>
              <w:right w:w="115" w:type="dxa"/>
            </w:tcMar>
            <w:hideMark/>
          </w:tcPr>
          <w:p w14:paraId="54CC4164" w14:textId="77777777" w:rsidR="004676B5"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2871.99</w:t>
            </w:r>
          </w:p>
        </w:tc>
      </w:tr>
    </w:tbl>
    <w:p w14:paraId="782A2971" w14:textId="77777777" w:rsidR="004253C7" w:rsidRPr="00732369" w:rsidRDefault="004253C7" w:rsidP="00732369">
      <w:pPr>
        <w:pBdr>
          <w:top w:val="nil"/>
          <w:left w:val="nil"/>
          <w:bottom w:val="nil"/>
          <w:right w:val="nil"/>
          <w:between w:val="nil"/>
        </w:pBdr>
        <w:spacing w:line="480" w:lineRule="auto"/>
        <w:jc w:val="both"/>
        <w:rPr>
          <w:rFonts w:ascii="Arial" w:hAnsi="Arial" w:cs="Arial"/>
          <w:i/>
          <w:color w:val="000000"/>
          <w:sz w:val="18"/>
        </w:rPr>
      </w:pPr>
      <w:r w:rsidRPr="00732369">
        <w:rPr>
          <w:rFonts w:ascii="Arial" w:hAnsi="Arial" w:cs="Arial"/>
          <w:i/>
          <w:color w:val="000000"/>
          <w:sz w:val="18"/>
        </w:rPr>
        <w:t>Source: Author’s own computation using STATA</w:t>
      </w:r>
    </w:p>
    <w:p w14:paraId="0484C8DE" w14:textId="77777777" w:rsidR="00CB47F6" w:rsidRPr="00732369" w:rsidRDefault="004676B5" w:rsidP="00732369">
      <w:pPr>
        <w:pStyle w:val="NormalWeb"/>
        <w:spacing w:before="0" w:beforeAutospacing="0" w:after="200" w:afterAutospacing="0" w:line="480" w:lineRule="auto"/>
        <w:rPr>
          <w:rFonts w:ascii="Arial" w:hAnsi="Arial" w:cs="Arial"/>
        </w:rPr>
      </w:pPr>
      <w:r w:rsidRPr="00732369">
        <w:rPr>
          <w:rFonts w:ascii="Arial" w:hAnsi="Arial" w:cs="Arial"/>
          <w:color w:val="000000"/>
          <w:sz w:val="22"/>
          <w:szCs w:val="22"/>
        </w:rPr>
        <w:t xml:space="preserve">Note: </w:t>
      </w:r>
      <w:r w:rsidR="008A553F" w:rsidRPr="00732369">
        <w:rPr>
          <w:rFonts w:ascii="Arial" w:hAnsi="Arial" w:cs="Arial"/>
          <w:sz w:val="20"/>
          <w:szCs w:val="20"/>
        </w:rPr>
        <w:t>MPS</w:t>
      </w:r>
      <w:r w:rsidR="008A553F" w:rsidRPr="00732369">
        <w:rPr>
          <w:rFonts w:ascii="Arial" w:hAnsi="Arial" w:cs="Arial"/>
          <w:color w:val="000000"/>
          <w:sz w:val="22"/>
          <w:szCs w:val="22"/>
        </w:rPr>
        <w:t xml:space="preserve"> = Market Price per Share; </w:t>
      </w:r>
      <w:r w:rsidRPr="00732369">
        <w:rPr>
          <w:rFonts w:ascii="Arial" w:hAnsi="Arial" w:cs="Arial"/>
          <w:color w:val="000000"/>
          <w:sz w:val="22"/>
          <w:szCs w:val="22"/>
        </w:rPr>
        <w:t>EPS = Earnings per Share; BVPS = Book Value per Share.</w:t>
      </w:r>
    </w:p>
    <w:p w14:paraId="751AA704" w14:textId="77777777" w:rsidR="00CB47F6" w:rsidRPr="00732369" w:rsidRDefault="00CB47F6" w:rsidP="00732369">
      <w:pPr>
        <w:pStyle w:val="NormalWeb"/>
        <w:spacing w:before="0" w:beforeAutospacing="0" w:after="0" w:afterAutospacing="0" w:line="480" w:lineRule="auto"/>
        <w:jc w:val="both"/>
        <w:rPr>
          <w:rFonts w:ascii="Arial" w:hAnsi="Arial" w:cs="Arial"/>
          <w:sz w:val="22"/>
        </w:rPr>
      </w:pPr>
      <w:r w:rsidRPr="00732369">
        <w:rPr>
          <w:rFonts w:ascii="Arial" w:hAnsi="Arial" w:cs="Arial"/>
          <w:color w:val="000000"/>
          <w:sz w:val="20"/>
          <w:szCs w:val="22"/>
        </w:rPr>
        <w:t>The descriptive statistics of the study variables are presented in (Tab</w:t>
      </w:r>
      <w:r w:rsidR="008A553F" w:rsidRPr="00732369">
        <w:rPr>
          <w:rFonts w:ascii="Arial" w:hAnsi="Arial" w:cs="Arial"/>
          <w:color w:val="000000"/>
          <w:sz w:val="20"/>
          <w:szCs w:val="22"/>
        </w:rPr>
        <w:t xml:space="preserve">le 1). The mean </w:t>
      </w:r>
      <w:r w:rsidR="008A553F" w:rsidRPr="00732369">
        <w:rPr>
          <w:rFonts w:ascii="Arial" w:hAnsi="Arial" w:cs="Arial"/>
          <w:sz w:val="20"/>
          <w:szCs w:val="20"/>
        </w:rPr>
        <w:t>MPS</w:t>
      </w:r>
      <w:r w:rsidRPr="00732369">
        <w:rPr>
          <w:rFonts w:ascii="Arial" w:hAnsi="Arial" w:cs="Arial"/>
          <w:color w:val="000000"/>
          <w:sz w:val="20"/>
          <w:szCs w:val="22"/>
        </w:rPr>
        <w:t xml:space="preserve"> of the sampled firms is 1952.66 with a standard deviation of 2274.46, indicating considerable variation in stock prices across the firms during the study period. The average earnings per share (EPS) is 64.62, while the average book value per share (BVPS) is 395.12. The minimum EPS value is −46.75, suggesting that some firms experienced negative earnings during certain periods. Overall, the descriptive statistics indicate substantial variabil</w:t>
      </w:r>
      <w:r w:rsidR="008A553F" w:rsidRPr="00732369">
        <w:rPr>
          <w:rFonts w:ascii="Arial" w:hAnsi="Arial" w:cs="Arial"/>
          <w:color w:val="000000"/>
          <w:sz w:val="20"/>
          <w:szCs w:val="22"/>
        </w:rPr>
        <w:t>ity in the accounting information</w:t>
      </w:r>
      <w:r w:rsidRPr="00732369">
        <w:rPr>
          <w:rFonts w:ascii="Arial" w:hAnsi="Arial" w:cs="Arial"/>
          <w:color w:val="000000"/>
          <w:sz w:val="20"/>
          <w:szCs w:val="22"/>
        </w:rPr>
        <w:t xml:space="preserve"> and market valuation of the sampled firms.</w:t>
      </w:r>
    </w:p>
    <w:p w14:paraId="1A863167" w14:textId="77777777" w:rsidR="004676B5" w:rsidRPr="00732369" w:rsidRDefault="004676B5" w:rsidP="00732369">
      <w:pPr>
        <w:pStyle w:val="NormalWeb"/>
        <w:spacing w:before="0" w:beforeAutospacing="0" w:after="200" w:afterAutospacing="0" w:line="480" w:lineRule="auto"/>
        <w:rPr>
          <w:rFonts w:ascii="Arial" w:hAnsi="Arial" w:cs="Arial"/>
          <w:b/>
          <w:sz w:val="22"/>
          <w:szCs w:val="20"/>
        </w:rPr>
      </w:pPr>
      <w:r w:rsidRPr="00732369">
        <w:rPr>
          <w:rFonts w:ascii="Arial" w:hAnsi="Arial" w:cs="Arial"/>
          <w:b/>
          <w:color w:val="000000"/>
          <w:sz w:val="22"/>
          <w:szCs w:val="20"/>
        </w:rPr>
        <w:t>Table 2. Correlation Matrix</w:t>
      </w:r>
    </w:p>
    <w:tbl>
      <w:tblPr>
        <w:tblpPr w:leftFromText="180" w:rightFromText="180" w:vertAnchor="text" w:tblpY="1"/>
        <w:tblOverlap w:val="never"/>
        <w:tblW w:w="0" w:type="auto"/>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9"/>
        <w:gridCol w:w="731"/>
        <w:gridCol w:w="731"/>
        <w:gridCol w:w="775"/>
      </w:tblGrid>
      <w:tr w:rsidR="004676B5" w:rsidRPr="00732369" w14:paraId="36DD6852" w14:textId="77777777" w:rsidTr="001B3C51">
        <w:tc>
          <w:tcPr>
            <w:tcW w:w="0" w:type="auto"/>
            <w:tcMar>
              <w:top w:w="0" w:type="dxa"/>
              <w:left w:w="115" w:type="dxa"/>
              <w:bottom w:w="0" w:type="dxa"/>
              <w:right w:w="115" w:type="dxa"/>
            </w:tcMar>
            <w:hideMark/>
          </w:tcPr>
          <w:p w14:paraId="2921F417" w14:textId="77777777" w:rsidR="004676B5" w:rsidRPr="00732369" w:rsidRDefault="004676B5" w:rsidP="00732369">
            <w:pPr>
              <w:pStyle w:val="NormalWeb"/>
              <w:spacing w:before="0" w:beforeAutospacing="0" w:after="200" w:afterAutospacing="0" w:line="480" w:lineRule="auto"/>
              <w:rPr>
                <w:rFonts w:ascii="Arial" w:hAnsi="Arial" w:cs="Arial"/>
                <w:b/>
                <w:sz w:val="20"/>
                <w:szCs w:val="20"/>
              </w:rPr>
            </w:pPr>
            <w:r w:rsidRPr="00732369">
              <w:rPr>
                <w:rFonts w:ascii="Arial" w:hAnsi="Arial" w:cs="Arial"/>
                <w:b/>
                <w:color w:val="000000"/>
                <w:sz w:val="20"/>
                <w:szCs w:val="20"/>
              </w:rPr>
              <w:t>Variable</w:t>
            </w:r>
          </w:p>
        </w:tc>
        <w:tc>
          <w:tcPr>
            <w:tcW w:w="0" w:type="auto"/>
            <w:tcMar>
              <w:top w:w="0" w:type="dxa"/>
              <w:left w:w="115" w:type="dxa"/>
              <w:bottom w:w="0" w:type="dxa"/>
              <w:right w:w="115" w:type="dxa"/>
            </w:tcMar>
            <w:hideMark/>
          </w:tcPr>
          <w:p w14:paraId="169DEEA0" w14:textId="77777777" w:rsidR="004676B5" w:rsidRPr="00732369" w:rsidRDefault="008A553F" w:rsidP="00732369">
            <w:pPr>
              <w:pStyle w:val="NormalWeb"/>
              <w:spacing w:before="0" w:beforeAutospacing="0" w:after="200" w:afterAutospacing="0" w:line="480" w:lineRule="auto"/>
              <w:rPr>
                <w:rFonts w:ascii="Arial" w:hAnsi="Arial" w:cs="Arial"/>
                <w:b/>
                <w:sz w:val="20"/>
                <w:szCs w:val="20"/>
              </w:rPr>
            </w:pPr>
            <w:r w:rsidRPr="00732369">
              <w:rPr>
                <w:rFonts w:ascii="Arial" w:hAnsi="Arial" w:cs="Arial"/>
                <w:b/>
                <w:sz w:val="20"/>
                <w:szCs w:val="20"/>
              </w:rPr>
              <w:t>MPS</w:t>
            </w:r>
          </w:p>
        </w:tc>
        <w:tc>
          <w:tcPr>
            <w:tcW w:w="0" w:type="auto"/>
            <w:tcMar>
              <w:top w:w="0" w:type="dxa"/>
              <w:left w:w="115" w:type="dxa"/>
              <w:bottom w:w="0" w:type="dxa"/>
              <w:right w:w="115" w:type="dxa"/>
            </w:tcMar>
            <w:hideMark/>
          </w:tcPr>
          <w:p w14:paraId="43D8228D" w14:textId="77777777" w:rsidR="004676B5" w:rsidRPr="00732369" w:rsidRDefault="004676B5" w:rsidP="00732369">
            <w:pPr>
              <w:pStyle w:val="NormalWeb"/>
              <w:spacing w:before="0" w:beforeAutospacing="0" w:after="200" w:afterAutospacing="0" w:line="480" w:lineRule="auto"/>
              <w:rPr>
                <w:rFonts w:ascii="Arial" w:hAnsi="Arial" w:cs="Arial"/>
                <w:b/>
                <w:sz w:val="20"/>
                <w:szCs w:val="20"/>
              </w:rPr>
            </w:pPr>
            <w:r w:rsidRPr="00732369">
              <w:rPr>
                <w:rFonts w:ascii="Arial" w:hAnsi="Arial" w:cs="Arial"/>
                <w:b/>
                <w:color w:val="000000"/>
                <w:sz w:val="20"/>
                <w:szCs w:val="20"/>
              </w:rPr>
              <w:t>EPS</w:t>
            </w:r>
          </w:p>
        </w:tc>
        <w:tc>
          <w:tcPr>
            <w:tcW w:w="0" w:type="auto"/>
            <w:tcMar>
              <w:top w:w="0" w:type="dxa"/>
              <w:left w:w="115" w:type="dxa"/>
              <w:bottom w:w="0" w:type="dxa"/>
              <w:right w:w="115" w:type="dxa"/>
            </w:tcMar>
            <w:hideMark/>
          </w:tcPr>
          <w:p w14:paraId="55B25E6D" w14:textId="77777777" w:rsidR="004676B5" w:rsidRPr="00732369" w:rsidRDefault="004676B5" w:rsidP="00732369">
            <w:pPr>
              <w:pStyle w:val="NormalWeb"/>
              <w:spacing w:before="0" w:beforeAutospacing="0" w:after="200" w:afterAutospacing="0" w:line="480" w:lineRule="auto"/>
              <w:rPr>
                <w:rFonts w:ascii="Arial" w:hAnsi="Arial" w:cs="Arial"/>
                <w:b/>
                <w:sz w:val="20"/>
                <w:szCs w:val="20"/>
              </w:rPr>
            </w:pPr>
            <w:r w:rsidRPr="00732369">
              <w:rPr>
                <w:rFonts w:ascii="Arial" w:hAnsi="Arial" w:cs="Arial"/>
                <w:b/>
                <w:color w:val="000000"/>
                <w:sz w:val="20"/>
                <w:szCs w:val="20"/>
              </w:rPr>
              <w:t>BVPS</w:t>
            </w:r>
          </w:p>
        </w:tc>
      </w:tr>
      <w:tr w:rsidR="004676B5" w:rsidRPr="00732369" w14:paraId="79CC2A1D" w14:textId="77777777" w:rsidTr="001B3C51">
        <w:tc>
          <w:tcPr>
            <w:tcW w:w="0" w:type="auto"/>
            <w:tcMar>
              <w:top w:w="0" w:type="dxa"/>
              <w:left w:w="115" w:type="dxa"/>
              <w:bottom w:w="0" w:type="dxa"/>
              <w:right w:w="115" w:type="dxa"/>
            </w:tcMar>
            <w:hideMark/>
          </w:tcPr>
          <w:p w14:paraId="66F7DAC4" w14:textId="77777777" w:rsidR="004676B5" w:rsidRPr="00732369" w:rsidRDefault="00CB47F6"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sz w:val="20"/>
                <w:szCs w:val="20"/>
              </w:rPr>
              <w:t>MP</w:t>
            </w:r>
          </w:p>
        </w:tc>
        <w:tc>
          <w:tcPr>
            <w:tcW w:w="0" w:type="auto"/>
            <w:tcMar>
              <w:top w:w="0" w:type="dxa"/>
              <w:left w:w="115" w:type="dxa"/>
              <w:bottom w:w="0" w:type="dxa"/>
              <w:right w:w="115" w:type="dxa"/>
            </w:tcMar>
            <w:hideMark/>
          </w:tcPr>
          <w:p w14:paraId="4D908E42" w14:textId="77777777"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1.000</w:t>
            </w:r>
          </w:p>
        </w:tc>
        <w:tc>
          <w:tcPr>
            <w:tcW w:w="0" w:type="auto"/>
            <w:tcMar>
              <w:top w:w="0" w:type="dxa"/>
              <w:left w:w="115" w:type="dxa"/>
              <w:bottom w:w="0" w:type="dxa"/>
              <w:right w:w="115" w:type="dxa"/>
            </w:tcMar>
            <w:hideMark/>
          </w:tcPr>
          <w:p w14:paraId="3DAE59E3" w14:textId="77777777"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 </w:t>
            </w:r>
          </w:p>
        </w:tc>
        <w:tc>
          <w:tcPr>
            <w:tcW w:w="0" w:type="auto"/>
            <w:tcMar>
              <w:top w:w="0" w:type="dxa"/>
              <w:left w:w="115" w:type="dxa"/>
              <w:bottom w:w="0" w:type="dxa"/>
              <w:right w:w="115" w:type="dxa"/>
            </w:tcMar>
            <w:hideMark/>
          </w:tcPr>
          <w:p w14:paraId="64BB201F" w14:textId="77777777"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 </w:t>
            </w:r>
          </w:p>
        </w:tc>
      </w:tr>
      <w:tr w:rsidR="004676B5" w:rsidRPr="00732369" w14:paraId="59DC9399" w14:textId="77777777" w:rsidTr="001B3C51">
        <w:tc>
          <w:tcPr>
            <w:tcW w:w="0" w:type="auto"/>
            <w:tcMar>
              <w:top w:w="0" w:type="dxa"/>
              <w:left w:w="115" w:type="dxa"/>
              <w:bottom w:w="0" w:type="dxa"/>
              <w:right w:w="115" w:type="dxa"/>
            </w:tcMar>
            <w:hideMark/>
          </w:tcPr>
          <w:p w14:paraId="2878871C" w14:textId="77777777"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lastRenderedPageBreak/>
              <w:t>EPS</w:t>
            </w:r>
          </w:p>
        </w:tc>
        <w:tc>
          <w:tcPr>
            <w:tcW w:w="0" w:type="auto"/>
            <w:tcMar>
              <w:top w:w="0" w:type="dxa"/>
              <w:left w:w="115" w:type="dxa"/>
              <w:bottom w:w="0" w:type="dxa"/>
              <w:right w:w="115" w:type="dxa"/>
            </w:tcMar>
            <w:hideMark/>
          </w:tcPr>
          <w:p w14:paraId="32E3F84B" w14:textId="77777777"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0.796</w:t>
            </w:r>
          </w:p>
        </w:tc>
        <w:tc>
          <w:tcPr>
            <w:tcW w:w="0" w:type="auto"/>
            <w:tcMar>
              <w:top w:w="0" w:type="dxa"/>
              <w:left w:w="115" w:type="dxa"/>
              <w:bottom w:w="0" w:type="dxa"/>
              <w:right w:w="115" w:type="dxa"/>
            </w:tcMar>
            <w:hideMark/>
          </w:tcPr>
          <w:p w14:paraId="6EB914C8" w14:textId="77777777"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1.000</w:t>
            </w:r>
          </w:p>
        </w:tc>
        <w:tc>
          <w:tcPr>
            <w:tcW w:w="0" w:type="auto"/>
            <w:tcMar>
              <w:top w:w="0" w:type="dxa"/>
              <w:left w:w="115" w:type="dxa"/>
              <w:bottom w:w="0" w:type="dxa"/>
              <w:right w:w="115" w:type="dxa"/>
            </w:tcMar>
            <w:hideMark/>
          </w:tcPr>
          <w:p w14:paraId="4D5F3E0F" w14:textId="77777777"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 </w:t>
            </w:r>
          </w:p>
        </w:tc>
      </w:tr>
      <w:tr w:rsidR="004676B5" w:rsidRPr="00732369" w14:paraId="71D768FF" w14:textId="77777777" w:rsidTr="001B3C51">
        <w:tc>
          <w:tcPr>
            <w:tcW w:w="0" w:type="auto"/>
            <w:tcMar>
              <w:top w:w="0" w:type="dxa"/>
              <w:left w:w="115" w:type="dxa"/>
              <w:bottom w:w="0" w:type="dxa"/>
              <w:right w:w="115" w:type="dxa"/>
            </w:tcMar>
            <w:hideMark/>
          </w:tcPr>
          <w:p w14:paraId="7E173FBA" w14:textId="77777777"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BVPS</w:t>
            </w:r>
          </w:p>
        </w:tc>
        <w:tc>
          <w:tcPr>
            <w:tcW w:w="0" w:type="auto"/>
            <w:tcMar>
              <w:top w:w="0" w:type="dxa"/>
              <w:left w:w="115" w:type="dxa"/>
              <w:bottom w:w="0" w:type="dxa"/>
              <w:right w:w="115" w:type="dxa"/>
            </w:tcMar>
            <w:hideMark/>
          </w:tcPr>
          <w:p w14:paraId="5CF4B908" w14:textId="77777777"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0.814</w:t>
            </w:r>
          </w:p>
        </w:tc>
        <w:tc>
          <w:tcPr>
            <w:tcW w:w="0" w:type="auto"/>
            <w:tcMar>
              <w:top w:w="0" w:type="dxa"/>
              <w:left w:w="115" w:type="dxa"/>
              <w:bottom w:w="0" w:type="dxa"/>
              <w:right w:w="115" w:type="dxa"/>
            </w:tcMar>
            <w:hideMark/>
          </w:tcPr>
          <w:p w14:paraId="336B487D" w14:textId="77777777"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0.766</w:t>
            </w:r>
          </w:p>
        </w:tc>
        <w:tc>
          <w:tcPr>
            <w:tcW w:w="0" w:type="auto"/>
            <w:tcMar>
              <w:top w:w="0" w:type="dxa"/>
              <w:left w:w="115" w:type="dxa"/>
              <w:bottom w:w="0" w:type="dxa"/>
              <w:right w:w="115" w:type="dxa"/>
            </w:tcMar>
            <w:hideMark/>
          </w:tcPr>
          <w:p w14:paraId="35C8C26C" w14:textId="77777777" w:rsidR="004676B5" w:rsidRPr="00732369" w:rsidRDefault="004676B5" w:rsidP="00732369">
            <w:pPr>
              <w:pStyle w:val="NormalWeb"/>
              <w:spacing w:before="0" w:beforeAutospacing="0" w:after="200" w:afterAutospacing="0" w:line="480" w:lineRule="auto"/>
              <w:rPr>
                <w:rFonts w:ascii="Arial" w:hAnsi="Arial" w:cs="Arial"/>
                <w:sz w:val="20"/>
                <w:szCs w:val="20"/>
              </w:rPr>
            </w:pPr>
            <w:r w:rsidRPr="00732369">
              <w:rPr>
                <w:rFonts w:ascii="Arial" w:hAnsi="Arial" w:cs="Arial"/>
                <w:color w:val="000000"/>
                <w:sz w:val="20"/>
                <w:szCs w:val="20"/>
              </w:rPr>
              <w:t>1.000</w:t>
            </w:r>
          </w:p>
        </w:tc>
      </w:tr>
      <w:tr w:rsidR="004253C7" w:rsidRPr="00732369" w14:paraId="79E85872" w14:textId="77777777" w:rsidTr="001B3C51">
        <w:tc>
          <w:tcPr>
            <w:tcW w:w="0" w:type="auto"/>
            <w:tcMar>
              <w:top w:w="0" w:type="dxa"/>
              <w:left w:w="115" w:type="dxa"/>
              <w:bottom w:w="0" w:type="dxa"/>
              <w:right w:w="115" w:type="dxa"/>
            </w:tcMar>
            <w:hideMark/>
          </w:tcPr>
          <w:p w14:paraId="6FE3EE94" w14:textId="77777777" w:rsidR="004253C7" w:rsidRPr="00732369" w:rsidRDefault="004253C7" w:rsidP="00732369">
            <w:pPr>
              <w:pStyle w:val="NormalWeb"/>
              <w:spacing w:before="0" w:beforeAutospacing="0" w:after="200" w:afterAutospacing="0" w:line="480" w:lineRule="auto"/>
              <w:rPr>
                <w:rFonts w:ascii="Arial" w:hAnsi="Arial" w:cs="Arial"/>
                <w:color w:val="000000"/>
                <w:sz w:val="22"/>
                <w:szCs w:val="22"/>
              </w:rPr>
            </w:pPr>
          </w:p>
        </w:tc>
        <w:tc>
          <w:tcPr>
            <w:tcW w:w="0" w:type="auto"/>
            <w:tcMar>
              <w:top w:w="0" w:type="dxa"/>
              <w:left w:w="115" w:type="dxa"/>
              <w:bottom w:w="0" w:type="dxa"/>
              <w:right w:w="115" w:type="dxa"/>
            </w:tcMar>
            <w:hideMark/>
          </w:tcPr>
          <w:p w14:paraId="16448BFE" w14:textId="77777777" w:rsidR="004253C7" w:rsidRPr="00732369" w:rsidRDefault="004253C7" w:rsidP="00732369">
            <w:pPr>
              <w:pStyle w:val="NormalWeb"/>
              <w:spacing w:before="0" w:beforeAutospacing="0" w:after="200" w:afterAutospacing="0" w:line="480" w:lineRule="auto"/>
              <w:rPr>
                <w:rFonts w:ascii="Arial" w:hAnsi="Arial" w:cs="Arial"/>
                <w:color w:val="000000"/>
                <w:sz w:val="22"/>
                <w:szCs w:val="22"/>
              </w:rPr>
            </w:pPr>
          </w:p>
        </w:tc>
        <w:tc>
          <w:tcPr>
            <w:tcW w:w="0" w:type="auto"/>
            <w:tcMar>
              <w:top w:w="0" w:type="dxa"/>
              <w:left w:w="115" w:type="dxa"/>
              <w:bottom w:w="0" w:type="dxa"/>
              <w:right w:w="115" w:type="dxa"/>
            </w:tcMar>
            <w:hideMark/>
          </w:tcPr>
          <w:p w14:paraId="5EBB5C39" w14:textId="77777777" w:rsidR="004253C7" w:rsidRPr="00732369" w:rsidRDefault="004253C7" w:rsidP="00732369">
            <w:pPr>
              <w:pStyle w:val="NormalWeb"/>
              <w:spacing w:before="0" w:beforeAutospacing="0" w:after="200" w:afterAutospacing="0" w:line="480" w:lineRule="auto"/>
              <w:rPr>
                <w:rFonts w:ascii="Arial" w:hAnsi="Arial" w:cs="Arial"/>
                <w:color w:val="000000"/>
                <w:sz w:val="22"/>
                <w:szCs w:val="22"/>
              </w:rPr>
            </w:pPr>
          </w:p>
        </w:tc>
        <w:tc>
          <w:tcPr>
            <w:tcW w:w="0" w:type="auto"/>
            <w:tcMar>
              <w:top w:w="0" w:type="dxa"/>
              <w:left w:w="115" w:type="dxa"/>
              <w:bottom w:w="0" w:type="dxa"/>
              <w:right w:w="115" w:type="dxa"/>
            </w:tcMar>
            <w:hideMark/>
          </w:tcPr>
          <w:p w14:paraId="54CDE573" w14:textId="77777777" w:rsidR="004253C7" w:rsidRPr="00732369" w:rsidRDefault="004253C7" w:rsidP="00732369">
            <w:pPr>
              <w:pStyle w:val="NormalWeb"/>
              <w:spacing w:before="0" w:beforeAutospacing="0" w:after="200" w:afterAutospacing="0" w:line="480" w:lineRule="auto"/>
              <w:rPr>
                <w:rFonts w:ascii="Arial" w:hAnsi="Arial" w:cs="Arial"/>
                <w:color w:val="000000"/>
                <w:sz w:val="22"/>
                <w:szCs w:val="22"/>
              </w:rPr>
            </w:pPr>
          </w:p>
        </w:tc>
      </w:tr>
    </w:tbl>
    <w:p w14:paraId="61960E4A" w14:textId="77777777" w:rsidR="004253C7" w:rsidRPr="00732369" w:rsidRDefault="00042E72" w:rsidP="00732369">
      <w:pPr>
        <w:pBdr>
          <w:top w:val="nil"/>
          <w:left w:val="nil"/>
          <w:bottom w:val="nil"/>
          <w:right w:val="nil"/>
          <w:between w:val="nil"/>
        </w:pBdr>
        <w:spacing w:line="480" w:lineRule="auto"/>
        <w:jc w:val="both"/>
        <w:rPr>
          <w:rFonts w:ascii="Arial" w:hAnsi="Arial" w:cs="Arial"/>
          <w:i/>
          <w:color w:val="000000"/>
          <w:sz w:val="18"/>
        </w:rPr>
      </w:pPr>
      <w:r w:rsidRPr="00732369">
        <w:rPr>
          <w:rFonts w:ascii="Arial" w:hAnsi="Arial" w:cs="Arial"/>
          <w:i/>
          <w:color w:val="000000"/>
          <w:sz w:val="18"/>
        </w:rPr>
        <w:br w:type="textWrapping" w:clear="all"/>
      </w:r>
      <w:r w:rsidR="004253C7" w:rsidRPr="00732369">
        <w:rPr>
          <w:rFonts w:ascii="Arial" w:hAnsi="Arial" w:cs="Arial"/>
          <w:i/>
          <w:color w:val="000000"/>
          <w:sz w:val="18"/>
        </w:rPr>
        <w:t>Source: Author’s own computation using STATA</w:t>
      </w:r>
    </w:p>
    <w:p w14:paraId="54AF16E8" w14:textId="77777777" w:rsidR="004676B5" w:rsidRPr="00732369" w:rsidRDefault="004676B5" w:rsidP="00732369">
      <w:pPr>
        <w:pStyle w:val="NormalWeb"/>
        <w:spacing w:before="0" w:beforeAutospacing="0" w:after="200" w:afterAutospacing="0" w:line="480" w:lineRule="auto"/>
        <w:rPr>
          <w:rFonts w:ascii="Arial" w:hAnsi="Arial" w:cs="Arial"/>
          <w:color w:val="000000"/>
          <w:sz w:val="22"/>
          <w:szCs w:val="22"/>
        </w:rPr>
      </w:pPr>
      <w:r w:rsidRPr="00732369">
        <w:rPr>
          <w:rFonts w:ascii="Arial" w:hAnsi="Arial" w:cs="Arial"/>
          <w:color w:val="000000"/>
          <w:sz w:val="22"/>
          <w:szCs w:val="22"/>
        </w:rPr>
        <w:t>Note: Correlation coefficients are based on 216 observations.</w:t>
      </w:r>
    </w:p>
    <w:p w14:paraId="5C0E9CF1" w14:textId="77777777" w:rsidR="00CB47F6" w:rsidRPr="00732369" w:rsidRDefault="00CB47F6"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The correlation matrix is reported in (Table 2). The results indicate a strong positive correlation between</w:t>
      </w:r>
      <w:r w:rsidR="008A553F" w:rsidRPr="00732369">
        <w:rPr>
          <w:rFonts w:ascii="Arial" w:hAnsi="Arial" w:cs="Arial"/>
          <w:color w:val="000000"/>
          <w:sz w:val="20"/>
          <w:szCs w:val="22"/>
        </w:rPr>
        <w:t xml:space="preserve"> </w:t>
      </w:r>
      <w:r w:rsidR="008A553F" w:rsidRPr="00732369">
        <w:rPr>
          <w:rFonts w:ascii="Arial" w:hAnsi="Arial" w:cs="Arial"/>
          <w:sz w:val="20"/>
          <w:szCs w:val="20"/>
        </w:rPr>
        <w:t>MPS</w:t>
      </w:r>
      <w:r w:rsidRPr="00732369">
        <w:rPr>
          <w:rFonts w:ascii="Arial" w:hAnsi="Arial" w:cs="Arial"/>
          <w:color w:val="000000"/>
          <w:sz w:val="20"/>
          <w:szCs w:val="22"/>
        </w:rPr>
        <w:t xml:space="preserve"> and EPS (r = .796) as </w:t>
      </w:r>
      <w:r w:rsidR="008A553F" w:rsidRPr="00732369">
        <w:rPr>
          <w:rFonts w:ascii="Arial" w:hAnsi="Arial" w:cs="Arial"/>
          <w:color w:val="000000"/>
          <w:sz w:val="20"/>
          <w:szCs w:val="22"/>
        </w:rPr>
        <w:t xml:space="preserve">well as between </w:t>
      </w:r>
      <w:r w:rsidR="008A553F" w:rsidRPr="00732369">
        <w:rPr>
          <w:rFonts w:ascii="Arial" w:hAnsi="Arial" w:cs="Arial"/>
          <w:sz w:val="20"/>
          <w:szCs w:val="20"/>
        </w:rPr>
        <w:t>MPS</w:t>
      </w:r>
      <w:r w:rsidRPr="00732369">
        <w:rPr>
          <w:rFonts w:ascii="Arial" w:hAnsi="Arial" w:cs="Arial"/>
          <w:color w:val="000000"/>
          <w:sz w:val="20"/>
          <w:szCs w:val="22"/>
        </w:rPr>
        <w:t xml:space="preserve"> and BVPS (r = .814). This suggests that firms with higher profitability and stronger net asset positions tend to have higher market prices. The correlation between EPS and BVPS is .766, which is below the commonly accepted threshold for severe multicollinearity. Therefore, both variables can be included simultaneously in the regression model without causing serious multicollinearity issues.</w:t>
      </w:r>
    </w:p>
    <w:p w14:paraId="37A7C183" w14:textId="77777777" w:rsidR="005B2DD2" w:rsidRPr="00732369" w:rsidRDefault="005B2DD2" w:rsidP="00732369">
      <w:pPr>
        <w:pStyle w:val="NormalWeb"/>
        <w:spacing w:before="0" w:beforeAutospacing="0" w:after="0" w:afterAutospacing="0" w:line="480" w:lineRule="auto"/>
        <w:jc w:val="both"/>
        <w:rPr>
          <w:rFonts w:ascii="Arial" w:hAnsi="Arial" w:cs="Arial"/>
          <w:b/>
          <w:color w:val="000000"/>
          <w:sz w:val="20"/>
          <w:szCs w:val="22"/>
        </w:rPr>
      </w:pPr>
      <w:r w:rsidRPr="00732369">
        <w:rPr>
          <w:rFonts w:ascii="Arial" w:hAnsi="Arial" w:cs="Arial"/>
          <w:b/>
          <w:color w:val="000000"/>
          <w:sz w:val="20"/>
          <w:szCs w:val="22"/>
        </w:rPr>
        <w:t xml:space="preserve">Table 3. Variance </w:t>
      </w:r>
      <w:r w:rsidR="004253C7" w:rsidRPr="00732369">
        <w:rPr>
          <w:rFonts w:ascii="Arial" w:hAnsi="Arial" w:cs="Arial"/>
          <w:b/>
          <w:color w:val="000000"/>
          <w:sz w:val="20"/>
          <w:szCs w:val="22"/>
        </w:rPr>
        <w:t>Inflation Factor (VIF) Test for Multicollinearity</w:t>
      </w: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983"/>
        <w:gridCol w:w="506"/>
        <w:gridCol w:w="951"/>
      </w:tblGrid>
      <w:tr w:rsidR="004253C7" w:rsidRPr="00732369" w14:paraId="6A0021AC" w14:textId="77777777" w:rsidTr="00344C6B">
        <w:tc>
          <w:tcPr>
            <w:tcW w:w="0" w:type="auto"/>
          </w:tcPr>
          <w:p w14:paraId="39B79103" w14:textId="77777777" w:rsidR="004253C7" w:rsidRPr="00732369" w:rsidRDefault="004253C7" w:rsidP="00732369">
            <w:pPr>
              <w:pStyle w:val="NormalWeb"/>
              <w:spacing w:before="0" w:beforeAutospacing="0" w:after="0" w:afterAutospacing="0" w:line="480" w:lineRule="auto"/>
              <w:jc w:val="both"/>
              <w:rPr>
                <w:rFonts w:ascii="Arial" w:hAnsi="Arial" w:cs="Arial"/>
                <w:b/>
                <w:color w:val="000000"/>
                <w:sz w:val="20"/>
                <w:szCs w:val="22"/>
              </w:rPr>
            </w:pPr>
            <w:r w:rsidRPr="00732369">
              <w:rPr>
                <w:rFonts w:ascii="Arial" w:hAnsi="Arial" w:cs="Arial"/>
                <w:b/>
                <w:color w:val="000000"/>
                <w:sz w:val="20"/>
                <w:szCs w:val="22"/>
              </w:rPr>
              <w:t>Variable</w:t>
            </w:r>
          </w:p>
        </w:tc>
        <w:tc>
          <w:tcPr>
            <w:tcW w:w="0" w:type="auto"/>
          </w:tcPr>
          <w:p w14:paraId="5242F26F" w14:textId="77777777" w:rsidR="004253C7" w:rsidRPr="00732369" w:rsidRDefault="004253C7" w:rsidP="00732369">
            <w:pPr>
              <w:pStyle w:val="NormalWeb"/>
              <w:spacing w:before="0" w:beforeAutospacing="0" w:after="0" w:afterAutospacing="0" w:line="480" w:lineRule="auto"/>
              <w:jc w:val="both"/>
              <w:rPr>
                <w:rFonts w:ascii="Arial" w:hAnsi="Arial" w:cs="Arial"/>
                <w:b/>
                <w:color w:val="000000"/>
                <w:sz w:val="20"/>
                <w:szCs w:val="22"/>
              </w:rPr>
            </w:pPr>
            <w:r w:rsidRPr="00732369">
              <w:rPr>
                <w:rFonts w:ascii="Arial" w:hAnsi="Arial" w:cs="Arial"/>
                <w:b/>
                <w:color w:val="000000"/>
                <w:sz w:val="20"/>
                <w:szCs w:val="22"/>
              </w:rPr>
              <w:t>VIF</w:t>
            </w:r>
          </w:p>
        </w:tc>
        <w:tc>
          <w:tcPr>
            <w:tcW w:w="0" w:type="auto"/>
          </w:tcPr>
          <w:p w14:paraId="6D5B7E10" w14:textId="77777777" w:rsidR="004253C7" w:rsidRPr="00732369" w:rsidRDefault="004253C7" w:rsidP="00732369">
            <w:pPr>
              <w:pStyle w:val="NormalWeb"/>
              <w:spacing w:before="0" w:beforeAutospacing="0" w:after="0" w:afterAutospacing="0" w:line="480" w:lineRule="auto"/>
              <w:jc w:val="both"/>
              <w:rPr>
                <w:rFonts w:ascii="Arial" w:hAnsi="Arial" w:cs="Arial"/>
                <w:b/>
                <w:color w:val="000000"/>
                <w:sz w:val="20"/>
                <w:szCs w:val="22"/>
              </w:rPr>
            </w:pPr>
            <w:r w:rsidRPr="00732369">
              <w:rPr>
                <w:rFonts w:ascii="Arial" w:hAnsi="Arial" w:cs="Arial"/>
                <w:b/>
                <w:color w:val="000000"/>
                <w:sz w:val="20"/>
                <w:szCs w:val="22"/>
              </w:rPr>
              <w:t>1/VIF</w:t>
            </w:r>
          </w:p>
        </w:tc>
      </w:tr>
      <w:tr w:rsidR="004253C7" w:rsidRPr="00732369" w14:paraId="0F461140" w14:textId="77777777" w:rsidTr="00344C6B">
        <w:tc>
          <w:tcPr>
            <w:tcW w:w="0" w:type="auto"/>
          </w:tcPr>
          <w:p w14:paraId="2218B90D" w14:textId="77777777"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BVPS</w:t>
            </w:r>
          </w:p>
        </w:tc>
        <w:tc>
          <w:tcPr>
            <w:tcW w:w="0" w:type="auto"/>
          </w:tcPr>
          <w:p w14:paraId="297FDAFA" w14:textId="77777777"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2.42</w:t>
            </w:r>
          </w:p>
        </w:tc>
        <w:tc>
          <w:tcPr>
            <w:tcW w:w="0" w:type="auto"/>
          </w:tcPr>
          <w:p w14:paraId="29006597" w14:textId="77777777"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0.413751</w:t>
            </w:r>
          </w:p>
        </w:tc>
      </w:tr>
      <w:tr w:rsidR="004253C7" w:rsidRPr="00732369" w14:paraId="2FA99FC4" w14:textId="77777777" w:rsidTr="00344C6B">
        <w:tc>
          <w:tcPr>
            <w:tcW w:w="0" w:type="auto"/>
          </w:tcPr>
          <w:p w14:paraId="0E106AFE" w14:textId="77777777"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EPS</w:t>
            </w:r>
          </w:p>
        </w:tc>
        <w:tc>
          <w:tcPr>
            <w:tcW w:w="0" w:type="auto"/>
          </w:tcPr>
          <w:p w14:paraId="26E5423B" w14:textId="77777777"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2.42</w:t>
            </w:r>
          </w:p>
        </w:tc>
        <w:tc>
          <w:tcPr>
            <w:tcW w:w="0" w:type="auto"/>
          </w:tcPr>
          <w:p w14:paraId="442A8E80" w14:textId="77777777"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0.413751</w:t>
            </w:r>
          </w:p>
        </w:tc>
      </w:tr>
      <w:tr w:rsidR="004253C7" w:rsidRPr="00732369" w14:paraId="64D390BC" w14:textId="77777777" w:rsidTr="00344C6B">
        <w:tc>
          <w:tcPr>
            <w:tcW w:w="0" w:type="auto"/>
          </w:tcPr>
          <w:p w14:paraId="1962DED3" w14:textId="77777777"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Mean VIF</w:t>
            </w:r>
          </w:p>
        </w:tc>
        <w:tc>
          <w:tcPr>
            <w:tcW w:w="0" w:type="auto"/>
          </w:tcPr>
          <w:p w14:paraId="010AF61C" w14:textId="77777777"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r w:rsidRPr="00732369">
              <w:rPr>
                <w:rFonts w:ascii="Arial" w:hAnsi="Arial" w:cs="Arial"/>
                <w:color w:val="000000"/>
                <w:sz w:val="20"/>
                <w:szCs w:val="22"/>
              </w:rPr>
              <w:t>2.42</w:t>
            </w:r>
          </w:p>
        </w:tc>
        <w:tc>
          <w:tcPr>
            <w:tcW w:w="0" w:type="auto"/>
          </w:tcPr>
          <w:p w14:paraId="1C903F28" w14:textId="77777777"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p>
        </w:tc>
      </w:tr>
    </w:tbl>
    <w:p w14:paraId="23647246" w14:textId="77777777" w:rsidR="000352E2" w:rsidRPr="00732369" w:rsidRDefault="000352E2" w:rsidP="00732369">
      <w:pPr>
        <w:pBdr>
          <w:top w:val="nil"/>
          <w:left w:val="nil"/>
          <w:bottom w:val="nil"/>
          <w:right w:val="nil"/>
          <w:between w:val="nil"/>
        </w:pBdr>
        <w:spacing w:line="480" w:lineRule="auto"/>
        <w:jc w:val="both"/>
        <w:rPr>
          <w:rFonts w:ascii="Arial" w:hAnsi="Arial" w:cs="Arial"/>
          <w:i/>
          <w:color w:val="000000"/>
          <w:sz w:val="18"/>
        </w:rPr>
      </w:pPr>
      <w:r w:rsidRPr="00732369">
        <w:rPr>
          <w:rFonts w:ascii="Arial" w:hAnsi="Arial" w:cs="Arial"/>
          <w:i/>
          <w:color w:val="000000"/>
          <w:sz w:val="18"/>
        </w:rPr>
        <w:t>Source: Author’s own computation using STATA</w:t>
      </w:r>
    </w:p>
    <w:p w14:paraId="5F80ADDC" w14:textId="77777777" w:rsidR="004253C7" w:rsidRPr="00732369" w:rsidRDefault="004253C7" w:rsidP="00732369">
      <w:pPr>
        <w:pStyle w:val="NormalWeb"/>
        <w:spacing w:before="0" w:beforeAutospacing="0" w:after="0" w:afterAutospacing="0" w:line="480" w:lineRule="auto"/>
        <w:jc w:val="both"/>
        <w:rPr>
          <w:rFonts w:ascii="Arial" w:hAnsi="Arial" w:cs="Arial"/>
          <w:color w:val="000000"/>
          <w:sz w:val="20"/>
          <w:szCs w:val="22"/>
        </w:rPr>
      </w:pPr>
    </w:p>
    <w:p w14:paraId="669AC73B" w14:textId="77777777" w:rsidR="00CB47F6" w:rsidRPr="00732369" w:rsidRDefault="004253C7" w:rsidP="00732369">
      <w:pPr>
        <w:pStyle w:val="NormalWeb"/>
        <w:spacing w:before="0" w:beforeAutospacing="0" w:after="0" w:afterAutospacing="0" w:line="480" w:lineRule="auto"/>
        <w:jc w:val="both"/>
        <w:rPr>
          <w:rFonts w:ascii="Arial" w:hAnsi="Arial" w:cs="Arial"/>
          <w:sz w:val="22"/>
        </w:rPr>
      </w:pPr>
      <w:r w:rsidRPr="00732369">
        <w:rPr>
          <w:rFonts w:ascii="Arial" w:hAnsi="Arial" w:cs="Arial"/>
          <w:color w:val="000000"/>
          <w:sz w:val="20"/>
          <w:szCs w:val="22"/>
        </w:rPr>
        <w:t>T</w:t>
      </w:r>
      <w:r w:rsidR="005B2DD2" w:rsidRPr="00732369">
        <w:rPr>
          <w:rFonts w:ascii="Arial" w:hAnsi="Arial" w:cs="Arial"/>
          <w:color w:val="000000"/>
          <w:sz w:val="20"/>
          <w:szCs w:val="22"/>
        </w:rPr>
        <w:t>he Variance Inflation Factor (VIF) test was conducted to examine multicollinearity among independent variables</w:t>
      </w:r>
      <w:r w:rsidR="000352E2" w:rsidRPr="00732369">
        <w:rPr>
          <w:rFonts w:ascii="Arial" w:hAnsi="Arial" w:cs="Arial"/>
          <w:color w:val="000000"/>
          <w:sz w:val="20"/>
          <w:szCs w:val="22"/>
        </w:rPr>
        <w:t xml:space="preserve"> in Table 3</w:t>
      </w:r>
      <w:r w:rsidR="005B2DD2" w:rsidRPr="00732369">
        <w:rPr>
          <w:rFonts w:ascii="Arial" w:hAnsi="Arial" w:cs="Arial"/>
          <w:color w:val="000000"/>
          <w:sz w:val="20"/>
          <w:szCs w:val="22"/>
        </w:rPr>
        <w:t>. The VIF values for BVPS and EPS are 2.42, which are below the threshold level of 5</w:t>
      </w:r>
      <w:r w:rsidR="000352E2" w:rsidRPr="00732369">
        <w:rPr>
          <w:rFonts w:ascii="Arial" w:hAnsi="Arial" w:cs="Arial"/>
          <w:color w:val="000000"/>
          <w:sz w:val="20"/>
          <w:szCs w:val="22"/>
        </w:rPr>
        <w:t xml:space="preserve"> and tolerance values above 0.10 (0.413751)</w:t>
      </w:r>
      <w:r w:rsidR="005B2DD2" w:rsidRPr="00732369">
        <w:rPr>
          <w:rFonts w:ascii="Arial" w:hAnsi="Arial" w:cs="Arial"/>
          <w:color w:val="000000"/>
          <w:sz w:val="20"/>
          <w:szCs w:val="22"/>
        </w:rPr>
        <w:t>. Therefore, the results indicate that multicollinearity is not a concern in the regression model. As EPS and BVPS are not excessively correlated, both the variables can independently explain stock price.</w:t>
      </w:r>
    </w:p>
    <w:p w14:paraId="5ADA1B5E" w14:textId="77777777" w:rsidR="00D653C8" w:rsidRPr="00732369" w:rsidRDefault="000352E2" w:rsidP="00732369">
      <w:pPr>
        <w:spacing w:line="480" w:lineRule="auto"/>
        <w:rPr>
          <w:rFonts w:ascii="Arial" w:hAnsi="Arial" w:cs="Arial"/>
          <w:b/>
          <w:bCs/>
          <w:sz w:val="24"/>
          <w:szCs w:val="24"/>
        </w:rPr>
      </w:pPr>
      <w:r w:rsidRPr="00732369">
        <w:rPr>
          <w:rFonts w:ascii="Arial" w:hAnsi="Arial" w:cs="Arial"/>
          <w:b/>
          <w:bCs/>
          <w:szCs w:val="24"/>
        </w:rPr>
        <w:t>Table 4</w:t>
      </w:r>
      <w:r w:rsidR="004676B5" w:rsidRPr="00732369">
        <w:rPr>
          <w:rFonts w:ascii="Arial" w:hAnsi="Arial" w:cs="Arial"/>
          <w:b/>
          <w:bCs/>
          <w:szCs w:val="24"/>
        </w:rPr>
        <w:t>.</w:t>
      </w:r>
      <w:r w:rsidR="00D653C8" w:rsidRPr="00732369">
        <w:rPr>
          <w:rFonts w:ascii="Arial" w:hAnsi="Arial" w:cs="Arial"/>
          <w:b/>
          <w:bCs/>
          <w:szCs w:val="24"/>
        </w:rPr>
        <w:t xml:space="preserve"> Annual cross-sectional regression and pooled regression results</w:t>
      </w:r>
    </w:p>
    <w:tbl>
      <w:tblPr>
        <w:tblStyle w:val="TableGrid"/>
        <w:tblpPr w:leftFromText="180" w:rightFromText="180" w:vertAnchor="text" w:tblpXSpec="center" w:tblpY="1"/>
        <w:tblW w:w="0" w:type="auto"/>
        <w:tblLook w:val="04A0" w:firstRow="1" w:lastRow="0" w:firstColumn="1" w:lastColumn="0" w:noHBand="0" w:noVBand="1"/>
      </w:tblPr>
      <w:tblGrid>
        <w:gridCol w:w="1276"/>
        <w:gridCol w:w="979"/>
        <w:gridCol w:w="1237"/>
        <w:gridCol w:w="1237"/>
        <w:gridCol w:w="1171"/>
        <w:gridCol w:w="1252"/>
        <w:gridCol w:w="1218"/>
        <w:gridCol w:w="1206"/>
      </w:tblGrid>
      <w:tr w:rsidR="00174CB5" w:rsidRPr="00732369" w14:paraId="29CB3FEE" w14:textId="77777777" w:rsidTr="00940DE1">
        <w:tc>
          <w:tcPr>
            <w:tcW w:w="0" w:type="auto"/>
            <w:vMerge w:val="restart"/>
            <w:hideMark/>
          </w:tcPr>
          <w:p w14:paraId="7C58C56E"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Year</w:t>
            </w:r>
          </w:p>
        </w:tc>
        <w:tc>
          <w:tcPr>
            <w:tcW w:w="0" w:type="auto"/>
            <w:gridSpan w:val="3"/>
            <w:hideMark/>
          </w:tcPr>
          <w:p w14:paraId="749AF675" w14:textId="77777777"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Model-1</w:t>
            </w:r>
          </w:p>
        </w:tc>
        <w:tc>
          <w:tcPr>
            <w:tcW w:w="0" w:type="auto"/>
            <w:gridSpan w:val="2"/>
            <w:hideMark/>
          </w:tcPr>
          <w:p w14:paraId="77EDDD1D" w14:textId="77777777"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Model-2</w:t>
            </w:r>
          </w:p>
        </w:tc>
        <w:tc>
          <w:tcPr>
            <w:tcW w:w="0" w:type="auto"/>
            <w:gridSpan w:val="2"/>
            <w:hideMark/>
          </w:tcPr>
          <w:p w14:paraId="7B48900D" w14:textId="77777777"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Model-3</w:t>
            </w:r>
          </w:p>
        </w:tc>
      </w:tr>
      <w:tr w:rsidR="00174CB5" w:rsidRPr="00732369" w14:paraId="1BEEFE87" w14:textId="77777777" w:rsidTr="00940DE1">
        <w:trPr>
          <w:trHeight w:val="421"/>
        </w:trPr>
        <w:tc>
          <w:tcPr>
            <w:tcW w:w="0" w:type="auto"/>
            <w:vMerge/>
            <w:hideMark/>
          </w:tcPr>
          <w:p w14:paraId="75605504" w14:textId="77777777" w:rsidR="00174CB5" w:rsidRPr="00732369" w:rsidRDefault="00174CB5" w:rsidP="00732369">
            <w:pPr>
              <w:spacing w:line="480" w:lineRule="auto"/>
              <w:jc w:val="both"/>
              <w:rPr>
                <w:rFonts w:ascii="Arial" w:eastAsia="Times New Roman" w:hAnsi="Arial" w:cs="Arial"/>
                <w:sz w:val="20"/>
                <w:szCs w:val="20"/>
              </w:rPr>
            </w:pPr>
          </w:p>
        </w:tc>
        <w:tc>
          <w:tcPr>
            <w:tcW w:w="0" w:type="auto"/>
            <w:gridSpan w:val="3"/>
            <w:hideMark/>
          </w:tcPr>
          <w:p w14:paraId="0BAA6634" w14:textId="77777777" w:rsidR="00174CB5" w:rsidRPr="00732369" w:rsidRDefault="00174CB5" w:rsidP="00732369">
            <w:pPr>
              <w:spacing w:line="480" w:lineRule="auto"/>
              <w:jc w:val="both"/>
              <w:rPr>
                <w:rFonts w:ascii="Arial" w:eastAsia="Times New Roman" w:hAnsi="Arial" w:cs="Arial"/>
                <w:sz w:val="20"/>
                <w:szCs w:val="20"/>
              </w:rPr>
            </w:pPr>
            <w:proofErr w:type="spellStart"/>
            <w:r w:rsidRPr="00732369">
              <w:rPr>
                <w:rFonts w:ascii="Arial" w:eastAsia="Times New Roman" w:hAnsi="Arial" w:cs="Arial"/>
                <w:color w:val="000000"/>
                <w:sz w:val="20"/>
                <w:szCs w:val="20"/>
              </w:rPr>
              <w:t>MP</w:t>
            </w:r>
            <w:r w:rsidR="008A553F" w:rsidRPr="00732369">
              <w:rPr>
                <w:rFonts w:ascii="Arial" w:eastAsia="Times New Roman" w:hAnsi="Arial" w:cs="Arial"/>
                <w:color w:val="000000"/>
                <w:sz w:val="20"/>
                <w:szCs w:val="20"/>
              </w:rPr>
              <w:t>S</w:t>
            </w:r>
            <w:r w:rsidRPr="00732369">
              <w:rPr>
                <w:rFonts w:ascii="Arial" w:eastAsia="Times New Roman" w:hAnsi="Arial" w:cs="Arial"/>
                <w:color w:val="000000"/>
                <w:sz w:val="20"/>
                <w:szCs w:val="20"/>
                <w:vertAlign w:val="subscript"/>
              </w:rPr>
              <w:t>kt</w:t>
            </w:r>
            <w:proofErr w:type="spellEnd"/>
            <w:r w:rsidRPr="00732369">
              <w:rPr>
                <w:rFonts w:ascii="Arial" w:eastAsia="Times New Roman" w:hAnsi="Arial" w:cs="Arial"/>
                <w:color w:val="000000"/>
                <w:sz w:val="20"/>
                <w:szCs w:val="20"/>
              </w:rPr>
              <w:t>= a</w:t>
            </w:r>
            <w:r w:rsidRPr="00732369">
              <w:rPr>
                <w:rFonts w:ascii="Arial" w:eastAsia="Times New Roman" w:hAnsi="Arial" w:cs="Arial"/>
                <w:color w:val="000000"/>
                <w:sz w:val="20"/>
                <w:szCs w:val="20"/>
                <w:vertAlign w:val="subscript"/>
              </w:rPr>
              <w:t>0</w:t>
            </w:r>
            <w:r w:rsidRPr="00732369">
              <w:rPr>
                <w:rFonts w:ascii="Arial" w:eastAsia="Times New Roman" w:hAnsi="Arial" w:cs="Arial"/>
                <w:color w:val="000000"/>
                <w:sz w:val="20"/>
                <w:szCs w:val="20"/>
              </w:rPr>
              <w:t xml:space="preserve"> + a</w:t>
            </w:r>
            <w:r w:rsidRPr="00732369">
              <w:rPr>
                <w:rFonts w:ascii="Arial" w:eastAsia="Times New Roman" w:hAnsi="Arial" w:cs="Arial"/>
                <w:color w:val="000000"/>
                <w:sz w:val="20"/>
                <w:szCs w:val="20"/>
                <w:vertAlign w:val="subscript"/>
              </w:rPr>
              <w:t>1</w:t>
            </w:r>
            <w:r w:rsidRPr="00732369">
              <w:rPr>
                <w:rFonts w:ascii="Arial" w:eastAsia="Times New Roman" w:hAnsi="Arial" w:cs="Arial"/>
                <w:color w:val="000000"/>
                <w:sz w:val="20"/>
                <w:szCs w:val="20"/>
              </w:rPr>
              <w:t>EPS</w:t>
            </w:r>
            <w:r w:rsidRPr="00732369">
              <w:rPr>
                <w:rFonts w:ascii="Arial" w:eastAsia="Times New Roman" w:hAnsi="Arial" w:cs="Arial"/>
                <w:color w:val="000000"/>
                <w:sz w:val="20"/>
                <w:szCs w:val="20"/>
                <w:vertAlign w:val="subscript"/>
              </w:rPr>
              <w:t>kt</w:t>
            </w:r>
            <w:r w:rsidRPr="00732369">
              <w:rPr>
                <w:rFonts w:ascii="Arial" w:eastAsia="Times New Roman" w:hAnsi="Arial" w:cs="Arial"/>
                <w:color w:val="000000"/>
                <w:sz w:val="20"/>
                <w:szCs w:val="20"/>
              </w:rPr>
              <w:t xml:space="preserve"> + a</w:t>
            </w:r>
            <w:r w:rsidRPr="00732369">
              <w:rPr>
                <w:rFonts w:ascii="Arial" w:eastAsia="Times New Roman" w:hAnsi="Arial" w:cs="Arial"/>
                <w:color w:val="000000"/>
                <w:sz w:val="20"/>
                <w:szCs w:val="20"/>
                <w:vertAlign w:val="subscript"/>
              </w:rPr>
              <w:t>2</w:t>
            </w:r>
            <w:r w:rsidRPr="00732369">
              <w:rPr>
                <w:rFonts w:ascii="Arial" w:eastAsia="Times New Roman" w:hAnsi="Arial" w:cs="Arial"/>
                <w:color w:val="000000"/>
                <w:sz w:val="20"/>
                <w:szCs w:val="20"/>
              </w:rPr>
              <w:t>BVPS</w:t>
            </w:r>
            <w:r w:rsidRPr="00732369">
              <w:rPr>
                <w:rFonts w:ascii="Arial" w:eastAsia="Times New Roman" w:hAnsi="Arial" w:cs="Arial"/>
                <w:color w:val="000000"/>
                <w:sz w:val="20"/>
                <w:szCs w:val="20"/>
                <w:vertAlign w:val="subscript"/>
              </w:rPr>
              <w:t xml:space="preserve">kt </w:t>
            </w:r>
            <w:r w:rsidRPr="00732369">
              <w:rPr>
                <w:rFonts w:ascii="Arial" w:eastAsia="Times New Roman" w:hAnsi="Arial" w:cs="Arial"/>
                <w:color w:val="000000"/>
                <w:sz w:val="20"/>
                <w:szCs w:val="20"/>
              </w:rPr>
              <w:t xml:space="preserve">+ </w:t>
            </w:r>
            <w:proofErr w:type="spellStart"/>
            <w:r w:rsidRPr="00732369">
              <w:rPr>
                <w:rFonts w:ascii="Arial" w:eastAsia="Times New Roman" w:hAnsi="Arial" w:cs="Arial"/>
                <w:color w:val="000000"/>
                <w:sz w:val="20"/>
                <w:szCs w:val="20"/>
              </w:rPr>
              <w:t>e</w:t>
            </w:r>
            <w:r w:rsidRPr="00732369">
              <w:rPr>
                <w:rFonts w:ascii="Arial" w:eastAsia="Times New Roman" w:hAnsi="Arial" w:cs="Arial"/>
                <w:color w:val="000000"/>
                <w:sz w:val="20"/>
                <w:szCs w:val="20"/>
                <w:vertAlign w:val="subscript"/>
              </w:rPr>
              <w:t>kt</w:t>
            </w:r>
            <w:proofErr w:type="spellEnd"/>
          </w:p>
          <w:p w14:paraId="231F9429" w14:textId="77777777" w:rsidR="00174CB5" w:rsidRPr="00732369" w:rsidRDefault="00174CB5" w:rsidP="00732369">
            <w:pPr>
              <w:spacing w:line="480" w:lineRule="auto"/>
              <w:jc w:val="both"/>
              <w:rPr>
                <w:rFonts w:ascii="Arial" w:eastAsia="Times New Roman" w:hAnsi="Arial" w:cs="Arial"/>
                <w:color w:val="000000"/>
                <w:sz w:val="20"/>
                <w:szCs w:val="20"/>
              </w:rPr>
            </w:pPr>
          </w:p>
        </w:tc>
        <w:tc>
          <w:tcPr>
            <w:tcW w:w="0" w:type="auto"/>
            <w:gridSpan w:val="2"/>
            <w:hideMark/>
          </w:tcPr>
          <w:p w14:paraId="0D83B660" w14:textId="77777777" w:rsidR="00174CB5" w:rsidRPr="00732369" w:rsidRDefault="00174CB5" w:rsidP="00732369">
            <w:pPr>
              <w:spacing w:line="480" w:lineRule="auto"/>
              <w:jc w:val="both"/>
              <w:rPr>
                <w:rFonts w:ascii="Arial" w:eastAsia="Times New Roman" w:hAnsi="Arial" w:cs="Arial"/>
                <w:color w:val="000000"/>
                <w:sz w:val="20"/>
                <w:szCs w:val="20"/>
              </w:rPr>
            </w:pPr>
            <w:proofErr w:type="spellStart"/>
            <w:r w:rsidRPr="00732369">
              <w:rPr>
                <w:rFonts w:ascii="Arial" w:eastAsia="Times New Roman" w:hAnsi="Arial" w:cs="Arial"/>
                <w:color w:val="000000"/>
                <w:sz w:val="20"/>
                <w:szCs w:val="20"/>
              </w:rPr>
              <w:t>MP</w:t>
            </w:r>
            <w:r w:rsidR="008A553F" w:rsidRPr="00732369">
              <w:rPr>
                <w:rFonts w:ascii="Arial" w:eastAsia="Times New Roman" w:hAnsi="Arial" w:cs="Arial"/>
                <w:color w:val="000000"/>
                <w:sz w:val="20"/>
                <w:szCs w:val="20"/>
              </w:rPr>
              <w:t>S</w:t>
            </w:r>
            <w:r w:rsidRPr="00732369">
              <w:rPr>
                <w:rFonts w:ascii="Arial" w:eastAsia="Times New Roman" w:hAnsi="Arial" w:cs="Arial"/>
                <w:color w:val="000000"/>
                <w:sz w:val="20"/>
                <w:szCs w:val="20"/>
                <w:vertAlign w:val="subscript"/>
              </w:rPr>
              <w:t>kt</w:t>
            </w:r>
            <w:proofErr w:type="spellEnd"/>
            <w:r w:rsidRPr="00732369">
              <w:rPr>
                <w:rFonts w:ascii="Arial" w:eastAsia="Times New Roman" w:hAnsi="Arial" w:cs="Arial"/>
                <w:color w:val="000000"/>
                <w:sz w:val="20"/>
                <w:szCs w:val="20"/>
              </w:rPr>
              <w:t>= b</w:t>
            </w:r>
            <w:r w:rsidRPr="00732369">
              <w:rPr>
                <w:rFonts w:ascii="Arial" w:eastAsia="Times New Roman" w:hAnsi="Arial" w:cs="Arial"/>
                <w:color w:val="000000"/>
                <w:sz w:val="20"/>
                <w:szCs w:val="20"/>
                <w:vertAlign w:val="subscript"/>
              </w:rPr>
              <w:t>0</w:t>
            </w:r>
            <w:r w:rsidRPr="00732369">
              <w:rPr>
                <w:rFonts w:ascii="Arial" w:eastAsia="Times New Roman" w:hAnsi="Arial" w:cs="Arial"/>
                <w:color w:val="000000"/>
                <w:sz w:val="20"/>
                <w:szCs w:val="20"/>
              </w:rPr>
              <w:t xml:space="preserve"> + b</w:t>
            </w:r>
            <w:r w:rsidRPr="00732369">
              <w:rPr>
                <w:rFonts w:ascii="Arial" w:eastAsia="Times New Roman" w:hAnsi="Arial" w:cs="Arial"/>
                <w:color w:val="000000"/>
                <w:sz w:val="20"/>
                <w:szCs w:val="20"/>
                <w:vertAlign w:val="subscript"/>
              </w:rPr>
              <w:t>1</w:t>
            </w:r>
            <w:r w:rsidRPr="00732369">
              <w:rPr>
                <w:rFonts w:ascii="Arial" w:eastAsia="Times New Roman" w:hAnsi="Arial" w:cs="Arial"/>
                <w:color w:val="000000"/>
                <w:sz w:val="20"/>
                <w:szCs w:val="20"/>
              </w:rPr>
              <w:t>EPS</w:t>
            </w:r>
            <w:r w:rsidRPr="00732369">
              <w:rPr>
                <w:rFonts w:ascii="Arial" w:eastAsia="Times New Roman" w:hAnsi="Arial" w:cs="Arial"/>
                <w:color w:val="000000"/>
                <w:sz w:val="20"/>
                <w:szCs w:val="20"/>
                <w:vertAlign w:val="subscript"/>
              </w:rPr>
              <w:t>kt</w:t>
            </w:r>
            <w:r w:rsidRPr="00732369">
              <w:rPr>
                <w:rFonts w:ascii="Arial" w:eastAsia="Times New Roman" w:hAnsi="Arial" w:cs="Arial"/>
                <w:color w:val="000000"/>
                <w:sz w:val="20"/>
                <w:szCs w:val="20"/>
              </w:rPr>
              <w:t xml:space="preserve"> + </w:t>
            </w:r>
            <w:proofErr w:type="spellStart"/>
            <w:r w:rsidRPr="00732369">
              <w:rPr>
                <w:rFonts w:ascii="Arial" w:eastAsia="Times New Roman" w:hAnsi="Arial" w:cs="Arial"/>
                <w:color w:val="000000"/>
                <w:sz w:val="20"/>
                <w:szCs w:val="20"/>
              </w:rPr>
              <w:t>e</w:t>
            </w:r>
            <w:r w:rsidRPr="00732369">
              <w:rPr>
                <w:rFonts w:ascii="Arial" w:eastAsia="Times New Roman" w:hAnsi="Arial" w:cs="Arial"/>
                <w:color w:val="000000"/>
                <w:sz w:val="20"/>
                <w:szCs w:val="20"/>
                <w:vertAlign w:val="subscript"/>
              </w:rPr>
              <w:t>kt</w:t>
            </w:r>
            <w:proofErr w:type="spellEnd"/>
          </w:p>
        </w:tc>
        <w:tc>
          <w:tcPr>
            <w:tcW w:w="0" w:type="auto"/>
            <w:gridSpan w:val="2"/>
            <w:hideMark/>
          </w:tcPr>
          <w:p w14:paraId="10F82D50" w14:textId="77777777" w:rsidR="00174CB5" w:rsidRPr="00732369" w:rsidRDefault="00174CB5" w:rsidP="00732369">
            <w:pPr>
              <w:spacing w:line="480" w:lineRule="auto"/>
              <w:jc w:val="both"/>
              <w:rPr>
                <w:rFonts w:ascii="Arial" w:eastAsia="Times New Roman" w:hAnsi="Arial" w:cs="Arial"/>
                <w:color w:val="000000"/>
                <w:sz w:val="20"/>
                <w:szCs w:val="20"/>
              </w:rPr>
            </w:pPr>
            <w:proofErr w:type="spellStart"/>
            <w:r w:rsidRPr="00732369">
              <w:rPr>
                <w:rFonts w:ascii="Arial" w:eastAsia="Times New Roman" w:hAnsi="Arial" w:cs="Arial"/>
                <w:color w:val="000000"/>
                <w:sz w:val="20"/>
                <w:szCs w:val="20"/>
              </w:rPr>
              <w:t>MP</w:t>
            </w:r>
            <w:r w:rsidR="008A553F" w:rsidRPr="00732369">
              <w:rPr>
                <w:rFonts w:ascii="Arial" w:eastAsia="Times New Roman" w:hAnsi="Arial" w:cs="Arial"/>
                <w:color w:val="000000"/>
                <w:sz w:val="20"/>
                <w:szCs w:val="20"/>
              </w:rPr>
              <w:t>S</w:t>
            </w:r>
            <w:r w:rsidRPr="00732369">
              <w:rPr>
                <w:rFonts w:ascii="Arial" w:eastAsia="Times New Roman" w:hAnsi="Arial" w:cs="Arial"/>
                <w:color w:val="000000"/>
                <w:sz w:val="20"/>
                <w:szCs w:val="20"/>
                <w:vertAlign w:val="subscript"/>
              </w:rPr>
              <w:t>kt</w:t>
            </w:r>
            <w:proofErr w:type="spellEnd"/>
            <w:r w:rsidRPr="00732369">
              <w:rPr>
                <w:rFonts w:ascii="Arial" w:eastAsia="Times New Roman" w:hAnsi="Arial" w:cs="Arial"/>
                <w:color w:val="000000"/>
                <w:sz w:val="20"/>
                <w:szCs w:val="20"/>
              </w:rPr>
              <w:t>=c</w:t>
            </w:r>
            <w:r w:rsidRPr="00732369">
              <w:rPr>
                <w:rFonts w:ascii="Arial" w:eastAsia="Times New Roman" w:hAnsi="Arial" w:cs="Arial"/>
                <w:color w:val="000000"/>
                <w:sz w:val="20"/>
                <w:szCs w:val="20"/>
                <w:vertAlign w:val="subscript"/>
              </w:rPr>
              <w:t>0</w:t>
            </w:r>
            <w:r w:rsidRPr="00732369">
              <w:rPr>
                <w:rFonts w:ascii="Arial" w:eastAsia="Times New Roman" w:hAnsi="Arial" w:cs="Arial"/>
                <w:color w:val="000000"/>
                <w:sz w:val="20"/>
                <w:szCs w:val="20"/>
              </w:rPr>
              <w:t xml:space="preserve"> +c</w:t>
            </w:r>
            <w:r w:rsidRPr="00732369">
              <w:rPr>
                <w:rFonts w:ascii="Arial" w:eastAsia="Times New Roman" w:hAnsi="Arial" w:cs="Arial"/>
                <w:color w:val="000000"/>
                <w:sz w:val="20"/>
                <w:szCs w:val="20"/>
                <w:vertAlign w:val="subscript"/>
              </w:rPr>
              <w:t>1</w:t>
            </w:r>
            <w:r w:rsidRPr="00732369">
              <w:rPr>
                <w:rFonts w:ascii="Arial" w:eastAsia="Times New Roman" w:hAnsi="Arial" w:cs="Arial"/>
                <w:color w:val="000000"/>
                <w:sz w:val="20"/>
                <w:szCs w:val="20"/>
              </w:rPr>
              <w:t>BVPS</w:t>
            </w:r>
            <w:r w:rsidRPr="00732369">
              <w:rPr>
                <w:rFonts w:ascii="Arial" w:eastAsia="Times New Roman" w:hAnsi="Arial" w:cs="Arial"/>
                <w:color w:val="000000"/>
                <w:sz w:val="20"/>
                <w:szCs w:val="20"/>
                <w:vertAlign w:val="subscript"/>
              </w:rPr>
              <w:t>kt</w:t>
            </w:r>
            <w:r w:rsidRPr="00732369">
              <w:rPr>
                <w:rFonts w:ascii="Arial" w:eastAsia="Times New Roman" w:hAnsi="Arial" w:cs="Arial"/>
                <w:color w:val="000000"/>
                <w:sz w:val="20"/>
                <w:szCs w:val="20"/>
              </w:rPr>
              <w:t xml:space="preserve"> + </w:t>
            </w:r>
            <w:proofErr w:type="spellStart"/>
            <w:r w:rsidRPr="00732369">
              <w:rPr>
                <w:rFonts w:ascii="Arial" w:eastAsia="Times New Roman" w:hAnsi="Arial" w:cs="Arial"/>
                <w:color w:val="000000"/>
                <w:sz w:val="20"/>
                <w:szCs w:val="20"/>
              </w:rPr>
              <w:t>e</w:t>
            </w:r>
            <w:r w:rsidRPr="00732369">
              <w:rPr>
                <w:rFonts w:ascii="Arial" w:eastAsia="Times New Roman" w:hAnsi="Arial" w:cs="Arial"/>
                <w:color w:val="000000"/>
                <w:sz w:val="20"/>
                <w:szCs w:val="20"/>
                <w:vertAlign w:val="subscript"/>
              </w:rPr>
              <w:t>kt</w:t>
            </w:r>
            <w:proofErr w:type="spellEnd"/>
          </w:p>
        </w:tc>
      </w:tr>
      <w:tr w:rsidR="00174CB5" w:rsidRPr="00732369" w14:paraId="72B7832C" w14:textId="77777777" w:rsidTr="00940DE1">
        <w:trPr>
          <w:trHeight w:val="427"/>
        </w:trPr>
        <w:tc>
          <w:tcPr>
            <w:tcW w:w="0" w:type="auto"/>
            <w:vMerge/>
            <w:hideMark/>
          </w:tcPr>
          <w:p w14:paraId="3AA737D1" w14:textId="77777777" w:rsidR="00174CB5" w:rsidRPr="00732369" w:rsidRDefault="00174CB5" w:rsidP="00732369">
            <w:pPr>
              <w:spacing w:line="480" w:lineRule="auto"/>
              <w:jc w:val="both"/>
              <w:rPr>
                <w:rFonts w:ascii="Arial" w:eastAsia="Times New Roman" w:hAnsi="Arial" w:cs="Arial"/>
                <w:sz w:val="20"/>
                <w:szCs w:val="20"/>
              </w:rPr>
            </w:pPr>
          </w:p>
        </w:tc>
        <w:tc>
          <w:tcPr>
            <w:tcW w:w="0" w:type="auto"/>
            <w:hideMark/>
          </w:tcPr>
          <w:p w14:paraId="3C151E4C"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Adj R</w:t>
            </w:r>
            <w:r w:rsidRPr="00732369">
              <w:rPr>
                <w:rFonts w:ascii="Arial" w:eastAsia="Times New Roman" w:hAnsi="Arial" w:cs="Arial"/>
                <w:color w:val="000000"/>
                <w:sz w:val="20"/>
                <w:szCs w:val="20"/>
                <w:vertAlign w:val="superscript"/>
              </w:rPr>
              <w:t>2</w:t>
            </w:r>
            <w:r w:rsidRPr="00732369">
              <w:rPr>
                <w:rFonts w:ascii="Arial" w:eastAsia="Times New Roman" w:hAnsi="Arial" w:cs="Arial"/>
                <w:color w:val="000000"/>
                <w:sz w:val="20"/>
                <w:szCs w:val="20"/>
                <w:vertAlign w:val="subscript"/>
              </w:rPr>
              <w:t>C</w:t>
            </w:r>
          </w:p>
        </w:tc>
        <w:tc>
          <w:tcPr>
            <w:tcW w:w="0" w:type="auto"/>
            <w:hideMark/>
          </w:tcPr>
          <w:p w14:paraId="11382D7E"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a</w:t>
            </w:r>
            <w:r w:rsidRPr="00732369">
              <w:rPr>
                <w:rFonts w:ascii="Arial" w:eastAsia="Times New Roman" w:hAnsi="Arial" w:cs="Arial"/>
                <w:color w:val="000000"/>
                <w:sz w:val="20"/>
                <w:szCs w:val="20"/>
                <w:vertAlign w:val="subscript"/>
              </w:rPr>
              <w:t>1</w:t>
            </w:r>
          </w:p>
        </w:tc>
        <w:tc>
          <w:tcPr>
            <w:tcW w:w="0" w:type="auto"/>
            <w:hideMark/>
          </w:tcPr>
          <w:p w14:paraId="3335F31F"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a</w:t>
            </w:r>
            <w:r w:rsidRPr="00732369">
              <w:rPr>
                <w:rFonts w:ascii="Arial" w:eastAsia="Times New Roman" w:hAnsi="Arial" w:cs="Arial"/>
                <w:color w:val="000000"/>
                <w:sz w:val="20"/>
                <w:szCs w:val="20"/>
                <w:vertAlign w:val="subscript"/>
              </w:rPr>
              <w:t>2</w:t>
            </w:r>
          </w:p>
        </w:tc>
        <w:tc>
          <w:tcPr>
            <w:tcW w:w="0" w:type="auto"/>
          </w:tcPr>
          <w:p w14:paraId="37BCB684"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Adj R</w:t>
            </w:r>
            <w:r w:rsidRPr="00732369">
              <w:rPr>
                <w:rFonts w:ascii="Arial" w:eastAsia="Times New Roman" w:hAnsi="Arial" w:cs="Arial"/>
                <w:color w:val="000000"/>
                <w:sz w:val="20"/>
                <w:szCs w:val="20"/>
                <w:vertAlign w:val="superscript"/>
              </w:rPr>
              <w:t>2</w:t>
            </w:r>
            <w:r w:rsidRPr="00732369">
              <w:rPr>
                <w:rFonts w:ascii="Arial" w:eastAsia="Times New Roman" w:hAnsi="Arial" w:cs="Arial"/>
                <w:color w:val="000000"/>
                <w:sz w:val="20"/>
                <w:szCs w:val="20"/>
                <w:vertAlign w:val="subscript"/>
              </w:rPr>
              <w:t>EPS</w:t>
            </w:r>
          </w:p>
        </w:tc>
        <w:tc>
          <w:tcPr>
            <w:tcW w:w="0" w:type="auto"/>
            <w:hideMark/>
          </w:tcPr>
          <w:p w14:paraId="5DB2C004"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b</w:t>
            </w:r>
            <w:r w:rsidRPr="00732369">
              <w:rPr>
                <w:rFonts w:ascii="Arial" w:eastAsia="Times New Roman" w:hAnsi="Arial" w:cs="Arial"/>
                <w:color w:val="000000"/>
                <w:sz w:val="20"/>
                <w:szCs w:val="20"/>
                <w:vertAlign w:val="subscript"/>
              </w:rPr>
              <w:t>1</w:t>
            </w:r>
          </w:p>
        </w:tc>
        <w:tc>
          <w:tcPr>
            <w:tcW w:w="0" w:type="auto"/>
          </w:tcPr>
          <w:p w14:paraId="2D7D4008"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Adj R</w:t>
            </w:r>
            <w:r w:rsidRPr="00732369">
              <w:rPr>
                <w:rFonts w:ascii="Arial" w:eastAsia="Times New Roman" w:hAnsi="Arial" w:cs="Arial"/>
                <w:color w:val="000000"/>
                <w:sz w:val="20"/>
                <w:szCs w:val="20"/>
                <w:vertAlign w:val="superscript"/>
              </w:rPr>
              <w:t>2</w:t>
            </w:r>
            <w:r w:rsidRPr="00732369">
              <w:rPr>
                <w:rFonts w:ascii="Arial" w:eastAsia="Times New Roman" w:hAnsi="Arial" w:cs="Arial"/>
                <w:color w:val="000000"/>
                <w:sz w:val="20"/>
                <w:szCs w:val="20"/>
                <w:vertAlign w:val="subscript"/>
              </w:rPr>
              <w:t>BVPS</w:t>
            </w:r>
          </w:p>
        </w:tc>
        <w:tc>
          <w:tcPr>
            <w:tcW w:w="0" w:type="auto"/>
            <w:hideMark/>
          </w:tcPr>
          <w:p w14:paraId="390E3FEF"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c</w:t>
            </w:r>
            <w:r w:rsidRPr="00732369">
              <w:rPr>
                <w:rFonts w:ascii="Arial" w:eastAsia="Times New Roman" w:hAnsi="Arial" w:cs="Arial"/>
                <w:color w:val="000000"/>
                <w:sz w:val="20"/>
                <w:szCs w:val="20"/>
                <w:vertAlign w:val="subscript"/>
              </w:rPr>
              <w:t>1</w:t>
            </w:r>
          </w:p>
        </w:tc>
      </w:tr>
      <w:tr w:rsidR="00174CB5" w:rsidRPr="00732369" w14:paraId="34FF8943" w14:textId="77777777" w:rsidTr="00940DE1">
        <w:tc>
          <w:tcPr>
            <w:tcW w:w="0" w:type="auto"/>
            <w:hideMark/>
          </w:tcPr>
          <w:p w14:paraId="0530168A"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2016-17</w:t>
            </w:r>
          </w:p>
        </w:tc>
        <w:tc>
          <w:tcPr>
            <w:tcW w:w="0" w:type="auto"/>
            <w:hideMark/>
          </w:tcPr>
          <w:p w14:paraId="20DD60CF"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0.6767</w:t>
            </w:r>
          </w:p>
        </w:tc>
        <w:tc>
          <w:tcPr>
            <w:tcW w:w="0" w:type="auto"/>
            <w:hideMark/>
          </w:tcPr>
          <w:p w14:paraId="67D7B346"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12.76025</w:t>
            </w:r>
          </w:p>
          <w:p w14:paraId="5905689C"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=.034)</w:t>
            </w:r>
          </w:p>
        </w:tc>
        <w:tc>
          <w:tcPr>
            <w:tcW w:w="0" w:type="auto"/>
            <w:hideMark/>
          </w:tcPr>
          <w:p w14:paraId="3F8AFCE4"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1.697037</w:t>
            </w:r>
          </w:p>
          <w:p w14:paraId="521496F6"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w:t>
            </w:r>
            <w:proofErr w:type="gramStart"/>
            <w:r w:rsidRPr="00732369">
              <w:rPr>
                <w:rFonts w:ascii="Arial" w:eastAsia="Times New Roman" w:hAnsi="Arial" w:cs="Arial"/>
                <w:color w:val="000000"/>
                <w:sz w:val="20"/>
                <w:szCs w:val="20"/>
              </w:rPr>
              <w:t>117 )</w:t>
            </w:r>
            <w:proofErr w:type="gramEnd"/>
          </w:p>
        </w:tc>
        <w:tc>
          <w:tcPr>
            <w:tcW w:w="0" w:type="auto"/>
          </w:tcPr>
          <w:p w14:paraId="7AF036ED"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0.6522</w:t>
            </w:r>
          </w:p>
          <w:p w14:paraId="6C7820F3" w14:textId="77777777" w:rsidR="00174CB5" w:rsidRPr="00732369" w:rsidRDefault="00174CB5" w:rsidP="00732369">
            <w:pPr>
              <w:spacing w:line="480" w:lineRule="auto"/>
              <w:jc w:val="both"/>
              <w:rPr>
                <w:rFonts w:ascii="Arial" w:eastAsia="Times New Roman" w:hAnsi="Arial" w:cs="Arial"/>
                <w:sz w:val="20"/>
                <w:szCs w:val="20"/>
              </w:rPr>
            </w:pPr>
          </w:p>
        </w:tc>
        <w:tc>
          <w:tcPr>
            <w:tcW w:w="0" w:type="auto"/>
            <w:hideMark/>
          </w:tcPr>
          <w:p w14:paraId="5794F80C"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20.56247</w:t>
            </w:r>
          </w:p>
          <w:p w14:paraId="08FCC240"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c>
          <w:tcPr>
            <w:tcW w:w="0" w:type="auto"/>
          </w:tcPr>
          <w:p w14:paraId="63B4B537"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0.6160</w:t>
            </w:r>
          </w:p>
        </w:tc>
        <w:tc>
          <w:tcPr>
            <w:tcW w:w="0" w:type="auto"/>
            <w:hideMark/>
          </w:tcPr>
          <w:p w14:paraId="2698E004"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3.693466</w:t>
            </w:r>
          </w:p>
          <w:p w14:paraId="51D6B58B"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r>
      <w:tr w:rsidR="00174CB5" w:rsidRPr="00732369" w14:paraId="7451DCCD" w14:textId="77777777" w:rsidTr="00940DE1">
        <w:tc>
          <w:tcPr>
            <w:tcW w:w="0" w:type="auto"/>
            <w:hideMark/>
          </w:tcPr>
          <w:p w14:paraId="4A419B2B"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2017-18</w:t>
            </w:r>
          </w:p>
        </w:tc>
        <w:tc>
          <w:tcPr>
            <w:tcW w:w="0" w:type="auto"/>
            <w:hideMark/>
          </w:tcPr>
          <w:p w14:paraId="51EA9391"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0.8247</w:t>
            </w:r>
          </w:p>
          <w:p w14:paraId="2F2BFE70" w14:textId="77777777" w:rsidR="00174CB5" w:rsidRPr="00732369" w:rsidRDefault="00174CB5" w:rsidP="00732369">
            <w:pPr>
              <w:spacing w:line="480" w:lineRule="auto"/>
              <w:jc w:val="both"/>
              <w:rPr>
                <w:rFonts w:ascii="Arial" w:eastAsia="Times New Roman" w:hAnsi="Arial" w:cs="Arial"/>
                <w:sz w:val="20"/>
                <w:szCs w:val="20"/>
              </w:rPr>
            </w:pPr>
          </w:p>
        </w:tc>
        <w:tc>
          <w:tcPr>
            <w:tcW w:w="0" w:type="auto"/>
            <w:hideMark/>
          </w:tcPr>
          <w:p w14:paraId="45CCE395"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7.920745</w:t>
            </w:r>
          </w:p>
          <w:p w14:paraId="60439D40" w14:textId="77777777" w:rsidR="00174CB5" w:rsidRPr="00732369" w:rsidRDefault="00174CB5" w:rsidP="00732369">
            <w:pPr>
              <w:spacing w:line="480" w:lineRule="auto"/>
              <w:jc w:val="both"/>
              <w:rPr>
                <w:rFonts w:ascii="Arial" w:eastAsia="Times New Roman" w:hAnsi="Arial" w:cs="Arial"/>
                <w:sz w:val="20"/>
                <w:szCs w:val="20"/>
              </w:rPr>
            </w:pPr>
            <w:proofErr w:type="gramStart"/>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 xml:space="preserve"> P</w:t>
            </w:r>
            <w:proofErr w:type="gramEnd"/>
            <w:r w:rsidRPr="00732369">
              <w:rPr>
                <w:rFonts w:ascii="Arial" w:eastAsia="Times New Roman" w:hAnsi="Arial" w:cs="Arial"/>
                <w:color w:val="000000"/>
                <w:sz w:val="20"/>
                <w:szCs w:val="20"/>
              </w:rPr>
              <w:t xml:space="preserve"> =.144)</w:t>
            </w:r>
            <w:r w:rsidRPr="00732369">
              <w:rPr>
                <w:rFonts w:ascii="Arial" w:eastAsia="Times New Roman" w:hAnsi="Arial" w:cs="Arial"/>
                <w:color w:val="000000"/>
                <w:sz w:val="20"/>
                <w:szCs w:val="20"/>
                <w:vertAlign w:val="superscript"/>
              </w:rPr>
              <w:t xml:space="preserve"> </w:t>
            </w:r>
          </w:p>
        </w:tc>
        <w:tc>
          <w:tcPr>
            <w:tcW w:w="0" w:type="auto"/>
            <w:hideMark/>
          </w:tcPr>
          <w:p w14:paraId="1CF47D17"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4.200121</w:t>
            </w:r>
          </w:p>
          <w:p w14:paraId="6A6F90DA" w14:textId="77777777" w:rsidR="00174CB5" w:rsidRPr="00732369" w:rsidRDefault="00174CB5" w:rsidP="00732369">
            <w:pPr>
              <w:spacing w:line="480" w:lineRule="auto"/>
              <w:jc w:val="both"/>
              <w:rPr>
                <w:rFonts w:ascii="Arial" w:eastAsia="Times New Roman" w:hAnsi="Arial" w:cs="Arial"/>
                <w:sz w:val="20"/>
                <w:szCs w:val="20"/>
              </w:rPr>
            </w:pPr>
            <w:proofErr w:type="gramStart"/>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 xml:space="preserve"> P</w:t>
            </w:r>
            <w:proofErr w:type="gramEnd"/>
            <w:r w:rsidRPr="00732369">
              <w:rPr>
                <w:rFonts w:ascii="Arial" w:eastAsia="Times New Roman" w:hAnsi="Arial" w:cs="Arial"/>
                <w:i/>
                <w:color w:val="000000"/>
                <w:sz w:val="20"/>
                <w:szCs w:val="20"/>
              </w:rPr>
              <w:t>&lt; .001</w:t>
            </w:r>
            <w:r w:rsidRPr="00732369">
              <w:rPr>
                <w:rFonts w:ascii="Arial" w:eastAsia="Times New Roman" w:hAnsi="Arial" w:cs="Arial"/>
                <w:color w:val="000000"/>
                <w:sz w:val="20"/>
                <w:szCs w:val="20"/>
              </w:rPr>
              <w:t>)</w:t>
            </w:r>
          </w:p>
        </w:tc>
        <w:tc>
          <w:tcPr>
            <w:tcW w:w="0" w:type="auto"/>
          </w:tcPr>
          <w:p w14:paraId="5514EF8F"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0.6831</w:t>
            </w:r>
          </w:p>
        </w:tc>
        <w:tc>
          <w:tcPr>
            <w:tcW w:w="0" w:type="auto"/>
            <w:hideMark/>
          </w:tcPr>
          <w:p w14:paraId="1F371E2A"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26.92796</w:t>
            </w:r>
          </w:p>
          <w:p w14:paraId="208CE33D"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c>
          <w:tcPr>
            <w:tcW w:w="0" w:type="auto"/>
          </w:tcPr>
          <w:p w14:paraId="57F6548E"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0.8142</w:t>
            </w:r>
          </w:p>
        </w:tc>
        <w:tc>
          <w:tcPr>
            <w:tcW w:w="0" w:type="auto"/>
            <w:hideMark/>
          </w:tcPr>
          <w:p w14:paraId="2016AAAC"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4.003887</w:t>
            </w:r>
          </w:p>
          <w:p w14:paraId="209E4F38"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r>
      <w:tr w:rsidR="00174CB5" w:rsidRPr="00732369" w14:paraId="052EAEDE" w14:textId="77777777" w:rsidTr="00940DE1">
        <w:tc>
          <w:tcPr>
            <w:tcW w:w="0" w:type="auto"/>
            <w:hideMark/>
          </w:tcPr>
          <w:p w14:paraId="03908CED"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2018-19</w:t>
            </w:r>
          </w:p>
        </w:tc>
        <w:tc>
          <w:tcPr>
            <w:tcW w:w="0" w:type="auto"/>
            <w:hideMark/>
          </w:tcPr>
          <w:p w14:paraId="5B7B1BAA"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0.6801</w:t>
            </w:r>
          </w:p>
        </w:tc>
        <w:tc>
          <w:tcPr>
            <w:tcW w:w="0" w:type="auto"/>
            <w:hideMark/>
          </w:tcPr>
          <w:p w14:paraId="1CE1321C"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9.139914</w:t>
            </w:r>
          </w:p>
          <w:p w14:paraId="064C1E7D"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w:t>
            </w:r>
            <w:proofErr w:type="gramStart"/>
            <w:r w:rsidRPr="00732369">
              <w:rPr>
                <w:rFonts w:ascii="Arial" w:eastAsia="Times New Roman" w:hAnsi="Arial" w:cs="Arial"/>
                <w:color w:val="000000"/>
                <w:sz w:val="20"/>
                <w:szCs w:val="20"/>
              </w:rPr>
              <w:t>=..</w:t>
            </w:r>
            <w:proofErr w:type="gramEnd"/>
            <w:r w:rsidRPr="00732369">
              <w:rPr>
                <w:rFonts w:ascii="Arial" w:eastAsia="Times New Roman" w:hAnsi="Arial" w:cs="Arial"/>
                <w:color w:val="000000"/>
                <w:sz w:val="20"/>
                <w:szCs w:val="20"/>
              </w:rPr>
              <w:t>047)</w:t>
            </w:r>
          </w:p>
        </w:tc>
        <w:tc>
          <w:tcPr>
            <w:tcW w:w="0" w:type="auto"/>
            <w:hideMark/>
          </w:tcPr>
          <w:p w14:paraId="313A4B5F"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2.468232</w:t>
            </w:r>
          </w:p>
          <w:p w14:paraId="246A4A90"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=.004)</w:t>
            </w:r>
          </w:p>
        </w:tc>
        <w:tc>
          <w:tcPr>
            <w:tcW w:w="0" w:type="auto"/>
          </w:tcPr>
          <w:p w14:paraId="1CBB41FE"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0.5420</w:t>
            </w:r>
          </w:p>
        </w:tc>
        <w:tc>
          <w:tcPr>
            <w:tcW w:w="0" w:type="auto"/>
            <w:hideMark/>
          </w:tcPr>
          <w:p w14:paraId="56DF7248"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19.18958</w:t>
            </w:r>
          </w:p>
          <w:p w14:paraId="55301929"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c>
          <w:tcPr>
            <w:tcW w:w="0" w:type="auto"/>
          </w:tcPr>
          <w:p w14:paraId="31420E0A"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0.6298</w:t>
            </w:r>
          </w:p>
        </w:tc>
        <w:tc>
          <w:tcPr>
            <w:tcW w:w="0" w:type="auto"/>
            <w:hideMark/>
          </w:tcPr>
          <w:p w14:paraId="4E216ECC" w14:textId="77777777"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 xml:space="preserve">3.62131 </w:t>
            </w:r>
          </w:p>
          <w:p w14:paraId="73A467CA" w14:textId="77777777" w:rsidR="00174CB5" w:rsidRPr="00732369" w:rsidRDefault="00174CB5" w:rsidP="00732369">
            <w:pPr>
              <w:spacing w:line="480" w:lineRule="auto"/>
              <w:jc w:val="both"/>
              <w:rPr>
                <w:rFonts w:ascii="Arial" w:eastAsia="Times New Roman" w:hAnsi="Arial" w:cs="Arial"/>
                <w:sz w:val="20"/>
                <w:szCs w:val="20"/>
                <w:vertAlign w:val="superscript"/>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r>
      <w:tr w:rsidR="00174CB5" w:rsidRPr="00732369" w14:paraId="5C49DD97" w14:textId="77777777" w:rsidTr="00940DE1">
        <w:tc>
          <w:tcPr>
            <w:tcW w:w="0" w:type="auto"/>
            <w:hideMark/>
          </w:tcPr>
          <w:p w14:paraId="6AF71F23"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2019-20</w:t>
            </w:r>
          </w:p>
        </w:tc>
        <w:tc>
          <w:tcPr>
            <w:tcW w:w="0" w:type="auto"/>
            <w:hideMark/>
          </w:tcPr>
          <w:p w14:paraId="25726D2A"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0.5882</w:t>
            </w:r>
          </w:p>
        </w:tc>
        <w:tc>
          <w:tcPr>
            <w:tcW w:w="0" w:type="auto"/>
            <w:hideMark/>
          </w:tcPr>
          <w:p w14:paraId="31D2AA04"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8.782516</w:t>
            </w:r>
          </w:p>
          <w:p w14:paraId="79D13969"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=.011)</w:t>
            </w:r>
          </w:p>
        </w:tc>
        <w:tc>
          <w:tcPr>
            <w:tcW w:w="0" w:type="auto"/>
            <w:hideMark/>
          </w:tcPr>
          <w:p w14:paraId="6A9468CE"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1.014359</w:t>
            </w:r>
          </w:p>
          <w:p w14:paraId="5A8583D2"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=.077)</w:t>
            </w:r>
          </w:p>
        </w:tc>
        <w:tc>
          <w:tcPr>
            <w:tcW w:w="0" w:type="auto"/>
          </w:tcPr>
          <w:p w14:paraId="4F1EF916"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0.5422</w:t>
            </w:r>
          </w:p>
        </w:tc>
        <w:tc>
          <w:tcPr>
            <w:tcW w:w="0" w:type="auto"/>
            <w:hideMark/>
          </w:tcPr>
          <w:p w14:paraId="7246AD1C"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12.80326</w:t>
            </w:r>
          </w:p>
          <w:p w14:paraId="1C6C0F7F"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c>
          <w:tcPr>
            <w:tcW w:w="0" w:type="auto"/>
          </w:tcPr>
          <w:p w14:paraId="789B4C95"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0.4611</w:t>
            </w:r>
          </w:p>
        </w:tc>
        <w:tc>
          <w:tcPr>
            <w:tcW w:w="0" w:type="auto"/>
            <w:hideMark/>
          </w:tcPr>
          <w:p w14:paraId="78D5DAF9"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2.060923</w:t>
            </w:r>
          </w:p>
          <w:p w14:paraId="3F3E838F"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r>
      <w:tr w:rsidR="00174CB5" w:rsidRPr="00732369" w14:paraId="644A0FDC" w14:textId="77777777" w:rsidTr="00940DE1">
        <w:tc>
          <w:tcPr>
            <w:tcW w:w="0" w:type="auto"/>
            <w:hideMark/>
          </w:tcPr>
          <w:p w14:paraId="18C6BF20"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2020-21</w:t>
            </w:r>
          </w:p>
        </w:tc>
        <w:tc>
          <w:tcPr>
            <w:tcW w:w="0" w:type="auto"/>
            <w:hideMark/>
          </w:tcPr>
          <w:p w14:paraId="1B9EFD3A"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0.6849</w:t>
            </w:r>
          </w:p>
        </w:tc>
        <w:tc>
          <w:tcPr>
            <w:tcW w:w="0" w:type="auto"/>
            <w:hideMark/>
          </w:tcPr>
          <w:p w14:paraId="3D65624D"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11.06064</w:t>
            </w:r>
          </w:p>
          <w:p w14:paraId="757901B4"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=.021)</w:t>
            </w:r>
          </w:p>
        </w:tc>
        <w:tc>
          <w:tcPr>
            <w:tcW w:w="0" w:type="auto"/>
            <w:hideMark/>
          </w:tcPr>
          <w:p w14:paraId="3E435F83"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2.615896</w:t>
            </w:r>
          </w:p>
          <w:p w14:paraId="39B3E7A7"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=.001)</w:t>
            </w:r>
          </w:p>
        </w:tc>
        <w:tc>
          <w:tcPr>
            <w:tcW w:w="0" w:type="auto"/>
          </w:tcPr>
          <w:p w14:paraId="45CABAF3"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0.4868</w:t>
            </w:r>
          </w:p>
          <w:p w14:paraId="0D72C87C" w14:textId="77777777" w:rsidR="00174CB5" w:rsidRPr="00732369" w:rsidRDefault="00174CB5" w:rsidP="00732369">
            <w:pPr>
              <w:spacing w:line="480" w:lineRule="auto"/>
              <w:jc w:val="both"/>
              <w:rPr>
                <w:rFonts w:ascii="Arial" w:eastAsia="Times New Roman" w:hAnsi="Arial" w:cs="Arial"/>
                <w:sz w:val="20"/>
                <w:szCs w:val="20"/>
              </w:rPr>
            </w:pPr>
          </w:p>
        </w:tc>
        <w:tc>
          <w:tcPr>
            <w:tcW w:w="0" w:type="auto"/>
            <w:hideMark/>
          </w:tcPr>
          <w:p w14:paraId="0781E61D"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21.48608</w:t>
            </w:r>
          </w:p>
          <w:p w14:paraId="1D658855"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c>
          <w:tcPr>
            <w:tcW w:w="0" w:type="auto"/>
          </w:tcPr>
          <w:p w14:paraId="5B2BD548"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0.6105</w:t>
            </w:r>
          </w:p>
          <w:p w14:paraId="3BA21209" w14:textId="77777777" w:rsidR="00174CB5" w:rsidRPr="00732369" w:rsidRDefault="00174CB5" w:rsidP="00732369">
            <w:pPr>
              <w:spacing w:line="480" w:lineRule="auto"/>
              <w:jc w:val="both"/>
              <w:rPr>
                <w:rFonts w:ascii="Arial" w:eastAsia="Times New Roman" w:hAnsi="Arial" w:cs="Arial"/>
                <w:sz w:val="20"/>
                <w:szCs w:val="20"/>
              </w:rPr>
            </w:pPr>
          </w:p>
        </w:tc>
        <w:tc>
          <w:tcPr>
            <w:tcW w:w="0" w:type="auto"/>
            <w:hideMark/>
          </w:tcPr>
          <w:p w14:paraId="539AA5CE"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3.645528</w:t>
            </w:r>
          </w:p>
          <w:p w14:paraId="6ED7B510" w14:textId="77777777" w:rsidR="00174CB5" w:rsidRPr="00732369" w:rsidRDefault="00174CB5" w:rsidP="00732369">
            <w:pPr>
              <w:spacing w:line="480" w:lineRule="auto"/>
              <w:jc w:val="both"/>
              <w:rPr>
                <w:rFonts w:ascii="Arial" w:eastAsia="Times New Roman" w:hAnsi="Arial" w:cs="Arial"/>
                <w:sz w:val="20"/>
                <w:szCs w:val="20"/>
                <w:vertAlign w:val="superscript"/>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r>
      <w:tr w:rsidR="00174CB5" w:rsidRPr="00732369" w14:paraId="227DC46E" w14:textId="77777777" w:rsidTr="00940DE1">
        <w:tc>
          <w:tcPr>
            <w:tcW w:w="0" w:type="auto"/>
            <w:hideMark/>
          </w:tcPr>
          <w:p w14:paraId="084F5E3E"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2021-22</w:t>
            </w:r>
          </w:p>
        </w:tc>
        <w:tc>
          <w:tcPr>
            <w:tcW w:w="0" w:type="auto"/>
            <w:hideMark/>
          </w:tcPr>
          <w:p w14:paraId="67DF128A"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0.6979</w:t>
            </w:r>
          </w:p>
        </w:tc>
        <w:tc>
          <w:tcPr>
            <w:tcW w:w="0" w:type="auto"/>
            <w:hideMark/>
          </w:tcPr>
          <w:p w14:paraId="73D723CD"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12.00368</w:t>
            </w:r>
          </w:p>
          <w:p w14:paraId="1F85705A"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=.015)</w:t>
            </w:r>
          </w:p>
        </w:tc>
        <w:tc>
          <w:tcPr>
            <w:tcW w:w="0" w:type="auto"/>
            <w:hideMark/>
          </w:tcPr>
          <w:p w14:paraId="5D33F05B"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2.424419</w:t>
            </w:r>
          </w:p>
          <w:p w14:paraId="2C98ADB9"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=.002)</w:t>
            </w:r>
          </w:p>
        </w:tc>
        <w:tc>
          <w:tcPr>
            <w:tcW w:w="0" w:type="auto"/>
          </w:tcPr>
          <w:p w14:paraId="784D63CD"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0.5373</w:t>
            </w:r>
          </w:p>
        </w:tc>
        <w:tc>
          <w:tcPr>
            <w:tcW w:w="0" w:type="auto"/>
            <w:hideMark/>
          </w:tcPr>
          <w:p w14:paraId="4BFAA842"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22.43425</w:t>
            </w:r>
          </w:p>
          <w:p w14:paraId="6A15BE52" w14:textId="77777777" w:rsidR="00174CB5" w:rsidRPr="00732369" w:rsidRDefault="00174CB5" w:rsidP="00732369">
            <w:pPr>
              <w:spacing w:line="480" w:lineRule="auto"/>
              <w:jc w:val="both"/>
              <w:rPr>
                <w:rFonts w:ascii="Arial" w:eastAsia="Times New Roman" w:hAnsi="Arial" w:cs="Arial"/>
                <w:sz w:val="20"/>
                <w:szCs w:val="20"/>
                <w:vertAlign w:val="superscript"/>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c>
          <w:tcPr>
            <w:tcW w:w="0" w:type="auto"/>
          </w:tcPr>
          <w:p w14:paraId="5F334187"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0.6147</w:t>
            </w:r>
          </w:p>
        </w:tc>
        <w:tc>
          <w:tcPr>
            <w:tcW w:w="0" w:type="auto"/>
            <w:hideMark/>
          </w:tcPr>
          <w:p w14:paraId="4C65CDE8"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3.594785</w:t>
            </w:r>
          </w:p>
          <w:p w14:paraId="78990C67"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r>
      <w:tr w:rsidR="00174CB5" w:rsidRPr="00732369" w14:paraId="688B7EBC" w14:textId="77777777" w:rsidTr="00940DE1">
        <w:tc>
          <w:tcPr>
            <w:tcW w:w="0" w:type="auto"/>
            <w:hideMark/>
          </w:tcPr>
          <w:p w14:paraId="4DE570EC"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2022-23</w:t>
            </w:r>
          </w:p>
        </w:tc>
        <w:tc>
          <w:tcPr>
            <w:tcW w:w="0" w:type="auto"/>
            <w:hideMark/>
          </w:tcPr>
          <w:p w14:paraId="7629FA14"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0.7228</w:t>
            </w:r>
          </w:p>
        </w:tc>
        <w:tc>
          <w:tcPr>
            <w:tcW w:w="0" w:type="auto"/>
            <w:hideMark/>
          </w:tcPr>
          <w:p w14:paraId="436BC421"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10.00415</w:t>
            </w:r>
          </w:p>
          <w:p w14:paraId="1850115D"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=.029)</w:t>
            </w:r>
          </w:p>
        </w:tc>
        <w:tc>
          <w:tcPr>
            <w:tcW w:w="0" w:type="auto"/>
            <w:hideMark/>
          </w:tcPr>
          <w:p w14:paraId="52B6DB6D"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2.579246</w:t>
            </w:r>
          </w:p>
          <w:p w14:paraId="4C0CB8BE"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=.001)</w:t>
            </w:r>
          </w:p>
        </w:tc>
        <w:tc>
          <w:tcPr>
            <w:tcW w:w="0" w:type="auto"/>
          </w:tcPr>
          <w:p w14:paraId="1F182A31"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0.5409</w:t>
            </w:r>
          </w:p>
        </w:tc>
        <w:tc>
          <w:tcPr>
            <w:tcW w:w="0" w:type="auto"/>
            <w:hideMark/>
          </w:tcPr>
          <w:p w14:paraId="7D17531E"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21.42043</w:t>
            </w:r>
          </w:p>
          <w:p w14:paraId="02DCA462" w14:textId="77777777" w:rsidR="00174CB5" w:rsidRPr="00732369" w:rsidRDefault="00174CB5" w:rsidP="00732369">
            <w:pPr>
              <w:spacing w:line="480" w:lineRule="auto"/>
              <w:jc w:val="both"/>
              <w:rPr>
                <w:rFonts w:ascii="Arial" w:eastAsia="Times New Roman" w:hAnsi="Arial" w:cs="Arial"/>
                <w:sz w:val="20"/>
                <w:szCs w:val="20"/>
                <w:vertAlign w:val="superscript"/>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c>
          <w:tcPr>
            <w:tcW w:w="0" w:type="auto"/>
          </w:tcPr>
          <w:p w14:paraId="659AE817"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0.6665</w:t>
            </w:r>
          </w:p>
        </w:tc>
        <w:tc>
          <w:tcPr>
            <w:tcW w:w="0" w:type="auto"/>
            <w:hideMark/>
          </w:tcPr>
          <w:p w14:paraId="02C6A5CF"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3.622132</w:t>
            </w:r>
          </w:p>
          <w:p w14:paraId="19D3AC73" w14:textId="77777777" w:rsidR="00174CB5" w:rsidRPr="00732369" w:rsidRDefault="00174CB5" w:rsidP="00732369">
            <w:pPr>
              <w:spacing w:line="480" w:lineRule="auto"/>
              <w:jc w:val="both"/>
              <w:rPr>
                <w:rFonts w:ascii="Arial" w:eastAsia="Times New Roman" w:hAnsi="Arial" w:cs="Arial"/>
                <w:sz w:val="20"/>
                <w:szCs w:val="20"/>
                <w:vertAlign w:val="superscript"/>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r>
      <w:tr w:rsidR="00174CB5" w:rsidRPr="00732369" w14:paraId="3742F620" w14:textId="77777777" w:rsidTr="00940DE1">
        <w:trPr>
          <w:trHeight w:val="557"/>
        </w:trPr>
        <w:tc>
          <w:tcPr>
            <w:tcW w:w="0" w:type="auto"/>
            <w:hideMark/>
          </w:tcPr>
          <w:p w14:paraId="4A89E3AA"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2023-24</w:t>
            </w:r>
          </w:p>
        </w:tc>
        <w:tc>
          <w:tcPr>
            <w:tcW w:w="0" w:type="auto"/>
            <w:hideMark/>
          </w:tcPr>
          <w:p w14:paraId="26EFC3C8"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0.8137</w:t>
            </w:r>
          </w:p>
        </w:tc>
        <w:tc>
          <w:tcPr>
            <w:tcW w:w="0" w:type="auto"/>
            <w:hideMark/>
          </w:tcPr>
          <w:p w14:paraId="57368D05"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23.9333</w:t>
            </w:r>
          </w:p>
          <w:p w14:paraId="62CCEFF3"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=.001)</w:t>
            </w:r>
          </w:p>
        </w:tc>
        <w:tc>
          <w:tcPr>
            <w:tcW w:w="0" w:type="auto"/>
            <w:hideMark/>
          </w:tcPr>
          <w:p w14:paraId="6B1E3622"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1.490733</w:t>
            </w:r>
          </w:p>
          <w:p w14:paraId="010FB609"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=.113)</w:t>
            </w:r>
          </w:p>
        </w:tc>
        <w:tc>
          <w:tcPr>
            <w:tcW w:w="0" w:type="auto"/>
          </w:tcPr>
          <w:p w14:paraId="52C7182A"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0.7989</w:t>
            </w:r>
          </w:p>
        </w:tc>
        <w:tc>
          <w:tcPr>
            <w:tcW w:w="0" w:type="auto"/>
            <w:hideMark/>
          </w:tcPr>
          <w:p w14:paraId="3AF6D322"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32.33004</w:t>
            </w:r>
          </w:p>
          <w:p w14:paraId="2A0E966B"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c>
          <w:tcPr>
            <w:tcW w:w="0" w:type="auto"/>
          </w:tcPr>
          <w:p w14:paraId="0CAD6343"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0.6881</w:t>
            </w:r>
          </w:p>
        </w:tc>
        <w:tc>
          <w:tcPr>
            <w:tcW w:w="0" w:type="auto"/>
            <w:hideMark/>
          </w:tcPr>
          <w:p w14:paraId="72C5B364"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4.508798</w:t>
            </w:r>
          </w:p>
          <w:p w14:paraId="257FEA0F"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r>
      <w:tr w:rsidR="00174CB5" w:rsidRPr="00732369" w14:paraId="782CC637" w14:textId="77777777" w:rsidTr="00940DE1">
        <w:trPr>
          <w:trHeight w:val="692"/>
        </w:trPr>
        <w:tc>
          <w:tcPr>
            <w:tcW w:w="0" w:type="auto"/>
            <w:hideMark/>
          </w:tcPr>
          <w:p w14:paraId="1EE8F7B4" w14:textId="77777777"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2024-25</w:t>
            </w:r>
          </w:p>
        </w:tc>
        <w:tc>
          <w:tcPr>
            <w:tcW w:w="0" w:type="auto"/>
            <w:hideMark/>
          </w:tcPr>
          <w:p w14:paraId="6A737234" w14:textId="77777777" w:rsidR="00174CB5" w:rsidRPr="00732369" w:rsidRDefault="00174CB5" w:rsidP="00732369">
            <w:pPr>
              <w:spacing w:after="240" w:line="480" w:lineRule="auto"/>
              <w:jc w:val="both"/>
              <w:rPr>
                <w:rFonts w:ascii="Arial" w:eastAsia="Times New Roman" w:hAnsi="Arial" w:cs="Arial"/>
                <w:sz w:val="20"/>
                <w:szCs w:val="20"/>
              </w:rPr>
            </w:pPr>
            <w:r w:rsidRPr="00732369">
              <w:rPr>
                <w:rFonts w:ascii="Arial" w:eastAsia="Times New Roman" w:hAnsi="Arial" w:cs="Arial"/>
                <w:sz w:val="20"/>
                <w:szCs w:val="20"/>
              </w:rPr>
              <w:t>0.8104</w:t>
            </w:r>
          </w:p>
        </w:tc>
        <w:tc>
          <w:tcPr>
            <w:tcW w:w="0" w:type="auto"/>
            <w:hideMark/>
          </w:tcPr>
          <w:p w14:paraId="69F12F79"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13.673</w:t>
            </w:r>
          </w:p>
          <w:p w14:paraId="64B71517"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=.021)</w:t>
            </w:r>
          </w:p>
        </w:tc>
        <w:tc>
          <w:tcPr>
            <w:tcW w:w="0" w:type="auto"/>
            <w:hideMark/>
          </w:tcPr>
          <w:p w14:paraId="5EB0EEEB" w14:textId="77777777"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2.354024</w:t>
            </w:r>
          </w:p>
          <w:p w14:paraId="44CA85DD" w14:textId="77777777"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=.013)</w:t>
            </w:r>
          </w:p>
        </w:tc>
        <w:tc>
          <w:tcPr>
            <w:tcW w:w="0" w:type="auto"/>
          </w:tcPr>
          <w:p w14:paraId="287E369E" w14:textId="77777777"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0.7559</w:t>
            </w:r>
          </w:p>
        </w:tc>
        <w:tc>
          <w:tcPr>
            <w:tcW w:w="0" w:type="auto"/>
            <w:hideMark/>
          </w:tcPr>
          <w:p w14:paraId="0D02223E" w14:textId="77777777"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26.53478</w:t>
            </w:r>
          </w:p>
          <w:p w14:paraId="25E86C02" w14:textId="77777777" w:rsidR="00174CB5" w:rsidRPr="00732369" w:rsidRDefault="00174CB5" w:rsidP="00732369">
            <w:pPr>
              <w:spacing w:line="480" w:lineRule="auto"/>
              <w:jc w:val="both"/>
              <w:rPr>
                <w:rFonts w:ascii="Arial" w:eastAsia="Times New Roman" w:hAnsi="Arial" w:cs="Arial"/>
                <w:color w:val="000000"/>
                <w:sz w:val="20"/>
                <w:szCs w:val="20"/>
              </w:rPr>
            </w:pPr>
          </w:p>
        </w:tc>
        <w:tc>
          <w:tcPr>
            <w:tcW w:w="0" w:type="auto"/>
          </w:tcPr>
          <w:p w14:paraId="60844724" w14:textId="77777777"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0.7656</w:t>
            </w:r>
          </w:p>
        </w:tc>
        <w:tc>
          <w:tcPr>
            <w:tcW w:w="0" w:type="auto"/>
            <w:hideMark/>
          </w:tcPr>
          <w:p w14:paraId="4DAA15AE" w14:textId="77777777" w:rsidR="00174CB5" w:rsidRPr="00732369" w:rsidRDefault="00174CB5" w:rsidP="00732369">
            <w:pPr>
              <w:spacing w:line="480" w:lineRule="auto"/>
              <w:jc w:val="both"/>
              <w:rPr>
                <w:rFonts w:ascii="Arial" w:eastAsia="Times New Roman" w:hAnsi="Arial" w:cs="Arial"/>
                <w:color w:val="000000"/>
                <w:sz w:val="20"/>
                <w:szCs w:val="20"/>
              </w:rPr>
            </w:pPr>
            <w:r w:rsidRPr="00732369">
              <w:rPr>
                <w:rFonts w:ascii="Arial" w:eastAsia="Times New Roman" w:hAnsi="Arial" w:cs="Arial"/>
                <w:color w:val="000000"/>
                <w:sz w:val="20"/>
                <w:szCs w:val="20"/>
              </w:rPr>
              <w:t>4.228525</w:t>
            </w:r>
          </w:p>
          <w:p w14:paraId="110E99BE" w14:textId="77777777" w:rsidR="00174CB5" w:rsidRPr="00732369" w:rsidRDefault="00174CB5" w:rsidP="00732369">
            <w:pPr>
              <w:spacing w:line="480" w:lineRule="auto"/>
              <w:jc w:val="both"/>
              <w:rPr>
                <w:rFonts w:ascii="Arial" w:eastAsia="Times New Roman" w:hAnsi="Arial" w:cs="Arial"/>
                <w:color w:val="000000"/>
                <w:sz w:val="20"/>
                <w:szCs w:val="20"/>
                <w:vertAlign w:val="superscript"/>
              </w:rPr>
            </w:pPr>
          </w:p>
        </w:tc>
      </w:tr>
      <w:tr w:rsidR="00174CB5" w:rsidRPr="00732369" w14:paraId="08E4A0DD" w14:textId="77777777" w:rsidTr="00940DE1">
        <w:tc>
          <w:tcPr>
            <w:tcW w:w="0" w:type="auto"/>
            <w:hideMark/>
          </w:tcPr>
          <w:p w14:paraId="68BD3506"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Pooled</w:t>
            </w:r>
          </w:p>
          <w:p w14:paraId="3DA80990"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(2018-2025)</w:t>
            </w:r>
          </w:p>
        </w:tc>
        <w:tc>
          <w:tcPr>
            <w:tcW w:w="0" w:type="auto"/>
            <w:hideMark/>
          </w:tcPr>
          <w:p w14:paraId="72839FBE" w14:textId="77777777" w:rsidR="00174CB5" w:rsidRPr="00732369" w:rsidRDefault="00174CB5" w:rsidP="00732369">
            <w:pPr>
              <w:spacing w:after="240" w:line="480" w:lineRule="auto"/>
              <w:jc w:val="both"/>
              <w:rPr>
                <w:rFonts w:ascii="Arial" w:eastAsia="Times New Roman" w:hAnsi="Arial" w:cs="Arial"/>
                <w:sz w:val="20"/>
                <w:szCs w:val="20"/>
              </w:rPr>
            </w:pPr>
            <w:r w:rsidRPr="00732369">
              <w:rPr>
                <w:rFonts w:ascii="Arial" w:eastAsia="Times New Roman" w:hAnsi="Arial" w:cs="Arial"/>
                <w:sz w:val="20"/>
                <w:szCs w:val="20"/>
              </w:rPr>
              <w:t>0.7317</w:t>
            </w:r>
          </w:p>
          <w:p w14:paraId="3E943256" w14:textId="77777777" w:rsidR="00174CB5" w:rsidRPr="00732369" w:rsidRDefault="00174CB5" w:rsidP="00732369">
            <w:pPr>
              <w:spacing w:line="480" w:lineRule="auto"/>
              <w:jc w:val="both"/>
              <w:rPr>
                <w:rFonts w:ascii="Arial" w:eastAsia="Times New Roman" w:hAnsi="Arial" w:cs="Arial"/>
                <w:sz w:val="20"/>
                <w:szCs w:val="20"/>
              </w:rPr>
            </w:pPr>
          </w:p>
        </w:tc>
        <w:tc>
          <w:tcPr>
            <w:tcW w:w="0" w:type="auto"/>
            <w:hideMark/>
          </w:tcPr>
          <w:p w14:paraId="565BDFE3"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sz w:val="20"/>
                <w:szCs w:val="20"/>
              </w:rPr>
              <w:t>13.01114</w:t>
            </w:r>
          </w:p>
          <w:p w14:paraId="1DA8EEB8"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&lt;.001)</w:t>
            </w:r>
          </w:p>
        </w:tc>
        <w:tc>
          <w:tcPr>
            <w:tcW w:w="0" w:type="auto"/>
            <w:hideMark/>
          </w:tcPr>
          <w:p w14:paraId="74DAC7DB"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2.457843</w:t>
            </w:r>
          </w:p>
          <w:p w14:paraId="0832138C"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c>
          <w:tcPr>
            <w:tcW w:w="0" w:type="auto"/>
          </w:tcPr>
          <w:p w14:paraId="0424A66C"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0.6317</w:t>
            </w:r>
          </w:p>
        </w:tc>
        <w:tc>
          <w:tcPr>
            <w:tcW w:w="0" w:type="auto"/>
            <w:hideMark/>
          </w:tcPr>
          <w:p w14:paraId="0D11386E"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24.76971</w:t>
            </w:r>
          </w:p>
          <w:p w14:paraId="68AE9A77"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c>
          <w:tcPr>
            <w:tcW w:w="0" w:type="auto"/>
          </w:tcPr>
          <w:p w14:paraId="0D68C484"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0.6603</w:t>
            </w:r>
          </w:p>
        </w:tc>
        <w:tc>
          <w:tcPr>
            <w:tcW w:w="0" w:type="auto"/>
            <w:hideMark/>
          </w:tcPr>
          <w:p w14:paraId="0747A40B"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4.052243</w:t>
            </w:r>
          </w:p>
          <w:p w14:paraId="626CF44A" w14:textId="77777777" w:rsidR="00174CB5" w:rsidRPr="00732369" w:rsidRDefault="00174CB5" w:rsidP="00732369">
            <w:pPr>
              <w:spacing w:line="480" w:lineRule="auto"/>
              <w:jc w:val="both"/>
              <w:rPr>
                <w:rFonts w:ascii="Arial" w:eastAsia="Times New Roman" w:hAnsi="Arial" w:cs="Arial"/>
                <w:sz w:val="20"/>
                <w:szCs w:val="20"/>
              </w:rPr>
            </w:pPr>
            <w:r w:rsidRPr="00732369">
              <w:rPr>
                <w:rFonts w:ascii="Arial" w:eastAsia="Times New Roman" w:hAnsi="Arial" w:cs="Arial"/>
                <w:color w:val="000000"/>
                <w:sz w:val="20"/>
                <w:szCs w:val="20"/>
              </w:rPr>
              <w:t>(</w:t>
            </w:r>
            <w:r w:rsidRPr="00732369">
              <w:rPr>
                <w:rFonts w:ascii="Arial" w:eastAsia="Times New Roman" w:hAnsi="Arial" w:cs="Arial"/>
                <w:i/>
                <w:color w:val="000000"/>
                <w:sz w:val="20"/>
                <w:szCs w:val="20"/>
              </w:rPr>
              <w:t>P</w:t>
            </w:r>
            <w:r w:rsidRPr="00732369">
              <w:rPr>
                <w:rFonts w:ascii="Arial" w:eastAsia="Times New Roman" w:hAnsi="Arial" w:cs="Arial"/>
                <w:color w:val="000000"/>
                <w:sz w:val="20"/>
                <w:szCs w:val="20"/>
              </w:rPr>
              <w:t xml:space="preserve"> &lt; .001)</w:t>
            </w:r>
          </w:p>
        </w:tc>
      </w:tr>
    </w:tbl>
    <w:p w14:paraId="45FBF9EE" w14:textId="77777777" w:rsidR="00174CB5" w:rsidRPr="00732369" w:rsidRDefault="00174CB5" w:rsidP="00732369">
      <w:pPr>
        <w:pBdr>
          <w:top w:val="nil"/>
          <w:left w:val="nil"/>
          <w:bottom w:val="nil"/>
          <w:right w:val="nil"/>
          <w:between w:val="nil"/>
        </w:pBdr>
        <w:spacing w:line="480" w:lineRule="auto"/>
        <w:jc w:val="both"/>
        <w:rPr>
          <w:rFonts w:ascii="Arial" w:hAnsi="Arial" w:cs="Arial"/>
          <w:i/>
          <w:color w:val="000000"/>
          <w:sz w:val="18"/>
        </w:rPr>
      </w:pPr>
      <w:r w:rsidRPr="00732369">
        <w:rPr>
          <w:rFonts w:ascii="Arial" w:hAnsi="Arial" w:cs="Arial"/>
          <w:i/>
          <w:color w:val="000000"/>
          <w:sz w:val="18"/>
        </w:rPr>
        <w:t>Source: Author’s own computation using STATA</w:t>
      </w:r>
    </w:p>
    <w:p w14:paraId="6EAFE96A" w14:textId="77777777" w:rsidR="00174CB5" w:rsidRPr="00732369" w:rsidRDefault="00174CB5" w:rsidP="00732369">
      <w:pPr>
        <w:spacing w:line="480" w:lineRule="auto"/>
        <w:jc w:val="both"/>
        <w:rPr>
          <w:rFonts w:ascii="Arial" w:hAnsi="Arial" w:cs="Arial"/>
        </w:rPr>
      </w:pPr>
      <w:r w:rsidRPr="00732369">
        <w:rPr>
          <w:rFonts w:ascii="Arial" w:hAnsi="Arial" w:cs="Arial"/>
        </w:rPr>
        <w:t>Notes</w:t>
      </w:r>
    </w:p>
    <w:p w14:paraId="6D9A6C0F" w14:textId="77777777" w:rsidR="00174CB5" w:rsidRPr="00732369" w:rsidRDefault="00174CB5" w:rsidP="00732369">
      <w:pPr>
        <w:spacing w:line="480" w:lineRule="auto"/>
        <w:jc w:val="both"/>
        <w:rPr>
          <w:rFonts w:ascii="Arial" w:hAnsi="Arial" w:cs="Arial"/>
        </w:rPr>
      </w:pPr>
      <w:r w:rsidRPr="00732369">
        <w:rPr>
          <w:rFonts w:ascii="Arial" w:hAnsi="Arial" w:cs="Arial"/>
        </w:rPr>
        <w:t>Adj R</w:t>
      </w:r>
      <w:r w:rsidRPr="00732369">
        <w:rPr>
          <w:rFonts w:ascii="Arial" w:hAnsi="Arial" w:cs="Arial"/>
          <w:vertAlign w:val="superscript"/>
        </w:rPr>
        <w:t>2</w:t>
      </w:r>
      <w:r w:rsidRPr="00732369">
        <w:rPr>
          <w:rFonts w:ascii="Arial" w:hAnsi="Arial" w:cs="Arial"/>
        </w:rPr>
        <w:t>EPS= Adjusted R</w:t>
      </w:r>
      <w:r w:rsidRPr="00732369">
        <w:rPr>
          <w:rFonts w:ascii="Arial" w:hAnsi="Arial" w:cs="Arial"/>
          <w:vertAlign w:val="superscript"/>
        </w:rPr>
        <w:t xml:space="preserve">2 </w:t>
      </w:r>
      <w:r w:rsidRPr="00732369">
        <w:rPr>
          <w:rFonts w:ascii="Arial" w:hAnsi="Arial" w:cs="Arial"/>
        </w:rPr>
        <w:t>of EPS</w:t>
      </w:r>
    </w:p>
    <w:p w14:paraId="583072A9" w14:textId="77777777" w:rsidR="00174CB5" w:rsidRPr="00732369" w:rsidRDefault="00174CB5" w:rsidP="00732369">
      <w:pPr>
        <w:spacing w:line="480" w:lineRule="auto"/>
        <w:jc w:val="both"/>
        <w:rPr>
          <w:rFonts w:ascii="Arial" w:hAnsi="Arial" w:cs="Arial"/>
        </w:rPr>
      </w:pPr>
      <w:r w:rsidRPr="00732369">
        <w:rPr>
          <w:rFonts w:ascii="Arial" w:hAnsi="Arial" w:cs="Arial"/>
        </w:rPr>
        <w:t>Adj R</w:t>
      </w:r>
      <w:r w:rsidRPr="00732369">
        <w:rPr>
          <w:rFonts w:ascii="Arial" w:hAnsi="Arial" w:cs="Arial"/>
          <w:vertAlign w:val="superscript"/>
        </w:rPr>
        <w:t>2</w:t>
      </w:r>
      <w:r w:rsidRPr="00732369">
        <w:rPr>
          <w:rFonts w:ascii="Arial" w:hAnsi="Arial" w:cs="Arial"/>
        </w:rPr>
        <w:t>BVPS= Adjusted R</w:t>
      </w:r>
      <w:r w:rsidRPr="00732369">
        <w:rPr>
          <w:rFonts w:ascii="Arial" w:hAnsi="Arial" w:cs="Arial"/>
          <w:vertAlign w:val="superscript"/>
        </w:rPr>
        <w:t>2</w:t>
      </w:r>
      <w:r w:rsidRPr="00732369">
        <w:rPr>
          <w:rFonts w:ascii="Arial" w:hAnsi="Arial" w:cs="Arial"/>
        </w:rPr>
        <w:t xml:space="preserve"> of BVPS</w:t>
      </w:r>
    </w:p>
    <w:p w14:paraId="55AB96EF" w14:textId="77777777" w:rsidR="00174CB5" w:rsidRPr="00732369" w:rsidRDefault="00174CB5" w:rsidP="00732369">
      <w:pPr>
        <w:spacing w:line="480" w:lineRule="auto"/>
        <w:jc w:val="both"/>
        <w:rPr>
          <w:rFonts w:ascii="Arial" w:hAnsi="Arial" w:cs="Arial"/>
        </w:rPr>
      </w:pPr>
      <w:r w:rsidRPr="00732369">
        <w:rPr>
          <w:rFonts w:ascii="Arial" w:hAnsi="Arial" w:cs="Arial"/>
        </w:rPr>
        <w:t>Adj R</w:t>
      </w:r>
      <w:r w:rsidRPr="00732369">
        <w:rPr>
          <w:rFonts w:ascii="Arial" w:hAnsi="Arial" w:cs="Arial"/>
          <w:vertAlign w:val="superscript"/>
        </w:rPr>
        <w:t>2</w:t>
      </w:r>
      <w:r w:rsidRPr="00732369">
        <w:rPr>
          <w:rFonts w:ascii="Arial" w:hAnsi="Arial" w:cs="Arial"/>
        </w:rPr>
        <w:t>C= Adjusted R</w:t>
      </w:r>
      <w:r w:rsidRPr="00732369">
        <w:rPr>
          <w:rFonts w:ascii="Arial" w:hAnsi="Arial" w:cs="Arial"/>
          <w:vertAlign w:val="superscript"/>
        </w:rPr>
        <w:t>2</w:t>
      </w:r>
      <w:r w:rsidR="00375408">
        <w:rPr>
          <w:rFonts w:ascii="Arial" w:hAnsi="Arial" w:cs="Arial"/>
        </w:rPr>
        <w:t xml:space="preserve"> of combined EPS-</w:t>
      </w:r>
      <w:r w:rsidRPr="00732369">
        <w:rPr>
          <w:rFonts w:ascii="Arial" w:hAnsi="Arial" w:cs="Arial"/>
        </w:rPr>
        <w:t>BVPS</w:t>
      </w:r>
    </w:p>
    <w:p w14:paraId="32CA2AFD" w14:textId="77777777" w:rsidR="000352E2" w:rsidRPr="00732369" w:rsidRDefault="000352E2" w:rsidP="00732369">
      <w:pPr>
        <w:spacing w:line="480" w:lineRule="auto"/>
        <w:jc w:val="both"/>
        <w:rPr>
          <w:rFonts w:ascii="Arial" w:hAnsi="Arial" w:cs="Arial"/>
        </w:rPr>
      </w:pPr>
    </w:p>
    <w:p w14:paraId="10DFEF6C" w14:textId="77777777" w:rsidR="00B95236" w:rsidRPr="00732369" w:rsidRDefault="000352E2" w:rsidP="00732369">
      <w:pPr>
        <w:spacing w:line="480" w:lineRule="auto"/>
        <w:jc w:val="both"/>
        <w:rPr>
          <w:rFonts w:ascii="Arial" w:hAnsi="Arial" w:cs="Arial"/>
        </w:rPr>
      </w:pPr>
      <w:r w:rsidRPr="00732369">
        <w:rPr>
          <w:rFonts w:ascii="Arial" w:hAnsi="Arial" w:cs="Arial"/>
        </w:rPr>
        <w:lastRenderedPageBreak/>
        <w:t>Table 4 shows the result of the annual cross-sectional and pooled regression analysis.</w:t>
      </w:r>
      <w:r w:rsidR="00A13ECC" w:rsidRPr="00732369">
        <w:rPr>
          <w:rFonts w:ascii="Arial" w:hAnsi="Arial" w:cs="Arial"/>
        </w:rPr>
        <w:t xml:space="preserve"> The result of the annual cross-sectional analysis shows</w:t>
      </w:r>
      <w:r w:rsidRPr="00732369">
        <w:rPr>
          <w:rFonts w:ascii="Arial" w:hAnsi="Arial" w:cs="Arial"/>
        </w:rPr>
        <w:t xml:space="preserve"> that Earnings per Share (EPS) and Book Value per Share (BVPS) have positive and statistically significant relationships with market price for every year covered by the study. Notably, the combined EPS-BVPS model was able to show improved explanatory power compared to the individual models, indicating its good ability to explain the dynamics between accounting variables and market price. Among the nine different years </w:t>
      </w:r>
      <w:proofErr w:type="spellStart"/>
      <w:r w:rsidRPr="00732369">
        <w:rPr>
          <w:rFonts w:ascii="Arial" w:hAnsi="Arial" w:cs="Arial"/>
        </w:rPr>
        <w:t>analysed</w:t>
      </w:r>
      <w:proofErr w:type="spellEnd"/>
      <w:r w:rsidRPr="00732369">
        <w:rPr>
          <w:rFonts w:ascii="Arial" w:hAnsi="Arial" w:cs="Arial"/>
        </w:rPr>
        <w:t xml:space="preserve">, BVPS was more value relevant than EPS in six of those years, while EPS was more relevant only in 2016-17, 2019-20 and 2023-24. The explanatory power of the combined model reached its highest point at 82.47% in 2017-18 and saw a decline in 2019-20 (58.82%) which can be attributed to the effects of the Covid-19 pandemic which disturbed the pattern of earnings and the </w:t>
      </w:r>
      <w:proofErr w:type="spellStart"/>
      <w:r w:rsidRPr="00732369">
        <w:rPr>
          <w:rFonts w:ascii="Arial" w:hAnsi="Arial" w:cs="Arial"/>
        </w:rPr>
        <w:t>behaviour</w:t>
      </w:r>
      <w:proofErr w:type="spellEnd"/>
      <w:r w:rsidRPr="00732369">
        <w:rPr>
          <w:rFonts w:ascii="Arial" w:hAnsi="Arial" w:cs="Arial"/>
        </w:rPr>
        <w:t xml:space="preserve"> of investors. For BVPS, the explanatory power was highest during 2017-2018 (81.42%), and for EPS the highest was in 2023-24 (79.89%) and 2024-25 (75.59%), and this dropped drastically to 48.68% for 2020-21. Furthermore, the magnitude of the coefficient for EPS was consistently higher than that for BVPS, which means that a 1% change in EPS had a greater effect on the market price, or the marginal impact, of EPS is stronger when statistically significant. In the pooled data analysis, the combined EPS-BVPS model again showed the highest explanatory power, with BVPS showing more consistent informational content during the analysis, and EPS having a stronger effect when significant. These results reveal that EPS and BVPS jointly express stock price better but when taken separately, BVPS explains stock price more than EPS but the marginal impact of EPS is stronger than BVPS post accounting reform in India.</w:t>
      </w:r>
    </w:p>
    <w:p w14:paraId="79F0CEF5" w14:textId="77777777" w:rsidR="00174CB5" w:rsidRPr="00732369" w:rsidRDefault="00174CB5" w:rsidP="00732369">
      <w:pPr>
        <w:spacing w:line="480" w:lineRule="auto"/>
        <w:jc w:val="both"/>
        <w:rPr>
          <w:rFonts w:ascii="Arial" w:hAnsi="Arial" w:cs="Arial"/>
          <w:b/>
        </w:rPr>
      </w:pPr>
      <w:r w:rsidRPr="00732369">
        <w:rPr>
          <w:rFonts w:ascii="Arial" w:hAnsi="Arial" w:cs="Arial"/>
          <w:b/>
        </w:rPr>
        <w:t>Figure 1: Value Relevance of EPS, BVPS and the C</w:t>
      </w:r>
      <w:r w:rsidR="004676B5" w:rsidRPr="00732369">
        <w:rPr>
          <w:rFonts w:ascii="Arial" w:hAnsi="Arial" w:cs="Arial"/>
          <w:b/>
        </w:rPr>
        <w:t xml:space="preserve">ombined EPS-BVPS over </w:t>
      </w:r>
      <w:r w:rsidRPr="00732369">
        <w:rPr>
          <w:rFonts w:ascii="Arial" w:hAnsi="Arial" w:cs="Arial"/>
          <w:b/>
        </w:rPr>
        <w:t>9 Year Study Period on 24 firms</w:t>
      </w:r>
    </w:p>
    <w:p w14:paraId="26408D35" w14:textId="77777777" w:rsidR="004676B5" w:rsidRPr="00732369" w:rsidRDefault="004676B5" w:rsidP="00732369">
      <w:pPr>
        <w:spacing w:line="480" w:lineRule="auto"/>
        <w:jc w:val="both"/>
        <w:rPr>
          <w:rFonts w:ascii="Arial" w:hAnsi="Arial" w:cs="Arial"/>
          <w:b/>
        </w:rPr>
      </w:pPr>
      <w:r w:rsidRPr="00732369">
        <w:rPr>
          <w:rFonts w:ascii="Arial" w:hAnsi="Arial" w:cs="Arial"/>
          <w:b/>
          <w:noProof/>
        </w:rPr>
        <w:lastRenderedPageBreak/>
        <w:drawing>
          <wp:inline distT="0" distB="0" distL="0" distR="0" wp14:anchorId="2D4B5FAF" wp14:editId="3FA29A9C">
            <wp:extent cx="5212080" cy="3200195"/>
            <wp:effectExtent l="19050" t="0" r="26670" b="2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75FC01" w14:textId="77777777" w:rsidR="00790ADA" w:rsidRPr="00732369" w:rsidRDefault="00790ADA" w:rsidP="00732369">
      <w:pPr>
        <w:pStyle w:val="Body"/>
        <w:spacing w:after="0" w:line="480" w:lineRule="auto"/>
        <w:rPr>
          <w:rFonts w:ascii="Arial" w:hAnsi="Arial" w:cs="Arial"/>
        </w:rPr>
      </w:pPr>
    </w:p>
    <w:p w14:paraId="6A516C5B" w14:textId="77777777" w:rsidR="00E053D0" w:rsidRPr="00732369" w:rsidRDefault="00A13ECC" w:rsidP="00732369">
      <w:pPr>
        <w:pStyle w:val="Body"/>
        <w:spacing w:after="0" w:line="480" w:lineRule="auto"/>
        <w:rPr>
          <w:rFonts w:ascii="Arial" w:hAnsi="Arial" w:cs="Arial"/>
          <w:sz w:val="18"/>
        </w:rPr>
      </w:pPr>
      <w:r w:rsidRPr="00732369">
        <w:rPr>
          <w:rFonts w:ascii="Arial" w:hAnsi="Arial" w:cs="Arial"/>
        </w:rPr>
        <w:t>The result of the annual cross-sectional analysis as shown in the Table 4 is captured in the Figure 1. The figure presents the Adjusted R</w:t>
      </w:r>
      <w:r w:rsidRPr="00732369">
        <w:rPr>
          <w:rFonts w:ascii="Arial" w:hAnsi="Arial" w:cs="Arial"/>
          <w:vertAlign w:val="superscript"/>
        </w:rPr>
        <w:t>2</w:t>
      </w:r>
      <w:r w:rsidRPr="00732369">
        <w:rPr>
          <w:rFonts w:ascii="Arial" w:hAnsi="Arial" w:cs="Arial"/>
        </w:rPr>
        <w:t xml:space="preserve"> values of regression models using EPS, BVPS, and the combined EPS-BVPS over the study period. </w:t>
      </w:r>
      <w:r w:rsidRPr="00732369">
        <w:rPr>
          <w:rFonts w:ascii="Arial" w:hAnsi="Arial" w:cs="Arial"/>
          <w:color w:val="000000"/>
          <w:szCs w:val="22"/>
        </w:rPr>
        <w:t>The results indicate that the combined EPS–BVPS model consistently exhibits higher explanatory power compared to the individual EPS and BVPS models in most years. This suggests that the joint consideration of earnings and book value enhances the value relevance of accounting information in explaining market prices.</w:t>
      </w:r>
    </w:p>
    <w:p w14:paraId="50B6CF86" w14:textId="77777777" w:rsidR="00790ADA" w:rsidRPr="00732369" w:rsidRDefault="00790ADA" w:rsidP="00732369">
      <w:pPr>
        <w:pStyle w:val="Body"/>
        <w:spacing w:after="0" w:line="480" w:lineRule="auto"/>
        <w:rPr>
          <w:rFonts w:ascii="Arial" w:hAnsi="Arial" w:cs="Arial"/>
        </w:rPr>
      </w:pPr>
    </w:p>
    <w:p w14:paraId="10443A2C" w14:textId="77777777" w:rsidR="00790ADA" w:rsidRPr="00732369" w:rsidRDefault="00000F8F" w:rsidP="00732369">
      <w:pPr>
        <w:pStyle w:val="ConcHead"/>
        <w:spacing w:after="0" w:line="480" w:lineRule="auto"/>
        <w:jc w:val="both"/>
        <w:rPr>
          <w:rFonts w:ascii="Arial" w:hAnsi="Arial" w:cs="Arial"/>
        </w:rPr>
      </w:pPr>
      <w:r w:rsidRPr="00732369">
        <w:rPr>
          <w:rFonts w:ascii="Arial" w:hAnsi="Arial" w:cs="Arial"/>
        </w:rPr>
        <w:t xml:space="preserve">4. </w:t>
      </w:r>
      <w:r w:rsidR="00B01FCD" w:rsidRPr="00732369">
        <w:rPr>
          <w:rFonts w:ascii="Arial" w:hAnsi="Arial" w:cs="Arial"/>
        </w:rPr>
        <w:t>Conclusion</w:t>
      </w:r>
    </w:p>
    <w:p w14:paraId="24787271" w14:textId="77777777" w:rsidR="008E1057" w:rsidRPr="00732369" w:rsidRDefault="008E1057" w:rsidP="00732369">
      <w:pPr>
        <w:spacing w:line="480" w:lineRule="auto"/>
        <w:jc w:val="both"/>
        <w:rPr>
          <w:rFonts w:ascii="Arial" w:hAnsi="Arial" w:cs="Arial"/>
        </w:rPr>
      </w:pPr>
      <w:r w:rsidRPr="00732369">
        <w:rPr>
          <w:rFonts w:ascii="Arial" w:hAnsi="Arial" w:cs="Arial"/>
        </w:rPr>
        <w:t>The results are in line with the value relevance in accounting theory, highlighting the importance of EPS and BVPS together in valuing equity</w:t>
      </w:r>
      <w:r w:rsidR="00DD0D67" w:rsidRPr="00732369">
        <w:rPr>
          <w:rFonts w:ascii="Arial" w:hAnsi="Arial" w:cs="Arial"/>
        </w:rPr>
        <w:t xml:space="preserve"> (Mir &amp; Butt, 2025; Srivastava &amp; </w:t>
      </w:r>
      <w:proofErr w:type="spellStart"/>
      <w:r w:rsidR="00DD0D67" w:rsidRPr="00732369">
        <w:rPr>
          <w:rFonts w:ascii="Arial" w:hAnsi="Arial" w:cs="Arial"/>
        </w:rPr>
        <w:t>Muharam</w:t>
      </w:r>
      <w:proofErr w:type="spellEnd"/>
      <w:r w:rsidR="00DD0D67" w:rsidRPr="00732369">
        <w:rPr>
          <w:rFonts w:ascii="Arial" w:hAnsi="Arial" w:cs="Arial"/>
        </w:rPr>
        <w:t>, 2021)</w:t>
      </w:r>
      <w:r w:rsidRPr="00732369">
        <w:rPr>
          <w:rFonts w:ascii="Arial" w:hAnsi="Arial" w:cs="Arial"/>
        </w:rPr>
        <w:t>. While BVPS was more relevant in most of the years</w:t>
      </w:r>
      <w:r w:rsidR="00587FCD" w:rsidRPr="00732369">
        <w:rPr>
          <w:rFonts w:ascii="Arial" w:hAnsi="Arial" w:cs="Arial"/>
        </w:rPr>
        <w:t>,</w:t>
      </w:r>
      <w:r w:rsidR="00154E5B" w:rsidRPr="00732369">
        <w:rPr>
          <w:rFonts w:ascii="Arial" w:hAnsi="Arial" w:cs="Arial"/>
        </w:rPr>
        <w:t xml:space="preserve"> </w:t>
      </w:r>
      <w:r w:rsidRPr="00732369">
        <w:rPr>
          <w:rFonts w:ascii="Arial" w:hAnsi="Arial" w:cs="Arial"/>
        </w:rPr>
        <w:t>EPS generated a higher price movement per unit change, and this highlights the market's responsiveness to earnings.</w:t>
      </w:r>
      <w:r w:rsidR="00587FCD" w:rsidRPr="00732369">
        <w:rPr>
          <w:rFonts w:ascii="Arial" w:hAnsi="Arial" w:cs="Arial"/>
        </w:rPr>
        <w:t xml:space="preserve"> This result is consistent with prior studies that also document stronger value relevance of book value compared to earnings (Barth et al., 2023; </w:t>
      </w:r>
      <w:proofErr w:type="spellStart"/>
      <w:r w:rsidR="00587FCD" w:rsidRPr="00732369">
        <w:rPr>
          <w:rFonts w:ascii="Arial" w:hAnsi="Arial" w:cs="Arial"/>
          <w:color w:val="222222"/>
          <w:shd w:val="clear" w:color="auto" w:fill="FFFFFF"/>
        </w:rPr>
        <w:t>Karğın</w:t>
      </w:r>
      <w:proofErr w:type="spellEnd"/>
      <w:r w:rsidR="00587FCD" w:rsidRPr="00732369">
        <w:rPr>
          <w:rFonts w:ascii="Arial" w:hAnsi="Arial" w:cs="Arial"/>
        </w:rPr>
        <w:t xml:space="preserve">, 2013). </w:t>
      </w:r>
      <w:r w:rsidRPr="00732369">
        <w:rPr>
          <w:rFonts w:ascii="Arial" w:hAnsi="Arial" w:cs="Arial"/>
        </w:rPr>
        <w:t xml:space="preserve">Periods of lower explanatory power particularly in 2019-20 and 2020-21 coincide with the shock of the Covid-19, confirming the importance of macroeconomic events in explaining financial reporting relevance. The higher value relevance of BVPS can be attributed to the shift from historical cost </w:t>
      </w:r>
      <w:r w:rsidRPr="00732369">
        <w:rPr>
          <w:rFonts w:ascii="Arial" w:hAnsi="Arial" w:cs="Arial"/>
        </w:rPr>
        <w:lastRenderedPageBreak/>
        <w:t>accounting to fair value measurement under Ind AS</w:t>
      </w:r>
      <w:r w:rsidR="007E5DB9" w:rsidRPr="00732369">
        <w:rPr>
          <w:rFonts w:ascii="Arial" w:hAnsi="Arial" w:cs="Arial"/>
        </w:rPr>
        <w:t xml:space="preserve"> (</w:t>
      </w:r>
      <w:proofErr w:type="spellStart"/>
      <w:r w:rsidR="007E5DB9" w:rsidRPr="00732369">
        <w:rPr>
          <w:rFonts w:ascii="Arial" w:hAnsi="Arial" w:cs="Arial"/>
          <w:color w:val="222222"/>
          <w:shd w:val="clear" w:color="auto" w:fill="FFFFFF"/>
        </w:rPr>
        <w:t>Karğın</w:t>
      </w:r>
      <w:proofErr w:type="spellEnd"/>
      <w:r w:rsidR="007E5DB9" w:rsidRPr="00732369">
        <w:rPr>
          <w:rFonts w:ascii="Arial" w:hAnsi="Arial" w:cs="Arial"/>
          <w:color w:val="222222"/>
          <w:shd w:val="clear" w:color="auto" w:fill="FFFFFF"/>
        </w:rPr>
        <w:t>, 2013)</w:t>
      </w:r>
      <w:r w:rsidR="00154E5B" w:rsidRPr="00732369">
        <w:rPr>
          <w:rFonts w:ascii="Arial" w:hAnsi="Arial" w:cs="Arial"/>
        </w:rPr>
        <w:t xml:space="preserve">. </w:t>
      </w:r>
      <w:r w:rsidRPr="00732369">
        <w:rPr>
          <w:rFonts w:ascii="Arial" w:hAnsi="Arial" w:cs="Arial"/>
        </w:rPr>
        <w:t>The study period of the research coincides with the post–Ind AS adoption period in India, which significantly enhances the relevance of the study. Furthermore, the use of a relatively long nine-year time frame enables the assessment of the long-term effects of Ind AS adoption on the value relevance of accounting information in India. These insights highlight the importance of context in interpreting accounting information and indicate that investors are likely to gain the most from accounting information when both earnings and book values are considered together in valuing securities. This research contributes to the value relevance literature with contemporary evidence from the Indian capital market showing the changes in value relevance of accounting information of the select Nifty-50 companies over the period of study which coincides with the post Ind AS adoption period in India and provides some insights for investors, regulators and standard-setters regarding the continued relevance of traditional accounting metrics in the equity valuation processes.</w:t>
      </w:r>
    </w:p>
    <w:p w14:paraId="12DEEDCA" w14:textId="77777777" w:rsidR="00087730" w:rsidRDefault="00087730" w:rsidP="00732369">
      <w:pPr>
        <w:spacing w:line="480" w:lineRule="auto"/>
        <w:rPr>
          <w:rFonts w:ascii="Arial" w:hAnsi="Arial" w:cs="Arial"/>
          <w:b/>
          <w:sz w:val="22"/>
        </w:rPr>
      </w:pPr>
    </w:p>
    <w:p w14:paraId="36CC648E" w14:textId="1DE91BDF" w:rsidR="008E1057" w:rsidRPr="00732369" w:rsidRDefault="008E1057" w:rsidP="00732369">
      <w:pPr>
        <w:spacing w:line="480" w:lineRule="auto"/>
        <w:rPr>
          <w:rFonts w:ascii="Arial" w:hAnsi="Arial" w:cs="Arial"/>
        </w:rPr>
      </w:pPr>
      <w:bookmarkStart w:id="0" w:name="_GoBack"/>
      <w:bookmarkEnd w:id="0"/>
      <w:r w:rsidRPr="00732369">
        <w:rPr>
          <w:rFonts w:ascii="Arial" w:hAnsi="Arial" w:cs="Arial"/>
          <w:b/>
          <w:sz w:val="22"/>
        </w:rPr>
        <w:t>ETHICAL APPROVAL</w:t>
      </w:r>
    </w:p>
    <w:p w14:paraId="5A3A7307" w14:textId="77777777" w:rsidR="008E1057" w:rsidRPr="00732369" w:rsidRDefault="008E1057" w:rsidP="00732369">
      <w:pPr>
        <w:spacing w:line="480" w:lineRule="auto"/>
        <w:rPr>
          <w:rFonts w:ascii="Arial" w:hAnsi="Arial" w:cs="Arial"/>
        </w:rPr>
      </w:pPr>
      <w:r w:rsidRPr="00732369">
        <w:rPr>
          <w:rFonts w:ascii="Arial" w:hAnsi="Arial" w:cs="Arial"/>
        </w:rPr>
        <w:t xml:space="preserve">This study is based on publicly available secondary financial data; </w:t>
      </w:r>
      <w:proofErr w:type="gramStart"/>
      <w:r w:rsidRPr="00732369">
        <w:rPr>
          <w:rFonts w:ascii="Arial" w:hAnsi="Arial" w:cs="Arial"/>
        </w:rPr>
        <w:t>therefore</w:t>
      </w:r>
      <w:proofErr w:type="gramEnd"/>
      <w:r w:rsidRPr="00732369">
        <w:rPr>
          <w:rFonts w:ascii="Arial" w:hAnsi="Arial" w:cs="Arial"/>
        </w:rPr>
        <w:t xml:space="preserve"> ethical approval was not required.</w:t>
      </w:r>
    </w:p>
    <w:p w14:paraId="0F5BAC69" w14:textId="77777777" w:rsidR="00B01FCD" w:rsidRPr="00732369" w:rsidRDefault="009676B0" w:rsidP="00732369">
      <w:pPr>
        <w:pStyle w:val="Appendix"/>
        <w:spacing w:after="0" w:line="480" w:lineRule="auto"/>
        <w:jc w:val="both"/>
        <w:rPr>
          <w:rFonts w:ascii="Arial" w:hAnsi="Arial" w:cs="Arial"/>
        </w:rPr>
      </w:pPr>
      <w:r w:rsidRPr="00732369">
        <w:rPr>
          <w:rFonts w:ascii="Arial" w:hAnsi="Arial" w:cs="Arial"/>
        </w:rPr>
        <w:t>References</w:t>
      </w:r>
    </w:p>
    <w:p w14:paraId="4AF1FBF4" w14:textId="77777777" w:rsidR="009676B0" w:rsidRPr="00732369" w:rsidRDefault="009676B0" w:rsidP="00732369">
      <w:pPr>
        <w:pStyle w:val="NormalWeb"/>
        <w:spacing w:line="480" w:lineRule="auto"/>
        <w:rPr>
          <w:rFonts w:ascii="Arial" w:hAnsi="Arial" w:cs="Arial"/>
          <w:sz w:val="20"/>
          <w:szCs w:val="20"/>
        </w:rPr>
      </w:pPr>
      <w:r w:rsidRPr="00732369">
        <w:rPr>
          <w:rFonts w:ascii="Arial" w:hAnsi="Arial" w:cs="Arial"/>
          <w:sz w:val="20"/>
          <w:szCs w:val="20"/>
        </w:rPr>
        <w:t xml:space="preserve">Barth, M. E., Beaver, W. H., &amp; Landsman, W. R. (2001). The relevance of the value relevance literature for financial accounting standard setting. </w:t>
      </w:r>
      <w:r w:rsidRPr="00732369">
        <w:rPr>
          <w:rStyle w:val="Emphasis"/>
          <w:rFonts w:ascii="Arial" w:hAnsi="Arial" w:cs="Arial"/>
          <w:sz w:val="20"/>
          <w:szCs w:val="20"/>
        </w:rPr>
        <w:t>Journal of Accounting and Economics</w:t>
      </w:r>
      <w:r w:rsidRPr="00732369">
        <w:rPr>
          <w:rFonts w:ascii="Arial" w:hAnsi="Arial" w:cs="Arial"/>
          <w:sz w:val="20"/>
          <w:szCs w:val="20"/>
        </w:rPr>
        <w:t>, 31(1–3), 77–104.</w:t>
      </w:r>
    </w:p>
    <w:p w14:paraId="405BA83E" w14:textId="77777777" w:rsidR="00846DAB" w:rsidRPr="00732369" w:rsidRDefault="009676B0" w:rsidP="00732369">
      <w:pPr>
        <w:pStyle w:val="NormalWeb"/>
        <w:spacing w:line="480" w:lineRule="auto"/>
        <w:rPr>
          <w:rFonts w:ascii="Arial" w:hAnsi="Arial" w:cs="Arial"/>
          <w:sz w:val="20"/>
          <w:szCs w:val="20"/>
        </w:rPr>
      </w:pPr>
      <w:r w:rsidRPr="00732369">
        <w:rPr>
          <w:rFonts w:ascii="Arial" w:hAnsi="Arial" w:cs="Arial"/>
          <w:sz w:val="20"/>
          <w:szCs w:val="20"/>
        </w:rPr>
        <w:t xml:space="preserve">Barth, M. E., Li, K., &amp; McClure, C. G. (2023). Evolution in value relevance of accounting information. </w:t>
      </w:r>
      <w:r w:rsidRPr="00732369">
        <w:rPr>
          <w:rStyle w:val="Emphasis"/>
          <w:rFonts w:ascii="Arial" w:hAnsi="Arial" w:cs="Arial"/>
          <w:sz w:val="20"/>
          <w:szCs w:val="20"/>
        </w:rPr>
        <w:t>The Accounting Review</w:t>
      </w:r>
      <w:r w:rsidRPr="00732369">
        <w:rPr>
          <w:rFonts w:ascii="Arial" w:hAnsi="Arial" w:cs="Arial"/>
          <w:sz w:val="20"/>
          <w:szCs w:val="20"/>
        </w:rPr>
        <w:t>, 98(1), 1–28.</w:t>
      </w:r>
    </w:p>
    <w:p w14:paraId="17521BE2" w14:textId="77777777" w:rsidR="009676B0" w:rsidRPr="00732369" w:rsidRDefault="009676B0" w:rsidP="00732369">
      <w:pPr>
        <w:pStyle w:val="NormalWeb"/>
        <w:spacing w:line="480" w:lineRule="auto"/>
        <w:rPr>
          <w:rFonts w:ascii="Arial" w:hAnsi="Arial" w:cs="Arial"/>
          <w:sz w:val="20"/>
          <w:szCs w:val="20"/>
        </w:rPr>
      </w:pPr>
      <w:r w:rsidRPr="00732369">
        <w:rPr>
          <w:rFonts w:ascii="Arial" w:hAnsi="Arial" w:cs="Arial"/>
          <w:sz w:val="20"/>
          <w:szCs w:val="20"/>
        </w:rPr>
        <w:t xml:space="preserve">Bhatia, M., &amp; Mulenga, M. (2019). The impact of IFRS adoption on value relevance of financial information: Evidence from India. </w:t>
      </w:r>
      <w:r w:rsidRPr="00732369">
        <w:rPr>
          <w:rStyle w:val="Emphasis"/>
          <w:rFonts w:ascii="Arial" w:hAnsi="Arial" w:cs="Arial"/>
          <w:sz w:val="20"/>
          <w:szCs w:val="20"/>
        </w:rPr>
        <w:t>International Journal of Financial Studies</w:t>
      </w:r>
      <w:r w:rsidRPr="00732369">
        <w:rPr>
          <w:rFonts w:ascii="Arial" w:hAnsi="Arial" w:cs="Arial"/>
          <w:sz w:val="20"/>
          <w:szCs w:val="20"/>
        </w:rPr>
        <w:t>, 7(1), 20.</w:t>
      </w:r>
    </w:p>
    <w:p w14:paraId="440459E9" w14:textId="77777777" w:rsidR="009676B0" w:rsidRPr="00732369" w:rsidRDefault="009676B0" w:rsidP="00732369">
      <w:pPr>
        <w:pStyle w:val="NormalWeb"/>
        <w:spacing w:line="480" w:lineRule="auto"/>
        <w:rPr>
          <w:rFonts w:ascii="Arial" w:hAnsi="Arial" w:cs="Arial"/>
          <w:sz w:val="20"/>
          <w:szCs w:val="20"/>
        </w:rPr>
      </w:pPr>
      <w:r w:rsidRPr="00732369">
        <w:rPr>
          <w:rFonts w:ascii="Arial" w:hAnsi="Arial" w:cs="Arial"/>
          <w:sz w:val="20"/>
          <w:szCs w:val="20"/>
        </w:rPr>
        <w:t xml:space="preserve">Francis, J., &amp; Schipper, K. (1999). Have financial statements lost their relevance? </w:t>
      </w:r>
      <w:r w:rsidRPr="00732369">
        <w:rPr>
          <w:rStyle w:val="Emphasis"/>
          <w:rFonts w:ascii="Arial" w:hAnsi="Arial" w:cs="Arial"/>
          <w:sz w:val="20"/>
          <w:szCs w:val="20"/>
        </w:rPr>
        <w:t>Journal of Accounting Research</w:t>
      </w:r>
      <w:r w:rsidRPr="00732369">
        <w:rPr>
          <w:rFonts w:ascii="Arial" w:hAnsi="Arial" w:cs="Arial"/>
          <w:sz w:val="20"/>
          <w:szCs w:val="20"/>
        </w:rPr>
        <w:t>, 37(2), 319–352.</w:t>
      </w:r>
    </w:p>
    <w:p w14:paraId="75FA0AF2" w14:textId="77777777" w:rsidR="009676B0" w:rsidRPr="00732369" w:rsidRDefault="009676B0" w:rsidP="00732369">
      <w:pPr>
        <w:pStyle w:val="NormalWeb"/>
        <w:spacing w:line="480" w:lineRule="auto"/>
        <w:rPr>
          <w:rFonts w:ascii="Arial" w:hAnsi="Arial" w:cs="Arial"/>
          <w:sz w:val="20"/>
          <w:szCs w:val="20"/>
        </w:rPr>
      </w:pPr>
      <w:r w:rsidRPr="00732369">
        <w:rPr>
          <w:rFonts w:ascii="Arial" w:hAnsi="Arial" w:cs="Arial"/>
          <w:sz w:val="20"/>
          <w:szCs w:val="20"/>
        </w:rPr>
        <w:lastRenderedPageBreak/>
        <w:t>Jain, R. K., &amp; Rao, K. P. V. (2022). Value relevance of financial reports and macroeconomic factors in defining stock price: Evidence from Indian stock markets.</w:t>
      </w:r>
    </w:p>
    <w:p w14:paraId="1482D4D0" w14:textId="77777777" w:rsidR="009676B0" w:rsidRPr="00732369" w:rsidRDefault="009676B0" w:rsidP="00732369">
      <w:pPr>
        <w:pStyle w:val="NormalWeb"/>
        <w:spacing w:line="480" w:lineRule="auto"/>
        <w:rPr>
          <w:rFonts w:ascii="Arial" w:hAnsi="Arial" w:cs="Arial"/>
          <w:sz w:val="20"/>
          <w:szCs w:val="20"/>
        </w:rPr>
      </w:pPr>
      <w:proofErr w:type="spellStart"/>
      <w:r w:rsidRPr="00732369">
        <w:rPr>
          <w:rFonts w:ascii="Arial" w:hAnsi="Arial" w:cs="Arial"/>
          <w:sz w:val="20"/>
          <w:szCs w:val="20"/>
        </w:rPr>
        <w:t>Karğın</w:t>
      </w:r>
      <w:proofErr w:type="spellEnd"/>
      <w:r w:rsidRPr="00732369">
        <w:rPr>
          <w:rFonts w:ascii="Arial" w:hAnsi="Arial" w:cs="Arial"/>
          <w:sz w:val="20"/>
          <w:szCs w:val="20"/>
        </w:rPr>
        <w:t xml:space="preserve">, S. (2013). The impact of IFRS on the value relevance of accounting information: Evidence from Turkish firms. </w:t>
      </w:r>
      <w:r w:rsidRPr="00732369">
        <w:rPr>
          <w:rStyle w:val="Emphasis"/>
          <w:rFonts w:ascii="Arial" w:hAnsi="Arial" w:cs="Arial"/>
          <w:sz w:val="20"/>
          <w:szCs w:val="20"/>
        </w:rPr>
        <w:t>International Journal of Economics and Finance</w:t>
      </w:r>
      <w:r w:rsidRPr="00732369">
        <w:rPr>
          <w:rFonts w:ascii="Arial" w:hAnsi="Arial" w:cs="Arial"/>
          <w:sz w:val="20"/>
          <w:szCs w:val="20"/>
        </w:rPr>
        <w:t>, 5(4), 71-80.</w:t>
      </w:r>
    </w:p>
    <w:p w14:paraId="7A2ADC71" w14:textId="77777777" w:rsidR="009676B0" w:rsidRPr="00732369" w:rsidRDefault="009676B0" w:rsidP="00732369">
      <w:pPr>
        <w:pStyle w:val="NormalWeb"/>
        <w:spacing w:line="480" w:lineRule="auto"/>
        <w:rPr>
          <w:rFonts w:ascii="Arial" w:hAnsi="Arial" w:cs="Arial"/>
          <w:sz w:val="20"/>
          <w:szCs w:val="20"/>
        </w:rPr>
      </w:pPr>
      <w:r w:rsidRPr="00732369">
        <w:rPr>
          <w:rFonts w:ascii="Arial" w:hAnsi="Arial" w:cs="Arial"/>
          <w:sz w:val="20"/>
          <w:szCs w:val="20"/>
        </w:rPr>
        <w:t xml:space="preserve">Mir, A. A., &amp; Butt, K. A. (2025). Value relevance of reported earnings and book value: Evidence from Indian stock market. </w:t>
      </w:r>
      <w:r w:rsidRPr="00732369">
        <w:rPr>
          <w:rStyle w:val="Emphasis"/>
          <w:rFonts w:ascii="Arial" w:hAnsi="Arial" w:cs="Arial"/>
          <w:sz w:val="20"/>
          <w:szCs w:val="20"/>
        </w:rPr>
        <w:t>International Journal of Research in Finance and Management</w:t>
      </w:r>
      <w:r w:rsidRPr="00732369">
        <w:rPr>
          <w:rFonts w:ascii="Arial" w:hAnsi="Arial" w:cs="Arial"/>
          <w:sz w:val="20"/>
          <w:szCs w:val="20"/>
        </w:rPr>
        <w:t>.</w:t>
      </w:r>
    </w:p>
    <w:p w14:paraId="5957D3AF" w14:textId="77777777" w:rsidR="00587FCD" w:rsidRPr="00732369" w:rsidRDefault="00587FCD" w:rsidP="00732369">
      <w:pPr>
        <w:spacing w:line="480" w:lineRule="auto"/>
        <w:jc w:val="both"/>
        <w:rPr>
          <w:rFonts w:ascii="Arial" w:hAnsi="Arial" w:cs="Arial"/>
          <w:color w:val="222222"/>
          <w:shd w:val="clear" w:color="auto" w:fill="FFFFFF"/>
        </w:rPr>
      </w:pPr>
      <w:r w:rsidRPr="00732369">
        <w:rPr>
          <w:rFonts w:ascii="Arial" w:hAnsi="Arial" w:cs="Arial"/>
          <w:color w:val="222222"/>
          <w:shd w:val="clear" w:color="auto" w:fill="FFFFFF"/>
        </w:rPr>
        <w:t>Ohlson, J. A. (1995). Earnings, book values, and dividends in equity valuation. </w:t>
      </w:r>
      <w:r w:rsidRPr="00732369">
        <w:rPr>
          <w:rFonts w:ascii="Arial" w:hAnsi="Arial" w:cs="Arial"/>
          <w:i/>
          <w:iCs/>
          <w:color w:val="222222"/>
          <w:shd w:val="clear" w:color="auto" w:fill="FFFFFF"/>
        </w:rPr>
        <w:t>Contemporary accounting research</w:t>
      </w:r>
      <w:r w:rsidRPr="00732369">
        <w:rPr>
          <w:rFonts w:ascii="Arial" w:hAnsi="Arial" w:cs="Arial"/>
          <w:color w:val="222222"/>
          <w:shd w:val="clear" w:color="auto" w:fill="FFFFFF"/>
        </w:rPr>
        <w:t>, </w:t>
      </w:r>
      <w:r w:rsidRPr="00732369">
        <w:rPr>
          <w:rFonts w:ascii="Arial" w:hAnsi="Arial" w:cs="Arial"/>
          <w:i/>
          <w:iCs/>
          <w:color w:val="222222"/>
          <w:shd w:val="clear" w:color="auto" w:fill="FFFFFF"/>
        </w:rPr>
        <w:t>11</w:t>
      </w:r>
      <w:r w:rsidRPr="00732369">
        <w:rPr>
          <w:rFonts w:ascii="Arial" w:hAnsi="Arial" w:cs="Arial"/>
          <w:color w:val="222222"/>
          <w:shd w:val="clear" w:color="auto" w:fill="FFFFFF"/>
        </w:rPr>
        <w:t>(2), 661-687.</w:t>
      </w:r>
    </w:p>
    <w:p w14:paraId="1960CB80" w14:textId="77777777" w:rsidR="009676B0" w:rsidRPr="00732369" w:rsidRDefault="009676B0" w:rsidP="00732369">
      <w:pPr>
        <w:spacing w:line="480" w:lineRule="auto"/>
        <w:jc w:val="both"/>
        <w:rPr>
          <w:rFonts w:ascii="Arial" w:hAnsi="Arial" w:cs="Arial"/>
        </w:rPr>
      </w:pPr>
      <w:r w:rsidRPr="00732369">
        <w:rPr>
          <w:rFonts w:ascii="Arial" w:hAnsi="Arial" w:cs="Arial"/>
        </w:rPr>
        <w:t xml:space="preserve">Rao, K. P. V., Ibrahim, F., &amp; Tadi, M. S. (2023). Value relevance of financial information: A comparative study of pre- and post-implementation of Indian accounting standards. </w:t>
      </w:r>
      <w:r w:rsidRPr="00732369">
        <w:rPr>
          <w:rStyle w:val="Emphasis"/>
          <w:rFonts w:ascii="Arial" w:hAnsi="Arial" w:cs="Arial"/>
        </w:rPr>
        <w:t>Investment Management and Financial Innovations</w:t>
      </w:r>
      <w:r w:rsidRPr="00732369">
        <w:rPr>
          <w:rFonts w:ascii="Arial" w:hAnsi="Arial" w:cs="Arial"/>
        </w:rPr>
        <w:t>, 20(1), 68–76.</w:t>
      </w:r>
    </w:p>
    <w:p w14:paraId="316BA8B2" w14:textId="77777777" w:rsidR="00846DAB" w:rsidRPr="00732369" w:rsidRDefault="00846DAB" w:rsidP="00732369">
      <w:pPr>
        <w:spacing w:line="480" w:lineRule="auto"/>
        <w:jc w:val="both"/>
        <w:rPr>
          <w:rFonts w:ascii="Arial" w:hAnsi="Arial" w:cs="Arial"/>
          <w:color w:val="212529"/>
        </w:rPr>
      </w:pPr>
      <w:proofErr w:type="spellStart"/>
      <w:r w:rsidRPr="00732369">
        <w:rPr>
          <w:rFonts w:ascii="Arial" w:hAnsi="Arial" w:cs="Arial"/>
        </w:rPr>
        <w:t>Suadiye</w:t>
      </w:r>
      <w:proofErr w:type="spellEnd"/>
      <w:r w:rsidRPr="00732369">
        <w:rPr>
          <w:rFonts w:ascii="Arial" w:hAnsi="Arial" w:cs="Arial"/>
          <w:color w:val="212529"/>
        </w:rPr>
        <w:t>, G. (</w:t>
      </w:r>
      <w:r w:rsidRPr="00732369">
        <w:rPr>
          <w:rFonts w:ascii="Arial" w:hAnsi="Arial" w:cs="Arial"/>
        </w:rPr>
        <w:t>2012</w:t>
      </w:r>
      <w:r w:rsidRPr="00732369">
        <w:rPr>
          <w:rFonts w:ascii="Arial" w:hAnsi="Arial" w:cs="Arial"/>
          <w:color w:val="212529"/>
        </w:rPr>
        <w:t>). Value Relevance of Book Value &amp; Earnings Under the Local GAAP and IFRS: Evidence from Turkey. Ege Academic Review, 12 (3), 301-310.</w:t>
      </w:r>
    </w:p>
    <w:p w14:paraId="0A337B2D" w14:textId="77777777" w:rsidR="00846DAB" w:rsidRPr="00732369" w:rsidRDefault="009676B0" w:rsidP="00732369">
      <w:pPr>
        <w:spacing w:line="480" w:lineRule="auto"/>
        <w:jc w:val="both"/>
        <w:rPr>
          <w:rFonts w:ascii="Arial" w:hAnsi="Arial" w:cs="Arial"/>
        </w:rPr>
      </w:pPr>
      <w:r w:rsidRPr="00732369">
        <w:rPr>
          <w:rFonts w:ascii="Arial" w:hAnsi="Arial" w:cs="Arial"/>
        </w:rPr>
        <w:t xml:space="preserve">Srivastava, A., &amp; </w:t>
      </w:r>
      <w:proofErr w:type="spellStart"/>
      <w:r w:rsidRPr="00732369">
        <w:rPr>
          <w:rFonts w:ascii="Arial" w:hAnsi="Arial" w:cs="Arial"/>
        </w:rPr>
        <w:t>Muharam</w:t>
      </w:r>
      <w:proofErr w:type="spellEnd"/>
      <w:r w:rsidRPr="00732369">
        <w:rPr>
          <w:rFonts w:ascii="Arial" w:hAnsi="Arial" w:cs="Arial"/>
        </w:rPr>
        <w:t xml:space="preserve">, H. (2021). Value relevance of earnings and book values during IFRS convergence period in India. </w:t>
      </w:r>
      <w:r w:rsidRPr="00732369">
        <w:rPr>
          <w:rStyle w:val="Emphasis"/>
          <w:rFonts w:ascii="Arial" w:hAnsi="Arial" w:cs="Arial"/>
        </w:rPr>
        <w:t>Journal of Financial Reporting and Accounting</w:t>
      </w:r>
      <w:r w:rsidRPr="00732369">
        <w:rPr>
          <w:rFonts w:ascii="Arial" w:hAnsi="Arial" w:cs="Arial"/>
        </w:rPr>
        <w:t>.</w:t>
      </w:r>
    </w:p>
    <w:p w14:paraId="74091DE6" w14:textId="77777777" w:rsidR="009676B0" w:rsidRPr="00732369" w:rsidRDefault="009676B0" w:rsidP="00732369">
      <w:pPr>
        <w:spacing w:line="480" w:lineRule="auto"/>
        <w:jc w:val="both"/>
        <w:rPr>
          <w:rFonts w:ascii="Arial" w:hAnsi="Arial" w:cs="Arial"/>
          <w:color w:val="222222"/>
          <w:shd w:val="clear" w:color="auto" w:fill="FFFFFF"/>
        </w:rPr>
      </w:pPr>
      <w:r w:rsidRPr="00732369">
        <w:rPr>
          <w:rFonts w:ascii="Arial" w:hAnsi="Arial" w:cs="Arial"/>
        </w:rPr>
        <w:t xml:space="preserve">Vohra, B., Patel, K., &amp; Parikh, A. (2025). Value relevance of accounting information: Evidence from India. </w:t>
      </w:r>
      <w:r w:rsidRPr="00732369">
        <w:rPr>
          <w:rStyle w:val="Emphasis"/>
          <w:rFonts w:ascii="Arial" w:hAnsi="Arial" w:cs="Arial"/>
        </w:rPr>
        <w:t>Asian Journal of Economics, Business and Accounting</w:t>
      </w:r>
      <w:r w:rsidRPr="00732369">
        <w:rPr>
          <w:rFonts w:ascii="Arial" w:hAnsi="Arial" w:cs="Arial"/>
        </w:rPr>
        <w:t>, 25(6), 235–247.</w:t>
      </w:r>
    </w:p>
    <w:sectPr w:rsidR="009676B0" w:rsidRPr="00732369" w:rsidSect="00087730">
      <w:headerReference w:type="even" r:id="rId15"/>
      <w:headerReference w:type="default" r:id="rId16"/>
      <w:foot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833A4" w14:textId="77777777" w:rsidR="00C72512" w:rsidRDefault="00C72512" w:rsidP="00C37E61">
      <w:r>
        <w:separator/>
      </w:r>
    </w:p>
  </w:endnote>
  <w:endnote w:type="continuationSeparator" w:id="0">
    <w:p w14:paraId="17FFE758" w14:textId="77777777" w:rsidR="00C72512" w:rsidRDefault="00C725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1CA39" w14:textId="77777777" w:rsidR="00087730" w:rsidRDefault="000877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50302" w14:textId="77777777" w:rsidR="00087730" w:rsidRDefault="000877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61347" w14:textId="77777777" w:rsidR="009E048A" w:rsidRDefault="009E048A">
    <w:pPr>
      <w:pStyle w:val="Footer"/>
      <w:rPr>
        <w:rFonts w:ascii="Arial" w:hAnsi="Arial" w:cs="Arial"/>
        <w:sz w:val="16"/>
      </w:rPr>
    </w:pPr>
  </w:p>
  <w:p w14:paraId="113E5CF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08239B8" w14:textId="77777777" w:rsidR="009E048A" w:rsidRDefault="009E048A">
    <w:pPr>
      <w:pStyle w:val="Footer"/>
      <w:rPr>
        <w:rFonts w:ascii="Arial" w:hAnsi="Arial" w:cs="Arial"/>
        <w:sz w:val="16"/>
      </w:rPr>
    </w:pPr>
  </w:p>
  <w:p w14:paraId="3EECF93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BD55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A6ED9" w14:textId="77777777" w:rsidR="00C72512" w:rsidRDefault="00C72512" w:rsidP="00C37E61">
      <w:r>
        <w:separator/>
      </w:r>
    </w:p>
  </w:footnote>
  <w:footnote w:type="continuationSeparator" w:id="0">
    <w:p w14:paraId="6CF112E6" w14:textId="77777777" w:rsidR="00C72512" w:rsidRDefault="00C7251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EF495" w14:textId="0F7D8121" w:rsidR="00087730" w:rsidRDefault="00087730">
    <w:pPr>
      <w:pStyle w:val="Header"/>
    </w:pPr>
    <w:r>
      <w:rPr>
        <w:noProof/>
      </w:rPr>
      <w:pict w14:anchorId="245FE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01361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4DA39" w14:textId="1A87420B" w:rsidR="00087730" w:rsidRDefault="00087730">
    <w:pPr>
      <w:pStyle w:val="Header"/>
    </w:pPr>
    <w:r>
      <w:rPr>
        <w:noProof/>
      </w:rPr>
      <w:pict w14:anchorId="31F83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01361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A7E61" w14:textId="19BAA924" w:rsidR="00296529" w:rsidRPr="00296529" w:rsidRDefault="00087730" w:rsidP="00296529">
    <w:pPr>
      <w:ind w:left="2160"/>
      <w:jc w:val="center"/>
      <w:rPr>
        <w:rFonts w:ascii="Times New Roman" w:eastAsia="Calibri" w:hAnsi="Times New Roman"/>
        <w:i/>
        <w:sz w:val="18"/>
        <w:szCs w:val="22"/>
      </w:rPr>
    </w:pPr>
    <w:r>
      <w:rPr>
        <w:noProof/>
      </w:rPr>
      <w:pict w14:anchorId="236CA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013610"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70F52F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21EE8DC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7C28A46" w14:textId="77777777"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D3F7DFD" w14:textId="77777777" w:rsidR="00296529" w:rsidRDefault="00296529" w:rsidP="00296529">
    <w:pPr>
      <w:jc w:val="center"/>
      <w:rPr>
        <w:rFonts w:ascii="Times New Roman" w:eastAsia="Calibri" w:hAnsi="Times New Roman"/>
        <w:i/>
        <w:sz w:val="18"/>
        <w:szCs w:val="22"/>
      </w:rPr>
    </w:pPr>
  </w:p>
  <w:p w14:paraId="67D1359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001C42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BDCE" w14:textId="3CB829CE" w:rsidR="00087730" w:rsidRDefault="00087730">
    <w:pPr>
      <w:pStyle w:val="Header"/>
    </w:pPr>
    <w:r>
      <w:rPr>
        <w:noProof/>
      </w:rPr>
      <w:pict w14:anchorId="3A9D3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013614" o:spid="_x0000_s2053"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E20AB" w14:textId="28D55CF3" w:rsidR="00087730" w:rsidRDefault="00087730">
    <w:pPr>
      <w:pStyle w:val="Header"/>
    </w:pPr>
    <w:r>
      <w:rPr>
        <w:noProof/>
      </w:rPr>
      <w:pict w14:anchorId="68B2A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013615" o:spid="_x0000_s2054"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6329" w14:textId="4DC41D59" w:rsidR="00087730" w:rsidRDefault="00087730">
    <w:pPr>
      <w:pStyle w:val="Header"/>
    </w:pPr>
    <w:r>
      <w:rPr>
        <w:noProof/>
      </w:rPr>
      <w:pict w14:anchorId="733B8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013613" o:spid="_x0000_s2052"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C7F45FC"/>
    <w:multiLevelType w:val="hybridMultilevel"/>
    <w:tmpl w:val="0CF68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25648D9"/>
    <w:multiLevelType w:val="hybridMultilevel"/>
    <w:tmpl w:val="07662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11D4"/>
    <w:rsid w:val="00030174"/>
    <w:rsid w:val="000352E2"/>
    <w:rsid w:val="00042E72"/>
    <w:rsid w:val="0004579C"/>
    <w:rsid w:val="00087730"/>
    <w:rsid w:val="000A47FA"/>
    <w:rsid w:val="000A65D3"/>
    <w:rsid w:val="000B1E33"/>
    <w:rsid w:val="000D689F"/>
    <w:rsid w:val="000E0B46"/>
    <w:rsid w:val="000E7B7B"/>
    <w:rsid w:val="000E7D62"/>
    <w:rsid w:val="00103357"/>
    <w:rsid w:val="00123C9F"/>
    <w:rsid w:val="00126190"/>
    <w:rsid w:val="00130F17"/>
    <w:rsid w:val="001320BF"/>
    <w:rsid w:val="00154E5B"/>
    <w:rsid w:val="00163BC4"/>
    <w:rsid w:val="00174CB5"/>
    <w:rsid w:val="00191062"/>
    <w:rsid w:val="00192B72"/>
    <w:rsid w:val="001A29D8"/>
    <w:rsid w:val="001A5CAA"/>
    <w:rsid w:val="001B0427"/>
    <w:rsid w:val="001B3C51"/>
    <w:rsid w:val="001D3A51"/>
    <w:rsid w:val="001D5F3C"/>
    <w:rsid w:val="001E10D2"/>
    <w:rsid w:val="001E25B4"/>
    <w:rsid w:val="001E44FE"/>
    <w:rsid w:val="001E5CE0"/>
    <w:rsid w:val="00200595"/>
    <w:rsid w:val="00204835"/>
    <w:rsid w:val="00217DC8"/>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4C6B"/>
    <w:rsid w:val="003512C2"/>
    <w:rsid w:val="00371FB6"/>
    <w:rsid w:val="00375408"/>
    <w:rsid w:val="003763C1"/>
    <w:rsid w:val="00376BBE"/>
    <w:rsid w:val="0039224F"/>
    <w:rsid w:val="003A43A4"/>
    <w:rsid w:val="003A7E18"/>
    <w:rsid w:val="003C4C86"/>
    <w:rsid w:val="003C6258"/>
    <w:rsid w:val="003E2904"/>
    <w:rsid w:val="003F26E2"/>
    <w:rsid w:val="00401927"/>
    <w:rsid w:val="0041027F"/>
    <w:rsid w:val="00412475"/>
    <w:rsid w:val="00423789"/>
    <w:rsid w:val="004253C7"/>
    <w:rsid w:val="00440F43"/>
    <w:rsid w:val="00441B6F"/>
    <w:rsid w:val="00446221"/>
    <w:rsid w:val="00450E62"/>
    <w:rsid w:val="004539DB"/>
    <w:rsid w:val="004676B5"/>
    <w:rsid w:val="00471A80"/>
    <w:rsid w:val="004D305E"/>
    <w:rsid w:val="004D4277"/>
    <w:rsid w:val="00502516"/>
    <w:rsid w:val="00505F06"/>
    <w:rsid w:val="00506828"/>
    <w:rsid w:val="005166BB"/>
    <w:rsid w:val="0053056E"/>
    <w:rsid w:val="00554FDA"/>
    <w:rsid w:val="00587FCD"/>
    <w:rsid w:val="005B1EF6"/>
    <w:rsid w:val="005B2DD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2369"/>
    <w:rsid w:val="007369E6"/>
    <w:rsid w:val="00746E59"/>
    <w:rsid w:val="00754C9A"/>
    <w:rsid w:val="0075599A"/>
    <w:rsid w:val="00761D52"/>
    <w:rsid w:val="00766586"/>
    <w:rsid w:val="0077749E"/>
    <w:rsid w:val="00790ADA"/>
    <w:rsid w:val="007D2288"/>
    <w:rsid w:val="007E088F"/>
    <w:rsid w:val="007E5DB9"/>
    <w:rsid w:val="007F7B32"/>
    <w:rsid w:val="007F7FEE"/>
    <w:rsid w:val="00804BC2"/>
    <w:rsid w:val="0081431A"/>
    <w:rsid w:val="00830912"/>
    <w:rsid w:val="0083216F"/>
    <w:rsid w:val="00846DAB"/>
    <w:rsid w:val="00860000"/>
    <w:rsid w:val="00863BD3"/>
    <w:rsid w:val="008641ED"/>
    <w:rsid w:val="00866D66"/>
    <w:rsid w:val="008671C6"/>
    <w:rsid w:val="00875803"/>
    <w:rsid w:val="008A553F"/>
    <w:rsid w:val="008B459E"/>
    <w:rsid w:val="008E1057"/>
    <w:rsid w:val="008E13AE"/>
    <w:rsid w:val="008E1506"/>
    <w:rsid w:val="008E710C"/>
    <w:rsid w:val="008F2AFD"/>
    <w:rsid w:val="008F69D6"/>
    <w:rsid w:val="00902823"/>
    <w:rsid w:val="00915CA6"/>
    <w:rsid w:val="00927834"/>
    <w:rsid w:val="009500A6"/>
    <w:rsid w:val="00957C18"/>
    <w:rsid w:val="009659BA"/>
    <w:rsid w:val="009676B0"/>
    <w:rsid w:val="00976B6D"/>
    <w:rsid w:val="00983040"/>
    <w:rsid w:val="009B3FB9"/>
    <w:rsid w:val="009C2465"/>
    <w:rsid w:val="009D35A0"/>
    <w:rsid w:val="009D7EB7"/>
    <w:rsid w:val="009E048A"/>
    <w:rsid w:val="009E08E9"/>
    <w:rsid w:val="009E3DB9"/>
    <w:rsid w:val="009E6E35"/>
    <w:rsid w:val="009F0EDA"/>
    <w:rsid w:val="009F6805"/>
    <w:rsid w:val="00A03B96"/>
    <w:rsid w:val="00A05B19"/>
    <w:rsid w:val="00A1134E"/>
    <w:rsid w:val="00A13ECC"/>
    <w:rsid w:val="00A24E7E"/>
    <w:rsid w:val="00A258C3"/>
    <w:rsid w:val="00A347C0"/>
    <w:rsid w:val="00A51431"/>
    <w:rsid w:val="00A539AD"/>
    <w:rsid w:val="00A94063"/>
    <w:rsid w:val="00AA0E47"/>
    <w:rsid w:val="00AA6219"/>
    <w:rsid w:val="00AA74E0"/>
    <w:rsid w:val="00AB703F"/>
    <w:rsid w:val="00AC6BB8"/>
    <w:rsid w:val="00AE008F"/>
    <w:rsid w:val="00AF5A41"/>
    <w:rsid w:val="00B01FCD"/>
    <w:rsid w:val="00B1776C"/>
    <w:rsid w:val="00B43B55"/>
    <w:rsid w:val="00B4629D"/>
    <w:rsid w:val="00B477D3"/>
    <w:rsid w:val="00B52583"/>
    <w:rsid w:val="00B52896"/>
    <w:rsid w:val="00B95236"/>
    <w:rsid w:val="00B96BD9"/>
    <w:rsid w:val="00BA1B01"/>
    <w:rsid w:val="00BA2641"/>
    <w:rsid w:val="00BB37AA"/>
    <w:rsid w:val="00BC53A0"/>
    <w:rsid w:val="00BE03DB"/>
    <w:rsid w:val="00BE62AD"/>
    <w:rsid w:val="00BF121F"/>
    <w:rsid w:val="00BF1F80"/>
    <w:rsid w:val="00C166EF"/>
    <w:rsid w:val="00C17EB0"/>
    <w:rsid w:val="00C27F5F"/>
    <w:rsid w:val="00C30A0F"/>
    <w:rsid w:val="00C37E61"/>
    <w:rsid w:val="00C70F1B"/>
    <w:rsid w:val="00C71A47"/>
    <w:rsid w:val="00C72512"/>
    <w:rsid w:val="00C7464C"/>
    <w:rsid w:val="00C85588"/>
    <w:rsid w:val="00CB47F6"/>
    <w:rsid w:val="00CD2AEF"/>
    <w:rsid w:val="00CD6755"/>
    <w:rsid w:val="00CD6856"/>
    <w:rsid w:val="00CE0089"/>
    <w:rsid w:val="00CE793C"/>
    <w:rsid w:val="00CF193C"/>
    <w:rsid w:val="00D173F1"/>
    <w:rsid w:val="00D653C8"/>
    <w:rsid w:val="00D74CB0"/>
    <w:rsid w:val="00D8295D"/>
    <w:rsid w:val="00DB79FD"/>
    <w:rsid w:val="00DC2A65"/>
    <w:rsid w:val="00DD0D67"/>
    <w:rsid w:val="00DD3432"/>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7838"/>
    <w:rsid w:val="00EF581D"/>
    <w:rsid w:val="00EF7FD8"/>
    <w:rsid w:val="00F06F59"/>
    <w:rsid w:val="00F17988"/>
    <w:rsid w:val="00F3347A"/>
    <w:rsid w:val="00F469F0"/>
    <w:rsid w:val="00F53273"/>
    <w:rsid w:val="00F56EBD"/>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D095E67"/>
  <w15:docId w15:val="{8F2ED4EC-1FA8-4600-8327-4B4BEDB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52E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B79FD"/>
    <w:pPr>
      <w:spacing w:after="200" w:line="276" w:lineRule="auto"/>
      <w:ind w:left="720"/>
      <w:contextualSpacing/>
    </w:pPr>
    <w:rPr>
      <w:rFonts w:ascii="Arial" w:eastAsiaTheme="minorEastAsia" w:hAnsi="Arial" w:cstheme="minorBidi"/>
      <w:szCs w:val="22"/>
    </w:rPr>
  </w:style>
  <w:style w:type="paragraph" w:styleId="NormalWeb">
    <w:name w:val="Normal (Web)"/>
    <w:basedOn w:val="Normal"/>
    <w:uiPriority w:val="99"/>
    <w:unhideWhenUsed/>
    <w:rsid w:val="00D653C8"/>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8F2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612">
      <w:bodyDiv w:val="1"/>
      <w:marLeft w:val="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055405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a:t>Value</a:t>
            </a:r>
            <a:r>
              <a:rPr lang="en-US" baseline="0"/>
              <a:t> Relevance of EPS, BVPS and the Combined EPS -BVPS over the years</a:t>
            </a:r>
          </a:p>
          <a:p>
            <a:pPr algn="ctr">
              <a:defRPr/>
            </a:pPr>
            <a:endParaRPr lang="en-US"/>
          </a:p>
        </c:rich>
      </c:tx>
      <c:overlay val="0"/>
    </c:title>
    <c:autoTitleDeleted val="0"/>
    <c:plotArea>
      <c:layout/>
      <c:barChart>
        <c:barDir val="col"/>
        <c:grouping val="clustered"/>
        <c:varyColors val="0"/>
        <c:ser>
          <c:idx val="0"/>
          <c:order val="0"/>
          <c:tx>
            <c:strRef>
              <c:f>Sheet1!$B$1</c:f>
              <c:strCache>
                <c:ptCount val="1"/>
                <c:pt idx="0">
                  <c:v>Adj R2C</c:v>
                </c:pt>
              </c:strCache>
            </c:strRef>
          </c:tx>
          <c:invertIfNegative val="0"/>
          <c:dLbls>
            <c:delete val="1"/>
          </c:dLbls>
          <c:cat>
            <c:strRef>
              <c:f>Sheet1!$A$2:$A$11</c:f>
              <c:strCache>
                <c:ptCount val="10"/>
                <c:pt idx="0">
                  <c:v>2016-17</c:v>
                </c:pt>
                <c:pt idx="1">
                  <c:v>2017-18</c:v>
                </c:pt>
                <c:pt idx="2">
                  <c:v>2018-19</c:v>
                </c:pt>
                <c:pt idx="3">
                  <c:v>2019-20</c:v>
                </c:pt>
                <c:pt idx="4">
                  <c:v>2020-21</c:v>
                </c:pt>
                <c:pt idx="5">
                  <c:v>2021-22</c:v>
                </c:pt>
                <c:pt idx="6">
                  <c:v>2022-23</c:v>
                </c:pt>
                <c:pt idx="7">
                  <c:v>2023-24</c:v>
                </c:pt>
                <c:pt idx="8">
                  <c:v>2024-25</c:v>
                </c:pt>
                <c:pt idx="9">
                  <c:v>2018-2025</c:v>
                </c:pt>
              </c:strCache>
            </c:strRef>
          </c:cat>
          <c:val>
            <c:numRef>
              <c:f>Sheet1!$B$2:$B$11</c:f>
              <c:numCache>
                <c:formatCode>General</c:formatCode>
                <c:ptCount val="10"/>
                <c:pt idx="0">
                  <c:v>0.67670000000000252</c:v>
                </c:pt>
                <c:pt idx="1">
                  <c:v>0.82470000000000065</c:v>
                </c:pt>
                <c:pt idx="2">
                  <c:v>0.68010000000000093</c:v>
                </c:pt>
                <c:pt idx="3">
                  <c:v>0.5881999999999995</c:v>
                </c:pt>
                <c:pt idx="4">
                  <c:v>0.68490000000000095</c:v>
                </c:pt>
                <c:pt idx="5">
                  <c:v>0.69790000000000108</c:v>
                </c:pt>
                <c:pt idx="6">
                  <c:v>0.72280000000000144</c:v>
                </c:pt>
                <c:pt idx="7">
                  <c:v>0.81370000000000064</c:v>
                </c:pt>
                <c:pt idx="8">
                  <c:v>0.81040000000000001</c:v>
                </c:pt>
                <c:pt idx="9">
                  <c:v>0.73170000000000168</c:v>
                </c:pt>
              </c:numCache>
            </c:numRef>
          </c:val>
          <c:extLst>
            <c:ext xmlns:c16="http://schemas.microsoft.com/office/drawing/2014/chart" uri="{C3380CC4-5D6E-409C-BE32-E72D297353CC}">
              <c16:uniqueId val="{00000000-F881-4B60-9C6A-CFCD2BD42D94}"/>
            </c:ext>
          </c:extLst>
        </c:ser>
        <c:ser>
          <c:idx val="1"/>
          <c:order val="1"/>
          <c:tx>
            <c:strRef>
              <c:f>Sheet1!$C$1</c:f>
              <c:strCache>
                <c:ptCount val="1"/>
                <c:pt idx="0">
                  <c:v>Adj R2EPS</c:v>
                </c:pt>
              </c:strCache>
            </c:strRef>
          </c:tx>
          <c:invertIfNegative val="0"/>
          <c:dLbls>
            <c:delete val="1"/>
          </c:dLbls>
          <c:cat>
            <c:strRef>
              <c:f>Sheet1!$A$2:$A$11</c:f>
              <c:strCache>
                <c:ptCount val="10"/>
                <c:pt idx="0">
                  <c:v>2016-17</c:v>
                </c:pt>
                <c:pt idx="1">
                  <c:v>2017-18</c:v>
                </c:pt>
                <c:pt idx="2">
                  <c:v>2018-19</c:v>
                </c:pt>
                <c:pt idx="3">
                  <c:v>2019-20</c:v>
                </c:pt>
                <c:pt idx="4">
                  <c:v>2020-21</c:v>
                </c:pt>
                <c:pt idx="5">
                  <c:v>2021-22</c:v>
                </c:pt>
                <c:pt idx="6">
                  <c:v>2022-23</c:v>
                </c:pt>
                <c:pt idx="7">
                  <c:v>2023-24</c:v>
                </c:pt>
                <c:pt idx="8">
                  <c:v>2024-25</c:v>
                </c:pt>
                <c:pt idx="9">
                  <c:v>2018-2025</c:v>
                </c:pt>
              </c:strCache>
            </c:strRef>
          </c:cat>
          <c:val>
            <c:numRef>
              <c:f>Sheet1!$C$2:$C$11</c:f>
              <c:numCache>
                <c:formatCode>General</c:formatCode>
                <c:ptCount val="10"/>
                <c:pt idx="0">
                  <c:v>0.65220000000000156</c:v>
                </c:pt>
                <c:pt idx="1">
                  <c:v>0.68310000000000082</c:v>
                </c:pt>
                <c:pt idx="2">
                  <c:v>0.54200000000000004</c:v>
                </c:pt>
                <c:pt idx="3">
                  <c:v>0.54220000000000002</c:v>
                </c:pt>
                <c:pt idx="4">
                  <c:v>0.48680000000000084</c:v>
                </c:pt>
                <c:pt idx="5">
                  <c:v>0.5373</c:v>
                </c:pt>
                <c:pt idx="6">
                  <c:v>0.54090000000000005</c:v>
                </c:pt>
                <c:pt idx="7">
                  <c:v>0.79890000000000005</c:v>
                </c:pt>
                <c:pt idx="8">
                  <c:v>0.75590000000000168</c:v>
                </c:pt>
                <c:pt idx="9">
                  <c:v>0.63170000000000193</c:v>
                </c:pt>
              </c:numCache>
            </c:numRef>
          </c:val>
          <c:extLst>
            <c:ext xmlns:c16="http://schemas.microsoft.com/office/drawing/2014/chart" uri="{C3380CC4-5D6E-409C-BE32-E72D297353CC}">
              <c16:uniqueId val="{00000001-F881-4B60-9C6A-CFCD2BD42D94}"/>
            </c:ext>
          </c:extLst>
        </c:ser>
        <c:ser>
          <c:idx val="2"/>
          <c:order val="2"/>
          <c:tx>
            <c:strRef>
              <c:f>Sheet1!$D$1</c:f>
              <c:strCache>
                <c:ptCount val="1"/>
                <c:pt idx="0">
                  <c:v>Adj R2BVPS</c:v>
                </c:pt>
              </c:strCache>
            </c:strRef>
          </c:tx>
          <c:invertIfNegative val="0"/>
          <c:dLbls>
            <c:delete val="1"/>
          </c:dLbls>
          <c:cat>
            <c:strRef>
              <c:f>Sheet1!$A$2:$A$11</c:f>
              <c:strCache>
                <c:ptCount val="10"/>
                <c:pt idx="0">
                  <c:v>2016-17</c:v>
                </c:pt>
                <c:pt idx="1">
                  <c:v>2017-18</c:v>
                </c:pt>
                <c:pt idx="2">
                  <c:v>2018-19</c:v>
                </c:pt>
                <c:pt idx="3">
                  <c:v>2019-20</c:v>
                </c:pt>
                <c:pt idx="4">
                  <c:v>2020-21</c:v>
                </c:pt>
                <c:pt idx="5">
                  <c:v>2021-22</c:v>
                </c:pt>
                <c:pt idx="6">
                  <c:v>2022-23</c:v>
                </c:pt>
                <c:pt idx="7">
                  <c:v>2023-24</c:v>
                </c:pt>
                <c:pt idx="8">
                  <c:v>2024-25</c:v>
                </c:pt>
                <c:pt idx="9">
                  <c:v>2018-2025</c:v>
                </c:pt>
              </c:strCache>
            </c:strRef>
          </c:cat>
          <c:val>
            <c:numRef>
              <c:f>Sheet1!$D$2:$D$11</c:f>
              <c:numCache>
                <c:formatCode>General</c:formatCode>
                <c:ptCount val="10"/>
                <c:pt idx="0">
                  <c:v>0.61600000000000144</c:v>
                </c:pt>
                <c:pt idx="1">
                  <c:v>0.81420000000000003</c:v>
                </c:pt>
                <c:pt idx="2">
                  <c:v>0.62980000000000191</c:v>
                </c:pt>
                <c:pt idx="3">
                  <c:v>0.46110000000000001</c:v>
                </c:pt>
                <c:pt idx="4">
                  <c:v>0.61050000000000004</c:v>
                </c:pt>
                <c:pt idx="5">
                  <c:v>0.61470000000000191</c:v>
                </c:pt>
                <c:pt idx="6">
                  <c:v>0.66650000000000065</c:v>
                </c:pt>
                <c:pt idx="7">
                  <c:v>0.68810000000000093</c:v>
                </c:pt>
                <c:pt idx="8">
                  <c:v>0.76559999999999995</c:v>
                </c:pt>
                <c:pt idx="9">
                  <c:v>0.66030000000000144</c:v>
                </c:pt>
              </c:numCache>
            </c:numRef>
          </c:val>
          <c:extLst>
            <c:ext xmlns:c16="http://schemas.microsoft.com/office/drawing/2014/chart" uri="{C3380CC4-5D6E-409C-BE32-E72D297353CC}">
              <c16:uniqueId val="{00000002-F881-4B60-9C6A-CFCD2BD42D94}"/>
            </c:ext>
          </c:extLst>
        </c:ser>
        <c:dLbls>
          <c:showLegendKey val="0"/>
          <c:showVal val="1"/>
          <c:showCatName val="0"/>
          <c:showSerName val="0"/>
          <c:showPercent val="0"/>
          <c:showBubbleSize val="0"/>
        </c:dLbls>
        <c:gapWidth val="75"/>
        <c:axId val="100260480"/>
        <c:axId val="105240832"/>
      </c:barChart>
      <c:catAx>
        <c:axId val="100260480"/>
        <c:scaling>
          <c:orientation val="minMax"/>
        </c:scaling>
        <c:delete val="0"/>
        <c:axPos val="b"/>
        <c:numFmt formatCode="General" sourceLinked="1"/>
        <c:majorTickMark val="none"/>
        <c:minorTickMark val="none"/>
        <c:tickLblPos val="nextTo"/>
        <c:crossAx val="105240832"/>
        <c:crosses val="autoZero"/>
        <c:auto val="1"/>
        <c:lblAlgn val="ctr"/>
        <c:lblOffset val="100"/>
        <c:noMultiLvlLbl val="0"/>
      </c:catAx>
      <c:valAx>
        <c:axId val="105240832"/>
        <c:scaling>
          <c:orientation val="minMax"/>
        </c:scaling>
        <c:delete val="0"/>
        <c:axPos val="l"/>
        <c:majorGridlines/>
        <c:numFmt formatCode="General" sourceLinked="1"/>
        <c:majorTickMark val="none"/>
        <c:minorTickMark val="none"/>
        <c:tickLblPos val="nextTo"/>
        <c:crossAx val="100260480"/>
        <c:crosses val="autoZero"/>
        <c:crossBetween val="between"/>
      </c:valAx>
    </c:plotArea>
    <c:legend>
      <c:legendPos val="r"/>
      <c:layout>
        <c:manualLayout>
          <c:xMode val="edge"/>
          <c:yMode val="edge"/>
          <c:x val="0.8628399643877116"/>
          <c:y val="0.44878163469002974"/>
          <c:w val="0.12541260536265569"/>
          <c:h val="0.3971682589615396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EC6F6-0CB0-4FFF-8E11-2943F74B8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412</TotalTime>
  <Pages>13</Pages>
  <Words>3627</Words>
  <Characters>20680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24259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2014-10-25T14:34:00Z</dcterms:created>
  <dcterms:modified xsi:type="dcterms:W3CDTF">2026-03-11T12:00:00Z</dcterms:modified>
</cp:coreProperties>
</file>