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D58BBD" w14:textId="77777777" w:rsidR="00E10CE8" w:rsidRDefault="00E10CE8" w:rsidP="00A020D7">
      <w:pPr>
        <w:spacing w:before="240" w:line="360" w:lineRule="auto"/>
        <w:jc w:val="right"/>
        <w:rPr>
          <w:rFonts w:ascii="Arial" w:hAnsi="Arial" w:cs="Arial"/>
          <w:b/>
          <w:bCs/>
          <w:sz w:val="32"/>
          <w:szCs w:val="32"/>
        </w:rPr>
      </w:pPr>
      <w:r w:rsidRPr="00E10CE8">
        <w:rPr>
          <w:rFonts w:ascii="Arial" w:hAnsi="Arial" w:cs="Arial"/>
          <w:b/>
          <w:bCs/>
          <w:sz w:val="32"/>
          <w:szCs w:val="32"/>
        </w:rPr>
        <w:t>Original Research Article</w:t>
      </w:r>
    </w:p>
    <w:p w14:paraId="7261FDA3" w14:textId="37337328" w:rsidR="00A020D7" w:rsidRPr="00A020D7" w:rsidRDefault="00A020D7" w:rsidP="00A020D7">
      <w:pPr>
        <w:spacing w:before="240" w:line="360" w:lineRule="auto"/>
        <w:jc w:val="right"/>
        <w:rPr>
          <w:rFonts w:ascii="Arial" w:hAnsi="Arial" w:cs="Arial"/>
          <w:b/>
          <w:bCs/>
          <w:sz w:val="32"/>
          <w:szCs w:val="32"/>
        </w:rPr>
      </w:pPr>
      <w:r w:rsidRPr="00A020D7">
        <w:rPr>
          <w:rFonts w:ascii="Arial" w:hAnsi="Arial" w:cs="Arial"/>
          <w:b/>
          <w:bCs/>
          <w:sz w:val="32"/>
          <w:szCs w:val="32"/>
        </w:rPr>
        <w:t>Who Are the Women in Kerala’s Gig Economy? A Socioeconomic and Income-Based Analysis Using Logistic Regression</w:t>
      </w:r>
    </w:p>
    <w:p w14:paraId="60E45F13" w14:textId="473AA0AB" w:rsidR="00A13C84" w:rsidRDefault="00A13C84" w:rsidP="00A13C84">
      <w:pPr>
        <w:spacing w:before="240" w:after="0" w:line="360" w:lineRule="auto"/>
        <w:jc w:val="right"/>
        <w:rPr>
          <w:rFonts w:ascii="Arial" w:hAnsi="Arial" w:cs="Arial"/>
        </w:rPr>
      </w:pPr>
    </w:p>
    <w:p w14:paraId="128387EB" w14:textId="5C69C62C" w:rsidR="005571C5" w:rsidRPr="0059717B" w:rsidRDefault="0059717B" w:rsidP="00EC22EF">
      <w:pPr>
        <w:spacing w:before="240" w:after="0" w:line="360" w:lineRule="auto"/>
        <w:jc w:val="both"/>
        <w:rPr>
          <w:rFonts w:ascii="Arial" w:hAnsi="Arial" w:cs="Arial"/>
          <w:b/>
          <w:bCs/>
        </w:rPr>
      </w:pPr>
      <w:r w:rsidRPr="0059717B">
        <w:rPr>
          <w:rFonts w:ascii="Arial" w:hAnsi="Arial" w:cs="Arial"/>
          <w:b/>
          <w:bCs/>
        </w:rPr>
        <w:t>ABSTRACT</w:t>
      </w:r>
    </w:p>
    <w:p w14:paraId="091E1D23" w14:textId="77777777" w:rsidR="00A020D7" w:rsidRPr="00AC3B91" w:rsidRDefault="00A020D7" w:rsidP="001C5C7D">
      <w:pPr>
        <w:spacing w:before="240" w:line="360" w:lineRule="auto"/>
        <w:jc w:val="both"/>
        <w:rPr>
          <w:rFonts w:ascii="Arial" w:hAnsi="Arial" w:cs="Arial"/>
          <w:sz w:val="20"/>
          <w:szCs w:val="20"/>
        </w:rPr>
      </w:pPr>
      <w:r w:rsidRPr="00AC3B91">
        <w:rPr>
          <w:rFonts w:ascii="Arial" w:hAnsi="Arial" w:cs="Arial"/>
          <w:sz w:val="20"/>
          <w:szCs w:val="20"/>
        </w:rPr>
        <w:t>The rapid growth of platform-based work has transformed labour markets in India, with Kerala offering a unique setting of high social development alongside persistent unemployment. This study analyses the socioeconomic profile and income determinants of 300 women engaged in Kerala’s gig economy using primary data collected through snowball sampling. Logistic regression, chi-square tests, and descriptive statistics are applied to examine demographic characteristics, education, household context, work patterns, and earnings, and to identify factors influencing higher income levels. The results show that education, digital access, prior work experience, marital status, and urban residence significantly affect earnings. While gig work expands income opportunities and supports women’s labour force participation, earnings remain uneven and insecure. Education, digital skills, and full-time engagement improve income prospects, whereas care responsibilities and mobility constraints restrict them. The study highlights gig employment as both a channel of economic inclusion and a source of structural vulnerability, emphasizing the need for gender-responsive policies, stronger social protection, and targeted skill development.</w:t>
      </w:r>
    </w:p>
    <w:p w14:paraId="4656FF0E" w14:textId="703EFACE" w:rsidR="005571C5" w:rsidRPr="00A13C84" w:rsidRDefault="005571C5" w:rsidP="00A13C84">
      <w:pPr>
        <w:spacing w:line="360" w:lineRule="auto"/>
        <w:jc w:val="both"/>
        <w:rPr>
          <w:rFonts w:ascii="Times New Roman" w:hAnsi="Times New Roman" w:cs="Times New Roman"/>
          <w:i/>
          <w:iCs/>
          <w:color w:val="000000" w:themeColor="text1"/>
          <w:sz w:val="24"/>
          <w:szCs w:val="24"/>
        </w:rPr>
      </w:pPr>
      <w:r w:rsidRPr="0059717B">
        <w:rPr>
          <w:rFonts w:ascii="Arial" w:hAnsi="Arial" w:cs="Arial"/>
          <w:b/>
          <w:bCs/>
          <w:i/>
          <w:iCs/>
          <w:sz w:val="20"/>
          <w:szCs w:val="20"/>
        </w:rPr>
        <w:t>Keywords</w:t>
      </w:r>
      <w:r w:rsidR="00A020D7" w:rsidRPr="00AC3B91">
        <w:rPr>
          <w:rFonts w:ascii="Arial" w:hAnsi="Arial" w:cs="Arial"/>
          <w:sz w:val="20"/>
          <w:szCs w:val="20"/>
        </w:rPr>
        <w:t>: Gig economy, female labour force participation, platform work, logistic regression, gender and work, Kerala</w:t>
      </w:r>
    </w:p>
    <w:p w14:paraId="2EA95ED6" w14:textId="2EA32E57" w:rsidR="00597C15" w:rsidRPr="00597C15" w:rsidRDefault="0059717B" w:rsidP="00597C15">
      <w:pPr>
        <w:spacing w:before="240" w:line="360" w:lineRule="auto"/>
        <w:jc w:val="both"/>
        <w:rPr>
          <w:rFonts w:ascii="Arial" w:hAnsi="Arial" w:cs="Arial"/>
          <w:b/>
          <w:bCs/>
        </w:rPr>
      </w:pPr>
      <w:r w:rsidRPr="0059717B">
        <w:rPr>
          <w:rFonts w:ascii="Arial" w:hAnsi="Arial" w:cs="Arial"/>
          <w:b/>
          <w:bCs/>
        </w:rPr>
        <w:t xml:space="preserve">1 INTRODUCTION </w:t>
      </w:r>
    </w:p>
    <w:p w14:paraId="02F2F476" w14:textId="77777777" w:rsidR="00A020D7" w:rsidRPr="00AC3B91" w:rsidRDefault="00A020D7" w:rsidP="00A020D7">
      <w:pPr>
        <w:spacing w:line="360" w:lineRule="auto"/>
        <w:jc w:val="both"/>
        <w:rPr>
          <w:rFonts w:ascii="Arial" w:hAnsi="Arial" w:cs="Arial"/>
          <w:sz w:val="20"/>
          <w:szCs w:val="20"/>
        </w:rPr>
      </w:pPr>
      <w:r w:rsidRPr="00AC3B91">
        <w:rPr>
          <w:rFonts w:ascii="Arial" w:hAnsi="Arial" w:cs="Arial"/>
          <w:sz w:val="20"/>
          <w:szCs w:val="20"/>
        </w:rPr>
        <w:t>The rapid expansion of the gig economy has significantly reshaped labour markets worldwide, altering the nature of employment relationships, income security, and work organisation. Within contemporary labour market structures, platform-based work has emerged as a flexible and contingent form of employment (</w:t>
      </w:r>
      <w:r w:rsidRPr="00AC3B91">
        <w:rPr>
          <w:rFonts w:ascii="Arial" w:hAnsi="Arial" w:cs="Arial"/>
          <w:color w:val="000000" w:themeColor="text1"/>
          <w:sz w:val="20"/>
          <w:szCs w:val="20"/>
        </w:rPr>
        <w:t>Harris, 2017</w:t>
      </w:r>
      <w:r w:rsidRPr="00AC3B91">
        <w:rPr>
          <w:rFonts w:ascii="Arial" w:hAnsi="Arial" w:cs="Arial"/>
          <w:sz w:val="20"/>
          <w:szCs w:val="20"/>
        </w:rPr>
        <w:t>). Defined by short-term engagements, digitally mediated tasks, and adaptable work schedules, the gig economy is often portrayed as a source of new income opportunities. At the same time, it has attracted criticism for reinforcing precarity and accelerating processes of informalisation. Broadly, gig work refers to task-oriented employment facilitated through digital platforms, typically operating beyond conventional formal employment frameworks (</w:t>
      </w:r>
      <w:r w:rsidRPr="00AC3B91">
        <w:rPr>
          <w:rFonts w:ascii="Arial" w:hAnsi="Arial" w:cs="Arial"/>
          <w:color w:val="000000" w:themeColor="text1"/>
          <w:sz w:val="20"/>
          <w:szCs w:val="20"/>
        </w:rPr>
        <w:t>Rahul &amp; Shaifali, 2025; Panwar et al., 2024</w:t>
      </w:r>
      <w:r w:rsidRPr="00AC3B91">
        <w:rPr>
          <w:rFonts w:ascii="Arial" w:hAnsi="Arial" w:cs="Arial"/>
          <w:sz w:val="20"/>
          <w:szCs w:val="20"/>
        </w:rPr>
        <w:t xml:space="preserve">). In developing economies, particularly in India, platform-mediated work has become an increasingly important segment of urban and semi-urban labour markets, reshaping </w:t>
      </w:r>
      <w:r w:rsidRPr="00AC3B91">
        <w:rPr>
          <w:rFonts w:ascii="Arial" w:hAnsi="Arial" w:cs="Arial"/>
          <w:sz w:val="20"/>
          <w:szCs w:val="20"/>
        </w:rPr>
        <w:lastRenderedPageBreak/>
        <w:t>traditional employment arrangements and offering alternative livelihood options for diverse social groups. Kerala provides a distinctive setting for examining these transformations. The state is widely recognised for its high literacy levels, favourable human development outcomes, and strong tradition of labour mobilisation. Nevertheless, it continues to face structural challenges, including high rates of educated unemployment, underemployment, and significant reliance on remittance income. This study seeks to address a central question: Who are the women participating in Kerala’s gig economy? Through a socioeconomic and income-based analysis, the article examines their demographic profiles, educational attainment, household characteristics, work patterns, and the determinants of income variation.</w:t>
      </w:r>
    </w:p>
    <w:p w14:paraId="3D98F9FC" w14:textId="77777777" w:rsidR="00A020D7" w:rsidRPr="00AC3B91" w:rsidRDefault="00A020D7" w:rsidP="00A020D7">
      <w:pPr>
        <w:spacing w:line="360" w:lineRule="auto"/>
        <w:jc w:val="both"/>
        <w:rPr>
          <w:rFonts w:ascii="Arial" w:hAnsi="Arial" w:cs="Arial"/>
          <w:sz w:val="20"/>
          <w:szCs w:val="20"/>
        </w:rPr>
      </w:pPr>
      <w:r w:rsidRPr="00AC3B91">
        <w:rPr>
          <w:rFonts w:ascii="Arial" w:hAnsi="Arial" w:cs="Arial"/>
          <w:sz w:val="20"/>
          <w:szCs w:val="20"/>
        </w:rPr>
        <w:t>In recent years, digital platforms and app-based services have expanded rapidly across Kerala’s service sectors, encompassing transportation, delivery services, domestic services, beauty and wellness, freelancing, and various forms of micro-entrepreneurship. Women’s engagement in these emerging forms of work warrants particular attention, especially in light of Kerala’s paradoxical combination of high female educational attainment and relatively low female labour force participation. Participation in gig work generally requires access to digital infrastructure—most notably a smartphone with reliable internet connectivity—and, in certain sectors, access to transportation or other work-related assets (</w:t>
      </w:r>
      <w:r w:rsidRPr="00AC3B91">
        <w:rPr>
          <w:rFonts w:ascii="Arial" w:hAnsi="Arial" w:cs="Arial"/>
          <w:color w:val="000000" w:themeColor="text1"/>
          <w:sz w:val="20"/>
          <w:szCs w:val="20"/>
        </w:rPr>
        <w:t>Sundararajan, 2016; Ramachandran, Singh, &amp; Narain, 2021</w:t>
      </w:r>
      <w:r w:rsidRPr="00AC3B91">
        <w:rPr>
          <w:rFonts w:ascii="Arial" w:hAnsi="Arial" w:cs="Arial"/>
          <w:sz w:val="20"/>
          <w:szCs w:val="20"/>
        </w:rPr>
        <w:t>). Although existing research has explored the broader dimensions of platform labour in India, limited empirical attention has been directed towards the socioeconomic characteristics of women engaged in gig work at the state level. Important questions remain unanswered: Who are these women? What factors motivate their entry into platform-based employment? How do their socioeconomic attributes shape their income outcomes? Furthermore, it remains unclear whether gig work enhances women’s economic agency or reproduces existing forms of labour vulnerability within Kerala’s specific socio-economic context. Addressing these issues is essential for understanding the gendered dimensions of labour market transformation in a state frequently cited as a model of social development. The study contributes to the growing body of empirical literature on women’s participation in non-standard forms of employment in high human development contexts. The study offers timely insights for policymakers, labour economists, and gender scholars seeking to understand the evolving landscape of work in Kerala and comparable regions.</w:t>
      </w:r>
    </w:p>
    <w:p w14:paraId="72AA2FB2" w14:textId="6647ACE5" w:rsidR="00403910" w:rsidRPr="0059717B" w:rsidRDefault="00A020D7" w:rsidP="00403910">
      <w:pPr>
        <w:spacing w:line="360" w:lineRule="auto"/>
        <w:jc w:val="both"/>
        <w:rPr>
          <w:rFonts w:ascii="Arial" w:hAnsi="Arial" w:cs="Arial"/>
          <w:b/>
          <w:bCs/>
        </w:rPr>
      </w:pPr>
      <w:r>
        <w:rPr>
          <w:rFonts w:ascii="Arial" w:hAnsi="Arial" w:cs="Arial"/>
          <w:b/>
          <w:bCs/>
        </w:rPr>
        <w:t>2</w:t>
      </w:r>
      <w:r w:rsidR="0059717B" w:rsidRPr="0059717B">
        <w:rPr>
          <w:rFonts w:ascii="Arial" w:hAnsi="Arial" w:cs="Arial"/>
          <w:b/>
          <w:bCs/>
        </w:rPr>
        <w:t xml:space="preserve"> REVIEW OF LITERATURE</w:t>
      </w:r>
    </w:p>
    <w:p w14:paraId="6F77E353" w14:textId="77777777" w:rsidR="00A020D7" w:rsidRPr="00AC3B91" w:rsidRDefault="00A020D7" w:rsidP="00A020D7">
      <w:pPr>
        <w:spacing w:line="360" w:lineRule="auto"/>
        <w:jc w:val="both"/>
        <w:rPr>
          <w:rFonts w:ascii="Arial" w:hAnsi="Arial" w:cs="Arial"/>
          <w:sz w:val="20"/>
          <w:szCs w:val="20"/>
        </w:rPr>
      </w:pPr>
      <w:r w:rsidRPr="00AC3B91">
        <w:rPr>
          <w:rFonts w:ascii="Arial" w:hAnsi="Arial" w:cs="Arial"/>
          <w:sz w:val="20"/>
          <w:szCs w:val="20"/>
        </w:rPr>
        <w:t xml:space="preserve">The rapid global expansion of platform-mediated work has significantly reshaped labour markets, generating new opportunities alongside complex challenges, particularly for women (Rani, Dhir, &amp; Gobel, 2022). The literature underscores the dual character of gig employment. While digital platforms may enhance labour market access through flexibility, autonomy, and relatively low entry barriers, they also intensify economic insecurity due to precarious contractual arrangements, limited social protection, and persistent gender-based constraints (Rani &amp; Furrer, 2021). Women gig workers frequently encounter weak regulatory safeguards, inadequate grievance redressal mechanisms, and exposure to harassment and discrimination (Leela et al., 2025). Studies further document algorithmic biases, income volatility, occupational segregation, and restricted access to higher-paying tasks (Rahul &amp; Shaifali, 2025). Continued reliance on informal financial arrangements, limited insurance coverage, and </w:t>
      </w:r>
      <w:r w:rsidRPr="00AC3B91">
        <w:rPr>
          <w:rFonts w:ascii="Arial" w:hAnsi="Arial" w:cs="Arial"/>
          <w:sz w:val="20"/>
          <w:szCs w:val="20"/>
        </w:rPr>
        <w:lastRenderedPageBreak/>
        <w:t>structural gender inequalities constrain asset accumulation and long-term economic security (Joseph, 2021; Mehta, 2023). In developing country contexts, disparities in digital infrastructure and literacy further reinforce these vulnerabilities (Liang et al., 2018). Beyond income instability, emerging evidence highlights adverse health and well-being outcomes associated with occupational stress and inadequate healthcare access among women platform workers (Sen &amp; Kalita, 2025). Although women are often attracted to gig work due to its perceived flexibility—especially in balancing unpaid care responsibilities—such flexibility frequently coexists with unstable earnings and limited upward mobility. In India, where female labour force participation remains comparatively low, policy initiatives such as those proposed by NITI Aayog (2022) have promoted women’s engagement in platform work; however, structural and socio-cultural constraints continue to shape participation and outcomes.</w:t>
      </w:r>
    </w:p>
    <w:p w14:paraId="6558E302" w14:textId="77777777" w:rsidR="00A020D7" w:rsidRPr="00AC3B91" w:rsidRDefault="00A020D7" w:rsidP="00A020D7">
      <w:pPr>
        <w:spacing w:line="360" w:lineRule="auto"/>
        <w:jc w:val="both"/>
        <w:rPr>
          <w:rFonts w:ascii="Arial" w:hAnsi="Arial" w:cs="Arial"/>
          <w:sz w:val="20"/>
          <w:szCs w:val="20"/>
        </w:rPr>
      </w:pPr>
      <w:r w:rsidRPr="00AC3B91">
        <w:rPr>
          <w:rFonts w:ascii="Arial" w:hAnsi="Arial" w:cs="Arial"/>
          <w:sz w:val="20"/>
          <w:szCs w:val="20"/>
        </w:rPr>
        <w:t>Kerala offers a distinctive socio-economic context for examining the gendered dimensions of gig employment. The “Kerala model” literature highlights the state’s achievements in human development, social equity, and participatory governance despite modest per capita income levels (</w:t>
      </w:r>
      <w:proofErr w:type="spellStart"/>
      <w:r w:rsidRPr="00AC3B91">
        <w:rPr>
          <w:rFonts w:ascii="Arial" w:hAnsi="Arial" w:cs="Arial"/>
          <w:sz w:val="20"/>
          <w:szCs w:val="20"/>
        </w:rPr>
        <w:t>Parayil</w:t>
      </w:r>
      <w:proofErr w:type="spellEnd"/>
      <w:r w:rsidRPr="00AC3B91">
        <w:rPr>
          <w:rFonts w:ascii="Arial" w:hAnsi="Arial" w:cs="Arial"/>
          <w:sz w:val="20"/>
          <w:szCs w:val="20"/>
        </w:rPr>
        <w:t>, 1996; Kannan et al., 1991; Oommen, 2008). Nevertheless, the expansion of informal and digitally mediated employment in the state indicates that high literacy and favourable gender development indicators do not automatically shield women from labour market vulnerabilities. Empirical studies from Kerala and other parts of India reveal pronounced gender disparities in income stability, access to social security, and asset accumulation within gig work. For instance, a recent study in Malappuram district employing logistic regression analysis found that irregular income, lack of social security coverage, household responsibilities, and limited digital skills significantly increased the likelihood of adverse work conditions (</w:t>
      </w:r>
      <w:proofErr w:type="spellStart"/>
      <w:r w:rsidRPr="00AC3B91">
        <w:rPr>
          <w:rFonts w:ascii="Arial" w:hAnsi="Arial" w:cs="Arial"/>
          <w:sz w:val="20"/>
          <w:szCs w:val="20"/>
        </w:rPr>
        <w:t>Chengodan</w:t>
      </w:r>
      <w:proofErr w:type="spellEnd"/>
      <w:r w:rsidRPr="00AC3B91">
        <w:rPr>
          <w:rFonts w:ascii="Arial" w:hAnsi="Arial" w:cs="Arial"/>
          <w:sz w:val="20"/>
          <w:szCs w:val="20"/>
        </w:rPr>
        <w:t xml:space="preserve"> &amp; </w:t>
      </w:r>
      <w:proofErr w:type="spellStart"/>
      <w:r w:rsidRPr="00AC3B91">
        <w:rPr>
          <w:rFonts w:ascii="Arial" w:hAnsi="Arial" w:cs="Arial"/>
          <w:sz w:val="20"/>
          <w:szCs w:val="20"/>
        </w:rPr>
        <w:t>Jamsheer</w:t>
      </w:r>
      <w:proofErr w:type="spellEnd"/>
      <w:r w:rsidRPr="00AC3B91">
        <w:rPr>
          <w:rFonts w:ascii="Arial" w:hAnsi="Arial" w:cs="Arial"/>
          <w:sz w:val="20"/>
          <w:szCs w:val="20"/>
        </w:rPr>
        <w:t>, 2025). While existing scholarship provides valuable descriptive insights into women’s experiences in the gig economy, rigorous quantitative analyses identifying the socioeconomic and income-based determinants of participation remain limited, particularly in the Kerala context. Addressing this gap, the present study applies a logistic regression framework to systematically examine the socioeconomic profile and income determinants of women gig workers in Kerala, thereby contributing context-specific evidence to inform gender-responsive policy interventions.</w:t>
      </w:r>
    </w:p>
    <w:p w14:paraId="1C7E3BEB" w14:textId="44F561FC" w:rsidR="00A13C84" w:rsidRPr="000E6BB1" w:rsidRDefault="00A020D7" w:rsidP="00A13C84">
      <w:pPr>
        <w:spacing w:line="360" w:lineRule="auto"/>
        <w:jc w:val="both"/>
        <w:rPr>
          <w:rFonts w:ascii="Arial" w:hAnsi="Arial" w:cs="Arial"/>
          <w:b/>
          <w:bCs/>
          <w:color w:val="000000" w:themeColor="text1"/>
        </w:rPr>
      </w:pPr>
      <w:r>
        <w:rPr>
          <w:rFonts w:ascii="Arial" w:hAnsi="Arial" w:cs="Arial"/>
          <w:b/>
          <w:bCs/>
          <w:color w:val="000000" w:themeColor="text1"/>
        </w:rPr>
        <w:t>3</w:t>
      </w:r>
      <w:r w:rsidR="00A13C84" w:rsidRPr="000E6BB1">
        <w:rPr>
          <w:rFonts w:ascii="Arial" w:hAnsi="Arial" w:cs="Arial"/>
          <w:b/>
          <w:bCs/>
          <w:color w:val="000000" w:themeColor="text1"/>
        </w:rPr>
        <w:t xml:space="preserve"> </w:t>
      </w:r>
      <w:r w:rsidRPr="00A020D7">
        <w:rPr>
          <w:rFonts w:ascii="Arial" w:hAnsi="Arial" w:cs="Arial"/>
          <w:b/>
          <w:bCs/>
        </w:rPr>
        <w:t>SIGNIFICANCE OF THE STUDY</w:t>
      </w:r>
    </w:p>
    <w:p w14:paraId="5C53B026" w14:textId="77777777" w:rsidR="00A020D7" w:rsidRPr="00AC3B91" w:rsidRDefault="00A020D7" w:rsidP="00A020D7">
      <w:pPr>
        <w:spacing w:line="360" w:lineRule="auto"/>
        <w:jc w:val="both"/>
        <w:rPr>
          <w:rFonts w:ascii="Arial" w:hAnsi="Arial" w:cs="Arial"/>
          <w:sz w:val="20"/>
          <w:szCs w:val="20"/>
        </w:rPr>
      </w:pPr>
      <w:r w:rsidRPr="00AC3B91">
        <w:rPr>
          <w:rFonts w:ascii="Arial" w:hAnsi="Arial" w:cs="Arial"/>
          <w:sz w:val="20"/>
          <w:szCs w:val="20"/>
        </w:rPr>
        <w:t xml:space="preserve">This study offers a timely and original contribution to the expanding body of scholarship on the gig economy by focusing specifically on women workers in Kerala, a state widely acknowledged for its distinctive social development trajectory. Despite the rapid growth of platform-mediated employment, systematic empirical evidence on the socioeconomic characteristics and income dynamics of women participants remains limited. Drawing on primary data collected from 300 respondents using a snowball sampling technique, the study provides detailed insights into a relatively under-researched and fluid segment of the workforce. Descriptive statistical tools are employed to map demographic features, educational attainment, occupational patterns, and income distribution, while logistic regression analysis is used to examine the determinants shaping women’s participation and earnings in the gig economy. Although existing studies have examined the broader expansion of platform labour in India, relatively little empirical attention has been devoted to the state-level socioeconomic and income profiles of women engaged in gig work. By addressing key questions—such as who enters Kerala’s gig </w:t>
      </w:r>
      <w:r w:rsidRPr="00AC3B91">
        <w:rPr>
          <w:rFonts w:ascii="Arial" w:hAnsi="Arial" w:cs="Arial"/>
          <w:sz w:val="20"/>
          <w:szCs w:val="20"/>
        </w:rPr>
        <w:lastRenderedPageBreak/>
        <w:t>economy, what socioeconomic factors influence their participation, and whether gig work enhances income and economic agency or reinforces precarity—this study fills an important research gap.</w:t>
      </w:r>
    </w:p>
    <w:p w14:paraId="241B88E8" w14:textId="4B7A9AEB" w:rsidR="00A13C84" w:rsidRPr="00A020D7" w:rsidRDefault="00A020D7" w:rsidP="00A13C84">
      <w:pPr>
        <w:spacing w:line="360" w:lineRule="auto"/>
        <w:jc w:val="both"/>
        <w:rPr>
          <w:rFonts w:ascii="Arial" w:hAnsi="Arial" w:cs="Arial"/>
          <w:sz w:val="20"/>
          <w:szCs w:val="20"/>
        </w:rPr>
      </w:pPr>
      <w:r w:rsidRPr="00AC3B91">
        <w:rPr>
          <w:rFonts w:ascii="Arial" w:hAnsi="Arial" w:cs="Arial"/>
          <w:sz w:val="20"/>
          <w:szCs w:val="20"/>
        </w:rPr>
        <w:t>Moving beyond descriptive and anecdotal narratives, the study provides statistically robust evidence on both structural and individual factors influencing women’s engagement in platform-based work. Its findings carry significant policy and theoretical implications. In the context of Kerala’s labour market, characterized by high educational attainment alongside persistent unemployment, the gig economy may function simultaneously as a source of opportunity and as a domain of emerging vulnerabilities for women workers. By identifying the socioeconomic predictors of participation and variations in income, the study offers insights relevant to labour regulation, social protection frameworks, and gender-responsive policy interventions aimed at strengthening income security and working conditions in non-standard forms of employment. Additionally, the analysis contributes to broader debates on the feminization of labour, informalization, and digital transformation by situating women’s gig work within a specific regional development context. In doing so, it establishes a foundation for future comparative research and advances a more inclusive understanding of digital labour markets in developing economies</w:t>
      </w:r>
      <w:r w:rsidR="00A13C84" w:rsidRPr="00CD792B">
        <w:rPr>
          <w:rFonts w:ascii="Arial" w:hAnsi="Arial" w:cs="Arial"/>
          <w:color w:val="000000" w:themeColor="text1"/>
          <w:sz w:val="20"/>
          <w:szCs w:val="20"/>
        </w:rPr>
        <w:t>.</w:t>
      </w:r>
    </w:p>
    <w:p w14:paraId="77785FA8" w14:textId="48B01B30" w:rsidR="00DB5CC8" w:rsidRPr="0059717B" w:rsidRDefault="00A020D7" w:rsidP="00DB5CC8">
      <w:pPr>
        <w:spacing w:before="240" w:after="0" w:line="360" w:lineRule="auto"/>
        <w:jc w:val="both"/>
        <w:rPr>
          <w:rFonts w:ascii="Arial" w:hAnsi="Arial" w:cs="Arial"/>
          <w:b/>
          <w:bCs/>
        </w:rPr>
      </w:pPr>
      <w:r>
        <w:rPr>
          <w:rFonts w:ascii="Arial" w:hAnsi="Arial" w:cs="Arial"/>
          <w:b/>
          <w:bCs/>
        </w:rPr>
        <w:t>4</w:t>
      </w:r>
      <w:r w:rsidR="0059717B" w:rsidRPr="0059717B">
        <w:rPr>
          <w:rFonts w:ascii="Arial" w:hAnsi="Arial" w:cs="Arial"/>
          <w:b/>
          <w:bCs/>
        </w:rPr>
        <w:t xml:space="preserve"> METHODOLOGY</w:t>
      </w:r>
    </w:p>
    <w:p w14:paraId="281E517B" w14:textId="77777777" w:rsidR="00A020D7" w:rsidRPr="00AC3B91" w:rsidRDefault="00A020D7" w:rsidP="00A020D7">
      <w:pPr>
        <w:spacing w:before="240" w:line="360" w:lineRule="auto"/>
        <w:jc w:val="both"/>
        <w:rPr>
          <w:rFonts w:ascii="Arial" w:hAnsi="Arial" w:cs="Arial"/>
          <w:sz w:val="20"/>
          <w:szCs w:val="20"/>
        </w:rPr>
      </w:pPr>
      <w:r w:rsidRPr="00AC3B91">
        <w:rPr>
          <w:rFonts w:ascii="Arial" w:hAnsi="Arial" w:cs="Arial"/>
          <w:sz w:val="20"/>
          <w:szCs w:val="20"/>
        </w:rPr>
        <w:t>The research adopted a cross-sectional quantitative framework to explore the socio-economic characteristics of women participating in gig employment in Kerala and to assess the principal factors shaping their engagement and income levels. By collecting primary data at a specific point in time, the study enabled a structured statistical examination of the association between selected socio-economic indicators and the financial conditions of respondents. To investigate the determinants of socio-economic outcomes, the analysis employed a binary logistic regression model. This approach enabled the estimation of the probability of achieving relatively favourable economic outcomes using a set of explanatory variables. It also helped identify the statistically significant determinants influencing women’s economic position within the gig sector. To enhance the analytical rigor of the study, chi-square tests were conducted to assess the relationships between categorical variables, while bar diagrams were used to visually represent key patterns in the data. Furthermore, descriptive statistics such as the mean, standard deviation, minimum, and maximum were computed to summarise the distributional characteristics of the dataset and to present a clear profile of the sample.</w:t>
      </w:r>
    </w:p>
    <w:p w14:paraId="68E4159D" w14:textId="3F3CB16D" w:rsidR="007601BD" w:rsidRPr="0059717B" w:rsidRDefault="00A020D7" w:rsidP="00DB5CC8">
      <w:pPr>
        <w:spacing w:before="240" w:after="0" w:line="360" w:lineRule="auto"/>
        <w:jc w:val="both"/>
        <w:rPr>
          <w:rFonts w:ascii="Arial" w:hAnsi="Arial" w:cs="Arial"/>
          <w:b/>
          <w:bCs/>
        </w:rPr>
      </w:pPr>
      <w:r>
        <w:rPr>
          <w:rFonts w:ascii="Arial" w:hAnsi="Arial" w:cs="Arial"/>
          <w:b/>
          <w:bCs/>
        </w:rPr>
        <w:t>4</w:t>
      </w:r>
      <w:r w:rsidR="009E7CF5" w:rsidRPr="0059717B">
        <w:rPr>
          <w:rFonts w:ascii="Arial" w:hAnsi="Arial" w:cs="Arial"/>
          <w:b/>
          <w:bCs/>
        </w:rPr>
        <w:t>.1 Data</w:t>
      </w:r>
    </w:p>
    <w:p w14:paraId="1E78830F" w14:textId="3FBB228E" w:rsidR="00005A0F" w:rsidRPr="00A020D7" w:rsidRDefault="00A020D7" w:rsidP="00A020D7">
      <w:pPr>
        <w:spacing w:before="240" w:line="360" w:lineRule="auto"/>
        <w:jc w:val="both"/>
        <w:rPr>
          <w:rFonts w:ascii="Arial" w:hAnsi="Arial" w:cs="Arial"/>
          <w:sz w:val="20"/>
          <w:szCs w:val="20"/>
        </w:rPr>
      </w:pPr>
      <w:r w:rsidRPr="00AC3B91">
        <w:rPr>
          <w:rFonts w:ascii="Arial" w:hAnsi="Arial" w:cs="Arial"/>
          <w:sz w:val="20"/>
          <w:szCs w:val="20"/>
        </w:rPr>
        <w:t xml:space="preserve">A multi-stage sampling framework was employed for this investigation. Primary data were obtained from three purposively selected districts of Kerala; namely: Kannur, Ernakulam, and Thiruvananthapuram, chosen to reflect regional variation. Within these districts, respondents were drawn from selected taluks: </w:t>
      </w:r>
      <w:proofErr w:type="spellStart"/>
      <w:r w:rsidRPr="00AC3B91">
        <w:rPr>
          <w:rFonts w:ascii="Arial" w:hAnsi="Arial" w:cs="Arial"/>
          <w:sz w:val="20"/>
          <w:szCs w:val="20"/>
        </w:rPr>
        <w:t>Thalassery</w:t>
      </w:r>
      <w:proofErr w:type="spellEnd"/>
      <w:r w:rsidRPr="00AC3B91">
        <w:rPr>
          <w:rFonts w:ascii="Arial" w:hAnsi="Arial" w:cs="Arial"/>
          <w:sz w:val="20"/>
          <w:szCs w:val="20"/>
        </w:rPr>
        <w:t xml:space="preserve">, </w:t>
      </w:r>
      <w:proofErr w:type="spellStart"/>
      <w:r w:rsidRPr="00AC3B91">
        <w:rPr>
          <w:rFonts w:ascii="Arial" w:hAnsi="Arial" w:cs="Arial"/>
          <w:sz w:val="20"/>
          <w:szCs w:val="20"/>
        </w:rPr>
        <w:t>Taliparamba</w:t>
      </w:r>
      <w:proofErr w:type="spellEnd"/>
      <w:r w:rsidRPr="00AC3B91">
        <w:rPr>
          <w:rFonts w:ascii="Arial" w:hAnsi="Arial" w:cs="Arial"/>
          <w:sz w:val="20"/>
          <w:szCs w:val="20"/>
        </w:rPr>
        <w:t xml:space="preserve">, and </w:t>
      </w:r>
      <w:proofErr w:type="spellStart"/>
      <w:r w:rsidRPr="00AC3B91">
        <w:rPr>
          <w:rFonts w:ascii="Arial" w:hAnsi="Arial" w:cs="Arial"/>
          <w:sz w:val="20"/>
          <w:szCs w:val="20"/>
        </w:rPr>
        <w:t>Iritty</w:t>
      </w:r>
      <w:proofErr w:type="spellEnd"/>
      <w:r w:rsidRPr="00AC3B91">
        <w:rPr>
          <w:rFonts w:ascii="Arial" w:hAnsi="Arial" w:cs="Arial"/>
          <w:sz w:val="20"/>
          <w:szCs w:val="20"/>
        </w:rPr>
        <w:t xml:space="preserve"> (Kannur); </w:t>
      </w:r>
      <w:proofErr w:type="spellStart"/>
      <w:r w:rsidRPr="00AC3B91">
        <w:rPr>
          <w:rFonts w:ascii="Arial" w:hAnsi="Arial" w:cs="Arial"/>
          <w:sz w:val="20"/>
          <w:szCs w:val="20"/>
        </w:rPr>
        <w:t>Paravur</w:t>
      </w:r>
      <w:proofErr w:type="spellEnd"/>
      <w:r w:rsidRPr="00AC3B91">
        <w:rPr>
          <w:rFonts w:ascii="Arial" w:hAnsi="Arial" w:cs="Arial"/>
          <w:sz w:val="20"/>
          <w:szCs w:val="20"/>
        </w:rPr>
        <w:t xml:space="preserve">, </w:t>
      </w:r>
      <w:proofErr w:type="spellStart"/>
      <w:r w:rsidRPr="00AC3B91">
        <w:rPr>
          <w:rFonts w:ascii="Arial" w:hAnsi="Arial" w:cs="Arial"/>
          <w:sz w:val="20"/>
          <w:szCs w:val="20"/>
        </w:rPr>
        <w:t>Kunnathunad</w:t>
      </w:r>
      <w:proofErr w:type="spellEnd"/>
      <w:r w:rsidRPr="00AC3B91">
        <w:rPr>
          <w:rFonts w:ascii="Arial" w:hAnsi="Arial" w:cs="Arial"/>
          <w:sz w:val="20"/>
          <w:szCs w:val="20"/>
        </w:rPr>
        <w:t xml:space="preserve">, and </w:t>
      </w:r>
      <w:proofErr w:type="spellStart"/>
      <w:r w:rsidRPr="00AC3B91">
        <w:rPr>
          <w:rFonts w:ascii="Arial" w:hAnsi="Arial" w:cs="Arial"/>
          <w:sz w:val="20"/>
          <w:szCs w:val="20"/>
        </w:rPr>
        <w:t>Muvattupuzha</w:t>
      </w:r>
      <w:proofErr w:type="spellEnd"/>
      <w:r w:rsidRPr="00AC3B91">
        <w:rPr>
          <w:rFonts w:ascii="Arial" w:hAnsi="Arial" w:cs="Arial"/>
          <w:sz w:val="20"/>
          <w:szCs w:val="20"/>
        </w:rPr>
        <w:t xml:space="preserve"> (Ernakulam); and </w:t>
      </w:r>
      <w:proofErr w:type="spellStart"/>
      <w:r w:rsidRPr="00AC3B91">
        <w:rPr>
          <w:rFonts w:ascii="Arial" w:hAnsi="Arial" w:cs="Arial"/>
          <w:sz w:val="20"/>
          <w:szCs w:val="20"/>
        </w:rPr>
        <w:t>Chirayinkeezhu</w:t>
      </w:r>
      <w:proofErr w:type="spellEnd"/>
      <w:r w:rsidRPr="00AC3B91">
        <w:rPr>
          <w:rFonts w:ascii="Arial" w:hAnsi="Arial" w:cs="Arial"/>
          <w:sz w:val="20"/>
          <w:szCs w:val="20"/>
        </w:rPr>
        <w:t xml:space="preserve">, </w:t>
      </w:r>
      <w:proofErr w:type="spellStart"/>
      <w:r w:rsidRPr="00AC3B91">
        <w:rPr>
          <w:rFonts w:ascii="Arial" w:hAnsi="Arial" w:cs="Arial"/>
          <w:sz w:val="20"/>
          <w:szCs w:val="20"/>
        </w:rPr>
        <w:t>Varkala</w:t>
      </w:r>
      <w:proofErr w:type="spellEnd"/>
      <w:r w:rsidRPr="00AC3B91">
        <w:rPr>
          <w:rFonts w:ascii="Arial" w:hAnsi="Arial" w:cs="Arial"/>
          <w:sz w:val="20"/>
          <w:szCs w:val="20"/>
        </w:rPr>
        <w:t xml:space="preserve">, and </w:t>
      </w:r>
      <w:proofErr w:type="spellStart"/>
      <w:r w:rsidRPr="00AC3B91">
        <w:rPr>
          <w:rFonts w:ascii="Arial" w:hAnsi="Arial" w:cs="Arial"/>
          <w:sz w:val="20"/>
          <w:szCs w:val="20"/>
        </w:rPr>
        <w:t>Kattakada</w:t>
      </w:r>
      <w:proofErr w:type="spellEnd"/>
      <w:r w:rsidRPr="00AC3B91">
        <w:rPr>
          <w:rFonts w:ascii="Arial" w:hAnsi="Arial" w:cs="Arial"/>
          <w:sz w:val="20"/>
          <w:szCs w:val="20"/>
        </w:rPr>
        <w:t xml:space="preserve"> (Thiruvananthapuram). The study population comprised women aged 18 years and above who were actively engaged in platform-based work, including ride-hailing, delivery services, freelancing, and home-based digital tasks. A total of 300 respondents were </w:t>
      </w:r>
      <w:r w:rsidRPr="00AC3B91">
        <w:rPr>
          <w:rFonts w:ascii="Arial" w:hAnsi="Arial" w:cs="Arial"/>
          <w:sz w:val="20"/>
          <w:szCs w:val="20"/>
        </w:rPr>
        <w:lastRenderedPageBreak/>
        <w:t>surveyed to ensure adequate statistical power and to capture occupational heterogeneity across regions. Participants were identified through snowball sampling and platform-mediated networks, including local digital groups and worker associations. Data were collected between September and December 2025 using a structured questionnaire administered through face-to-face interviews and online surveys. The instrument was developed based on an extensive review of existing literature and subsequently pilot-tested with 35 respondents. Insights from the pilot survey were incorporated to improve clarity, reliability, and contextual relevance, thereby enhancing the validity of the empirical analysis</w:t>
      </w:r>
      <w:r w:rsidR="00A13C84" w:rsidRPr="00CD792B">
        <w:rPr>
          <w:rFonts w:ascii="Arial" w:hAnsi="Arial" w:cs="Arial"/>
          <w:color w:val="000000" w:themeColor="text1"/>
          <w:sz w:val="20"/>
          <w:szCs w:val="20"/>
        </w:rPr>
        <w:t>.</w:t>
      </w:r>
    </w:p>
    <w:p w14:paraId="144E1B3D" w14:textId="677742A9" w:rsidR="009E7CF5" w:rsidRDefault="00A020D7" w:rsidP="009E7CF5">
      <w:pPr>
        <w:spacing w:before="240" w:after="0" w:line="360" w:lineRule="auto"/>
        <w:jc w:val="both"/>
        <w:rPr>
          <w:rFonts w:ascii="Arial" w:hAnsi="Arial" w:cs="Arial"/>
          <w:b/>
          <w:bCs/>
        </w:rPr>
      </w:pPr>
      <w:r>
        <w:rPr>
          <w:rFonts w:ascii="Arial" w:hAnsi="Arial" w:cs="Arial"/>
          <w:b/>
          <w:bCs/>
        </w:rPr>
        <w:t>4</w:t>
      </w:r>
      <w:r w:rsidR="009E7CF5" w:rsidRPr="0059717B">
        <w:rPr>
          <w:rFonts w:ascii="Arial" w:hAnsi="Arial" w:cs="Arial"/>
          <w:b/>
          <w:bCs/>
        </w:rPr>
        <w:t>.2 Method</w:t>
      </w:r>
    </w:p>
    <w:p w14:paraId="476BEA8A" w14:textId="77777777" w:rsidR="00A020D7" w:rsidRPr="00AC3B91" w:rsidRDefault="00A020D7" w:rsidP="00A020D7">
      <w:pPr>
        <w:spacing w:before="240" w:line="360" w:lineRule="auto"/>
        <w:jc w:val="both"/>
        <w:rPr>
          <w:rFonts w:ascii="Arial" w:hAnsi="Arial" w:cs="Arial"/>
          <w:sz w:val="20"/>
          <w:szCs w:val="20"/>
        </w:rPr>
      </w:pPr>
      <w:r w:rsidRPr="00AC3B91">
        <w:rPr>
          <w:rFonts w:ascii="Arial" w:hAnsi="Arial" w:cs="Arial"/>
          <w:sz w:val="20"/>
          <w:szCs w:val="20"/>
        </w:rPr>
        <w:t xml:space="preserve">Let </w:t>
      </w:r>
      <m:oMath>
        <m:r>
          <w:rPr>
            <w:rFonts w:ascii="Cambria Math" w:hAnsi="Cambria Math" w:cs="Arial"/>
            <w:sz w:val="20"/>
            <w:szCs w:val="20"/>
          </w:rPr>
          <m:t xml:space="preserve">Y=1 </m:t>
        </m:r>
      </m:oMath>
      <w:r w:rsidRPr="00AC3B91">
        <w:rPr>
          <w:rFonts w:ascii="Arial" w:hAnsi="Arial" w:cs="Arial"/>
          <w:sz w:val="20"/>
          <w:szCs w:val="20"/>
        </w:rPr>
        <w:t xml:space="preserve">if Monthly Family Income is below ₹25,000, </w:t>
      </w:r>
      <m:oMath>
        <m:r>
          <w:rPr>
            <w:rFonts w:ascii="Cambria Math" w:hAnsi="Cambria Math" w:cs="Arial"/>
            <w:sz w:val="20"/>
            <w:szCs w:val="20"/>
          </w:rPr>
          <m:t xml:space="preserve">Y=0 </m:t>
        </m:r>
      </m:oMath>
      <w:r w:rsidRPr="00AC3B91">
        <w:rPr>
          <w:rFonts w:ascii="Arial" w:hAnsi="Arial" w:cs="Arial"/>
          <w:sz w:val="20"/>
          <w:szCs w:val="20"/>
        </w:rPr>
        <w:t>if Monthly Family Income is above ₹25,000. The logistic regression model estimates the log-odds of income vulnerability as a linear function of the explanatory variables:</w:t>
      </w:r>
    </w:p>
    <w:p w14:paraId="1211816F" w14:textId="77777777" w:rsidR="00A020D7" w:rsidRPr="00AC3B91" w:rsidRDefault="00B45634" w:rsidP="00A020D7">
      <w:pPr>
        <w:spacing w:line="360" w:lineRule="auto"/>
        <w:jc w:val="both"/>
        <w:rPr>
          <w:rFonts w:ascii="Arial" w:hAnsi="Arial" w:cs="Arial"/>
          <w:sz w:val="20"/>
          <w:szCs w:val="20"/>
        </w:rPr>
      </w:pPr>
      <m:oMathPara>
        <m:oMath>
          <m:func>
            <m:funcPr>
              <m:ctrlPr>
                <w:rPr>
                  <w:rFonts w:ascii="Cambria Math" w:hAnsi="Cambria Math" w:cs="Arial"/>
                  <w:i/>
                  <w:sz w:val="20"/>
                  <w:szCs w:val="20"/>
                </w:rPr>
              </m:ctrlPr>
            </m:funcPr>
            <m:fName>
              <m:r>
                <m:rPr>
                  <m:sty m:val="p"/>
                </m:rPr>
                <w:rPr>
                  <w:rFonts w:ascii="Cambria Math" w:hAnsi="Cambria Math" w:cs="Arial"/>
                  <w:sz w:val="20"/>
                  <w:szCs w:val="20"/>
                </w:rPr>
                <m:t>ln</m:t>
              </m:r>
            </m:fName>
            <m:e>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P</m:t>
                      </m:r>
                      <m:d>
                        <m:dPr>
                          <m:ctrlPr>
                            <w:rPr>
                              <w:rFonts w:ascii="Cambria Math" w:hAnsi="Cambria Math" w:cs="Arial"/>
                              <w:i/>
                              <w:sz w:val="20"/>
                              <w:szCs w:val="20"/>
                            </w:rPr>
                          </m:ctrlPr>
                        </m:dPr>
                        <m:e>
                          <m:r>
                            <w:rPr>
                              <w:rFonts w:ascii="Cambria Math" w:hAnsi="Cambria Math" w:cs="Arial"/>
                              <w:sz w:val="20"/>
                              <w:szCs w:val="20"/>
                            </w:rPr>
                            <m:t>Y</m:t>
                          </m:r>
                          <m:r>
                            <w:rPr>
                              <w:rFonts w:ascii="Cambria Math" w:hAnsi="Cambria Math" w:cs="Arial"/>
                              <w:sz w:val="20"/>
                              <w:szCs w:val="20"/>
                            </w:rPr>
                            <m:t>=1</m:t>
                          </m:r>
                        </m:e>
                      </m:d>
                    </m:num>
                    <m:den>
                      <m:r>
                        <w:rPr>
                          <w:rFonts w:ascii="Cambria Math" w:hAnsi="Cambria Math" w:cs="Arial"/>
                          <w:sz w:val="20"/>
                          <w:szCs w:val="20"/>
                        </w:rPr>
                        <m:t>1-</m:t>
                      </m:r>
                      <m:r>
                        <w:rPr>
                          <w:rFonts w:ascii="Cambria Math" w:hAnsi="Cambria Math" w:cs="Arial"/>
                          <w:sz w:val="20"/>
                          <w:szCs w:val="20"/>
                        </w:rPr>
                        <m:t>P</m:t>
                      </m:r>
                      <m:d>
                        <m:dPr>
                          <m:ctrlPr>
                            <w:rPr>
                              <w:rFonts w:ascii="Cambria Math" w:hAnsi="Cambria Math" w:cs="Arial"/>
                              <w:i/>
                              <w:sz w:val="20"/>
                              <w:szCs w:val="20"/>
                            </w:rPr>
                          </m:ctrlPr>
                        </m:dPr>
                        <m:e>
                          <m:r>
                            <w:rPr>
                              <w:rFonts w:ascii="Cambria Math" w:hAnsi="Cambria Math" w:cs="Arial"/>
                              <w:sz w:val="20"/>
                              <w:szCs w:val="20"/>
                            </w:rPr>
                            <m:t>Y</m:t>
                          </m:r>
                          <m:r>
                            <w:rPr>
                              <w:rFonts w:ascii="Cambria Math" w:hAnsi="Cambria Math" w:cs="Arial"/>
                              <w:sz w:val="20"/>
                              <w:szCs w:val="20"/>
                            </w:rPr>
                            <m:t>=1</m:t>
                          </m:r>
                        </m:e>
                      </m:d>
                    </m:den>
                  </m:f>
                </m:e>
              </m:d>
            </m:e>
          </m:func>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0</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1</m:t>
              </m:r>
            </m:sub>
          </m:sSub>
          <m:r>
            <m:rPr>
              <m:nor/>
            </m:rPr>
            <w:rPr>
              <w:rFonts w:ascii="Arial" w:hAnsi="Arial" w:cs="Arial"/>
              <w:sz w:val="20"/>
              <w:szCs w:val="20"/>
            </w:rPr>
            <m:t>Ca</m:t>
          </m:r>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2</m:t>
              </m:r>
            </m:sub>
          </m:sSub>
          <m:r>
            <m:rPr>
              <m:nor/>
            </m:rPr>
            <w:rPr>
              <w:rFonts w:ascii="Arial" w:hAnsi="Arial" w:cs="Arial"/>
              <w:sz w:val="20"/>
              <w:szCs w:val="20"/>
            </w:rPr>
            <m:t>R</m:t>
          </m:r>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3</m:t>
              </m:r>
            </m:sub>
          </m:sSub>
          <m:r>
            <m:rPr>
              <m:nor/>
            </m:rPr>
            <w:rPr>
              <w:rFonts w:ascii="Arial" w:hAnsi="Arial" w:cs="Arial"/>
              <w:sz w:val="20"/>
              <w:szCs w:val="20"/>
            </w:rPr>
            <m:t>RC</m:t>
          </m:r>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4</m:t>
              </m:r>
            </m:sub>
          </m:sSub>
          <m:r>
            <w:rPr>
              <w:rFonts w:ascii="Cambria Math" w:hAnsi="Cambria Math" w:cs="Arial"/>
              <w:sz w:val="20"/>
              <w:szCs w:val="20"/>
            </w:rPr>
            <m:t>(</m:t>
          </m:r>
          <m:r>
            <m:rPr>
              <m:nor/>
            </m:rPr>
            <w:rPr>
              <w:rFonts w:ascii="Arial" w:hAnsi="Arial" w:cs="Arial"/>
              <w:sz w:val="20"/>
              <w:szCs w:val="20"/>
            </w:rPr>
            <m:t>Age Group</m:t>
          </m:r>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5</m:t>
              </m:r>
            </m:sub>
          </m:sSub>
          <m:r>
            <w:rPr>
              <w:rFonts w:ascii="Cambria Math" w:hAnsi="Cambria Math" w:cs="Arial"/>
              <w:sz w:val="20"/>
              <w:szCs w:val="20"/>
            </w:rPr>
            <m:t>(</m:t>
          </m:r>
          <m:r>
            <m:rPr>
              <m:nor/>
            </m:rPr>
            <w:rPr>
              <w:rFonts w:ascii="Arial" w:hAnsi="Arial" w:cs="Arial"/>
              <w:sz w:val="20"/>
              <w:szCs w:val="20"/>
            </w:rPr>
            <m:t>Education</m:t>
          </m:r>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6</m:t>
              </m:r>
            </m:sub>
          </m:sSub>
          <m:r>
            <w:rPr>
              <w:rFonts w:ascii="Cambria Math" w:hAnsi="Cambria Math" w:cs="Arial"/>
              <w:sz w:val="20"/>
              <w:szCs w:val="20"/>
            </w:rPr>
            <m:t>(</m:t>
          </m:r>
          <m:r>
            <m:rPr>
              <m:nor/>
            </m:rPr>
            <w:rPr>
              <w:rFonts w:ascii="Arial" w:hAnsi="Arial" w:cs="Arial"/>
              <w:sz w:val="20"/>
              <w:szCs w:val="20"/>
            </w:rPr>
            <m:t>Marital Status</m:t>
          </m:r>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7</m:t>
              </m:r>
            </m:sub>
          </m:sSub>
          <m:r>
            <w:rPr>
              <w:rFonts w:ascii="Cambria Math" w:hAnsi="Cambria Math" w:cs="Arial"/>
              <w:sz w:val="20"/>
              <w:szCs w:val="20"/>
            </w:rPr>
            <m:t>(</m:t>
          </m:r>
          <m:r>
            <m:rPr>
              <m:nor/>
            </m:rPr>
            <w:rPr>
              <w:rFonts w:ascii="Arial" w:hAnsi="Arial" w:cs="Arial"/>
              <w:sz w:val="20"/>
              <w:szCs w:val="20"/>
            </w:rPr>
            <m:t>Children</m:t>
          </m:r>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8</m:t>
              </m:r>
            </m:sub>
          </m:sSub>
          <m:r>
            <w:rPr>
              <w:rFonts w:ascii="Cambria Math" w:hAnsi="Cambria Math" w:cs="Arial"/>
              <w:sz w:val="20"/>
              <w:szCs w:val="20"/>
            </w:rPr>
            <m:t>(</m:t>
          </m:r>
          <m:r>
            <m:rPr>
              <m:nor/>
            </m:rPr>
            <w:rPr>
              <w:rFonts w:ascii="Arial" w:hAnsi="Arial" w:cs="Arial"/>
              <w:sz w:val="20"/>
              <w:szCs w:val="20"/>
            </w:rPr>
            <m:t>Residence</m:t>
          </m:r>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9</m:t>
              </m:r>
            </m:sub>
          </m:sSub>
          <m:r>
            <w:rPr>
              <w:rFonts w:ascii="Cambria Math" w:hAnsi="Cambria Math" w:cs="Arial"/>
              <w:sz w:val="20"/>
              <w:szCs w:val="20"/>
            </w:rPr>
            <m:t>(</m:t>
          </m:r>
          <m:r>
            <m:rPr>
              <m:nor/>
            </m:rPr>
            <w:rPr>
              <w:rFonts w:ascii="Arial" w:hAnsi="Arial" w:cs="Arial"/>
              <w:sz w:val="20"/>
              <w:szCs w:val="20"/>
            </w:rPr>
            <m:t>Household Size</m:t>
          </m:r>
          <m:r>
            <w:rPr>
              <w:rFonts w:ascii="Cambria Math" w:hAnsi="Cambria Math" w:cs="Arial"/>
              <w:sz w:val="20"/>
              <w:szCs w:val="20"/>
            </w:rPr>
            <m:t>)+</m:t>
          </m:r>
          <m:r>
            <w:rPr>
              <w:rFonts w:ascii="Cambria Math" w:hAnsi="Cambria Math" w:cs="Arial"/>
              <w:sz w:val="20"/>
              <w:szCs w:val="20"/>
            </w:rPr>
            <m:t>εi</m:t>
          </m:r>
          <m:r>
            <w:rPr>
              <w:rFonts w:ascii="Cambria Math" w:hAnsi="Cambria Math" w:cs="Arial"/>
              <w:sz w:val="20"/>
              <w:szCs w:val="20"/>
            </w:rPr>
            <m:t xml:space="preserve"> </m:t>
          </m:r>
        </m:oMath>
      </m:oMathPara>
    </w:p>
    <w:p w14:paraId="1CB9B2AD" w14:textId="31AE4DDD" w:rsidR="008A78FA" w:rsidRPr="00CD792B" w:rsidRDefault="00A020D7" w:rsidP="00A020D7">
      <w:pPr>
        <w:spacing w:before="240" w:after="0" w:line="360" w:lineRule="auto"/>
        <w:jc w:val="both"/>
        <w:rPr>
          <w:rFonts w:ascii="Arial" w:hAnsi="Arial" w:cs="Arial"/>
          <w:sz w:val="20"/>
          <w:szCs w:val="20"/>
        </w:rPr>
      </w:pPr>
      <w:r w:rsidRPr="00AC3B91">
        <w:rPr>
          <w:rFonts w:ascii="Arial" w:hAnsi="Arial" w:cs="Arial"/>
          <w:sz w:val="20"/>
          <w:szCs w:val="20"/>
        </w:rPr>
        <w:t>The dependent variable in this study is monthly household income, employed as a measure of income vulnerability among women participating in Kerala’s gig economy. It is coded as 1 for households earning below ₹25,000 per month and 0 for those earning above ₹25,000. This dichotomous specification facilitates the application of a logistic regression model to estimate the probability of belonging to the lower-income category. The independent variables comprise a range of socio-economic and demographic characteristics of the respondents and their households. Caste is coded as 1 for Scheduled Caste (SC) and 0 for Other Backward Classes (OBC), thereby capturing structural social disadvantage. Religion is represented as a binary variable, with Muslim coded as 1 and Hindu coded as 0, reflecting potential socio-cultural influences on labour market participation. Ration card status is coded as 1 for Above Poverty Line (APL) and 0 for Below Poverty Line (BPL), serving as an indicator of officially recognized economic status and access to welfare benefits. Age group is coded as 1 for women below 25 years and 0 for those aged 25 years and above, accounting for differences in work experience and income stability. Educational attainment is coded as 1 for below SSLC and 0 for above SSLC, representing variations in human capital. Marital status and presence of children are coded as married (1) versus single (0) and yes (1) versus no (0), respectively, capturing household responsibilities and care burdens. Place of residence is coded as urban (1) and rural (0), indicating spatial differences in access to gig employment opportunities. Household size is coded as 1 for fewer than five members and 0 for five or more members, reflecting dependency ratios and income-sharing dynamics. The disturbance term (eᵢ) represents the combined effect of unobserved determinants and potential inaccuracies in variable measurement that are not explicitly incorporated into the model specification.</w:t>
      </w:r>
    </w:p>
    <w:p w14:paraId="08EDFEB7" w14:textId="4BBEFCFA" w:rsidR="005536A2" w:rsidRPr="0059717B" w:rsidRDefault="003774F5" w:rsidP="005536A2">
      <w:pPr>
        <w:spacing w:before="240" w:after="0" w:line="360" w:lineRule="auto"/>
        <w:jc w:val="both"/>
        <w:rPr>
          <w:rFonts w:ascii="Arial" w:hAnsi="Arial" w:cs="Arial"/>
          <w:b/>
          <w:bCs/>
        </w:rPr>
      </w:pPr>
      <w:r>
        <w:rPr>
          <w:rFonts w:ascii="Arial" w:hAnsi="Arial" w:cs="Arial"/>
          <w:b/>
          <w:bCs/>
        </w:rPr>
        <w:lastRenderedPageBreak/>
        <w:t>5</w:t>
      </w:r>
      <w:r w:rsidR="0059717B" w:rsidRPr="0059717B">
        <w:rPr>
          <w:rFonts w:ascii="Arial" w:hAnsi="Arial" w:cs="Arial"/>
          <w:b/>
          <w:bCs/>
        </w:rPr>
        <w:t xml:space="preserve"> RESULTS AND DISCUSSION</w:t>
      </w:r>
    </w:p>
    <w:p w14:paraId="18F693D5" w14:textId="77777777" w:rsidR="003774F5" w:rsidRDefault="003774F5" w:rsidP="003774F5">
      <w:pPr>
        <w:spacing w:before="240" w:line="360" w:lineRule="auto"/>
        <w:jc w:val="both"/>
        <w:rPr>
          <w:rFonts w:ascii="Arial" w:hAnsi="Arial" w:cs="Arial"/>
          <w:sz w:val="20"/>
          <w:szCs w:val="20"/>
        </w:rPr>
      </w:pPr>
      <w:r w:rsidRPr="00AC3B91">
        <w:rPr>
          <w:rFonts w:ascii="Arial" w:hAnsi="Arial" w:cs="Arial"/>
          <w:sz w:val="20"/>
          <w:szCs w:val="20"/>
        </w:rPr>
        <w:t>Figure 1 presents the distribution of female gig workers across different types of platform-based and independent gigs. The data reveal a clear variation in occupational preferences, reflecting differences in skill requirements, flexibility, entry barriers, and market demand. Online teaching emerges as the most preferred gig, accounting for 26.0 per cent of the respondents (78 out of 300). This indicates a strong inclination toward knowledge-based and home-based professional services. The prominence of online teaching suggests that women are leveraging educational qualifications and digital platforms to access income opportunities that offer flexibility and relatively stable earnings. The growth of virtual learning environments and edtech platforms has likely facilitated this trend by lowering geographical constraints.</w:t>
      </w:r>
    </w:p>
    <w:p w14:paraId="205DDF87" w14:textId="77777777" w:rsidR="00331F1D" w:rsidRDefault="00331F1D" w:rsidP="003774F5">
      <w:pPr>
        <w:spacing w:before="240" w:line="360" w:lineRule="auto"/>
        <w:jc w:val="both"/>
        <w:rPr>
          <w:rFonts w:ascii="Arial" w:hAnsi="Arial" w:cs="Arial"/>
          <w:sz w:val="20"/>
          <w:szCs w:val="20"/>
        </w:rPr>
      </w:pPr>
    </w:p>
    <w:p w14:paraId="7326BCF3" w14:textId="77777777" w:rsidR="00331F1D" w:rsidRDefault="00331F1D" w:rsidP="003774F5">
      <w:pPr>
        <w:spacing w:before="240" w:line="360" w:lineRule="auto"/>
        <w:jc w:val="both"/>
        <w:rPr>
          <w:rFonts w:ascii="Arial" w:hAnsi="Arial" w:cs="Arial"/>
          <w:sz w:val="20"/>
          <w:szCs w:val="20"/>
        </w:rPr>
      </w:pPr>
    </w:p>
    <w:p w14:paraId="161BB46B" w14:textId="77777777" w:rsidR="00331F1D" w:rsidRDefault="00331F1D" w:rsidP="003774F5">
      <w:pPr>
        <w:spacing w:before="240" w:line="360" w:lineRule="auto"/>
        <w:jc w:val="both"/>
        <w:rPr>
          <w:rFonts w:ascii="Arial" w:hAnsi="Arial" w:cs="Arial"/>
          <w:sz w:val="20"/>
          <w:szCs w:val="20"/>
        </w:rPr>
      </w:pPr>
    </w:p>
    <w:p w14:paraId="56920B6C" w14:textId="77777777" w:rsidR="00331F1D" w:rsidRDefault="00331F1D" w:rsidP="003774F5">
      <w:pPr>
        <w:spacing w:before="240" w:line="360" w:lineRule="auto"/>
        <w:jc w:val="both"/>
        <w:rPr>
          <w:rFonts w:ascii="Arial" w:hAnsi="Arial" w:cs="Arial"/>
          <w:sz w:val="20"/>
          <w:szCs w:val="20"/>
        </w:rPr>
      </w:pPr>
    </w:p>
    <w:p w14:paraId="4528A226" w14:textId="77777777" w:rsidR="00331F1D" w:rsidRPr="00AC3B91" w:rsidRDefault="00331F1D" w:rsidP="003774F5">
      <w:pPr>
        <w:spacing w:before="240" w:line="360" w:lineRule="auto"/>
        <w:jc w:val="both"/>
        <w:rPr>
          <w:rFonts w:ascii="Arial" w:hAnsi="Arial" w:cs="Arial"/>
          <w:sz w:val="20"/>
          <w:szCs w:val="20"/>
        </w:rPr>
      </w:pPr>
    </w:p>
    <w:p w14:paraId="46921211" w14:textId="77777777" w:rsidR="003774F5" w:rsidRPr="00AC3B91" w:rsidRDefault="003774F5" w:rsidP="003774F5">
      <w:pPr>
        <w:autoSpaceDE w:val="0"/>
        <w:autoSpaceDN w:val="0"/>
        <w:adjustRightInd w:val="0"/>
        <w:spacing w:after="0" w:line="360" w:lineRule="auto"/>
        <w:jc w:val="center"/>
        <w:rPr>
          <w:rFonts w:ascii="Arial" w:hAnsi="Arial" w:cs="Arial"/>
          <w:b/>
          <w:bCs/>
          <w:sz w:val="20"/>
          <w:szCs w:val="20"/>
        </w:rPr>
      </w:pPr>
      <w:r w:rsidRPr="00AC3B91">
        <w:rPr>
          <w:rFonts w:ascii="Arial" w:hAnsi="Arial" w:cs="Arial"/>
          <w:b/>
          <w:bCs/>
          <w:sz w:val="20"/>
          <w:szCs w:val="20"/>
        </w:rPr>
        <w:t>Figure 1: Types of Gigs Chosen by Female Gig Workers</w:t>
      </w:r>
    </w:p>
    <w:p w14:paraId="6CCBFF26" w14:textId="77777777" w:rsidR="003774F5" w:rsidRPr="00AC3B91" w:rsidRDefault="003774F5" w:rsidP="003774F5">
      <w:pPr>
        <w:jc w:val="center"/>
        <w:rPr>
          <w:rFonts w:ascii="Arial" w:hAnsi="Arial" w:cs="Arial"/>
          <w:sz w:val="20"/>
          <w:szCs w:val="20"/>
        </w:rPr>
      </w:pPr>
      <w:r w:rsidRPr="00AC3B91">
        <w:rPr>
          <w:rFonts w:ascii="Arial" w:hAnsi="Arial" w:cs="Arial"/>
          <w:noProof/>
          <w:sz w:val="20"/>
          <w:szCs w:val="20"/>
        </w:rPr>
        <w:drawing>
          <wp:inline distT="0" distB="0" distL="0" distR="0" wp14:anchorId="1DCECEA7" wp14:editId="21DAA38D">
            <wp:extent cx="5016500" cy="2794000"/>
            <wp:effectExtent l="0" t="0" r="12700" b="6350"/>
            <wp:docPr id="1577935037" name="Chart 1">
              <a:extLst xmlns:a="http://schemas.openxmlformats.org/drawingml/2006/main">
                <a:ext uri="{FF2B5EF4-FFF2-40B4-BE49-F238E27FC236}">
                  <a16:creationId xmlns:a16="http://schemas.microsoft.com/office/drawing/2014/main" id="{4AB93510-53FA-03A8-D5E2-5FF186EAB3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9084100" w14:textId="77777777" w:rsidR="003774F5" w:rsidRPr="00AC3B91" w:rsidRDefault="003774F5" w:rsidP="003774F5">
      <w:pPr>
        <w:spacing w:after="0"/>
        <w:jc w:val="both"/>
        <w:rPr>
          <w:rFonts w:ascii="Arial" w:hAnsi="Arial" w:cs="Arial"/>
          <w:sz w:val="20"/>
          <w:szCs w:val="20"/>
        </w:rPr>
      </w:pPr>
      <w:r w:rsidRPr="00AC3B91">
        <w:rPr>
          <w:rFonts w:ascii="Arial" w:hAnsi="Arial" w:cs="Arial"/>
          <w:sz w:val="20"/>
          <w:szCs w:val="20"/>
        </w:rPr>
        <w:t xml:space="preserve">         Source: Survey Data</w:t>
      </w:r>
    </w:p>
    <w:p w14:paraId="2171FFB0" w14:textId="5AC7C056" w:rsidR="008A78FA" w:rsidRPr="003774F5" w:rsidRDefault="003774F5" w:rsidP="008A78FA">
      <w:pPr>
        <w:spacing w:line="360" w:lineRule="auto"/>
        <w:jc w:val="both"/>
        <w:rPr>
          <w:rFonts w:ascii="Arial" w:hAnsi="Arial" w:cs="Arial"/>
          <w:sz w:val="20"/>
          <w:szCs w:val="20"/>
        </w:rPr>
      </w:pPr>
      <w:r w:rsidRPr="00AC3B91">
        <w:rPr>
          <w:rFonts w:ascii="Arial" w:hAnsi="Arial" w:cs="Arial"/>
          <w:sz w:val="20"/>
          <w:szCs w:val="20"/>
        </w:rPr>
        <w:t xml:space="preserve">Content creation (15.3%) and video editing (14.0%) together account for a substantial share of women’s participation in the gig economy, indicating growing involvement in digitally mediated creative sectors. These activities require technical skills, digital literacy, and access to specialized tools, reflecting a shift toward more technology-driven and skill-intensive forms of work. Graphic design (9.3%) further demonstrates engagement in specialized digital services that combine creative and technical expertise. At the same time, traditional and home-based activities remain prominent. Tailoring (13.0%), home </w:t>
      </w:r>
      <w:r w:rsidRPr="00AC3B91">
        <w:rPr>
          <w:rFonts w:ascii="Arial" w:hAnsi="Arial" w:cs="Arial"/>
          <w:sz w:val="20"/>
          <w:szCs w:val="20"/>
        </w:rPr>
        <w:lastRenderedPageBreak/>
        <w:t>baking (11.0%), and beauty and wellness services (11.3%) represent significant segments, suggesting continued reliance on gendered skills that typically involve lower capital requirements and flexible work schedules. Such options are particularly compatible with domestic responsibilities. Overall, the distribution reveals a dual pattern: while many women are entering knowledge-based, platform-enabled occupations, a considerable proportion remains concentrated in conventional, feminized forms of gig work, underscoring both emerging opportunities and enduring socio-cultural constraints</w:t>
      </w:r>
      <w:r w:rsidR="008A78FA" w:rsidRPr="00CD792B">
        <w:rPr>
          <w:rFonts w:ascii="Arial" w:hAnsi="Arial" w:cs="Arial"/>
          <w:color w:val="000000" w:themeColor="text1"/>
          <w:sz w:val="20"/>
          <w:szCs w:val="20"/>
        </w:rPr>
        <w:t>.</w:t>
      </w:r>
    </w:p>
    <w:p w14:paraId="3F045852" w14:textId="78135FA7" w:rsidR="008A78FA" w:rsidRDefault="003774F5" w:rsidP="008A78FA">
      <w:pPr>
        <w:spacing w:line="360" w:lineRule="auto"/>
        <w:jc w:val="both"/>
        <w:rPr>
          <w:rFonts w:ascii="Arial" w:hAnsi="Arial" w:cs="Arial"/>
          <w:b/>
          <w:bCs/>
          <w:color w:val="000000" w:themeColor="text1"/>
        </w:rPr>
      </w:pPr>
      <w:r>
        <w:rPr>
          <w:rFonts w:ascii="Arial" w:hAnsi="Arial" w:cs="Arial"/>
          <w:b/>
          <w:bCs/>
          <w:color w:val="000000" w:themeColor="text1"/>
        </w:rPr>
        <w:t>5</w:t>
      </w:r>
      <w:r w:rsidR="008A78FA" w:rsidRPr="008A78FA">
        <w:rPr>
          <w:rFonts w:ascii="Arial" w:hAnsi="Arial" w:cs="Arial"/>
          <w:b/>
          <w:bCs/>
          <w:color w:val="000000" w:themeColor="text1"/>
        </w:rPr>
        <w:t xml:space="preserve">.1 </w:t>
      </w:r>
      <w:r w:rsidRPr="003774F5">
        <w:rPr>
          <w:rFonts w:ascii="Arial" w:hAnsi="Arial" w:cs="Arial"/>
          <w:b/>
          <w:bCs/>
        </w:rPr>
        <w:t>Socioeconomic Characteristics of the Surveyed Women Gig Workers</w:t>
      </w:r>
    </w:p>
    <w:p w14:paraId="6B4D7C69" w14:textId="77777777" w:rsidR="003774F5" w:rsidRPr="00AC3B91" w:rsidRDefault="003774F5" w:rsidP="003774F5">
      <w:pPr>
        <w:spacing w:line="360" w:lineRule="auto"/>
        <w:jc w:val="both"/>
        <w:rPr>
          <w:rFonts w:ascii="Arial" w:hAnsi="Arial" w:cs="Arial"/>
          <w:sz w:val="20"/>
          <w:szCs w:val="20"/>
        </w:rPr>
      </w:pPr>
      <w:r w:rsidRPr="00AC3B91">
        <w:rPr>
          <w:rFonts w:ascii="Arial" w:hAnsi="Arial" w:cs="Arial"/>
          <w:sz w:val="20"/>
          <w:szCs w:val="20"/>
        </w:rPr>
        <w:t>Table 1 presents the socio-economic characteristics of the respondents, classified by religion, caste, marital status, economic status, education, and age group. The religious composition of the sample indicates that a majority of respondents belong to the Muslim community (197 respondents; 65.7%), while 103 respondents (34.3%) are Hindus. This reflects the predominance of Muslim respondents in the study sample. With respect to caste distribution, 219 respondents (73.0%) belong to the Other Backward Classes (OBC), whereas 81 respondents (27.0%) are from Scheduled Castes (SC). The data thus indicate a substantial representation of OBC respondents in the sample. In terms of marital status, a significant proportion of respondents are married (214; 71.3%), while 86 respondents (28.7%) are single. This suggests that most participants have marital and household responsibilities, which may influence their labour market engagement. Regarding economic status, 168 respondents (56.0%) fall under the Above Poverty Line (APL) category, while 132 respondents (44.0%) belong to the Below Poverty Line (BPL) category. Although APL respondents constitute a slight majority, a considerable share of the sample comprises individuals from economically vulnerable backgrounds.</w:t>
      </w:r>
    </w:p>
    <w:p w14:paraId="16AAC760" w14:textId="77777777" w:rsidR="003774F5" w:rsidRPr="00AC3B91" w:rsidRDefault="003774F5" w:rsidP="003774F5">
      <w:pPr>
        <w:autoSpaceDE w:val="0"/>
        <w:autoSpaceDN w:val="0"/>
        <w:adjustRightInd w:val="0"/>
        <w:spacing w:after="0" w:line="360" w:lineRule="auto"/>
        <w:jc w:val="center"/>
        <w:rPr>
          <w:rFonts w:ascii="Arial" w:hAnsi="Arial" w:cs="Arial"/>
          <w:b/>
          <w:bCs/>
          <w:sz w:val="20"/>
          <w:szCs w:val="20"/>
        </w:rPr>
      </w:pPr>
      <w:r w:rsidRPr="00AC3B91">
        <w:rPr>
          <w:rFonts w:ascii="Arial" w:hAnsi="Arial" w:cs="Arial"/>
          <w:b/>
          <w:bCs/>
          <w:sz w:val="20"/>
          <w:szCs w:val="20"/>
        </w:rPr>
        <w:t>Table 1: Socio-economic Profile of the Respondents</w:t>
      </w:r>
    </w:p>
    <w:tbl>
      <w:tblPr>
        <w:tblStyle w:val="TableGrid"/>
        <w:tblW w:w="9493"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992"/>
        <w:gridCol w:w="709"/>
        <w:gridCol w:w="709"/>
        <w:gridCol w:w="708"/>
        <w:gridCol w:w="851"/>
        <w:gridCol w:w="709"/>
        <w:gridCol w:w="708"/>
        <w:gridCol w:w="709"/>
        <w:gridCol w:w="851"/>
        <w:gridCol w:w="992"/>
        <w:gridCol w:w="846"/>
      </w:tblGrid>
      <w:tr w:rsidR="003774F5" w:rsidRPr="003774F5" w14:paraId="7DA3CC03" w14:textId="77777777" w:rsidTr="00C3738C">
        <w:trPr>
          <w:trHeight w:val="196"/>
          <w:jc w:val="center"/>
        </w:trPr>
        <w:tc>
          <w:tcPr>
            <w:tcW w:w="1701" w:type="dxa"/>
            <w:gridSpan w:val="2"/>
            <w:tcBorders>
              <w:top w:val="single" w:sz="4" w:space="0" w:color="auto"/>
              <w:bottom w:val="single" w:sz="4" w:space="0" w:color="auto"/>
            </w:tcBorders>
            <w:vAlign w:val="center"/>
          </w:tcPr>
          <w:p w14:paraId="30AF71D6" w14:textId="77777777" w:rsidR="003774F5" w:rsidRPr="003774F5" w:rsidRDefault="003774F5" w:rsidP="00C3738C">
            <w:pPr>
              <w:spacing w:line="360" w:lineRule="auto"/>
              <w:jc w:val="center"/>
              <w:rPr>
                <w:rFonts w:ascii="Arial" w:hAnsi="Arial" w:cs="Arial"/>
                <w:b/>
                <w:bCs/>
                <w:sz w:val="18"/>
                <w:szCs w:val="18"/>
              </w:rPr>
            </w:pPr>
            <w:r w:rsidRPr="003774F5">
              <w:rPr>
                <w:rFonts w:ascii="Arial" w:hAnsi="Arial" w:cs="Arial"/>
                <w:b/>
                <w:bCs/>
                <w:sz w:val="18"/>
                <w:szCs w:val="18"/>
              </w:rPr>
              <w:t>Religion</w:t>
            </w:r>
          </w:p>
        </w:tc>
        <w:tc>
          <w:tcPr>
            <w:tcW w:w="1418" w:type="dxa"/>
            <w:gridSpan w:val="2"/>
            <w:tcBorders>
              <w:top w:val="single" w:sz="4" w:space="0" w:color="auto"/>
              <w:bottom w:val="single" w:sz="4" w:space="0" w:color="auto"/>
            </w:tcBorders>
            <w:vAlign w:val="center"/>
          </w:tcPr>
          <w:p w14:paraId="55AEEEEA" w14:textId="77777777" w:rsidR="003774F5" w:rsidRPr="003774F5" w:rsidRDefault="003774F5" w:rsidP="00C3738C">
            <w:pPr>
              <w:spacing w:line="360" w:lineRule="auto"/>
              <w:jc w:val="center"/>
              <w:rPr>
                <w:rFonts w:ascii="Arial" w:hAnsi="Arial" w:cs="Arial"/>
                <w:b/>
                <w:bCs/>
                <w:sz w:val="18"/>
                <w:szCs w:val="18"/>
              </w:rPr>
            </w:pPr>
            <w:r w:rsidRPr="003774F5">
              <w:rPr>
                <w:rFonts w:ascii="Arial" w:hAnsi="Arial" w:cs="Arial"/>
                <w:b/>
                <w:bCs/>
                <w:sz w:val="18"/>
                <w:szCs w:val="18"/>
              </w:rPr>
              <w:t>Caste</w:t>
            </w:r>
          </w:p>
        </w:tc>
        <w:tc>
          <w:tcPr>
            <w:tcW w:w="1559" w:type="dxa"/>
            <w:gridSpan w:val="2"/>
            <w:tcBorders>
              <w:top w:val="single" w:sz="4" w:space="0" w:color="auto"/>
              <w:bottom w:val="single" w:sz="4" w:space="0" w:color="auto"/>
            </w:tcBorders>
            <w:vAlign w:val="center"/>
          </w:tcPr>
          <w:p w14:paraId="33106E7C" w14:textId="77777777" w:rsidR="003774F5" w:rsidRPr="003774F5" w:rsidRDefault="003774F5" w:rsidP="00C3738C">
            <w:pPr>
              <w:spacing w:line="360" w:lineRule="auto"/>
              <w:jc w:val="center"/>
              <w:rPr>
                <w:rFonts w:ascii="Arial" w:hAnsi="Arial" w:cs="Arial"/>
                <w:b/>
                <w:bCs/>
                <w:sz w:val="18"/>
                <w:szCs w:val="18"/>
              </w:rPr>
            </w:pPr>
            <w:r w:rsidRPr="003774F5">
              <w:rPr>
                <w:rFonts w:ascii="Arial" w:hAnsi="Arial" w:cs="Arial"/>
                <w:b/>
                <w:bCs/>
                <w:sz w:val="18"/>
                <w:szCs w:val="18"/>
              </w:rPr>
              <w:t>Marital Status</w:t>
            </w:r>
          </w:p>
        </w:tc>
        <w:tc>
          <w:tcPr>
            <w:tcW w:w="1417" w:type="dxa"/>
            <w:gridSpan w:val="2"/>
            <w:tcBorders>
              <w:top w:val="single" w:sz="4" w:space="0" w:color="auto"/>
              <w:bottom w:val="single" w:sz="4" w:space="0" w:color="auto"/>
            </w:tcBorders>
            <w:vAlign w:val="center"/>
          </w:tcPr>
          <w:p w14:paraId="186B5EF8" w14:textId="77777777" w:rsidR="003774F5" w:rsidRPr="003774F5" w:rsidRDefault="003774F5" w:rsidP="00C3738C">
            <w:pPr>
              <w:spacing w:line="360" w:lineRule="auto"/>
              <w:jc w:val="center"/>
              <w:rPr>
                <w:rFonts w:ascii="Arial" w:hAnsi="Arial" w:cs="Arial"/>
                <w:b/>
                <w:bCs/>
                <w:sz w:val="18"/>
                <w:szCs w:val="18"/>
              </w:rPr>
            </w:pPr>
            <w:r w:rsidRPr="003774F5">
              <w:rPr>
                <w:rFonts w:ascii="Arial" w:hAnsi="Arial" w:cs="Arial"/>
                <w:b/>
                <w:bCs/>
                <w:sz w:val="18"/>
                <w:szCs w:val="18"/>
              </w:rPr>
              <w:t>Economic Status</w:t>
            </w:r>
          </w:p>
        </w:tc>
        <w:tc>
          <w:tcPr>
            <w:tcW w:w="1560" w:type="dxa"/>
            <w:gridSpan w:val="2"/>
            <w:tcBorders>
              <w:top w:val="single" w:sz="4" w:space="0" w:color="auto"/>
              <w:bottom w:val="single" w:sz="4" w:space="0" w:color="auto"/>
            </w:tcBorders>
            <w:vAlign w:val="center"/>
          </w:tcPr>
          <w:p w14:paraId="6A27145A" w14:textId="77777777" w:rsidR="003774F5" w:rsidRPr="003774F5" w:rsidRDefault="003774F5" w:rsidP="00C3738C">
            <w:pPr>
              <w:spacing w:line="360" w:lineRule="auto"/>
              <w:jc w:val="center"/>
              <w:rPr>
                <w:rFonts w:ascii="Arial" w:hAnsi="Arial" w:cs="Arial"/>
                <w:b/>
                <w:bCs/>
                <w:sz w:val="18"/>
                <w:szCs w:val="18"/>
              </w:rPr>
            </w:pPr>
            <w:r w:rsidRPr="003774F5">
              <w:rPr>
                <w:rFonts w:ascii="Arial" w:hAnsi="Arial" w:cs="Arial"/>
                <w:b/>
                <w:bCs/>
                <w:sz w:val="18"/>
                <w:szCs w:val="18"/>
              </w:rPr>
              <w:t>Education</w:t>
            </w:r>
          </w:p>
        </w:tc>
        <w:tc>
          <w:tcPr>
            <w:tcW w:w="1838" w:type="dxa"/>
            <w:gridSpan w:val="2"/>
            <w:tcBorders>
              <w:top w:val="single" w:sz="4" w:space="0" w:color="auto"/>
              <w:bottom w:val="single" w:sz="4" w:space="0" w:color="auto"/>
            </w:tcBorders>
            <w:vAlign w:val="center"/>
          </w:tcPr>
          <w:p w14:paraId="7844ACBD" w14:textId="77777777" w:rsidR="003774F5" w:rsidRPr="003774F5" w:rsidRDefault="003774F5" w:rsidP="00C3738C">
            <w:pPr>
              <w:spacing w:line="360" w:lineRule="auto"/>
              <w:jc w:val="center"/>
              <w:rPr>
                <w:rFonts w:ascii="Arial" w:hAnsi="Arial" w:cs="Arial"/>
                <w:b/>
                <w:bCs/>
                <w:sz w:val="18"/>
                <w:szCs w:val="18"/>
              </w:rPr>
            </w:pPr>
            <w:r w:rsidRPr="003774F5">
              <w:rPr>
                <w:rFonts w:ascii="Arial" w:hAnsi="Arial" w:cs="Arial"/>
                <w:b/>
                <w:bCs/>
                <w:sz w:val="18"/>
                <w:szCs w:val="18"/>
              </w:rPr>
              <w:t>Age Group</w:t>
            </w:r>
          </w:p>
        </w:tc>
      </w:tr>
      <w:tr w:rsidR="003774F5" w:rsidRPr="003774F5" w14:paraId="530B28D9" w14:textId="77777777" w:rsidTr="00C3738C">
        <w:trPr>
          <w:trHeight w:val="69"/>
          <w:jc w:val="center"/>
        </w:trPr>
        <w:tc>
          <w:tcPr>
            <w:tcW w:w="709" w:type="dxa"/>
            <w:tcBorders>
              <w:top w:val="single" w:sz="4" w:space="0" w:color="auto"/>
              <w:bottom w:val="single" w:sz="4" w:space="0" w:color="auto"/>
            </w:tcBorders>
            <w:vAlign w:val="center"/>
          </w:tcPr>
          <w:p w14:paraId="0FD68AF3" w14:textId="77777777" w:rsidR="003774F5" w:rsidRPr="003774F5" w:rsidRDefault="003774F5" w:rsidP="00C3738C">
            <w:pPr>
              <w:spacing w:line="360" w:lineRule="auto"/>
              <w:jc w:val="center"/>
              <w:rPr>
                <w:rFonts w:ascii="Arial" w:hAnsi="Arial" w:cs="Arial"/>
                <w:sz w:val="18"/>
                <w:szCs w:val="18"/>
              </w:rPr>
            </w:pPr>
            <w:r w:rsidRPr="003774F5">
              <w:rPr>
                <w:rFonts w:ascii="Arial" w:hAnsi="Arial" w:cs="Arial"/>
                <w:sz w:val="18"/>
                <w:szCs w:val="18"/>
              </w:rPr>
              <w:t>Hindu</w:t>
            </w:r>
          </w:p>
        </w:tc>
        <w:tc>
          <w:tcPr>
            <w:tcW w:w="992" w:type="dxa"/>
            <w:tcBorders>
              <w:top w:val="single" w:sz="4" w:space="0" w:color="auto"/>
              <w:bottom w:val="single" w:sz="4" w:space="0" w:color="auto"/>
            </w:tcBorders>
            <w:vAlign w:val="center"/>
          </w:tcPr>
          <w:p w14:paraId="349D497F" w14:textId="77777777" w:rsidR="003774F5" w:rsidRPr="003774F5" w:rsidRDefault="003774F5" w:rsidP="00C3738C">
            <w:pPr>
              <w:spacing w:line="360" w:lineRule="auto"/>
              <w:jc w:val="center"/>
              <w:rPr>
                <w:rFonts w:ascii="Arial" w:hAnsi="Arial" w:cs="Arial"/>
                <w:sz w:val="18"/>
                <w:szCs w:val="18"/>
              </w:rPr>
            </w:pPr>
            <w:r w:rsidRPr="003774F5">
              <w:rPr>
                <w:rFonts w:ascii="Arial" w:hAnsi="Arial" w:cs="Arial"/>
                <w:sz w:val="18"/>
                <w:szCs w:val="18"/>
              </w:rPr>
              <w:t>Muslim</w:t>
            </w:r>
          </w:p>
        </w:tc>
        <w:tc>
          <w:tcPr>
            <w:tcW w:w="709" w:type="dxa"/>
            <w:tcBorders>
              <w:top w:val="single" w:sz="4" w:space="0" w:color="auto"/>
              <w:bottom w:val="single" w:sz="4" w:space="0" w:color="auto"/>
            </w:tcBorders>
            <w:vAlign w:val="center"/>
          </w:tcPr>
          <w:p w14:paraId="11194FFA" w14:textId="77777777" w:rsidR="003774F5" w:rsidRPr="003774F5" w:rsidRDefault="003774F5" w:rsidP="00C3738C">
            <w:pPr>
              <w:spacing w:line="360" w:lineRule="auto"/>
              <w:jc w:val="center"/>
              <w:rPr>
                <w:rFonts w:ascii="Arial" w:hAnsi="Arial" w:cs="Arial"/>
                <w:sz w:val="18"/>
                <w:szCs w:val="18"/>
              </w:rPr>
            </w:pPr>
            <w:r w:rsidRPr="003774F5">
              <w:rPr>
                <w:rFonts w:ascii="Arial" w:hAnsi="Arial" w:cs="Arial"/>
                <w:sz w:val="18"/>
                <w:szCs w:val="18"/>
              </w:rPr>
              <w:t>SC</w:t>
            </w:r>
          </w:p>
        </w:tc>
        <w:tc>
          <w:tcPr>
            <w:tcW w:w="709" w:type="dxa"/>
            <w:tcBorders>
              <w:top w:val="single" w:sz="4" w:space="0" w:color="auto"/>
              <w:bottom w:val="single" w:sz="4" w:space="0" w:color="auto"/>
            </w:tcBorders>
            <w:vAlign w:val="center"/>
          </w:tcPr>
          <w:p w14:paraId="131DDE33" w14:textId="77777777" w:rsidR="003774F5" w:rsidRPr="003774F5" w:rsidRDefault="003774F5" w:rsidP="00C3738C">
            <w:pPr>
              <w:spacing w:line="360" w:lineRule="auto"/>
              <w:jc w:val="center"/>
              <w:rPr>
                <w:rFonts w:ascii="Arial" w:hAnsi="Arial" w:cs="Arial"/>
                <w:sz w:val="18"/>
                <w:szCs w:val="18"/>
              </w:rPr>
            </w:pPr>
            <w:r w:rsidRPr="003774F5">
              <w:rPr>
                <w:rFonts w:ascii="Arial" w:hAnsi="Arial" w:cs="Arial"/>
                <w:sz w:val="18"/>
                <w:szCs w:val="18"/>
              </w:rPr>
              <w:t>OBC</w:t>
            </w:r>
          </w:p>
        </w:tc>
        <w:tc>
          <w:tcPr>
            <w:tcW w:w="708" w:type="dxa"/>
            <w:tcBorders>
              <w:top w:val="single" w:sz="4" w:space="0" w:color="auto"/>
              <w:bottom w:val="single" w:sz="4" w:space="0" w:color="auto"/>
            </w:tcBorders>
            <w:vAlign w:val="center"/>
          </w:tcPr>
          <w:p w14:paraId="7BE1FCBA" w14:textId="77777777" w:rsidR="003774F5" w:rsidRPr="003774F5" w:rsidRDefault="003774F5" w:rsidP="00C3738C">
            <w:pPr>
              <w:spacing w:line="360" w:lineRule="auto"/>
              <w:jc w:val="center"/>
              <w:rPr>
                <w:rFonts w:ascii="Arial" w:hAnsi="Arial" w:cs="Arial"/>
                <w:sz w:val="18"/>
                <w:szCs w:val="18"/>
              </w:rPr>
            </w:pPr>
            <w:r w:rsidRPr="003774F5">
              <w:rPr>
                <w:rFonts w:ascii="Arial" w:hAnsi="Arial" w:cs="Arial"/>
                <w:sz w:val="18"/>
                <w:szCs w:val="18"/>
              </w:rPr>
              <w:t>Single</w:t>
            </w:r>
          </w:p>
        </w:tc>
        <w:tc>
          <w:tcPr>
            <w:tcW w:w="851" w:type="dxa"/>
            <w:tcBorders>
              <w:top w:val="single" w:sz="4" w:space="0" w:color="auto"/>
              <w:bottom w:val="single" w:sz="4" w:space="0" w:color="auto"/>
            </w:tcBorders>
            <w:vAlign w:val="center"/>
          </w:tcPr>
          <w:p w14:paraId="27A9603C" w14:textId="77777777" w:rsidR="003774F5" w:rsidRPr="003774F5" w:rsidRDefault="003774F5" w:rsidP="00C3738C">
            <w:pPr>
              <w:spacing w:line="360" w:lineRule="auto"/>
              <w:jc w:val="center"/>
              <w:rPr>
                <w:rFonts w:ascii="Arial" w:hAnsi="Arial" w:cs="Arial"/>
                <w:sz w:val="18"/>
                <w:szCs w:val="18"/>
              </w:rPr>
            </w:pPr>
            <w:r w:rsidRPr="003774F5">
              <w:rPr>
                <w:rFonts w:ascii="Arial" w:hAnsi="Arial" w:cs="Arial"/>
                <w:sz w:val="18"/>
                <w:szCs w:val="18"/>
              </w:rPr>
              <w:t>Married</w:t>
            </w:r>
          </w:p>
        </w:tc>
        <w:tc>
          <w:tcPr>
            <w:tcW w:w="709" w:type="dxa"/>
            <w:tcBorders>
              <w:top w:val="single" w:sz="4" w:space="0" w:color="auto"/>
              <w:bottom w:val="single" w:sz="4" w:space="0" w:color="auto"/>
            </w:tcBorders>
            <w:vAlign w:val="center"/>
          </w:tcPr>
          <w:p w14:paraId="27DDB098" w14:textId="77777777" w:rsidR="003774F5" w:rsidRPr="003774F5" w:rsidRDefault="003774F5" w:rsidP="00C3738C">
            <w:pPr>
              <w:spacing w:line="360" w:lineRule="auto"/>
              <w:jc w:val="center"/>
              <w:rPr>
                <w:rFonts w:ascii="Arial" w:hAnsi="Arial" w:cs="Arial"/>
                <w:sz w:val="18"/>
                <w:szCs w:val="18"/>
              </w:rPr>
            </w:pPr>
            <w:r w:rsidRPr="003774F5">
              <w:rPr>
                <w:rFonts w:ascii="Arial" w:hAnsi="Arial" w:cs="Arial"/>
                <w:sz w:val="18"/>
                <w:szCs w:val="18"/>
              </w:rPr>
              <w:t>APL</w:t>
            </w:r>
          </w:p>
        </w:tc>
        <w:tc>
          <w:tcPr>
            <w:tcW w:w="708" w:type="dxa"/>
            <w:tcBorders>
              <w:top w:val="single" w:sz="4" w:space="0" w:color="auto"/>
              <w:bottom w:val="single" w:sz="4" w:space="0" w:color="auto"/>
            </w:tcBorders>
            <w:vAlign w:val="center"/>
          </w:tcPr>
          <w:p w14:paraId="7ECC860A" w14:textId="77777777" w:rsidR="003774F5" w:rsidRPr="003774F5" w:rsidRDefault="003774F5" w:rsidP="00C3738C">
            <w:pPr>
              <w:spacing w:line="360" w:lineRule="auto"/>
              <w:jc w:val="center"/>
              <w:rPr>
                <w:rFonts w:ascii="Arial" w:hAnsi="Arial" w:cs="Arial"/>
                <w:sz w:val="18"/>
                <w:szCs w:val="18"/>
              </w:rPr>
            </w:pPr>
            <w:r w:rsidRPr="003774F5">
              <w:rPr>
                <w:rFonts w:ascii="Arial" w:hAnsi="Arial" w:cs="Arial"/>
                <w:sz w:val="18"/>
                <w:szCs w:val="18"/>
              </w:rPr>
              <w:t>BPL</w:t>
            </w:r>
          </w:p>
        </w:tc>
        <w:tc>
          <w:tcPr>
            <w:tcW w:w="709" w:type="dxa"/>
            <w:tcBorders>
              <w:top w:val="single" w:sz="4" w:space="0" w:color="auto"/>
              <w:bottom w:val="single" w:sz="4" w:space="0" w:color="auto"/>
            </w:tcBorders>
            <w:vAlign w:val="center"/>
          </w:tcPr>
          <w:p w14:paraId="073F3123" w14:textId="77777777" w:rsidR="003774F5" w:rsidRPr="003774F5" w:rsidRDefault="003774F5" w:rsidP="00C3738C">
            <w:pPr>
              <w:spacing w:line="360" w:lineRule="auto"/>
              <w:jc w:val="center"/>
              <w:rPr>
                <w:rFonts w:ascii="Arial" w:hAnsi="Arial" w:cs="Arial"/>
                <w:sz w:val="18"/>
                <w:szCs w:val="18"/>
              </w:rPr>
            </w:pPr>
            <w:r w:rsidRPr="003774F5">
              <w:rPr>
                <w:rFonts w:ascii="Arial" w:hAnsi="Arial" w:cs="Arial"/>
                <w:sz w:val="18"/>
                <w:szCs w:val="18"/>
              </w:rPr>
              <w:t>Up to + 2</w:t>
            </w:r>
          </w:p>
        </w:tc>
        <w:tc>
          <w:tcPr>
            <w:tcW w:w="851" w:type="dxa"/>
            <w:tcBorders>
              <w:top w:val="single" w:sz="4" w:space="0" w:color="auto"/>
              <w:bottom w:val="single" w:sz="4" w:space="0" w:color="auto"/>
            </w:tcBorders>
            <w:vAlign w:val="center"/>
          </w:tcPr>
          <w:p w14:paraId="1E4CB6CD" w14:textId="77777777" w:rsidR="003774F5" w:rsidRPr="003774F5" w:rsidRDefault="003774F5" w:rsidP="00C3738C">
            <w:pPr>
              <w:spacing w:line="360" w:lineRule="auto"/>
              <w:jc w:val="center"/>
              <w:rPr>
                <w:rFonts w:ascii="Arial" w:hAnsi="Arial" w:cs="Arial"/>
                <w:sz w:val="18"/>
                <w:szCs w:val="18"/>
              </w:rPr>
            </w:pPr>
            <w:r w:rsidRPr="003774F5">
              <w:rPr>
                <w:rFonts w:ascii="Arial" w:hAnsi="Arial" w:cs="Arial"/>
                <w:sz w:val="18"/>
                <w:szCs w:val="18"/>
              </w:rPr>
              <w:t>Degree</w:t>
            </w:r>
          </w:p>
        </w:tc>
        <w:tc>
          <w:tcPr>
            <w:tcW w:w="992" w:type="dxa"/>
            <w:tcBorders>
              <w:top w:val="single" w:sz="4" w:space="0" w:color="auto"/>
              <w:bottom w:val="single" w:sz="4" w:space="0" w:color="auto"/>
            </w:tcBorders>
            <w:vAlign w:val="center"/>
          </w:tcPr>
          <w:p w14:paraId="000D9AF6" w14:textId="77777777" w:rsidR="003774F5" w:rsidRPr="003774F5" w:rsidRDefault="003774F5" w:rsidP="00C3738C">
            <w:pPr>
              <w:spacing w:line="360" w:lineRule="auto"/>
              <w:jc w:val="center"/>
              <w:rPr>
                <w:rFonts w:ascii="Arial" w:hAnsi="Arial" w:cs="Arial"/>
                <w:sz w:val="18"/>
                <w:szCs w:val="18"/>
              </w:rPr>
            </w:pPr>
            <w:r w:rsidRPr="003774F5">
              <w:rPr>
                <w:rFonts w:ascii="Arial" w:hAnsi="Arial" w:cs="Arial"/>
                <w:sz w:val="18"/>
                <w:szCs w:val="18"/>
              </w:rPr>
              <w:t>Below 25</w:t>
            </w:r>
          </w:p>
        </w:tc>
        <w:tc>
          <w:tcPr>
            <w:tcW w:w="846" w:type="dxa"/>
            <w:tcBorders>
              <w:top w:val="single" w:sz="4" w:space="0" w:color="auto"/>
              <w:bottom w:val="single" w:sz="4" w:space="0" w:color="auto"/>
            </w:tcBorders>
            <w:vAlign w:val="center"/>
          </w:tcPr>
          <w:p w14:paraId="24FE8398" w14:textId="77777777" w:rsidR="003774F5" w:rsidRPr="003774F5" w:rsidRDefault="003774F5" w:rsidP="00C3738C">
            <w:pPr>
              <w:spacing w:line="360" w:lineRule="auto"/>
              <w:jc w:val="center"/>
              <w:rPr>
                <w:rFonts w:ascii="Arial" w:hAnsi="Arial" w:cs="Arial"/>
                <w:sz w:val="18"/>
                <w:szCs w:val="18"/>
              </w:rPr>
            </w:pPr>
            <w:r w:rsidRPr="003774F5">
              <w:rPr>
                <w:rFonts w:ascii="Arial" w:hAnsi="Arial" w:cs="Arial"/>
                <w:sz w:val="18"/>
                <w:szCs w:val="18"/>
              </w:rPr>
              <w:t>Above 25</w:t>
            </w:r>
          </w:p>
        </w:tc>
      </w:tr>
      <w:tr w:rsidR="003774F5" w:rsidRPr="003774F5" w14:paraId="64786909" w14:textId="77777777" w:rsidTr="00C3738C">
        <w:trPr>
          <w:trHeight w:val="394"/>
          <w:jc w:val="center"/>
        </w:trPr>
        <w:tc>
          <w:tcPr>
            <w:tcW w:w="709" w:type="dxa"/>
            <w:tcBorders>
              <w:top w:val="single" w:sz="4" w:space="0" w:color="auto"/>
            </w:tcBorders>
            <w:vAlign w:val="center"/>
          </w:tcPr>
          <w:p w14:paraId="6E2AF102" w14:textId="77777777" w:rsidR="003774F5" w:rsidRPr="003774F5" w:rsidRDefault="003774F5" w:rsidP="00C3738C">
            <w:pPr>
              <w:spacing w:line="360" w:lineRule="auto"/>
              <w:jc w:val="center"/>
              <w:rPr>
                <w:rFonts w:ascii="Arial" w:hAnsi="Arial" w:cs="Arial"/>
                <w:sz w:val="18"/>
                <w:szCs w:val="18"/>
              </w:rPr>
            </w:pPr>
            <w:r w:rsidRPr="003774F5">
              <w:rPr>
                <w:rFonts w:ascii="Arial" w:hAnsi="Arial" w:cs="Arial"/>
                <w:sz w:val="18"/>
                <w:szCs w:val="18"/>
              </w:rPr>
              <w:t>103</w:t>
            </w:r>
          </w:p>
          <w:p w14:paraId="006CD450" w14:textId="77777777" w:rsidR="003774F5" w:rsidRPr="003774F5" w:rsidRDefault="003774F5" w:rsidP="00C3738C">
            <w:pPr>
              <w:spacing w:line="360" w:lineRule="auto"/>
              <w:jc w:val="center"/>
              <w:rPr>
                <w:rFonts w:ascii="Arial" w:hAnsi="Arial" w:cs="Arial"/>
                <w:sz w:val="18"/>
                <w:szCs w:val="18"/>
              </w:rPr>
            </w:pPr>
            <w:r w:rsidRPr="003774F5">
              <w:rPr>
                <w:rFonts w:ascii="Arial" w:hAnsi="Arial" w:cs="Arial"/>
                <w:sz w:val="18"/>
                <w:szCs w:val="18"/>
              </w:rPr>
              <w:t>(34.3)</w:t>
            </w:r>
          </w:p>
        </w:tc>
        <w:tc>
          <w:tcPr>
            <w:tcW w:w="992" w:type="dxa"/>
            <w:tcBorders>
              <w:top w:val="single" w:sz="4" w:space="0" w:color="auto"/>
            </w:tcBorders>
            <w:vAlign w:val="center"/>
          </w:tcPr>
          <w:p w14:paraId="6A19BAD4" w14:textId="77777777" w:rsidR="003774F5" w:rsidRPr="003774F5" w:rsidRDefault="003774F5" w:rsidP="00C3738C">
            <w:pPr>
              <w:spacing w:line="360" w:lineRule="auto"/>
              <w:jc w:val="center"/>
              <w:rPr>
                <w:rFonts w:ascii="Arial" w:hAnsi="Arial" w:cs="Arial"/>
                <w:sz w:val="18"/>
                <w:szCs w:val="18"/>
              </w:rPr>
            </w:pPr>
            <w:r w:rsidRPr="003774F5">
              <w:rPr>
                <w:rFonts w:ascii="Arial" w:hAnsi="Arial" w:cs="Arial"/>
                <w:sz w:val="18"/>
                <w:szCs w:val="18"/>
              </w:rPr>
              <w:t>197</w:t>
            </w:r>
          </w:p>
          <w:p w14:paraId="782158F0" w14:textId="77777777" w:rsidR="003774F5" w:rsidRPr="003774F5" w:rsidRDefault="003774F5" w:rsidP="00C3738C">
            <w:pPr>
              <w:spacing w:line="360" w:lineRule="auto"/>
              <w:jc w:val="center"/>
              <w:rPr>
                <w:rFonts w:ascii="Arial" w:hAnsi="Arial" w:cs="Arial"/>
                <w:sz w:val="18"/>
                <w:szCs w:val="18"/>
              </w:rPr>
            </w:pPr>
            <w:r w:rsidRPr="003774F5">
              <w:rPr>
                <w:rFonts w:ascii="Arial" w:hAnsi="Arial" w:cs="Arial"/>
                <w:sz w:val="18"/>
                <w:szCs w:val="18"/>
              </w:rPr>
              <w:t>(65.7)</w:t>
            </w:r>
          </w:p>
        </w:tc>
        <w:tc>
          <w:tcPr>
            <w:tcW w:w="709" w:type="dxa"/>
            <w:tcBorders>
              <w:top w:val="single" w:sz="4" w:space="0" w:color="auto"/>
            </w:tcBorders>
            <w:vAlign w:val="center"/>
          </w:tcPr>
          <w:p w14:paraId="325DF982" w14:textId="77777777" w:rsidR="003774F5" w:rsidRPr="003774F5" w:rsidRDefault="003774F5" w:rsidP="00C3738C">
            <w:pPr>
              <w:spacing w:line="360" w:lineRule="auto"/>
              <w:jc w:val="center"/>
              <w:rPr>
                <w:rFonts w:ascii="Arial" w:hAnsi="Arial" w:cs="Arial"/>
                <w:sz w:val="18"/>
                <w:szCs w:val="18"/>
              </w:rPr>
            </w:pPr>
            <w:r w:rsidRPr="003774F5">
              <w:rPr>
                <w:rFonts w:ascii="Arial" w:hAnsi="Arial" w:cs="Arial"/>
                <w:sz w:val="18"/>
                <w:szCs w:val="18"/>
              </w:rPr>
              <w:t>81</w:t>
            </w:r>
          </w:p>
          <w:p w14:paraId="5A39AFB1" w14:textId="77777777" w:rsidR="003774F5" w:rsidRPr="003774F5" w:rsidRDefault="003774F5" w:rsidP="00C3738C">
            <w:pPr>
              <w:spacing w:line="360" w:lineRule="auto"/>
              <w:jc w:val="center"/>
              <w:rPr>
                <w:rFonts w:ascii="Arial" w:hAnsi="Arial" w:cs="Arial"/>
                <w:sz w:val="18"/>
                <w:szCs w:val="18"/>
              </w:rPr>
            </w:pPr>
            <w:r w:rsidRPr="003774F5">
              <w:rPr>
                <w:rFonts w:ascii="Arial" w:hAnsi="Arial" w:cs="Arial"/>
                <w:sz w:val="18"/>
                <w:szCs w:val="18"/>
              </w:rPr>
              <w:t>(27.0)</w:t>
            </w:r>
          </w:p>
        </w:tc>
        <w:tc>
          <w:tcPr>
            <w:tcW w:w="709" w:type="dxa"/>
            <w:tcBorders>
              <w:top w:val="single" w:sz="4" w:space="0" w:color="auto"/>
            </w:tcBorders>
            <w:vAlign w:val="center"/>
          </w:tcPr>
          <w:p w14:paraId="7215ED5E" w14:textId="77777777" w:rsidR="003774F5" w:rsidRPr="003774F5" w:rsidRDefault="003774F5" w:rsidP="00C3738C">
            <w:pPr>
              <w:spacing w:line="360" w:lineRule="auto"/>
              <w:jc w:val="center"/>
              <w:rPr>
                <w:rFonts w:ascii="Arial" w:hAnsi="Arial" w:cs="Arial"/>
                <w:sz w:val="18"/>
                <w:szCs w:val="18"/>
              </w:rPr>
            </w:pPr>
            <w:r w:rsidRPr="003774F5">
              <w:rPr>
                <w:rFonts w:ascii="Arial" w:hAnsi="Arial" w:cs="Arial"/>
                <w:sz w:val="18"/>
                <w:szCs w:val="18"/>
              </w:rPr>
              <w:t>219</w:t>
            </w:r>
          </w:p>
          <w:p w14:paraId="4E4027B5" w14:textId="77777777" w:rsidR="003774F5" w:rsidRPr="003774F5" w:rsidRDefault="003774F5" w:rsidP="00C3738C">
            <w:pPr>
              <w:spacing w:line="360" w:lineRule="auto"/>
              <w:jc w:val="center"/>
              <w:rPr>
                <w:rFonts w:ascii="Arial" w:hAnsi="Arial" w:cs="Arial"/>
                <w:sz w:val="18"/>
                <w:szCs w:val="18"/>
              </w:rPr>
            </w:pPr>
            <w:r w:rsidRPr="003774F5">
              <w:rPr>
                <w:rFonts w:ascii="Arial" w:hAnsi="Arial" w:cs="Arial"/>
                <w:sz w:val="18"/>
                <w:szCs w:val="18"/>
              </w:rPr>
              <w:t>(73.0)</w:t>
            </w:r>
          </w:p>
        </w:tc>
        <w:tc>
          <w:tcPr>
            <w:tcW w:w="708" w:type="dxa"/>
            <w:tcBorders>
              <w:top w:val="single" w:sz="4" w:space="0" w:color="auto"/>
            </w:tcBorders>
            <w:vAlign w:val="center"/>
          </w:tcPr>
          <w:p w14:paraId="0E402EA3" w14:textId="77777777" w:rsidR="003774F5" w:rsidRPr="003774F5" w:rsidRDefault="003774F5" w:rsidP="00C3738C">
            <w:pPr>
              <w:spacing w:line="360" w:lineRule="auto"/>
              <w:jc w:val="center"/>
              <w:rPr>
                <w:rFonts w:ascii="Arial" w:hAnsi="Arial" w:cs="Arial"/>
                <w:sz w:val="18"/>
                <w:szCs w:val="18"/>
              </w:rPr>
            </w:pPr>
            <w:r w:rsidRPr="003774F5">
              <w:rPr>
                <w:rFonts w:ascii="Arial" w:hAnsi="Arial" w:cs="Arial"/>
                <w:sz w:val="18"/>
                <w:szCs w:val="18"/>
              </w:rPr>
              <w:t>86</w:t>
            </w:r>
          </w:p>
          <w:p w14:paraId="4F49DB8F" w14:textId="77777777" w:rsidR="003774F5" w:rsidRPr="003774F5" w:rsidRDefault="003774F5" w:rsidP="00C3738C">
            <w:pPr>
              <w:spacing w:line="360" w:lineRule="auto"/>
              <w:jc w:val="center"/>
              <w:rPr>
                <w:rFonts w:ascii="Arial" w:hAnsi="Arial" w:cs="Arial"/>
                <w:sz w:val="18"/>
                <w:szCs w:val="18"/>
              </w:rPr>
            </w:pPr>
            <w:r w:rsidRPr="003774F5">
              <w:rPr>
                <w:rFonts w:ascii="Arial" w:hAnsi="Arial" w:cs="Arial"/>
                <w:sz w:val="18"/>
                <w:szCs w:val="18"/>
              </w:rPr>
              <w:t>(28.7)</w:t>
            </w:r>
          </w:p>
        </w:tc>
        <w:tc>
          <w:tcPr>
            <w:tcW w:w="851" w:type="dxa"/>
            <w:tcBorders>
              <w:top w:val="single" w:sz="4" w:space="0" w:color="auto"/>
            </w:tcBorders>
            <w:vAlign w:val="center"/>
          </w:tcPr>
          <w:p w14:paraId="5F78ED91" w14:textId="77777777" w:rsidR="003774F5" w:rsidRPr="003774F5" w:rsidRDefault="003774F5" w:rsidP="00C3738C">
            <w:pPr>
              <w:spacing w:line="360" w:lineRule="auto"/>
              <w:jc w:val="center"/>
              <w:rPr>
                <w:rFonts w:ascii="Arial" w:hAnsi="Arial" w:cs="Arial"/>
                <w:sz w:val="18"/>
                <w:szCs w:val="18"/>
              </w:rPr>
            </w:pPr>
            <w:r w:rsidRPr="003774F5">
              <w:rPr>
                <w:rFonts w:ascii="Arial" w:hAnsi="Arial" w:cs="Arial"/>
                <w:sz w:val="18"/>
                <w:szCs w:val="18"/>
              </w:rPr>
              <w:t>214</w:t>
            </w:r>
          </w:p>
          <w:p w14:paraId="3D3EADBD" w14:textId="77777777" w:rsidR="003774F5" w:rsidRPr="003774F5" w:rsidRDefault="003774F5" w:rsidP="00C3738C">
            <w:pPr>
              <w:spacing w:line="360" w:lineRule="auto"/>
              <w:jc w:val="center"/>
              <w:rPr>
                <w:rFonts w:ascii="Arial" w:hAnsi="Arial" w:cs="Arial"/>
                <w:sz w:val="18"/>
                <w:szCs w:val="18"/>
              </w:rPr>
            </w:pPr>
            <w:r w:rsidRPr="003774F5">
              <w:rPr>
                <w:rFonts w:ascii="Arial" w:hAnsi="Arial" w:cs="Arial"/>
                <w:sz w:val="18"/>
                <w:szCs w:val="18"/>
              </w:rPr>
              <w:t>(71.3)</w:t>
            </w:r>
          </w:p>
        </w:tc>
        <w:tc>
          <w:tcPr>
            <w:tcW w:w="709" w:type="dxa"/>
            <w:tcBorders>
              <w:top w:val="single" w:sz="4" w:space="0" w:color="auto"/>
            </w:tcBorders>
            <w:vAlign w:val="center"/>
          </w:tcPr>
          <w:p w14:paraId="289C123D" w14:textId="77777777" w:rsidR="003774F5" w:rsidRPr="003774F5" w:rsidRDefault="003774F5" w:rsidP="00C3738C">
            <w:pPr>
              <w:spacing w:line="360" w:lineRule="auto"/>
              <w:jc w:val="center"/>
              <w:rPr>
                <w:rFonts w:ascii="Arial" w:hAnsi="Arial" w:cs="Arial"/>
                <w:sz w:val="18"/>
                <w:szCs w:val="18"/>
              </w:rPr>
            </w:pPr>
            <w:r w:rsidRPr="003774F5">
              <w:rPr>
                <w:rFonts w:ascii="Arial" w:hAnsi="Arial" w:cs="Arial"/>
                <w:sz w:val="18"/>
                <w:szCs w:val="18"/>
              </w:rPr>
              <w:t>168</w:t>
            </w:r>
          </w:p>
          <w:p w14:paraId="06747B31" w14:textId="77777777" w:rsidR="003774F5" w:rsidRPr="003774F5" w:rsidRDefault="003774F5" w:rsidP="00C3738C">
            <w:pPr>
              <w:spacing w:line="360" w:lineRule="auto"/>
              <w:jc w:val="center"/>
              <w:rPr>
                <w:rFonts w:ascii="Arial" w:hAnsi="Arial" w:cs="Arial"/>
                <w:sz w:val="18"/>
                <w:szCs w:val="18"/>
              </w:rPr>
            </w:pPr>
            <w:r w:rsidRPr="003774F5">
              <w:rPr>
                <w:rFonts w:ascii="Arial" w:hAnsi="Arial" w:cs="Arial"/>
                <w:sz w:val="18"/>
                <w:szCs w:val="18"/>
              </w:rPr>
              <w:t>(56.0)</w:t>
            </w:r>
          </w:p>
        </w:tc>
        <w:tc>
          <w:tcPr>
            <w:tcW w:w="708" w:type="dxa"/>
            <w:tcBorders>
              <w:top w:val="single" w:sz="4" w:space="0" w:color="auto"/>
            </w:tcBorders>
            <w:vAlign w:val="center"/>
          </w:tcPr>
          <w:p w14:paraId="3DA6AFC9" w14:textId="77777777" w:rsidR="003774F5" w:rsidRPr="003774F5" w:rsidRDefault="003774F5" w:rsidP="00C3738C">
            <w:pPr>
              <w:spacing w:line="360" w:lineRule="auto"/>
              <w:jc w:val="center"/>
              <w:rPr>
                <w:rFonts w:ascii="Arial" w:hAnsi="Arial" w:cs="Arial"/>
                <w:sz w:val="18"/>
                <w:szCs w:val="18"/>
              </w:rPr>
            </w:pPr>
            <w:r w:rsidRPr="003774F5">
              <w:rPr>
                <w:rFonts w:ascii="Arial" w:hAnsi="Arial" w:cs="Arial"/>
                <w:sz w:val="18"/>
                <w:szCs w:val="18"/>
              </w:rPr>
              <w:t>132</w:t>
            </w:r>
          </w:p>
          <w:p w14:paraId="3EB29992" w14:textId="77777777" w:rsidR="003774F5" w:rsidRPr="003774F5" w:rsidRDefault="003774F5" w:rsidP="00C3738C">
            <w:pPr>
              <w:spacing w:line="360" w:lineRule="auto"/>
              <w:jc w:val="center"/>
              <w:rPr>
                <w:rFonts w:ascii="Arial" w:hAnsi="Arial" w:cs="Arial"/>
                <w:sz w:val="18"/>
                <w:szCs w:val="18"/>
              </w:rPr>
            </w:pPr>
            <w:r w:rsidRPr="003774F5">
              <w:rPr>
                <w:rFonts w:ascii="Arial" w:hAnsi="Arial" w:cs="Arial"/>
                <w:sz w:val="18"/>
                <w:szCs w:val="18"/>
              </w:rPr>
              <w:t>(44.0)</w:t>
            </w:r>
          </w:p>
        </w:tc>
        <w:tc>
          <w:tcPr>
            <w:tcW w:w="709" w:type="dxa"/>
            <w:tcBorders>
              <w:top w:val="single" w:sz="4" w:space="0" w:color="auto"/>
            </w:tcBorders>
            <w:vAlign w:val="center"/>
          </w:tcPr>
          <w:p w14:paraId="64BA50ED" w14:textId="77777777" w:rsidR="003774F5" w:rsidRPr="003774F5" w:rsidRDefault="003774F5" w:rsidP="00C3738C">
            <w:pPr>
              <w:spacing w:line="360" w:lineRule="auto"/>
              <w:jc w:val="center"/>
              <w:rPr>
                <w:rFonts w:ascii="Arial" w:hAnsi="Arial" w:cs="Arial"/>
                <w:sz w:val="18"/>
                <w:szCs w:val="18"/>
              </w:rPr>
            </w:pPr>
            <w:r w:rsidRPr="003774F5">
              <w:rPr>
                <w:rFonts w:ascii="Arial" w:hAnsi="Arial" w:cs="Arial"/>
                <w:sz w:val="18"/>
                <w:szCs w:val="18"/>
              </w:rPr>
              <w:t>187</w:t>
            </w:r>
          </w:p>
          <w:p w14:paraId="5ABF7A99" w14:textId="77777777" w:rsidR="003774F5" w:rsidRPr="003774F5" w:rsidRDefault="003774F5" w:rsidP="00C3738C">
            <w:pPr>
              <w:spacing w:line="360" w:lineRule="auto"/>
              <w:jc w:val="center"/>
              <w:rPr>
                <w:rFonts w:ascii="Arial" w:hAnsi="Arial" w:cs="Arial"/>
                <w:sz w:val="18"/>
                <w:szCs w:val="18"/>
              </w:rPr>
            </w:pPr>
            <w:r w:rsidRPr="003774F5">
              <w:rPr>
                <w:rFonts w:ascii="Arial" w:hAnsi="Arial" w:cs="Arial"/>
                <w:sz w:val="18"/>
                <w:szCs w:val="18"/>
              </w:rPr>
              <w:t>(62.3)</w:t>
            </w:r>
          </w:p>
        </w:tc>
        <w:tc>
          <w:tcPr>
            <w:tcW w:w="851" w:type="dxa"/>
            <w:tcBorders>
              <w:top w:val="single" w:sz="4" w:space="0" w:color="auto"/>
            </w:tcBorders>
            <w:vAlign w:val="center"/>
          </w:tcPr>
          <w:p w14:paraId="7ECF2C00" w14:textId="77777777" w:rsidR="003774F5" w:rsidRPr="003774F5" w:rsidRDefault="003774F5" w:rsidP="00C3738C">
            <w:pPr>
              <w:spacing w:line="360" w:lineRule="auto"/>
              <w:jc w:val="center"/>
              <w:rPr>
                <w:rFonts w:ascii="Arial" w:hAnsi="Arial" w:cs="Arial"/>
                <w:sz w:val="18"/>
                <w:szCs w:val="18"/>
              </w:rPr>
            </w:pPr>
            <w:r w:rsidRPr="003774F5">
              <w:rPr>
                <w:rFonts w:ascii="Arial" w:hAnsi="Arial" w:cs="Arial"/>
                <w:sz w:val="18"/>
                <w:szCs w:val="18"/>
              </w:rPr>
              <w:t>113</w:t>
            </w:r>
          </w:p>
          <w:p w14:paraId="6CD7F5D5" w14:textId="77777777" w:rsidR="003774F5" w:rsidRPr="003774F5" w:rsidRDefault="003774F5" w:rsidP="00C3738C">
            <w:pPr>
              <w:spacing w:line="360" w:lineRule="auto"/>
              <w:jc w:val="center"/>
              <w:rPr>
                <w:rFonts w:ascii="Arial" w:hAnsi="Arial" w:cs="Arial"/>
                <w:sz w:val="18"/>
                <w:szCs w:val="18"/>
              </w:rPr>
            </w:pPr>
            <w:r w:rsidRPr="003774F5">
              <w:rPr>
                <w:rFonts w:ascii="Arial" w:hAnsi="Arial" w:cs="Arial"/>
                <w:sz w:val="18"/>
                <w:szCs w:val="18"/>
              </w:rPr>
              <w:t>(37.7)</w:t>
            </w:r>
          </w:p>
        </w:tc>
        <w:tc>
          <w:tcPr>
            <w:tcW w:w="992" w:type="dxa"/>
            <w:tcBorders>
              <w:top w:val="single" w:sz="4" w:space="0" w:color="auto"/>
            </w:tcBorders>
            <w:vAlign w:val="center"/>
          </w:tcPr>
          <w:p w14:paraId="33FED3B5" w14:textId="77777777" w:rsidR="003774F5" w:rsidRPr="003774F5" w:rsidRDefault="003774F5" w:rsidP="00C3738C">
            <w:pPr>
              <w:spacing w:line="360" w:lineRule="auto"/>
              <w:jc w:val="center"/>
              <w:rPr>
                <w:rFonts w:ascii="Arial" w:hAnsi="Arial" w:cs="Arial"/>
                <w:sz w:val="18"/>
                <w:szCs w:val="18"/>
              </w:rPr>
            </w:pPr>
            <w:r w:rsidRPr="003774F5">
              <w:rPr>
                <w:rFonts w:ascii="Arial" w:hAnsi="Arial" w:cs="Arial"/>
                <w:sz w:val="18"/>
                <w:szCs w:val="18"/>
              </w:rPr>
              <w:t>153</w:t>
            </w:r>
          </w:p>
          <w:p w14:paraId="520C8CD0" w14:textId="77777777" w:rsidR="003774F5" w:rsidRPr="003774F5" w:rsidRDefault="003774F5" w:rsidP="00C3738C">
            <w:pPr>
              <w:spacing w:line="360" w:lineRule="auto"/>
              <w:jc w:val="center"/>
              <w:rPr>
                <w:rFonts w:ascii="Arial" w:hAnsi="Arial" w:cs="Arial"/>
                <w:sz w:val="18"/>
                <w:szCs w:val="18"/>
              </w:rPr>
            </w:pPr>
            <w:r w:rsidRPr="003774F5">
              <w:rPr>
                <w:rFonts w:ascii="Arial" w:hAnsi="Arial" w:cs="Arial"/>
                <w:sz w:val="18"/>
                <w:szCs w:val="18"/>
              </w:rPr>
              <w:t>(51.0)</w:t>
            </w:r>
          </w:p>
        </w:tc>
        <w:tc>
          <w:tcPr>
            <w:tcW w:w="846" w:type="dxa"/>
            <w:tcBorders>
              <w:top w:val="single" w:sz="4" w:space="0" w:color="auto"/>
            </w:tcBorders>
            <w:vAlign w:val="center"/>
          </w:tcPr>
          <w:p w14:paraId="4682DB08" w14:textId="77777777" w:rsidR="003774F5" w:rsidRPr="003774F5" w:rsidRDefault="003774F5" w:rsidP="00C3738C">
            <w:pPr>
              <w:spacing w:line="360" w:lineRule="auto"/>
              <w:jc w:val="center"/>
              <w:rPr>
                <w:rFonts w:ascii="Arial" w:hAnsi="Arial" w:cs="Arial"/>
                <w:sz w:val="18"/>
                <w:szCs w:val="18"/>
              </w:rPr>
            </w:pPr>
            <w:r w:rsidRPr="003774F5">
              <w:rPr>
                <w:rFonts w:ascii="Arial" w:hAnsi="Arial" w:cs="Arial"/>
                <w:sz w:val="18"/>
                <w:szCs w:val="18"/>
              </w:rPr>
              <w:t>147</w:t>
            </w:r>
          </w:p>
          <w:p w14:paraId="2519A916" w14:textId="77777777" w:rsidR="003774F5" w:rsidRPr="003774F5" w:rsidRDefault="003774F5" w:rsidP="00C3738C">
            <w:pPr>
              <w:spacing w:line="360" w:lineRule="auto"/>
              <w:jc w:val="center"/>
              <w:rPr>
                <w:rFonts w:ascii="Arial" w:hAnsi="Arial" w:cs="Arial"/>
                <w:sz w:val="18"/>
                <w:szCs w:val="18"/>
              </w:rPr>
            </w:pPr>
            <w:r w:rsidRPr="003774F5">
              <w:rPr>
                <w:rFonts w:ascii="Arial" w:hAnsi="Arial" w:cs="Arial"/>
                <w:sz w:val="18"/>
                <w:szCs w:val="18"/>
              </w:rPr>
              <w:t>(49.0)</w:t>
            </w:r>
          </w:p>
        </w:tc>
      </w:tr>
    </w:tbl>
    <w:p w14:paraId="7A627960" w14:textId="77777777" w:rsidR="003774F5" w:rsidRPr="00AC3B91" w:rsidRDefault="003774F5" w:rsidP="003774F5">
      <w:pPr>
        <w:autoSpaceDE w:val="0"/>
        <w:autoSpaceDN w:val="0"/>
        <w:adjustRightInd w:val="0"/>
        <w:spacing w:after="0" w:line="360" w:lineRule="auto"/>
        <w:jc w:val="both"/>
        <w:rPr>
          <w:rFonts w:ascii="Arial" w:hAnsi="Arial" w:cs="Arial"/>
          <w:sz w:val="20"/>
          <w:szCs w:val="20"/>
        </w:rPr>
      </w:pPr>
      <w:r w:rsidRPr="00AC3B91">
        <w:rPr>
          <w:rFonts w:ascii="Arial" w:hAnsi="Arial" w:cs="Arial"/>
          <w:sz w:val="20"/>
          <w:szCs w:val="20"/>
        </w:rPr>
        <w:t xml:space="preserve">Source: Survey Data </w:t>
      </w:r>
      <w:r w:rsidRPr="00AC3B91">
        <w:rPr>
          <w:rFonts w:ascii="Arial" w:hAnsi="Arial" w:cs="Arial"/>
          <w:sz w:val="20"/>
          <w:szCs w:val="20"/>
        </w:rPr>
        <w:tab/>
        <w:t>(Figures in parenthesis are in percentages)</w:t>
      </w:r>
    </w:p>
    <w:p w14:paraId="5E6A200C" w14:textId="4BC2965F" w:rsidR="008A78FA" w:rsidRPr="003774F5" w:rsidRDefault="003774F5" w:rsidP="008A78FA">
      <w:pPr>
        <w:spacing w:before="240" w:line="360" w:lineRule="auto"/>
        <w:jc w:val="both"/>
        <w:rPr>
          <w:rFonts w:ascii="Arial" w:hAnsi="Arial" w:cs="Arial"/>
          <w:sz w:val="20"/>
          <w:szCs w:val="20"/>
        </w:rPr>
      </w:pPr>
      <w:r w:rsidRPr="00AC3B91">
        <w:rPr>
          <w:rFonts w:ascii="Arial" w:hAnsi="Arial" w:cs="Arial"/>
          <w:sz w:val="20"/>
          <w:szCs w:val="20"/>
        </w:rPr>
        <w:t xml:space="preserve">With respect to educational attainment, 187 respondents (62.3%) have completed education up to the higher secondary level (+2), whereas 113 respondents (37.7%) hold a bachelor’s degree. This indicates that the majority of respondents possess basic to intermediate levels of formal education, while a comparatively smaller proportion has attained higher education qualifications. The age distribution reflects a nearly balanced composition within the sample. A total of 153 respondents (51.0%) are below 25 years of age, while 147 respondents (49.0%) are above 25 years. This demonstrates an almost equal representation of younger and relatively older women in the study. Overall, the socio-economic profile suggests that the sample is predominantly composed of Muslim, OBC, and married respondents, with a slight majority belonging to the Above Poverty Line (APL) category. Most respondents have educational attainment up to the higher secondary level, and the age structure is almost evenly divided between those below and above 25 years. The variation observed in economic status, education, and </w:t>
      </w:r>
      <w:r w:rsidRPr="00AC3B91">
        <w:rPr>
          <w:rFonts w:ascii="Arial" w:hAnsi="Arial" w:cs="Arial"/>
          <w:sz w:val="20"/>
          <w:szCs w:val="20"/>
        </w:rPr>
        <w:lastRenderedPageBreak/>
        <w:t>age strengthens the representativeness of the sample and enhances its suitability for rigorous socio-economic analysis</w:t>
      </w:r>
      <w:r w:rsidR="008A78FA" w:rsidRPr="00CD792B">
        <w:rPr>
          <w:rFonts w:ascii="Arial" w:hAnsi="Arial" w:cs="Arial"/>
          <w:color w:val="000000" w:themeColor="text1"/>
          <w:sz w:val="20"/>
          <w:szCs w:val="20"/>
        </w:rPr>
        <w:t>.</w:t>
      </w:r>
    </w:p>
    <w:p w14:paraId="2111A15D" w14:textId="6287A280" w:rsidR="001617E1" w:rsidRPr="00FA5F0C" w:rsidRDefault="003774F5" w:rsidP="001617E1">
      <w:pPr>
        <w:spacing w:line="360" w:lineRule="auto"/>
        <w:jc w:val="both"/>
        <w:rPr>
          <w:rFonts w:ascii="Arial" w:hAnsi="Arial" w:cs="Arial"/>
          <w:b/>
          <w:bCs/>
        </w:rPr>
      </w:pPr>
      <w:r>
        <w:rPr>
          <w:rFonts w:ascii="Arial" w:hAnsi="Arial" w:cs="Arial"/>
          <w:b/>
          <w:bCs/>
        </w:rPr>
        <w:t>5</w:t>
      </w:r>
      <w:r w:rsidR="00E87686" w:rsidRPr="00FA5F0C">
        <w:rPr>
          <w:rFonts w:ascii="Arial" w:hAnsi="Arial" w:cs="Arial"/>
          <w:b/>
          <w:bCs/>
        </w:rPr>
        <w:t xml:space="preserve">.2 </w:t>
      </w:r>
      <w:r w:rsidR="00FA5F0C" w:rsidRPr="00FA5F0C">
        <w:rPr>
          <w:rFonts w:ascii="Arial" w:hAnsi="Arial" w:cs="Arial"/>
          <w:b/>
          <w:bCs/>
        </w:rPr>
        <w:t>Descriptive Statistics of the Variables</w:t>
      </w:r>
    </w:p>
    <w:p w14:paraId="07B10D55" w14:textId="77777777" w:rsidR="003774F5" w:rsidRPr="00AC3B91" w:rsidRDefault="003774F5" w:rsidP="003774F5">
      <w:pPr>
        <w:spacing w:before="240" w:line="360" w:lineRule="auto"/>
        <w:jc w:val="both"/>
        <w:rPr>
          <w:rFonts w:ascii="Arial" w:hAnsi="Arial" w:cs="Arial"/>
          <w:sz w:val="20"/>
          <w:szCs w:val="20"/>
        </w:rPr>
      </w:pPr>
      <w:r w:rsidRPr="00AC3B91">
        <w:rPr>
          <w:rFonts w:ascii="Arial" w:hAnsi="Arial" w:cs="Arial"/>
          <w:sz w:val="20"/>
          <w:szCs w:val="20"/>
        </w:rPr>
        <w:t>Table 2 reports the descriptive statistics of the variables employed to examine income vulnerability among women participating in Kerala’s gig economy. As all variables are binary, the mean values represent the proportion of respondents within each specified category. The dependent variable shows that 52.3 per cent of respondents belong to households with a monthly income below ₹25,000, indicating a considerable level of income vulnerability among women gig workers. The almost even distribution between lower- and higher-income households underscores the instability and unpredictability associated with gig-based earnings. With respect to household composition, 62.7 per cent of respondents reside in female-headed households, implying that women frequently assume the role of primary income earners. This trend reflects evolving household dynamics in Kerala, where women’s engagement in informal and gig employment has become increasingly significant for sustaining household livelihoods. In terms of social background, 68 per cent of respondents belong to the Scheduled Caste category, and 74.7 per cent identify as Muslim. The substantial presence of these socially disadvantaged groups suggests their disproportionate participation in gig work, possibly due to constrained access to stable and formal employment opportunities.</w:t>
      </w:r>
    </w:p>
    <w:p w14:paraId="2E5930C6" w14:textId="77777777" w:rsidR="003774F5" w:rsidRPr="00AC3B91" w:rsidRDefault="003774F5" w:rsidP="003774F5">
      <w:pPr>
        <w:jc w:val="center"/>
        <w:rPr>
          <w:rFonts w:ascii="Arial" w:hAnsi="Arial" w:cs="Arial"/>
          <w:b/>
          <w:bCs/>
          <w:sz w:val="20"/>
          <w:szCs w:val="20"/>
          <w:lang w:val="en-US"/>
        </w:rPr>
      </w:pPr>
      <w:r w:rsidRPr="00AC3B91">
        <w:rPr>
          <w:rFonts w:ascii="Arial" w:hAnsi="Arial" w:cs="Arial"/>
          <w:b/>
          <w:bCs/>
          <w:sz w:val="20"/>
          <w:szCs w:val="20"/>
        </w:rPr>
        <w:t>Table 2: Descriptive Statistics</w:t>
      </w:r>
    </w:p>
    <w:tbl>
      <w:tblPr>
        <w:tblW w:w="8359"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3936"/>
        <w:gridCol w:w="1116"/>
        <w:gridCol w:w="1322"/>
        <w:gridCol w:w="992"/>
        <w:gridCol w:w="993"/>
      </w:tblGrid>
      <w:tr w:rsidR="003774F5" w:rsidRPr="00AC3B91" w14:paraId="3D6F516D" w14:textId="77777777" w:rsidTr="00C3738C">
        <w:trPr>
          <w:trHeight w:val="300"/>
          <w:jc w:val="center"/>
        </w:trPr>
        <w:tc>
          <w:tcPr>
            <w:tcW w:w="3936" w:type="dxa"/>
            <w:noWrap/>
            <w:vAlign w:val="center"/>
            <w:hideMark/>
          </w:tcPr>
          <w:p w14:paraId="2EB0ECEE" w14:textId="77777777" w:rsidR="003774F5" w:rsidRPr="00AC3B91" w:rsidRDefault="003774F5" w:rsidP="00C3738C">
            <w:pPr>
              <w:spacing w:after="0" w:line="360" w:lineRule="auto"/>
              <w:jc w:val="center"/>
              <w:rPr>
                <w:rFonts w:ascii="Arial" w:eastAsia="Times New Roman" w:hAnsi="Arial" w:cs="Arial"/>
                <w:b/>
                <w:bCs/>
                <w:color w:val="000000"/>
                <w:kern w:val="0"/>
                <w:sz w:val="20"/>
                <w:szCs w:val="20"/>
                <w:lang w:eastAsia="en-IN"/>
                <w14:ligatures w14:val="none"/>
              </w:rPr>
            </w:pPr>
            <w:r w:rsidRPr="00AC3B91">
              <w:rPr>
                <w:rFonts w:ascii="Arial" w:eastAsia="Times New Roman" w:hAnsi="Arial" w:cs="Arial"/>
                <w:b/>
                <w:bCs/>
                <w:color w:val="000000"/>
                <w:kern w:val="0"/>
                <w:sz w:val="20"/>
                <w:szCs w:val="20"/>
                <w:lang w:eastAsia="en-IN"/>
                <w14:ligatures w14:val="none"/>
              </w:rPr>
              <w:t>Variable</w:t>
            </w:r>
          </w:p>
        </w:tc>
        <w:tc>
          <w:tcPr>
            <w:tcW w:w="1116" w:type="dxa"/>
            <w:noWrap/>
            <w:vAlign w:val="center"/>
            <w:hideMark/>
          </w:tcPr>
          <w:p w14:paraId="547E277F" w14:textId="77777777" w:rsidR="003774F5" w:rsidRPr="00AC3B91" w:rsidRDefault="003774F5" w:rsidP="00C3738C">
            <w:pPr>
              <w:spacing w:after="0" w:line="360" w:lineRule="auto"/>
              <w:jc w:val="center"/>
              <w:rPr>
                <w:rFonts w:ascii="Arial" w:eastAsia="Times New Roman" w:hAnsi="Arial" w:cs="Arial"/>
                <w:b/>
                <w:bCs/>
                <w:color w:val="000000"/>
                <w:kern w:val="0"/>
                <w:sz w:val="20"/>
                <w:szCs w:val="20"/>
                <w:lang w:eastAsia="en-IN"/>
                <w14:ligatures w14:val="none"/>
              </w:rPr>
            </w:pPr>
            <w:r w:rsidRPr="00AC3B91">
              <w:rPr>
                <w:rFonts w:ascii="Arial" w:eastAsia="Times New Roman" w:hAnsi="Arial" w:cs="Arial"/>
                <w:b/>
                <w:bCs/>
                <w:color w:val="000000"/>
                <w:kern w:val="0"/>
                <w:sz w:val="20"/>
                <w:szCs w:val="20"/>
                <w:lang w:eastAsia="en-IN"/>
                <w14:ligatures w14:val="none"/>
              </w:rPr>
              <w:t>Mean</w:t>
            </w:r>
          </w:p>
        </w:tc>
        <w:tc>
          <w:tcPr>
            <w:tcW w:w="1322" w:type="dxa"/>
            <w:noWrap/>
            <w:vAlign w:val="center"/>
            <w:hideMark/>
          </w:tcPr>
          <w:p w14:paraId="06BE2675" w14:textId="77777777" w:rsidR="003774F5" w:rsidRPr="00AC3B91" w:rsidRDefault="003774F5" w:rsidP="00C3738C">
            <w:pPr>
              <w:spacing w:after="0" w:line="360" w:lineRule="auto"/>
              <w:jc w:val="center"/>
              <w:rPr>
                <w:rFonts w:ascii="Arial" w:eastAsia="Times New Roman" w:hAnsi="Arial" w:cs="Arial"/>
                <w:b/>
                <w:bCs/>
                <w:color w:val="000000"/>
                <w:kern w:val="0"/>
                <w:sz w:val="20"/>
                <w:szCs w:val="20"/>
                <w:lang w:eastAsia="en-IN"/>
                <w14:ligatures w14:val="none"/>
              </w:rPr>
            </w:pPr>
            <w:r w:rsidRPr="00AC3B91">
              <w:rPr>
                <w:rFonts w:ascii="Arial" w:eastAsia="Times New Roman" w:hAnsi="Arial" w:cs="Arial"/>
                <w:b/>
                <w:bCs/>
                <w:color w:val="000000"/>
                <w:kern w:val="0"/>
                <w:sz w:val="20"/>
                <w:szCs w:val="20"/>
                <w:lang w:eastAsia="en-IN"/>
                <w14:ligatures w14:val="none"/>
              </w:rPr>
              <w:t>Std. Dev.</w:t>
            </w:r>
          </w:p>
        </w:tc>
        <w:tc>
          <w:tcPr>
            <w:tcW w:w="992" w:type="dxa"/>
            <w:noWrap/>
            <w:vAlign w:val="center"/>
            <w:hideMark/>
          </w:tcPr>
          <w:p w14:paraId="47D5F885" w14:textId="77777777" w:rsidR="003774F5" w:rsidRPr="00AC3B91" w:rsidRDefault="003774F5" w:rsidP="00C3738C">
            <w:pPr>
              <w:spacing w:after="0" w:line="360" w:lineRule="auto"/>
              <w:jc w:val="center"/>
              <w:rPr>
                <w:rFonts w:ascii="Arial" w:eastAsia="Times New Roman" w:hAnsi="Arial" w:cs="Arial"/>
                <w:b/>
                <w:bCs/>
                <w:color w:val="000000"/>
                <w:kern w:val="0"/>
                <w:sz w:val="20"/>
                <w:szCs w:val="20"/>
                <w:lang w:eastAsia="en-IN"/>
                <w14:ligatures w14:val="none"/>
              </w:rPr>
            </w:pPr>
            <w:r w:rsidRPr="00AC3B91">
              <w:rPr>
                <w:rFonts w:ascii="Arial" w:eastAsia="Times New Roman" w:hAnsi="Arial" w:cs="Arial"/>
                <w:b/>
                <w:bCs/>
                <w:color w:val="000000"/>
                <w:kern w:val="0"/>
                <w:sz w:val="20"/>
                <w:szCs w:val="20"/>
                <w:lang w:eastAsia="en-IN"/>
                <w14:ligatures w14:val="none"/>
              </w:rPr>
              <w:t>Min</w:t>
            </w:r>
          </w:p>
        </w:tc>
        <w:tc>
          <w:tcPr>
            <w:tcW w:w="993" w:type="dxa"/>
            <w:noWrap/>
            <w:vAlign w:val="center"/>
            <w:hideMark/>
          </w:tcPr>
          <w:p w14:paraId="76ABF1FC" w14:textId="77777777" w:rsidR="003774F5" w:rsidRPr="00AC3B91" w:rsidRDefault="003774F5" w:rsidP="00C3738C">
            <w:pPr>
              <w:spacing w:after="0" w:line="360" w:lineRule="auto"/>
              <w:jc w:val="center"/>
              <w:rPr>
                <w:rFonts w:ascii="Arial" w:eastAsia="Times New Roman" w:hAnsi="Arial" w:cs="Arial"/>
                <w:b/>
                <w:bCs/>
                <w:color w:val="000000"/>
                <w:kern w:val="0"/>
                <w:sz w:val="20"/>
                <w:szCs w:val="20"/>
                <w:lang w:eastAsia="en-IN"/>
                <w14:ligatures w14:val="none"/>
              </w:rPr>
            </w:pPr>
            <w:r w:rsidRPr="00AC3B91">
              <w:rPr>
                <w:rFonts w:ascii="Arial" w:eastAsia="Times New Roman" w:hAnsi="Arial" w:cs="Arial"/>
                <w:b/>
                <w:bCs/>
                <w:color w:val="000000"/>
                <w:kern w:val="0"/>
                <w:sz w:val="20"/>
                <w:szCs w:val="20"/>
                <w:lang w:eastAsia="en-IN"/>
                <w14:ligatures w14:val="none"/>
              </w:rPr>
              <w:t>Max</w:t>
            </w:r>
          </w:p>
        </w:tc>
      </w:tr>
      <w:tr w:rsidR="003774F5" w:rsidRPr="00AC3B91" w14:paraId="6B614CCA" w14:textId="77777777" w:rsidTr="00C3738C">
        <w:trPr>
          <w:trHeight w:val="300"/>
          <w:jc w:val="center"/>
        </w:trPr>
        <w:tc>
          <w:tcPr>
            <w:tcW w:w="3936" w:type="dxa"/>
            <w:noWrap/>
            <w:vAlign w:val="center"/>
            <w:hideMark/>
          </w:tcPr>
          <w:p w14:paraId="72938641" w14:textId="77777777" w:rsidR="003774F5" w:rsidRPr="00AC3B91" w:rsidRDefault="003774F5" w:rsidP="00C3738C">
            <w:pPr>
              <w:spacing w:after="0" w:line="360" w:lineRule="auto"/>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Dependent variable</w:t>
            </w:r>
          </w:p>
        </w:tc>
        <w:tc>
          <w:tcPr>
            <w:tcW w:w="1116" w:type="dxa"/>
            <w:noWrap/>
            <w:vAlign w:val="bottom"/>
            <w:hideMark/>
          </w:tcPr>
          <w:p w14:paraId="20926CA4" w14:textId="77777777" w:rsidR="003774F5" w:rsidRPr="00AC3B91" w:rsidRDefault="003774F5" w:rsidP="00C3738C">
            <w:pPr>
              <w:spacing w:after="0" w:line="360" w:lineRule="auto"/>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 </w:t>
            </w:r>
          </w:p>
        </w:tc>
        <w:tc>
          <w:tcPr>
            <w:tcW w:w="1322" w:type="dxa"/>
            <w:noWrap/>
            <w:vAlign w:val="bottom"/>
            <w:hideMark/>
          </w:tcPr>
          <w:p w14:paraId="2C5EA154" w14:textId="77777777" w:rsidR="003774F5" w:rsidRPr="00AC3B91" w:rsidRDefault="003774F5" w:rsidP="00C3738C">
            <w:pPr>
              <w:spacing w:after="0" w:line="360" w:lineRule="auto"/>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 </w:t>
            </w:r>
          </w:p>
        </w:tc>
        <w:tc>
          <w:tcPr>
            <w:tcW w:w="992" w:type="dxa"/>
            <w:noWrap/>
            <w:vAlign w:val="bottom"/>
            <w:hideMark/>
          </w:tcPr>
          <w:p w14:paraId="455FCD83" w14:textId="77777777" w:rsidR="003774F5" w:rsidRPr="00AC3B91" w:rsidRDefault="003774F5" w:rsidP="00C3738C">
            <w:pPr>
              <w:spacing w:after="0" w:line="360" w:lineRule="auto"/>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 </w:t>
            </w:r>
          </w:p>
        </w:tc>
        <w:tc>
          <w:tcPr>
            <w:tcW w:w="993" w:type="dxa"/>
            <w:noWrap/>
            <w:vAlign w:val="bottom"/>
            <w:hideMark/>
          </w:tcPr>
          <w:p w14:paraId="075BE4B3" w14:textId="77777777" w:rsidR="003774F5" w:rsidRPr="00AC3B91" w:rsidRDefault="003774F5" w:rsidP="00C3738C">
            <w:pPr>
              <w:spacing w:after="0" w:line="360" w:lineRule="auto"/>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 </w:t>
            </w:r>
          </w:p>
        </w:tc>
      </w:tr>
      <w:tr w:rsidR="003774F5" w:rsidRPr="00AC3B91" w14:paraId="1DAE29F3" w14:textId="77777777" w:rsidTr="00C3738C">
        <w:trPr>
          <w:trHeight w:val="900"/>
          <w:jc w:val="center"/>
        </w:trPr>
        <w:tc>
          <w:tcPr>
            <w:tcW w:w="3936" w:type="dxa"/>
            <w:vAlign w:val="center"/>
            <w:hideMark/>
          </w:tcPr>
          <w:p w14:paraId="0ECBD035" w14:textId="77777777" w:rsidR="003774F5" w:rsidRPr="00AC3B91" w:rsidRDefault="003774F5" w:rsidP="00C3738C">
            <w:pPr>
              <w:spacing w:after="0" w:line="360" w:lineRule="auto"/>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Monthly Family Income (1 = Below ₹25,000; 0 = Above ₹25,000)</w:t>
            </w:r>
          </w:p>
        </w:tc>
        <w:tc>
          <w:tcPr>
            <w:tcW w:w="1116" w:type="dxa"/>
            <w:noWrap/>
            <w:vAlign w:val="center"/>
            <w:hideMark/>
          </w:tcPr>
          <w:p w14:paraId="3BFF273E"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0.523333</w:t>
            </w:r>
          </w:p>
        </w:tc>
        <w:tc>
          <w:tcPr>
            <w:tcW w:w="1322" w:type="dxa"/>
            <w:noWrap/>
            <w:vAlign w:val="center"/>
            <w:hideMark/>
          </w:tcPr>
          <w:p w14:paraId="469152E2"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0.50029</w:t>
            </w:r>
          </w:p>
        </w:tc>
        <w:tc>
          <w:tcPr>
            <w:tcW w:w="992" w:type="dxa"/>
            <w:noWrap/>
            <w:vAlign w:val="center"/>
            <w:hideMark/>
          </w:tcPr>
          <w:p w14:paraId="50258E61"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w:t>
            </w:r>
          </w:p>
        </w:tc>
        <w:tc>
          <w:tcPr>
            <w:tcW w:w="993" w:type="dxa"/>
            <w:noWrap/>
            <w:vAlign w:val="center"/>
            <w:hideMark/>
          </w:tcPr>
          <w:p w14:paraId="4BD3F6C1"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1</w:t>
            </w:r>
          </w:p>
        </w:tc>
      </w:tr>
      <w:tr w:rsidR="003774F5" w:rsidRPr="00AC3B91" w14:paraId="234AD76F" w14:textId="77777777" w:rsidTr="00C3738C">
        <w:trPr>
          <w:trHeight w:val="300"/>
          <w:jc w:val="center"/>
        </w:trPr>
        <w:tc>
          <w:tcPr>
            <w:tcW w:w="3936" w:type="dxa"/>
            <w:vAlign w:val="center"/>
            <w:hideMark/>
          </w:tcPr>
          <w:p w14:paraId="3D8C0EF8" w14:textId="77777777" w:rsidR="003774F5" w:rsidRPr="00AC3B91" w:rsidRDefault="003774F5" w:rsidP="00C3738C">
            <w:pPr>
              <w:spacing w:after="0" w:line="360" w:lineRule="auto"/>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Independent variables</w:t>
            </w:r>
          </w:p>
        </w:tc>
        <w:tc>
          <w:tcPr>
            <w:tcW w:w="1116" w:type="dxa"/>
            <w:noWrap/>
            <w:vAlign w:val="center"/>
            <w:hideMark/>
          </w:tcPr>
          <w:p w14:paraId="412702B5"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p>
        </w:tc>
        <w:tc>
          <w:tcPr>
            <w:tcW w:w="1322" w:type="dxa"/>
            <w:noWrap/>
            <w:vAlign w:val="center"/>
            <w:hideMark/>
          </w:tcPr>
          <w:p w14:paraId="109F9F97"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p>
        </w:tc>
        <w:tc>
          <w:tcPr>
            <w:tcW w:w="992" w:type="dxa"/>
            <w:noWrap/>
            <w:vAlign w:val="center"/>
            <w:hideMark/>
          </w:tcPr>
          <w:p w14:paraId="56BA226B"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p>
        </w:tc>
        <w:tc>
          <w:tcPr>
            <w:tcW w:w="993" w:type="dxa"/>
            <w:noWrap/>
            <w:vAlign w:val="center"/>
            <w:hideMark/>
          </w:tcPr>
          <w:p w14:paraId="3DC75669"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p>
        </w:tc>
      </w:tr>
      <w:tr w:rsidR="003774F5" w:rsidRPr="00AC3B91" w14:paraId="7A0502F5" w14:textId="77777777" w:rsidTr="00C3738C">
        <w:trPr>
          <w:trHeight w:val="900"/>
          <w:jc w:val="center"/>
        </w:trPr>
        <w:tc>
          <w:tcPr>
            <w:tcW w:w="3936" w:type="dxa"/>
            <w:vAlign w:val="center"/>
            <w:hideMark/>
          </w:tcPr>
          <w:p w14:paraId="09377646" w14:textId="77777777" w:rsidR="003774F5" w:rsidRPr="00AC3B91" w:rsidRDefault="003774F5" w:rsidP="00C3738C">
            <w:pPr>
              <w:spacing w:after="0" w:line="360" w:lineRule="auto"/>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Head of the Household (1 = Female-headed household; 0 = Male-headed household)</w:t>
            </w:r>
          </w:p>
        </w:tc>
        <w:tc>
          <w:tcPr>
            <w:tcW w:w="1116" w:type="dxa"/>
            <w:noWrap/>
            <w:vAlign w:val="center"/>
            <w:hideMark/>
          </w:tcPr>
          <w:p w14:paraId="2FC110B4"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0.626667</w:t>
            </w:r>
          </w:p>
        </w:tc>
        <w:tc>
          <w:tcPr>
            <w:tcW w:w="1322" w:type="dxa"/>
            <w:noWrap/>
            <w:vAlign w:val="center"/>
            <w:hideMark/>
          </w:tcPr>
          <w:p w14:paraId="1CAAA8DA"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0.484498</w:t>
            </w:r>
          </w:p>
        </w:tc>
        <w:tc>
          <w:tcPr>
            <w:tcW w:w="992" w:type="dxa"/>
            <w:noWrap/>
            <w:vAlign w:val="center"/>
            <w:hideMark/>
          </w:tcPr>
          <w:p w14:paraId="5A1C7668"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w:t>
            </w:r>
          </w:p>
        </w:tc>
        <w:tc>
          <w:tcPr>
            <w:tcW w:w="993" w:type="dxa"/>
            <w:noWrap/>
            <w:vAlign w:val="center"/>
            <w:hideMark/>
          </w:tcPr>
          <w:p w14:paraId="10F74B00"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1</w:t>
            </w:r>
          </w:p>
        </w:tc>
      </w:tr>
      <w:tr w:rsidR="003774F5" w:rsidRPr="00AC3B91" w14:paraId="1FCD86C0" w14:textId="77777777" w:rsidTr="00C3738C">
        <w:trPr>
          <w:trHeight w:val="600"/>
          <w:jc w:val="center"/>
        </w:trPr>
        <w:tc>
          <w:tcPr>
            <w:tcW w:w="3936" w:type="dxa"/>
            <w:vAlign w:val="center"/>
            <w:hideMark/>
          </w:tcPr>
          <w:p w14:paraId="2D4F678B" w14:textId="77777777" w:rsidR="003774F5" w:rsidRPr="00AC3B91" w:rsidRDefault="003774F5" w:rsidP="00C3738C">
            <w:pPr>
              <w:spacing w:after="0" w:line="360" w:lineRule="auto"/>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Caste (1 = Scheduled Caste (SC); 0 = OBC)</w:t>
            </w:r>
          </w:p>
        </w:tc>
        <w:tc>
          <w:tcPr>
            <w:tcW w:w="1116" w:type="dxa"/>
            <w:noWrap/>
            <w:vAlign w:val="center"/>
            <w:hideMark/>
          </w:tcPr>
          <w:p w14:paraId="5A4400C2"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0.68</w:t>
            </w:r>
          </w:p>
        </w:tc>
        <w:tc>
          <w:tcPr>
            <w:tcW w:w="1322" w:type="dxa"/>
            <w:noWrap/>
            <w:vAlign w:val="center"/>
            <w:hideMark/>
          </w:tcPr>
          <w:p w14:paraId="7DDDF454"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0.467256</w:t>
            </w:r>
          </w:p>
        </w:tc>
        <w:tc>
          <w:tcPr>
            <w:tcW w:w="992" w:type="dxa"/>
            <w:noWrap/>
            <w:vAlign w:val="center"/>
            <w:hideMark/>
          </w:tcPr>
          <w:p w14:paraId="46F34342"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w:t>
            </w:r>
          </w:p>
        </w:tc>
        <w:tc>
          <w:tcPr>
            <w:tcW w:w="993" w:type="dxa"/>
            <w:noWrap/>
            <w:vAlign w:val="center"/>
            <w:hideMark/>
          </w:tcPr>
          <w:p w14:paraId="7D6827D8"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1</w:t>
            </w:r>
          </w:p>
        </w:tc>
      </w:tr>
      <w:tr w:rsidR="003774F5" w:rsidRPr="00AC3B91" w14:paraId="1CF3F419" w14:textId="77777777" w:rsidTr="00C3738C">
        <w:trPr>
          <w:trHeight w:val="300"/>
          <w:jc w:val="center"/>
        </w:trPr>
        <w:tc>
          <w:tcPr>
            <w:tcW w:w="3936" w:type="dxa"/>
            <w:vAlign w:val="center"/>
            <w:hideMark/>
          </w:tcPr>
          <w:p w14:paraId="2AB74234" w14:textId="77777777" w:rsidR="003774F5" w:rsidRPr="00AC3B91" w:rsidRDefault="003774F5" w:rsidP="00C3738C">
            <w:pPr>
              <w:spacing w:after="0" w:line="360" w:lineRule="auto"/>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Religion (1 = Islam; 0 = Hindu)</w:t>
            </w:r>
          </w:p>
        </w:tc>
        <w:tc>
          <w:tcPr>
            <w:tcW w:w="1116" w:type="dxa"/>
            <w:noWrap/>
            <w:vAlign w:val="center"/>
            <w:hideMark/>
          </w:tcPr>
          <w:p w14:paraId="53737F2F"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0.746667</w:t>
            </w:r>
          </w:p>
        </w:tc>
        <w:tc>
          <w:tcPr>
            <w:tcW w:w="1322" w:type="dxa"/>
            <w:noWrap/>
            <w:vAlign w:val="center"/>
            <w:hideMark/>
          </w:tcPr>
          <w:p w14:paraId="10E3140E"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0.435647</w:t>
            </w:r>
          </w:p>
        </w:tc>
        <w:tc>
          <w:tcPr>
            <w:tcW w:w="992" w:type="dxa"/>
            <w:noWrap/>
            <w:vAlign w:val="center"/>
            <w:hideMark/>
          </w:tcPr>
          <w:p w14:paraId="728518BA"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w:t>
            </w:r>
          </w:p>
        </w:tc>
        <w:tc>
          <w:tcPr>
            <w:tcW w:w="993" w:type="dxa"/>
            <w:noWrap/>
            <w:vAlign w:val="center"/>
            <w:hideMark/>
          </w:tcPr>
          <w:p w14:paraId="771287E3"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1</w:t>
            </w:r>
          </w:p>
        </w:tc>
      </w:tr>
      <w:tr w:rsidR="003774F5" w:rsidRPr="00AC3B91" w14:paraId="0ECC8A04" w14:textId="77777777" w:rsidTr="00C3738C">
        <w:trPr>
          <w:trHeight w:val="600"/>
          <w:jc w:val="center"/>
        </w:trPr>
        <w:tc>
          <w:tcPr>
            <w:tcW w:w="3936" w:type="dxa"/>
            <w:vAlign w:val="center"/>
            <w:hideMark/>
          </w:tcPr>
          <w:p w14:paraId="55E81475" w14:textId="77777777" w:rsidR="003774F5" w:rsidRPr="00AC3B91" w:rsidRDefault="003774F5" w:rsidP="00C3738C">
            <w:pPr>
              <w:spacing w:after="0" w:line="360" w:lineRule="auto"/>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Ration Card Status (1=APL; 0=BPL)</w:t>
            </w:r>
          </w:p>
        </w:tc>
        <w:tc>
          <w:tcPr>
            <w:tcW w:w="1116" w:type="dxa"/>
            <w:noWrap/>
            <w:vAlign w:val="center"/>
            <w:hideMark/>
          </w:tcPr>
          <w:p w14:paraId="4365C13E"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0.713333</w:t>
            </w:r>
          </w:p>
        </w:tc>
        <w:tc>
          <w:tcPr>
            <w:tcW w:w="1322" w:type="dxa"/>
            <w:noWrap/>
            <w:vAlign w:val="center"/>
            <w:hideMark/>
          </w:tcPr>
          <w:p w14:paraId="31B34137"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0.45296</w:t>
            </w:r>
          </w:p>
        </w:tc>
        <w:tc>
          <w:tcPr>
            <w:tcW w:w="992" w:type="dxa"/>
            <w:noWrap/>
            <w:vAlign w:val="center"/>
            <w:hideMark/>
          </w:tcPr>
          <w:p w14:paraId="44D99EB7"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w:t>
            </w:r>
          </w:p>
        </w:tc>
        <w:tc>
          <w:tcPr>
            <w:tcW w:w="993" w:type="dxa"/>
            <w:noWrap/>
            <w:vAlign w:val="center"/>
            <w:hideMark/>
          </w:tcPr>
          <w:p w14:paraId="6BAAB41C"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1</w:t>
            </w:r>
          </w:p>
        </w:tc>
      </w:tr>
      <w:tr w:rsidR="003774F5" w:rsidRPr="00AC3B91" w14:paraId="228ECDD7" w14:textId="77777777" w:rsidTr="00C3738C">
        <w:trPr>
          <w:trHeight w:val="600"/>
          <w:jc w:val="center"/>
        </w:trPr>
        <w:tc>
          <w:tcPr>
            <w:tcW w:w="3936" w:type="dxa"/>
            <w:vAlign w:val="center"/>
            <w:hideMark/>
          </w:tcPr>
          <w:p w14:paraId="57D76809" w14:textId="77777777" w:rsidR="003774F5" w:rsidRPr="00AC3B91" w:rsidRDefault="003774F5" w:rsidP="00C3738C">
            <w:pPr>
              <w:spacing w:after="0" w:line="360" w:lineRule="auto"/>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Age Group (1 = Below 25 years; 0 = Above 25 years)</w:t>
            </w:r>
          </w:p>
        </w:tc>
        <w:tc>
          <w:tcPr>
            <w:tcW w:w="1116" w:type="dxa"/>
            <w:noWrap/>
            <w:vAlign w:val="center"/>
            <w:hideMark/>
          </w:tcPr>
          <w:p w14:paraId="7DBEFE07"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0.51</w:t>
            </w:r>
          </w:p>
        </w:tc>
        <w:tc>
          <w:tcPr>
            <w:tcW w:w="1322" w:type="dxa"/>
            <w:noWrap/>
            <w:vAlign w:val="center"/>
            <w:hideMark/>
          </w:tcPr>
          <w:p w14:paraId="23244DCD"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0.500735</w:t>
            </w:r>
          </w:p>
        </w:tc>
        <w:tc>
          <w:tcPr>
            <w:tcW w:w="992" w:type="dxa"/>
            <w:noWrap/>
            <w:vAlign w:val="center"/>
            <w:hideMark/>
          </w:tcPr>
          <w:p w14:paraId="42C983AB"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w:t>
            </w:r>
          </w:p>
        </w:tc>
        <w:tc>
          <w:tcPr>
            <w:tcW w:w="993" w:type="dxa"/>
            <w:noWrap/>
            <w:vAlign w:val="center"/>
            <w:hideMark/>
          </w:tcPr>
          <w:p w14:paraId="47CD1AED"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1</w:t>
            </w:r>
          </w:p>
        </w:tc>
      </w:tr>
      <w:tr w:rsidR="003774F5" w:rsidRPr="00AC3B91" w14:paraId="6623525B" w14:textId="77777777" w:rsidTr="00C3738C">
        <w:trPr>
          <w:trHeight w:val="600"/>
          <w:jc w:val="center"/>
        </w:trPr>
        <w:tc>
          <w:tcPr>
            <w:tcW w:w="3936" w:type="dxa"/>
            <w:vAlign w:val="center"/>
            <w:hideMark/>
          </w:tcPr>
          <w:p w14:paraId="5B7B7F7B" w14:textId="0DB4D1DC" w:rsidR="003774F5" w:rsidRPr="00AC3B91" w:rsidRDefault="003774F5" w:rsidP="00C3738C">
            <w:pPr>
              <w:spacing w:after="0" w:line="360" w:lineRule="auto"/>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 xml:space="preserve">Educational Qualification (1 = </w:t>
            </w:r>
            <w:r>
              <w:rPr>
                <w:rFonts w:ascii="Arial" w:eastAsia="Times New Roman" w:hAnsi="Arial" w:cs="Arial"/>
                <w:color w:val="000000"/>
                <w:kern w:val="0"/>
                <w:sz w:val="20"/>
                <w:szCs w:val="20"/>
                <w:lang w:eastAsia="en-IN"/>
                <w14:ligatures w14:val="none"/>
              </w:rPr>
              <w:t>Up to</w:t>
            </w:r>
            <w:r w:rsidRPr="00AC3B91">
              <w:rPr>
                <w:rFonts w:ascii="Arial" w:eastAsia="Times New Roman" w:hAnsi="Arial" w:cs="Arial"/>
                <w:color w:val="000000"/>
                <w:kern w:val="0"/>
                <w:sz w:val="20"/>
                <w:szCs w:val="20"/>
                <w:lang w:eastAsia="en-IN"/>
                <w14:ligatures w14:val="none"/>
              </w:rPr>
              <w:t xml:space="preserve"> </w:t>
            </w:r>
            <w:r>
              <w:rPr>
                <w:rFonts w:ascii="Arial" w:eastAsia="Times New Roman" w:hAnsi="Arial" w:cs="Arial"/>
                <w:color w:val="000000"/>
                <w:kern w:val="0"/>
                <w:sz w:val="20"/>
                <w:szCs w:val="20"/>
                <w:lang w:eastAsia="en-IN"/>
                <w14:ligatures w14:val="none"/>
              </w:rPr>
              <w:t>+2</w:t>
            </w:r>
            <w:r w:rsidRPr="00AC3B91">
              <w:rPr>
                <w:rFonts w:ascii="Arial" w:eastAsia="Times New Roman" w:hAnsi="Arial" w:cs="Arial"/>
                <w:color w:val="000000"/>
                <w:kern w:val="0"/>
                <w:sz w:val="20"/>
                <w:szCs w:val="20"/>
                <w:lang w:eastAsia="en-IN"/>
                <w14:ligatures w14:val="none"/>
              </w:rPr>
              <w:t xml:space="preserve">; 0 = </w:t>
            </w:r>
            <w:r>
              <w:rPr>
                <w:rFonts w:ascii="Arial" w:eastAsia="Times New Roman" w:hAnsi="Arial" w:cs="Arial"/>
                <w:color w:val="000000"/>
                <w:kern w:val="0"/>
                <w:sz w:val="20"/>
                <w:szCs w:val="20"/>
                <w:lang w:eastAsia="en-IN"/>
                <w14:ligatures w14:val="none"/>
              </w:rPr>
              <w:t>Degree and above</w:t>
            </w:r>
            <w:r w:rsidRPr="00AC3B91">
              <w:rPr>
                <w:rFonts w:ascii="Arial" w:eastAsia="Times New Roman" w:hAnsi="Arial" w:cs="Arial"/>
                <w:color w:val="000000"/>
                <w:kern w:val="0"/>
                <w:sz w:val="20"/>
                <w:szCs w:val="20"/>
                <w:lang w:eastAsia="en-IN"/>
                <w14:ligatures w14:val="none"/>
              </w:rPr>
              <w:t>)</w:t>
            </w:r>
          </w:p>
        </w:tc>
        <w:tc>
          <w:tcPr>
            <w:tcW w:w="1116" w:type="dxa"/>
            <w:noWrap/>
            <w:vAlign w:val="center"/>
            <w:hideMark/>
          </w:tcPr>
          <w:p w14:paraId="2BD66B60"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0.59</w:t>
            </w:r>
          </w:p>
        </w:tc>
        <w:tc>
          <w:tcPr>
            <w:tcW w:w="1322" w:type="dxa"/>
            <w:noWrap/>
            <w:vAlign w:val="center"/>
            <w:hideMark/>
          </w:tcPr>
          <w:p w14:paraId="5BE2059C"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0.492655</w:t>
            </w:r>
          </w:p>
        </w:tc>
        <w:tc>
          <w:tcPr>
            <w:tcW w:w="992" w:type="dxa"/>
            <w:noWrap/>
            <w:vAlign w:val="center"/>
            <w:hideMark/>
          </w:tcPr>
          <w:p w14:paraId="08FE134F"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w:t>
            </w:r>
          </w:p>
        </w:tc>
        <w:tc>
          <w:tcPr>
            <w:tcW w:w="993" w:type="dxa"/>
            <w:noWrap/>
            <w:vAlign w:val="center"/>
            <w:hideMark/>
          </w:tcPr>
          <w:p w14:paraId="163764D1"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1</w:t>
            </w:r>
          </w:p>
        </w:tc>
      </w:tr>
      <w:tr w:rsidR="003774F5" w:rsidRPr="00AC3B91" w14:paraId="361B34FD" w14:textId="77777777" w:rsidTr="00C3738C">
        <w:trPr>
          <w:trHeight w:val="600"/>
          <w:jc w:val="center"/>
        </w:trPr>
        <w:tc>
          <w:tcPr>
            <w:tcW w:w="3936" w:type="dxa"/>
            <w:vAlign w:val="center"/>
            <w:hideMark/>
          </w:tcPr>
          <w:p w14:paraId="741B623E" w14:textId="77777777" w:rsidR="003774F5" w:rsidRPr="00AC3B91" w:rsidRDefault="003774F5" w:rsidP="00C3738C">
            <w:pPr>
              <w:spacing w:after="0" w:line="360" w:lineRule="auto"/>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Marital Status (1 = Married; 0 = Single)</w:t>
            </w:r>
          </w:p>
        </w:tc>
        <w:tc>
          <w:tcPr>
            <w:tcW w:w="1116" w:type="dxa"/>
            <w:noWrap/>
            <w:vAlign w:val="center"/>
            <w:hideMark/>
          </w:tcPr>
          <w:p w14:paraId="5994E805"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0.813333</w:t>
            </w:r>
          </w:p>
        </w:tc>
        <w:tc>
          <w:tcPr>
            <w:tcW w:w="1322" w:type="dxa"/>
            <w:noWrap/>
            <w:vAlign w:val="center"/>
            <w:hideMark/>
          </w:tcPr>
          <w:p w14:paraId="4095FFA1"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0.390295</w:t>
            </w:r>
          </w:p>
        </w:tc>
        <w:tc>
          <w:tcPr>
            <w:tcW w:w="992" w:type="dxa"/>
            <w:noWrap/>
            <w:vAlign w:val="center"/>
            <w:hideMark/>
          </w:tcPr>
          <w:p w14:paraId="557C87F9"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w:t>
            </w:r>
          </w:p>
        </w:tc>
        <w:tc>
          <w:tcPr>
            <w:tcW w:w="993" w:type="dxa"/>
            <w:noWrap/>
            <w:vAlign w:val="center"/>
            <w:hideMark/>
          </w:tcPr>
          <w:p w14:paraId="2579360C"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1</w:t>
            </w:r>
          </w:p>
        </w:tc>
      </w:tr>
      <w:tr w:rsidR="003774F5" w:rsidRPr="00AC3B91" w14:paraId="14F0C1F3" w14:textId="77777777" w:rsidTr="00C3738C">
        <w:trPr>
          <w:trHeight w:val="300"/>
          <w:jc w:val="center"/>
        </w:trPr>
        <w:tc>
          <w:tcPr>
            <w:tcW w:w="3936" w:type="dxa"/>
            <w:vAlign w:val="center"/>
            <w:hideMark/>
          </w:tcPr>
          <w:p w14:paraId="4CCCA474" w14:textId="77777777" w:rsidR="003774F5" w:rsidRPr="00AC3B91" w:rsidRDefault="003774F5" w:rsidP="00C3738C">
            <w:pPr>
              <w:spacing w:after="0" w:line="360" w:lineRule="auto"/>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Children (1 = Yes; 0 = No)</w:t>
            </w:r>
          </w:p>
        </w:tc>
        <w:tc>
          <w:tcPr>
            <w:tcW w:w="1116" w:type="dxa"/>
            <w:noWrap/>
            <w:vAlign w:val="center"/>
            <w:hideMark/>
          </w:tcPr>
          <w:p w14:paraId="61CDC81C"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0.673333</w:t>
            </w:r>
          </w:p>
        </w:tc>
        <w:tc>
          <w:tcPr>
            <w:tcW w:w="1322" w:type="dxa"/>
            <w:noWrap/>
            <w:vAlign w:val="center"/>
            <w:hideMark/>
          </w:tcPr>
          <w:p w14:paraId="2E82CF70"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0.469778</w:t>
            </w:r>
          </w:p>
        </w:tc>
        <w:tc>
          <w:tcPr>
            <w:tcW w:w="992" w:type="dxa"/>
            <w:noWrap/>
            <w:vAlign w:val="center"/>
            <w:hideMark/>
          </w:tcPr>
          <w:p w14:paraId="6B5CB96D"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w:t>
            </w:r>
          </w:p>
        </w:tc>
        <w:tc>
          <w:tcPr>
            <w:tcW w:w="993" w:type="dxa"/>
            <w:noWrap/>
            <w:vAlign w:val="center"/>
            <w:hideMark/>
          </w:tcPr>
          <w:p w14:paraId="5F427E36"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1</w:t>
            </w:r>
          </w:p>
        </w:tc>
      </w:tr>
      <w:tr w:rsidR="003774F5" w:rsidRPr="00AC3B91" w14:paraId="1918D264" w14:textId="77777777" w:rsidTr="00C3738C">
        <w:trPr>
          <w:trHeight w:val="600"/>
          <w:jc w:val="center"/>
        </w:trPr>
        <w:tc>
          <w:tcPr>
            <w:tcW w:w="3936" w:type="dxa"/>
            <w:vAlign w:val="center"/>
            <w:hideMark/>
          </w:tcPr>
          <w:p w14:paraId="734D4311" w14:textId="77777777" w:rsidR="003774F5" w:rsidRPr="00AC3B91" w:rsidRDefault="003774F5" w:rsidP="00C3738C">
            <w:pPr>
              <w:spacing w:after="0" w:line="360" w:lineRule="auto"/>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lastRenderedPageBreak/>
              <w:t>Place of Residence (1 = Urban; 0 = Rural)</w:t>
            </w:r>
          </w:p>
        </w:tc>
        <w:tc>
          <w:tcPr>
            <w:tcW w:w="1116" w:type="dxa"/>
            <w:noWrap/>
            <w:vAlign w:val="center"/>
            <w:hideMark/>
          </w:tcPr>
          <w:p w14:paraId="7612E16D"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0.86</w:t>
            </w:r>
          </w:p>
        </w:tc>
        <w:tc>
          <w:tcPr>
            <w:tcW w:w="1322" w:type="dxa"/>
            <w:noWrap/>
            <w:vAlign w:val="center"/>
            <w:hideMark/>
          </w:tcPr>
          <w:p w14:paraId="4D5F1559"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0.347567</w:t>
            </w:r>
          </w:p>
        </w:tc>
        <w:tc>
          <w:tcPr>
            <w:tcW w:w="992" w:type="dxa"/>
            <w:noWrap/>
            <w:vAlign w:val="center"/>
            <w:hideMark/>
          </w:tcPr>
          <w:p w14:paraId="53C2CFD2"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w:t>
            </w:r>
          </w:p>
        </w:tc>
        <w:tc>
          <w:tcPr>
            <w:tcW w:w="993" w:type="dxa"/>
            <w:noWrap/>
            <w:vAlign w:val="center"/>
            <w:hideMark/>
          </w:tcPr>
          <w:p w14:paraId="73AB98FB"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1</w:t>
            </w:r>
          </w:p>
        </w:tc>
      </w:tr>
      <w:tr w:rsidR="003774F5" w:rsidRPr="00AC3B91" w14:paraId="1A378BA5" w14:textId="77777777" w:rsidTr="00C3738C">
        <w:trPr>
          <w:trHeight w:val="900"/>
          <w:jc w:val="center"/>
        </w:trPr>
        <w:tc>
          <w:tcPr>
            <w:tcW w:w="3936" w:type="dxa"/>
            <w:vAlign w:val="center"/>
            <w:hideMark/>
          </w:tcPr>
          <w:p w14:paraId="684C0DE2" w14:textId="77777777" w:rsidR="003774F5" w:rsidRPr="00AC3B91" w:rsidRDefault="003774F5" w:rsidP="00C3738C">
            <w:pPr>
              <w:spacing w:after="0" w:line="360" w:lineRule="auto"/>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Household Size (1 = Less than 5 members; 0 = More than 5 members)</w:t>
            </w:r>
          </w:p>
        </w:tc>
        <w:tc>
          <w:tcPr>
            <w:tcW w:w="1116" w:type="dxa"/>
            <w:noWrap/>
            <w:vAlign w:val="center"/>
            <w:hideMark/>
          </w:tcPr>
          <w:p w14:paraId="48BD82D9"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0.73</w:t>
            </w:r>
          </w:p>
        </w:tc>
        <w:tc>
          <w:tcPr>
            <w:tcW w:w="1322" w:type="dxa"/>
            <w:noWrap/>
            <w:vAlign w:val="center"/>
            <w:hideMark/>
          </w:tcPr>
          <w:p w14:paraId="2951A051"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0.444701</w:t>
            </w:r>
          </w:p>
        </w:tc>
        <w:tc>
          <w:tcPr>
            <w:tcW w:w="992" w:type="dxa"/>
            <w:noWrap/>
            <w:vAlign w:val="center"/>
            <w:hideMark/>
          </w:tcPr>
          <w:p w14:paraId="3B8002F7"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w:t>
            </w:r>
          </w:p>
        </w:tc>
        <w:tc>
          <w:tcPr>
            <w:tcW w:w="993" w:type="dxa"/>
            <w:noWrap/>
            <w:vAlign w:val="center"/>
            <w:hideMark/>
          </w:tcPr>
          <w:p w14:paraId="38FE98C5"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1</w:t>
            </w:r>
          </w:p>
        </w:tc>
      </w:tr>
      <w:tr w:rsidR="003774F5" w:rsidRPr="00AC3B91" w14:paraId="739938E4" w14:textId="77777777" w:rsidTr="00C3738C">
        <w:trPr>
          <w:trHeight w:val="900"/>
          <w:jc w:val="center"/>
        </w:trPr>
        <w:tc>
          <w:tcPr>
            <w:tcW w:w="3936" w:type="dxa"/>
            <w:vAlign w:val="center"/>
          </w:tcPr>
          <w:p w14:paraId="5FF4F6C1" w14:textId="77777777" w:rsidR="003774F5" w:rsidRPr="00AC3B91" w:rsidRDefault="003774F5" w:rsidP="00C3738C">
            <w:pPr>
              <w:spacing w:after="0" w:line="360" w:lineRule="auto"/>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Observation</w:t>
            </w:r>
          </w:p>
        </w:tc>
        <w:tc>
          <w:tcPr>
            <w:tcW w:w="1116" w:type="dxa"/>
            <w:noWrap/>
            <w:vAlign w:val="center"/>
          </w:tcPr>
          <w:p w14:paraId="53AB44B2"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300</w:t>
            </w:r>
          </w:p>
        </w:tc>
        <w:tc>
          <w:tcPr>
            <w:tcW w:w="1322" w:type="dxa"/>
            <w:noWrap/>
            <w:vAlign w:val="center"/>
          </w:tcPr>
          <w:p w14:paraId="6C7740CB" w14:textId="77777777" w:rsidR="003774F5" w:rsidRPr="00AC3B91" w:rsidRDefault="003774F5" w:rsidP="00C3738C">
            <w:pPr>
              <w:spacing w:after="0" w:line="360" w:lineRule="auto"/>
              <w:rPr>
                <w:rFonts w:ascii="Arial" w:eastAsia="Times New Roman" w:hAnsi="Arial" w:cs="Arial"/>
                <w:color w:val="000000"/>
                <w:kern w:val="0"/>
                <w:sz w:val="20"/>
                <w:szCs w:val="20"/>
                <w:lang w:eastAsia="en-IN"/>
                <w14:ligatures w14:val="none"/>
              </w:rPr>
            </w:pPr>
          </w:p>
        </w:tc>
        <w:tc>
          <w:tcPr>
            <w:tcW w:w="992" w:type="dxa"/>
            <w:noWrap/>
            <w:vAlign w:val="center"/>
          </w:tcPr>
          <w:p w14:paraId="35FDADAC" w14:textId="77777777" w:rsidR="003774F5" w:rsidRPr="00AC3B91" w:rsidRDefault="003774F5" w:rsidP="00C3738C">
            <w:pPr>
              <w:spacing w:after="0" w:line="360" w:lineRule="auto"/>
              <w:rPr>
                <w:rFonts w:ascii="Arial" w:eastAsia="Times New Roman" w:hAnsi="Arial" w:cs="Arial"/>
                <w:color w:val="000000"/>
                <w:kern w:val="0"/>
                <w:sz w:val="20"/>
                <w:szCs w:val="20"/>
                <w:lang w:eastAsia="en-IN"/>
                <w14:ligatures w14:val="none"/>
              </w:rPr>
            </w:pPr>
          </w:p>
        </w:tc>
        <w:tc>
          <w:tcPr>
            <w:tcW w:w="993" w:type="dxa"/>
            <w:noWrap/>
            <w:vAlign w:val="center"/>
          </w:tcPr>
          <w:p w14:paraId="5FFC781F" w14:textId="77777777" w:rsidR="003774F5" w:rsidRPr="00AC3B91" w:rsidRDefault="003774F5" w:rsidP="00C3738C">
            <w:pPr>
              <w:spacing w:after="0" w:line="360" w:lineRule="auto"/>
              <w:rPr>
                <w:rFonts w:ascii="Arial" w:eastAsia="Times New Roman" w:hAnsi="Arial" w:cs="Arial"/>
                <w:color w:val="000000"/>
                <w:kern w:val="0"/>
                <w:sz w:val="20"/>
                <w:szCs w:val="20"/>
                <w:lang w:eastAsia="en-IN"/>
                <w14:ligatures w14:val="none"/>
              </w:rPr>
            </w:pPr>
          </w:p>
        </w:tc>
      </w:tr>
    </w:tbl>
    <w:p w14:paraId="582877CA" w14:textId="77777777" w:rsidR="003774F5" w:rsidRPr="00AC3B91" w:rsidRDefault="003774F5" w:rsidP="003774F5">
      <w:pPr>
        <w:spacing w:after="0" w:line="360" w:lineRule="auto"/>
        <w:jc w:val="both"/>
        <w:rPr>
          <w:rFonts w:ascii="Arial" w:hAnsi="Arial" w:cs="Arial"/>
          <w:sz w:val="20"/>
          <w:szCs w:val="20"/>
        </w:rPr>
      </w:pPr>
      <w:r w:rsidRPr="00AC3B91">
        <w:rPr>
          <w:rFonts w:ascii="Arial" w:hAnsi="Arial" w:cs="Arial"/>
          <w:sz w:val="20"/>
          <w:szCs w:val="20"/>
        </w:rPr>
        <w:t xml:space="preserve">     Source: Survey Data</w:t>
      </w:r>
    </w:p>
    <w:p w14:paraId="2D11BC0B" w14:textId="1216960C" w:rsidR="008A78FA" w:rsidRPr="003774F5" w:rsidRDefault="003774F5" w:rsidP="003774F5">
      <w:pPr>
        <w:spacing w:before="240" w:line="360" w:lineRule="auto"/>
        <w:jc w:val="both"/>
        <w:rPr>
          <w:rFonts w:ascii="Arial" w:hAnsi="Arial" w:cs="Arial"/>
          <w:sz w:val="20"/>
          <w:szCs w:val="20"/>
        </w:rPr>
      </w:pPr>
      <w:r w:rsidRPr="00AC3B91">
        <w:rPr>
          <w:rFonts w:ascii="Arial" w:hAnsi="Arial" w:cs="Arial"/>
          <w:sz w:val="20"/>
          <w:szCs w:val="20"/>
        </w:rPr>
        <w:t xml:space="preserve">The distribution of ration card status shows that 71.3 per cent of respondents hold APL cards, even though a considerable proportion report low-income levels. This inconsistency points to potential exclusion errors in welfare targeting and indicates limitations in income-based classification systems. Regarding age composition, 51 per cent of respondents are below 25 years, suggesting that the gig workforce is relatively young, although women from various age groups also participate. Educational attainment is generally low, with 59 per cent having education </w:t>
      </w:r>
      <w:r>
        <w:rPr>
          <w:rFonts w:ascii="Arial" w:hAnsi="Arial" w:cs="Arial"/>
          <w:sz w:val="20"/>
          <w:szCs w:val="20"/>
        </w:rPr>
        <w:t>up to the higher secondary</w:t>
      </w:r>
      <w:r w:rsidRPr="00AC3B91">
        <w:rPr>
          <w:rFonts w:ascii="Arial" w:hAnsi="Arial" w:cs="Arial"/>
          <w:sz w:val="20"/>
          <w:szCs w:val="20"/>
        </w:rPr>
        <w:t xml:space="preserve"> level, which may restrict access to formal sector employment opportunities. Family responsibilities are significant among the respondents: 81.3 per cent are married and 67.3 per cent have children, highlighting the dual burden of paid employment and unpaid care work. In terms of residence, 86 per cent live in urban areas, reflecting improved access to gig work opportunities and digital infrastructure. Additionally, 73 per cent belong to smaller households, indicating a possible greater reliance on individual earnings. Overall, the descriptive statistics depict women gig workers as economically vulnerable, socially marginalised, and carrying substantial household responsibilities, thereby establishing a solid basis for subsequent econometric analysis</w:t>
      </w:r>
      <w:r w:rsidR="008A78FA" w:rsidRPr="00CD792B">
        <w:rPr>
          <w:rFonts w:ascii="Arial" w:hAnsi="Arial" w:cs="Arial"/>
          <w:color w:val="000000" w:themeColor="text1"/>
          <w:sz w:val="20"/>
          <w:szCs w:val="20"/>
        </w:rPr>
        <w:t>.</w:t>
      </w:r>
    </w:p>
    <w:p w14:paraId="37E3C4D1" w14:textId="2647F017" w:rsidR="008A78FA" w:rsidRPr="003774F5" w:rsidRDefault="003774F5" w:rsidP="008A78FA">
      <w:pPr>
        <w:spacing w:line="360" w:lineRule="auto"/>
        <w:jc w:val="both"/>
        <w:rPr>
          <w:rFonts w:ascii="Arial" w:hAnsi="Arial" w:cs="Arial"/>
          <w:b/>
          <w:bCs/>
          <w:color w:val="000000" w:themeColor="text1"/>
        </w:rPr>
      </w:pPr>
      <w:r w:rsidRPr="003774F5">
        <w:rPr>
          <w:rFonts w:ascii="Arial" w:hAnsi="Arial" w:cs="Arial"/>
          <w:b/>
          <w:bCs/>
          <w:color w:val="000000" w:themeColor="text1"/>
        </w:rPr>
        <w:t>5</w:t>
      </w:r>
      <w:r w:rsidR="008A78FA" w:rsidRPr="003774F5">
        <w:rPr>
          <w:rFonts w:ascii="Arial" w:hAnsi="Arial" w:cs="Arial"/>
          <w:b/>
          <w:bCs/>
          <w:color w:val="000000" w:themeColor="text1"/>
        </w:rPr>
        <w:t xml:space="preserve">.3 </w:t>
      </w:r>
      <w:r w:rsidRPr="003774F5">
        <w:rPr>
          <w:rFonts w:ascii="Arial" w:hAnsi="Arial" w:cs="Arial"/>
          <w:b/>
          <w:bCs/>
        </w:rPr>
        <w:t>Socio-Economic Determinants of Income Vulnerability: Logistic Regression Analysis</w:t>
      </w:r>
    </w:p>
    <w:p w14:paraId="6341A805" w14:textId="77777777" w:rsidR="003774F5" w:rsidRPr="00AC3B91" w:rsidRDefault="003774F5" w:rsidP="003774F5">
      <w:pPr>
        <w:spacing w:before="240" w:line="360" w:lineRule="auto"/>
        <w:jc w:val="both"/>
        <w:rPr>
          <w:rFonts w:ascii="Arial" w:hAnsi="Arial" w:cs="Arial"/>
          <w:sz w:val="20"/>
          <w:szCs w:val="20"/>
        </w:rPr>
      </w:pPr>
      <w:r w:rsidRPr="00AC3B91">
        <w:rPr>
          <w:rFonts w:ascii="Arial" w:hAnsi="Arial" w:cs="Arial"/>
          <w:sz w:val="20"/>
          <w:szCs w:val="20"/>
        </w:rPr>
        <w:t>The logistic regression analysis, conducted on a sample of 300 respondents, investigates the socio-economic determinants of income vulnerability among women participating in Kerala’s gig economy. The dependent variable is monthly family income, coded as 1 for households earning below ₹25,000 and 0 otherwise. The overall model demonstrates modest explanatory power. The likelihood ratio chi-square statistic of 14.28 with nine degrees of freedom indicates that the explanatory variables jointly improve the model relative to the null model; however, the result is not statistically significant at the 5 per cent level (Prob &gt; chi² = 0.1126). This suggests that although the included variables collectively contribute to explaining income vulnerability, a substantial proportion of variation remains unaccounted for. The log-likelihood value of −200.48 and the pseudo R² of 0.0344 further confirm the limited predictive strength of conventional socio-demographic factors in capturing income dynamics within the gig economy, which is influenced by platform structures, demand variability, and informal work arrangements.</w:t>
      </w:r>
    </w:p>
    <w:p w14:paraId="68D7B2E3" w14:textId="77777777" w:rsidR="003774F5" w:rsidRPr="00AC3B91" w:rsidRDefault="003774F5" w:rsidP="003774F5">
      <w:pPr>
        <w:spacing w:before="240" w:line="360" w:lineRule="auto"/>
        <w:jc w:val="center"/>
        <w:rPr>
          <w:rFonts w:ascii="Arial" w:hAnsi="Arial" w:cs="Arial"/>
          <w:b/>
          <w:bCs/>
          <w:sz w:val="20"/>
          <w:szCs w:val="20"/>
        </w:rPr>
      </w:pPr>
      <w:r w:rsidRPr="00AC3B91">
        <w:rPr>
          <w:rFonts w:ascii="Arial" w:hAnsi="Arial" w:cs="Arial"/>
          <w:b/>
          <w:bCs/>
          <w:sz w:val="20"/>
          <w:szCs w:val="20"/>
        </w:rPr>
        <w:t>Table 3: Logistic Regression Estimates of the Determinants of Income Vulnerability</w:t>
      </w:r>
    </w:p>
    <w:tbl>
      <w:tblPr>
        <w:tblW w:w="8648" w:type="dxa"/>
        <w:jc w:val="center"/>
        <w:tblBorders>
          <w:top w:val="single" w:sz="4" w:space="0" w:color="auto"/>
          <w:bottom w:val="single" w:sz="4" w:space="0" w:color="auto"/>
        </w:tblBorders>
        <w:tblLook w:val="04A0" w:firstRow="1" w:lastRow="0" w:firstColumn="1" w:lastColumn="0" w:noHBand="0" w:noVBand="1"/>
      </w:tblPr>
      <w:tblGrid>
        <w:gridCol w:w="1801"/>
        <w:gridCol w:w="1336"/>
        <w:gridCol w:w="941"/>
        <w:gridCol w:w="1020"/>
        <w:gridCol w:w="1134"/>
        <w:gridCol w:w="2416"/>
      </w:tblGrid>
      <w:tr w:rsidR="003774F5" w:rsidRPr="00AC3B91" w14:paraId="18DF0E65" w14:textId="77777777" w:rsidTr="00C3738C">
        <w:trPr>
          <w:trHeight w:val="600"/>
          <w:jc w:val="center"/>
        </w:trPr>
        <w:tc>
          <w:tcPr>
            <w:tcW w:w="1801" w:type="dxa"/>
            <w:tcBorders>
              <w:top w:val="single" w:sz="4" w:space="0" w:color="auto"/>
              <w:bottom w:val="single" w:sz="4" w:space="0" w:color="auto"/>
            </w:tcBorders>
            <w:vAlign w:val="center"/>
            <w:hideMark/>
          </w:tcPr>
          <w:p w14:paraId="35F69DF6" w14:textId="77777777" w:rsidR="003774F5" w:rsidRPr="00AC3B91" w:rsidRDefault="003774F5" w:rsidP="00C3738C">
            <w:pPr>
              <w:spacing w:after="0" w:line="360" w:lineRule="auto"/>
              <w:jc w:val="center"/>
              <w:rPr>
                <w:rFonts w:ascii="Arial" w:eastAsia="Times New Roman" w:hAnsi="Arial" w:cs="Arial"/>
                <w:b/>
                <w:bCs/>
                <w:color w:val="000000"/>
                <w:kern w:val="0"/>
                <w:sz w:val="20"/>
                <w:szCs w:val="20"/>
                <w:lang w:eastAsia="en-IN"/>
                <w14:ligatures w14:val="none"/>
              </w:rPr>
            </w:pPr>
            <w:r w:rsidRPr="00AC3B91">
              <w:rPr>
                <w:rFonts w:ascii="Arial" w:eastAsia="Times New Roman" w:hAnsi="Arial" w:cs="Arial"/>
                <w:b/>
                <w:bCs/>
                <w:color w:val="000000"/>
                <w:kern w:val="0"/>
                <w:sz w:val="20"/>
                <w:szCs w:val="20"/>
                <w:lang w:eastAsia="en-IN"/>
                <w14:ligatures w14:val="none"/>
              </w:rPr>
              <w:lastRenderedPageBreak/>
              <w:t>Variable</w:t>
            </w:r>
          </w:p>
        </w:tc>
        <w:tc>
          <w:tcPr>
            <w:tcW w:w="1336" w:type="dxa"/>
            <w:tcBorders>
              <w:top w:val="single" w:sz="4" w:space="0" w:color="auto"/>
              <w:bottom w:val="single" w:sz="4" w:space="0" w:color="auto"/>
            </w:tcBorders>
            <w:vAlign w:val="center"/>
            <w:hideMark/>
          </w:tcPr>
          <w:p w14:paraId="5116A4A2" w14:textId="77777777" w:rsidR="003774F5" w:rsidRPr="00AC3B91" w:rsidRDefault="003774F5" w:rsidP="00C3738C">
            <w:pPr>
              <w:spacing w:after="0" w:line="360" w:lineRule="auto"/>
              <w:jc w:val="center"/>
              <w:rPr>
                <w:rFonts w:ascii="Arial" w:eastAsia="Times New Roman" w:hAnsi="Arial" w:cs="Arial"/>
                <w:b/>
                <w:bCs/>
                <w:color w:val="000000"/>
                <w:kern w:val="0"/>
                <w:sz w:val="20"/>
                <w:szCs w:val="20"/>
                <w:lang w:eastAsia="en-IN"/>
                <w14:ligatures w14:val="none"/>
              </w:rPr>
            </w:pPr>
            <w:r w:rsidRPr="00AC3B91">
              <w:rPr>
                <w:rFonts w:ascii="Arial" w:eastAsia="Times New Roman" w:hAnsi="Arial" w:cs="Arial"/>
                <w:b/>
                <w:bCs/>
                <w:color w:val="000000"/>
                <w:kern w:val="0"/>
                <w:sz w:val="20"/>
                <w:szCs w:val="20"/>
                <w:lang w:eastAsia="en-IN"/>
                <w14:ligatures w14:val="none"/>
              </w:rPr>
              <w:t>Coefficient (β)</w:t>
            </w:r>
          </w:p>
        </w:tc>
        <w:tc>
          <w:tcPr>
            <w:tcW w:w="941" w:type="dxa"/>
            <w:tcBorders>
              <w:top w:val="single" w:sz="4" w:space="0" w:color="auto"/>
              <w:bottom w:val="single" w:sz="4" w:space="0" w:color="auto"/>
            </w:tcBorders>
            <w:vAlign w:val="center"/>
            <w:hideMark/>
          </w:tcPr>
          <w:p w14:paraId="6CB6B284" w14:textId="77777777" w:rsidR="003774F5" w:rsidRPr="00AC3B91" w:rsidRDefault="003774F5" w:rsidP="00C3738C">
            <w:pPr>
              <w:spacing w:after="0" w:line="360" w:lineRule="auto"/>
              <w:jc w:val="center"/>
              <w:rPr>
                <w:rFonts w:ascii="Arial" w:eastAsia="Times New Roman" w:hAnsi="Arial" w:cs="Arial"/>
                <w:b/>
                <w:bCs/>
                <w:color w:val="000000"/>
                <w:kern w:val="0"/>
                <w:sz w:val="20"/>
                <w:szCs w:val="20"/>
                <w:lang w:eastAsia="en-IN"/>
                <w14:ligatures w14:val="none"/>
              </w:rPr>
            </w:pPr>
            <w:r w:rsidRPr="00AC3B91">
              <w:rPr>
                <w:rFonts w:ascii="Arial" w:eastAsia="Times New Roman" w:hAnsi="Arial" w:cs="Arial"/>
                <w:b/>
                <w:bCs/>
                <w:color w:val="000000"/>
                <w:kern w:val="0"/>
                <w:sz w:val="20"/>
                <w:szCs w:val="20"/>
                <w:lang w:eastAsia="en-IN"/>
                <w14:ligatures w14:val="none"/>
              </w:rPr>
              <w:t>Std. Error</w:t>
            </w:r>
          </w:p>
        </w:tc>
        <w:tc>
          <w:tcPr>
            <w:tcW w:w="1020" w:type="dxa"/>
            <w:tcBorders>
              <w:top w:val="single" w:sz="4" w:space="0" w:color="auto"/>
              <w:bottom w:val="single" w:sz="4" w:space="0" w:color="auto"/>
            </w:tcBorders>
            <w:vAlign w:val="center"/>
            <w:hideMark/>
          </w:tcPr>
          <w:p w14:paraId="37EB5FB9" w14:textId="77777777" w:rsidR="003774F5" w:rsidRPr="00AC3B91" w:rsidRDefault="003774F5" w:rsidP="00C3738C">
            <w:pPr>
              <w:spacing w:after="0" w:line="360" w:lineRule="auto"/>
              <w:jc w:val="center"/>
              <w:rPr>
                <w:rFonts w:ascii="Arial" w:eastAsia="Times New Roman" w:hAnsi="Arial" w:cs="Arial"/>
                <w:b/>
                <w:bCs/>
                <w:color w:val="000000"/>
                <w:kern w:val="0"/>
                <w:sz w:val="20"/>
                <w:szCs w:val="20"/>
                <w:lang w:eastAsia="en-IN"/>
                <w14:ligatures w14:val="none"/>
              </w:rPr>
            </w:pPr>
            <w:r w:rsidRPr="00AC3B91">
              <w:rPr>
                <w:rFonts w:ascii="Arial" w:eastAsia="Times New Roman" w:hAnsi="Arial" w:cs="Arial"/>
                <w:b/>
                <w:bCs/>
                <w:color w:val="000000"/>
                <w:kern w:val="0"/>
                <w:sz w:val="20"/>
                <w:szCs w:val="20"/>
                <w:lang w:eastAsia="en-IN"/>
                <w14:ligatures w14:val="none"/>
              </w:rPr>
              <w:t>z-value</w:t>
            </w:r>
          </w:p>
        </w:tc>
        <w:tc>
          <w:tcPr>
            <w:tcW w:w="1134" w:type="dxa"/>
            <w:tcBorders>
              <w:top w:val="single" w:sz="4" w:space="0" w:color="auto"/>
              <w:bottom w:val="single" w:sz="4" w:space="0" w:color="auto"/>
            </w:tcBorders>
            <w:vAlign w:val="center"/>
            <w:hideMark/>
          </w:tcPr>
          <w:p w14:paraId="5BC41A17" w14:textId="77777777" w:rsidR="003774F5" w:rsidRPr="00AC3B91" w:rsidRDefault="003774F5" w:rsidP="00C3738C">
            <w:pPr>
              <w:spacing w:after="0" w:line="360" w:lineRule="auto"/>
              <w:jc w:val="center"/>
              <w:rPr>
                <w:rFonts w:ascii="Arial" w:eastAsia="Times New Roman" w:hAnsi="Arial" w:cs="Arial"/>
                <w:b/>
                <w:bCs/>
                <w:color w:val="000000"/>
                <w:kern w:val="0"/>
                <w:sz w:val="20"/>
                <w:szCs w:val="20"/>
                <w:lang w:eastAsia="en-IN"/>
                <w14:ligatures w14:val="none"/>
              </w:rPr>
            </w:pPr>
            <w:r w:rsidRPr="00AC3B91">
              <w:rPr>
                <w:rFonts w:ascii="Arial" w:eastAsia="Times New Roman" w:hAnsi="Arial" w:cs="Arial"/>
                <w:b/>
                <w:bCs/>
                <w:color w:val="000000"/>
                <w:kern w:val="0"/>
                <w:sz w:val="20"/>
                <w:szCs w:val="20"/>
                <w:lang w:eastAsia="en-IN"/>
                <w14:ligatures w14:val="none"/>
              </w:rPr>
              <w:t>p-value</w:t>
            </w:r>
          </w:p>
        </w:tc>
        <w:tc>
          <w:tcPr>
            <w:tcW w:w="2416" w:type="dxa"/>
            <w:tcBorders>
              <w:top w:val="single" w:sz="4" w:space="0" w:color="auto"/>
              <w:bottom w:val="single" w:sz="4" w:space="0" w:color="auto"/>
            </w:tcBorders>
            <w:vAlign w:val="center"/>
            <w:hideMark/>
          </w:tcPr>
          <w:p w14:paraId="0D29D50D" w14:textId="77777777" w:rsidR="003774F5" w:rsidRPr="00AC3B91" w:rsidRDefault="003774F5" w:rsidP="00C3738C">
            <w:pPr>
              <w:spacing w:after="0" w:line="360" w:lineRule="auto"/>
              <w:jc w:val="center"/>
              <w:rPr>
                <w:rFonts w:ascii="Arial" w:eastAsia="Times New Roman" w:hAnsi="Arial" w:cs="Arial"/>
                <w:b/>
                <w:bCs/>
                <w:color w:val="000000"/>
                <w:kern w:val="0"/>
                <w:sz w:val="20"/>
                <w:szCs w:val="20"/>
                <w:lang w:eastAsia="en-IN"/>
                <w14:ligatures w14:val="none"/>
              </w:rPr>
            </w:pPr>
            <w:r w:rsidRPr="00AC3B91">
              <w:rPr>
                <w:rFonts w:ascii="Arial" w:eastAsia="Times New Roman" w:hAnsi="Arial" w:cs="Arial"/>
                <w:b/>
                <w:bCs/>
                <w:color w:val="000000"/>
                <w:kern w:val="0"/>
                <w:sz w:val="20"/>
                <w:szCs w:val="20"/>
                <w:lang w:eastAsia="en-IN"/>
                <w14:ligatures w14:val="none"/>
              </w:rPr>
              <w:t>95% Confidence Interval</w:t>
            </w:r>
          </w:p>
        </w:tc>
      </w:tr>
      <w:tr w:rsidR="003774F5" w:rsidRPr="00AC3B91" w14:paraId="21DB19F3" w14:textId="77777777" w:rsidTr="00C3738C">
        <w:trPr>
          <w:trHeight w:val="300"/>
          <w:jc w:val="center"/>
        </w:trPr>
        <w:tc>
          <w:tcPr>
            <w:tcW w:w="1801" w:type="dxa"/>
            <w:tcBorders>
              <w:top w:val="single" w:sz="4" w:space="0" w:color="auto"/>
            </w:tcBorders>
            <w:vAlign w:val="center"/>
            <w:hideMark/>
          </w:tcPr>
          <w:p w14:paraId="4037F4C9"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Caste</w:t>
            </w:r>
          </w:p>
        </w:tc>
        <w:tc>
          <w:tcPr>
            <w:tcW w:w="1336" w:type="dxa"/>
            <w:tcBorders>
              <w:top w:val="single" w:sz="4" w:space="0" w:color="auto"/>
            </w:tcBorders>
            <w:vAlign w:val="center"/>
            <w:hideMark/>
          </w:tcPr>
          <w:p w14:paraId="3DB6906C"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−0.1221</w:t>
            </w:r>
          </w:p>
        </w:tc>
        <w:tc>
          <w:tcPr>
            <w:tcW w:w="941" w:type="dxa"/>
            <w:tcBorders>
              <w:top w:val="single" w:sz="4" w:space="0" w:color="auto"/>
            </w:tcBorders>
            <w:vAlign w:val="center"/>
            <w:hideMark/>
          </w:tcPr>
          <w:p w14:paraId="1FCF4B10"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0.268</w:t>
            </w:r>
          </w:p>
        </w:tc>
        <w:tc>
          <w:tcPr>
            <w:tcW w:w="1020" w:type="dxa"/>
            <w:tcBorders>
              <w:top w:val="single" w:sz="4" w:space="0" w:color="auto"/>
            </w:tcBorders>
            <w:vAlign w:val="center"/>
            <w:hideMark/>
          </w:tcPr>
          <w:p w14:paraId="6E7F77C1"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−0.46</w:t>
            </w:r>
          </w:p>
        </w:tc>
        <w:tc>
          <w:tcPr>
            <w:tcW w:w="1134" w:type="dxa"/>
            <w:tcBorders>
              <w:top w:val="single" w:sz="4" w:space="0" w:color="auto"/>
            </w:tcBorders>
            <w:vAlign w:val="center"/>
            <w:hideMark/>
          </w:tcPr>
          <w:p w14:paraId="2B222A3D"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0.649</w:t>
            </w:r>
          </w:p>
        </w:tc>
        <w:tc>
          <w:tcPr>
            <w:tcW w:w="2416" w:type="dxa"/>
            <w:tcBorders>
              <w:top w:val="single" w:sz="4" w:space="0" w:color="auto"/>
            </w:tcBorders>
            <w:vAlign w:val="center"/>
            <w:hideMark/>
          </w:tcPr>
          <w:p w14:paraId="58BB3B34"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[−0.6474, 0.4033]</w:t>
            </w:r>
          </w:p>
        </w:tc>
      </w:tr>
      <w:tr w:rsidR="003774F5" w:rsidRPr="00AC3B91" w14:paraId="6297714F" w14:textId="77777777" w:rsidTr="00C3738C">
        <w:trPr>
          <w:trHeight w:val="300"/>
          <w:jc w:val="center"/>
        </w:trPr>
        <w:tc>
          <w:tcPr>
            <w:tcW w:w="1801" w:type="dxa"/>
            <w:vAlign w:val="center"/>
            <w:hideMark/>
          </w:tcPr>
          <w:p w14:paraId="6D7F53DE"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Religion</w:t>
            </w:r>
          </w:p>
        </w:tc>
        <w:tc>
          <w:tcPr>
            <w:tcW w:w="1336" w:type="dxa"/>
            <w:vAlign w:val="center"/>
            <w:hideMark/>
          </w:tcPr>
          <w:p w14:paraId="48C16E9F"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0.3967</w:t>
            </w:r>
          </w:p>
        </w:tc>
        <w:tc>
          <w:tcPr>
            <w:tcW w:w="941" w:type="dxa"/>
            <w:vAlign w:val="center"/>
            <w:hideMark/>
          </w:tcPr>
          <w:p w14:paraId="3FBDB715"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0.282</w:t>
            </w:r>
          </w:p>
        </w:tc>
        <w:tc>
          <w:tcPr>
            <w:tcW w:w="1020" w:type="dxa"/>
            <w:vAlign w:val="center"/>
            <w:hideMark/>
          </w:tcPr>
          <w:p w14:paraId="6C257AFD"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1.41</w:t>
            </w:r>
          </w:p>
        </w:tc>
        <w:tc>
          <w:tcPr>
            <w:tcW w:w="1134" w:type="dxa"/>
            <w:vAlign w:val="center"/>
            <w:hideMark/>
          </w:tcPr>
          <w:p w14:paraId="74EC3E5B"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0.16</w:t>
            </w:r>
          </w:p>
        </w:tc>
        <w:tc>
          <w:tcPr>
            <w:tcW w:w="2416" w:type="dxa"/>
            <w:vAlign w:val="center"/>
            <w:hideMark/>
          </w:tcPr>
          <w:p w14:paraId="26213267"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[−0.1560, 0.9495]</w:t>
            </w:r>
          </w:p>
        </w:tc>
      </w:tr>
      <w:tr w:rsidR="003774F5" w:rsidRPr="00AC3B91" w14:paraId="40566FD2" w14:textId="77777777" w:rsidTr="00C3738C">
        <w:trPr>
          <w:trHeight w:val="300"/>
          <w:jc w:val="center"/>
        </w:trPr>
        <w:tc>
          <w:tcPr>
            <w:tcW w:w="1801" w:type="dxa"/>
            <w:vAlign w:val="center"/>
            <w:hideMark/>
          </w:tcPr>
          <w:p w14:paraId="66E2C002"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Ration Card</w:t>
            </w:r>
          </w:p>
        </w:tc>
        <w:tc>
          <w:tcPr>
            <w:tcW w:w="1336" w:type="dxa"/>
            <w:vAlign w:val="center"/>
            <w:hideMark/>
          </w:tcPr>
          <w:p w14:paraId="23ED048A"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0.4869</w:t>
            </w:r>
          </w:p>
        </w:tc>
        <w:tc>
          <w:tcPr>
            <w:tcW w:w="941" w:type="dxa"/>
            <w:vAlign w:val="center"/>
            <w:hideMark/>
          </w:tcPr>
          <w:p w14:paraId="56D3E69E"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0.2665</w:t>
            </w:r>
          </w:p>
        </w:tc>
        <w:tc>
          <w:tcPr>
            <w:tcW w:w="1020" w:type="dxa"/>
            <w:vAlign w:val="center"/>
            <w:hideMark/>
          </w:tcPr>
          <w:p w14:paraId="1A4315FD"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1.83</w:t>
            </w:r>
          </w:p>
        </w:tc>
        <w:tc>
          <w:tcPr>
            <w:tcW w:w="1134" w:type="dxa"/>
            <w:vAlign w:val="center"/>
            <w:hideMark/>
          </w:tcPr>
          <w:p w14:paraId="1AAF558B"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0.068*</w:t>
            </w:r>
          </w:p>
        </w:tc>
        <w:tc>
          <w:tcPr>
            <w:tcW w:w="2416" w:type="dxa"/>
            <w:vAlign w:val="center"/>
            <w:hideMark/>
          </w:tcPr>
          <w:p w14:paraId="537165AD"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[−0.0355, 1.0092]</w:t>
            </w:r>
          </w:p>
        </w:tc>
      </w:tr>
      <w:tr w:rsidR="003774F5" w:rsidRPr="00AC3B91" w14:paraId="0E8961EC" w14:textId="77777777" w:rsidTr="00C3738C">
        <w:trPr>
          <w:trHeight w:val="300"/>
          <w:jc w:val="center"/>
        </w:trPr>
        <w:tc>
          <w:tcPr>
            <w:tcW w:w="1801" w:type="dxa"/>
            <w:vAlign w:val="center"/>
            <w:hideMark/>
          </w:tcPr>
          <w:p w14:paraId="4F0C9A30"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Age Group</w:t>
            </w:r>
          </w:p>
        </w:tc>
        <w:tc>
          <w:tcPr>
            <w:tcW w:w="1336" w:type="dxa"/>
            <w:vAlign w:val="center"/>
            <w:hideMark/>
          </w:tcPr>
          <w:p w14:paraId="3184078B"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−0.1314</w:t>
            </w:r>
          </w:p>
        </w:tc>
        <w:tc>
          <w:tcPr>
            <w:tcW w:w="941" w:type="dxa"/>
            <w:vAlign w:val="center"/>
            <w:hideMark/>
          </w:tcPr>
          <w:p w14:paraId="31222CC0"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0.2434</w:t>
            </w:r>
          </w:p>
        </w:tc>
        <w:tc>
          <w:tcPr>
            <w:tcW w:w="1020" w:type="dxa"/>
            <w:vAlign w:val="center"/>
            <w:hideMark/>
          </w:tcPr>
          <w:p w14:paraId="071B7FA5"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−0.54</w:t>
            </w:r>
          </w:p>
        </w:tc>
        <w:tc>
          <w:tcPr>
            <w:tcW w:w="1134" w:type="dxa"/>
            <w:vAlign w:val="center"/>
            <w:hideMark/>
          </w:tcPr>
          <w:p w14:paraId="44FC91C4"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0.589</w:t>
            </w:r>
          </w:p>
        </w:tc>
        <w:tc>
          <w:tcPr>
            <w:tcW w:w="2416" w:type="dxa"/>
            <w:vAlign w:val="center"/>
            <w:hideMark/>
          </w:tcPr>
          <w:p w14:paraId="2870E838"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[−0.6085, 0.3457]</w:t>
            </w:r>
          </w:p>
        </w:tc>
      </w:tr>
      <w:tr w:rsidR="003774F5" w:rsidRPr="00AC3B91" w14:paraId="307DC17B" w14:textId="77777777" w:rsidTr="00C3738C">
        <w:trPr>
          <w:trHeight w:val="300"/>
          <w:jc w:val="center"/>
        </w:trPr>
        <w:tc>
          <w:tcPr>
            <w:tcW w:w="1801" w:type="dxa"/>
            <w:vAlign w:val="center"/>
            <w:hideMark/>
          </w:tcPr>
          <w:p w14:paraId="477E4957"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Education</w:t>
            </w:r>
          </w:p>
        </w:tc>
        <w:tc>
          <w:tcPr>
            <w:tcW w:w="1336" w:type="dxa"/>
            <w:vAlign w:val="center"/>
            <w:hideMark/>
          </w:tcPr>
          <w:p w14:paraId="52D067B2"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0.1079</w:t>
            </w:r>
          </w:p>
        </w:tc>
        <w:tc>
          <w:tcPr>
            <w:tcW w:w="941" w:type="dxa"/>
            <w:vAlign w:val="center"/>
            <w:hideMark/>
          </w:tcPr>
          <w:p w14:paraId="2026F062"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0.2545</w:t>
            </w:r>
          </w:p>
        </w:tc>
        <w:tc>
          <w:tcPr>
            <w:tcW w:w="1020" w:type="dxa"/>
            <w:vAlign w:val="center"/>
            <w:hideMark/>
          </w:tcPr>
          <w:p w14:paraId="10E0957A"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0.42</w:t>
            </w:r>
          </w:p>
        </w:tc>
        <w:tc>
          <w:tcPr>
            <w:tcW w:w="1134" w:type="dxa"/>
            <w:vAlign w:val="center"/>
            <w:hideMark/>
          </w:tcPr>
          <w:p w14:paraId="12D333CD"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0.671</w:t>
            </w:r>
          </w:p>
        </w:tc>
        <w:tc>
          <w:tcPr>
            <w:tcW w:w="2416" w:type="dxa"/>
            <w:vAlign w:val="center"/>
            <w:hideMark/>
          </w:tcPr>
          <w:p w14:paraId="4B770814"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[−0.3909, 0.6067]</w:t>
            </w:r>
          </w:p>
        </w:tc>
      </w:tr>
      <w:tr w:rsidR="003774F5" w:rsidRPr="00AC3B91" w14:paraId="12FA47DD" w14:textId="77777777" w:rsidTr="00C3738C">
        <w:trPr>
          <w:trHeight w:val="300"/>
          <w:jc w:val="center"/>
        </w:trPr>
        <w:tc>
          <w:tcPr>
            <w:tcW w:w="1801" w:type="dxa"/>
            <w:vAlign w:val="center"/>
            <w:hideMark/>
          </w:tcPr>
          <w:p w14:paraId="637459D5"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Marital Status</w:t>
            </w:r>
          </w:p>
        </w:tc>
        <w:tc>
          <w:tcPr>
            <w:tcW w:w="1336" w:type="dxa"/>
            <w:vAlign w:val="center"/>
            <w:hideMark/>
          </w:tcPr>
          <w:p w14:paraId="01A72B88"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0.4157</w:t>
            </w:r>
          </w:p>
        </w:tc>
        <w:tc>
          <w:tcPr>
            <w:tcW w:w="941" w:type="dxa"/>
            <w:vAlign w:val="center"/>
            <w:hideMark/>
          </w:tcPr>
          <w:p w14:paraId="053DAA25"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0.4283</w:t>
            </w:r>
          </w:p>
        </w:tc>
        <w:tc>
          <w:tcPr>
            <w:tcW w:w="1020" w:type="dxa"/>
            <w:vAlign w:val="center"/>
            <w:hideMark/>
          </w:tcPr>
          <w:p w14:paraId="29B50797"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0.97</w:t>
            </w:r>
          </w:p>
        </w:tc>
        <w:tc>
          <w:tcPr>
            <w:tcW w:w="1134" w:type="dxa"/>
            <w:vAlign w:val="center"/>
            <w:hideMark/>
          </w:tcPr>
          <w:p w14:paraId="20F0E908"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0.332</w:t>
            </w:r>
          </w:p>
        </w:tc>
        <w:tc>
          <w:tcPr>
            <w:tcW w:w="2416" w:type="dxa"/>
            <w:vAlign w:val="center"/>
            <w:hideMark/>
          </w:tcPr>
          <w:p w14:paraId="5528A2CC"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[−0.4237, 1.2551]</w:t>
            </w:r>
          </w:p>
        </w:tc>
      </w:tr>
      <w:tr w:rsidR="003774F5" w:rsidRPr="00AC3B91" w14:paraId="002800F6" w14:textId="77777777" w:rsidTr="00C3738C">
        <w:trPr>
          <w:trHeight w:val="300"/>
          <w:jc w:val="center"/>
        </w:trPr>
        <w:tc>
          <w:tcPr>
            <w:tcW w:w="1801" w:type="dxa"/>
            <w:vAlign w:val="center"/>
            <w:hideMark/>
          </w:tcPr>
          <w:p w14:paraId="26A399B1"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Children</w:t>
            </w:r>
          </w:p>
        </w:tc>
        <w:tc>
          <w:tcPr>
            <w:tcW w:w="1336" w:type="dxa"/>
            <w:vAlign w:val="center"/>
            <w:hideMark/>
          </w:tcPr>
          <w:p w14:paraId="6D4BDBD0"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−0.1035</w:t>
            </w:r>
          </w:p>
        </w:tc>
        <w:tc>
          <w:tcPr>
            <w:tcW w:w="941" w:type="dxa"/>
            <w:vAlign w:val="center"/>
            <w:hideMark/>
          </w:tcPr>
          <w:p w14:paraId="123CA377"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0.3599</w:t>
            </w:r>
          </w:p>
        </w:tc>
        <w:tc>
          <w:tcPr>
            <w:tcW w:w="1020" w:type="dxa"/>
            <w:vAlign w:val="center"/>
            <w:hideMark/>
          </w:tcPr>
          <w:p w14:paraId="3B57CB19"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−0.29</w:t>
            </w:r>
          </w:p>
        </w:tc>
        <w:tc>
          <w:tcPr>
            <w:tcW w:w="1134" w:type="dxa"/>
            <w:vAlign w:val="center"/>
            <w:hideMark/>
          </w:tcPr>
          <w:p w14:paraId="321740C5"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0.774</w:t>
            </w:r>
          </w:p>
        </w:tc>
        <w:tc>
          <w:tcPr>
            <w:tcW w:w="2416" w:type="dxa"/>
            <w:vAlign w:val="center"/>
            <w:hideMark/>
          </w:tcPr>
          <w:p w14:paraId="411C925E"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[−0.8089, 0.6018]</w:t>
            </w:r>
          </w:p>
        </w:tc>
      </w:tr>
      <w:tr w:rsidR="003774F5" w:rsidRPr="00AC3B91" w14:paraId="535AF923" w14:textId="77777777" w:rsidTr="00C3738C">
        <w:trPr>
          <w:trHeight w:val="300"/>
          <w:jc w:val="center"/>
        </w:trPr>
        <w:tc>
          <w:tcPr>
            <w:tcW w:w="1801" w:type="dxa"/>
            <w:vAlign w:val="center"/>
            <w:hideMark/>
          </w:tcPr>
          <w:p w14:paraId="19B9848F"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Residence</w:t>
            </w:r>
          </w:p>
        </w:tc>
        <w:tc>
          <w:tcPr>
            <w:tcW w:w="1336" w:type="dxa"/>
            <w:vAlign w:val="center"/>
            <w:hideMark/>
          </w:tcPr>
          <w:p w14:paraId="7D1F1559"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−0.6807</w:t>
            </w:r>
          </w:p>
        </w:tc>
        <w:tc>
          <w:tcPr>
            <w:tcW w:w="941" w:type="dxa"/>
            <w:vAlign w:val="center"/>
            <w:hideMark/>
          </w:tcPr>
          <w:p w14:paraId="2C82F6C5"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0.3582</w:t>
            </w:r>
          </w:p>
        </w:tc>
        <w:tc>
          <w:tcPr>
            <w:tcW w:w="1020" w:type="dxa"/>
            <w:vAlign w:val="center"/>
            <w:hideMark/>
          </w:tcPr>
          <w:p w14:paraId="37419DC9"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−1.90</w:t>
            </w:r>
          </w:p>
        </w:tc>
        <w:tc>
          <w:tcPr>
            <w:tcW w:w="1134" w:type="dxa"/>
            <w:vAlign w:val="center"/>
            <w:hideMark/>
          </w:tcPr>
          <w:p w14:paraId="6B4F0707"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0.057*</w:t>
            </w:r>
          </w:p>
        </w:tc>
        <w:tc>
          <w:tcPr>
            <w:tcW w:w="2416" w:type="dxa"/>
            <w:vAlign w:val="center"/>
            <w:hideMark/>
          </w:tcPr>
          <w:p w14:paraId="51CD7DAB"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[−1.3829, 0.0214]</w:t>
            </w:r>
          </w:p>
        </w:tc>
      </w:tr>
      <w:tr w:rsidR="003774F5" w:rsidRPr="00AC3B91" w14:paraId="678EA6D2" w14:textId="77777777" w:rsidTr="00C3738C">
        <w:trPr>
          <w:trHeight w:val="300"/>
          <w:jc w:val="center"/>
        </w:trPr>
        <w:tc>
          <w:tcPr>
            <w:tcW w:w="1801" w:type="dxa"/>
            <w:vAlign w:val="center"/>
            <w:hideMark/>
          </w:tcPr>
          <w:p w14:paraId="6414A2C2"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Household Size</w:t>
            </w:r>
          </w:p>
        </w:tc>
        <w:tc>
          <w:tcPr>
            <w:tcW w:w="1336" w:type="dxa"/>
            <w:vAlign w:val="center"/>
            <w:hideMark/>
          </w:tcPr>
          <w:p w14:paraId="06B4CDAA"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0.5602</w:t>
            </w:r>
          </w:p>
        </w:tc>
        <w:tc>
          <w:tcPr>
            <w:tcW w:w="941" w:type="dxa"/>
            <w:vAlign w:val="center"/>
            <w:hideMark/>
          </w:tcPr>
          <w:p w14:paraId="6142966C"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0.2738</w:t>
            </w:r>
          </w:p>
        </w:tc>
        <w:tc>
          <w:tcPr>
            <w:tcW w:w="1020" w:type="dxa"/>
            <w:vAlign w:val="center"/>
            <w:hideMark/>
          </w:tcPr>
          <w:p w14:paraId="529198C1"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2.05</w:t>
            </w:r>
          </w:p>
        </w:tc>
        <w:tc>
          <w:tcPr>
            <w:tcW w:w="1134" w:type="dxa"/>
            <w:vAlign w:val="center"/>
            <w:hideMark/>
          </w:tcPr>
          <w:p w14:paraId="369E170E"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0.041**</w:t>
            </w:r>
          </w:p>
        </w:tc>
        <w:tc>
          <w:tcPr>
            <w:tcW w:w="2416" w:type="dxa"/>
            <w:vAlign w:val="center"/>
            <w:hideMark/>
          </w:tcPr>
          <w:p w14:paraId="69E73FFC"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[0.0237, 1.0968]</w:t>
            </w:r>
          </w:p>
        </w:tc>
      </w:tr>
      <w:tr w:rsidR="003774F5" w:rsidRPr="00AC3B91" w14:paraId="4928C814" w14:textId="77777777" w:rsidTr="00C3738C">
        <w:trPr>
          <w:trHeight w:val="300"/>
          <w:jc w:val="center"/>
        </w:trPr>
        <w:tc>
          <w:tcPr>
            <w:tcW w:w="1801" w:type="dxa"/>
            <w:tcBorders>
              <w:bottom w:val="single" w:sz="4" w:space="0" w:color="auto"/>
            </w:tcBorders>
            <w:vAlign w:val="center"/>
            <w:hideMark/>
          </w:tcPr>
          <w:p w14:paraId="66A2C54A"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Constant</w:t>
            </w:r>
          </w:p>
        </w:tc>
        <w:tc>
          <w:tcPr>
            <w:tcW w:w="1336" w:type="dxa"/>
            <w:tcBorders>
              <w:bottom w:val="single" w:sz="4" w:space="0" w:color="auto"/>
            </w:tcBorders>
            <w:vAlign w:val="center"/>
            <w:hideMark/>
          </w:tcPr>
          <w:p w14:paraId="0D77A385"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−0.5527</w:t>
            </w:r>
          </w:p>
        </w:tc>
        <w:tc>
          <w:tcPr>
            <w:tcW w:w="941" w:type="dxa"/>
            <w:tcBorders>
              <w:bottom w:val="single" w:sz="4" w:space="0" w:color="auto"/>
            </w:tcBorders>
            <w:vAlign w:val="center"/>
            <w:hideMark/>
          </w:tcPr>
          <w:p w14:paraId="41C8CD8E"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0.5414</w:t>
            </w:r>
          </w:p>
        </w:tc>
        <w:tc>
          <w:tcPr>
            <w:tcW w:w="1020" w:type="dxa"/>
            <w:tcBorders>
              <w:bottom w:val="single" w:sz="4" w:space="0" w:color="auto"/>
            </w:tcBorders>
            <w:vAlign w:val="center"/>
            <w:hideMark/>
          </w:tcPr>
          <w:p w14:paraId="4F8288D1"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−1.02</w:t>
            </w:r>
          </w:p>
        </w:tc>
        <w:tc>
          <w:tcPr>
            <w:tcW w:w="1134" w:type="dxa"/>
            <w:tcBorders>
              <w:bottom w:val="single" w:sz="4" w:space="0" w:color="auto"/>
            </w:tcBorders>
            <w:vAlign w:val="center"/>
            <w:hideMark/>
          </w:tcPr>
          <w:p w14:paraId="5DC797A9"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0.307</w:t>
            </w:r>
          </w:p>
        </w:tc>
        <w:tc>
          <w:tcPr>
            <w:tcW w:w="2416" w:type="dxa"/>
            <w:tcBorders>
              <w:bottom w:val="single" w:sz="4" w:space="0" w:color="auto"/>
            </w:tcBorders>
            <w:vAlign w:val="center"/>
            <w:hideMark/>
          </w:tcPr>
          <w:p w14:paraId="4D121126"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[−1.6137, 0.5084]</w:t>
            </w:r>
          </w:p>
        </w:tc>
      </w:tr>
      <w:tr w:rsidR="003774F5" w:rsidRPr="00AC3B91" w14:paraId="115F641A" w14:textId="77777777" w:rsidTr="00C3738C">
        <w:trPr>
          <w:trHeight w:val="300"/>
          <w:jc w:val="center"/>
        </w:trPr>
        <w:tc>
          <w:tcPr>
            <w:tcW w:w="1801" w:type="dxa"/>
            <w:tcBorders>
              <w:top w:val="single" w:sz="4" w:space="0" w:color="auto"/>
              <w:bottom w:val="single" w:sz="4" w:space="0" w:color="auto"/>
            </w:tcBorders>
            <w:vAlign w:val="center"/>
          </w:tcPr>
          <w:p w14:paraId="3C9088F9"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Observations</w:t>
            </w:r>
          </w:p>
        </w:tc>
        <w:tc>
          <w:tcPr>
            <w:tcW w:w="1336" w:type="dxa"/>
            <w:tcBorders>
              <w:top w:val="single" w:sz="4" w:space="0" w:color="auto"/>
              <w:bottom w:val="single" w:sz="4" w:space="0" w:color="auto"/>
            </w:tcBorders>
            <w:vAlign w:val="center"/>
          </w:tcPr>
          <w:p w14:paraId="0FE38CE8"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300</w:t>
            </w:r>
          </w:p>
        </w:tc>
        <w:tc>
          <w:tcPr>
            <w:tcW w:w="941" w:type="dxa"/>
            <w:tcBorders>
              <w:top w:val="single" w:sz="4" w:space="0" w:color="auto"/>
              <w:bottom w:val="single" w:sz="4" w:space="0" w:color="auto"/>
            </w:tcBorders>
            <w:vAlign w:val="center"/>
          </w:tcPr>
          <w:p w14:paraId="27A14898"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p>
        </w:tc>
        <w:tc>
          <w:tcPr>
            <w:tcW w:w="1020" w:type="dxa"/>
            <w:tcBorders>
              <w:top w:val="single" w:sz="4" w:space="0" w:color="auto"/>
              <w:bottom w:val="single" w:sz="4" w:space="0" w:color="auto"/>
            </w:tcBorders>
            <w:vAlign w:val="center"/>
          </w:tcPr>
          <w:p w14:paraId="716ABE6A"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p>
        </w:tc>
        <w:tc>
          <w:tcPr>
            <w:tcW w:w="1134" w:type="dxa"/>
            <w:tcBorders>
              <w:top w:val="single" w:sz="4" w:space="0" w:color="auto"/>
              <w:bottom w:val="single" w:sz="4" w:space="0" w:color="auto"/>
            </w:tcBorders>
            <w:vAlign w:val="center"/>
          </w:tcPr>
          <w:p w14:paraId="2717E87D"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p>
        </w:tc>
        <w:tc>
          <w:tcPr>
            <w:tcW w:w="2416" w:type="dxa"/>
            <w:tcBorders>
              <w:top w:val="single" w:sz="4" w:space="0" w:color="auto"/>
              <w:bottom w:val="single" w:sz="4" w:space="0" w:color="auto"/>
            </w:tcBorders>
            <w:vAlign w:val="center"/>
          </w:tcPr>
          <w:p w14:paraId="5B3EC02D"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p>
        </w:tc>
      </w:tr>
    </w:tbl>
    <w:p w14:paraId="1390068D" w14:textId="77777777" w:rsidR="003774F5" w:rsidRPr="00AC3B91" w:rsidRDefault="003774F5" w:rsidP="003774F5">
      <w:pPr>
        <w:spacing w:before="240" w:line="360" w:lineRule="auto"/>
        <w:jc w:val="both"/>
        <w:rPr>
          <w:rFonts w:ascii="Arial" w:hAnsi="Arial" w:cs="Arial"/>
          <w:sz w:val="20"/>
          <w:szCs w:val="20"/>
        </w:rPr>
      </w:pPr>
      <w:r w:rsidRPr="00AC3B91">
        <w:rPr>
          <w:rFonts w:ascii="Arial" w:hAnsi="Arial" w:cs="Arial"/>
          <w:sz w:val="20"/>
          <w:szCs w:val="20"/>
        </w:rPr>
        <w:t>Source: Survey Data</w:t>
      </w:r>
    </w:p>
    <w:p w14:paraId="1757FF2E" w14:textId="77777777" w:rsidR="003774F5" w:rsidRPr="00AC3B91" w:rsidRDefault="003774F5" w:rsidP="003774F5">
      <w:pPr>
        <w:spacing w:line="360" w:lineRule="auto"/>
        <w:jc w:val="both"/>
        <w:rPr>
          <w:rFonts w:ascii="Arial" w:hAnsi="Arial" w:cs="Arial"/>
          <w:sz w:val="20"/>
          <w:szCs w:val="20"/>
        </w:rPr>
      </w:pPr>
      <w:r w:rsidRPr="00AC3B91">
        <w:rPr>
          <w:rFonts w:ascii="Arial" w:hAnsi="Arial" w:cs="Arial"/>
          <w:sz w:val="20"/>
          <w:szCs w:val="20"/>
        </w:rPr>
        <w:t>Among the independent variables, household size emerges as the most significant determinant of income vulnerability. The positive and statistically significant coefficient indicates that women from smaller households are more likely to report monthly family income below ₹25,000. This finding implies that households with fewer members may have restricted opportunities for income pooling and fewer supplementary earners, thereby increasing economic vulnerability. In contrast, larger households may benefit from diversified income sources, shared expenditures, or informal support networks, reducing the likelihood of falling below the income threshold. Place of residence also exerts a meaningful influence on income outcomes. The negative coefficient for urban residence, significant at the 10 per cent level, suggests that women living in urban areas are less likely to experience income vulnerability than their rural counterparts. This may be attributed to better digital infrastructure, greater customer concentration, improved market access, and wider availability of gig work opportunities in urban settings. The marginal significance of this variable highlights the continuing urban–rural divide in access to digital labour markets.</w:t>
      </w:r>
    </w:p>
    <w:p w14:paraId="643547E0" w14:textId="206A80F8" w:rsidR="008A78FA" w:rsidRPr="003774F5" w:rsidRDefault="003774F5" w:rsidP="003774F5">
      <w:pPr>
        <w:spacing w:before="240" w:line="360" w:lineRule="auto"/>
        <w:jc w:val="both"/>
        <w:rPr>
          <w:rFonts w:ascii="Arial" w:hAnsi="Arial" w:cs="Arial"/>
          <w:sz w:val="20"/>
          <w:szCs w:val="20"/>
        </w:rPr>
      </w:pPr>
      <w:r w:rsidRPr="00AC3B91">
        <w:rPr>
          <w:rFonts w:ascii="Arial" w:hAnsi="Arial" w:cs="Arial"/>
          <w:sz w:val="20"/>
          <w:szCs w:val="20"/>
        </w:rPr>
        <w:t xml:space="preserve">Ration card status exhibits a positive coefficient and is marginally significant, indicating that women holding Above Poverty Line (APL) cards are more likely to be income vulnerable than anticipated. This counterintuitive outcome may reflect inaccuracies in welfare targeting and underscores the limitations of conventional poverty classifications in capturing the unstable and fluctuating earnings associated with gig work. It also suggests the transitional economic position of many gig workers, who may not qualify as poor under official criteria yet remain vulnerable to income shocks. Other socio-economic variables—including caste, religion, age group, educational attainment, marital status, and the presence of children—do not show statistically significant effects on income vulnerability. The absence of significant effects for caste and religion may indicate a relative decline in the influence of traditional social hierarchies on gig earnings, where income is more closely linked to platform algorithms and work availability than to social identity. Similarly, the lack of significance for education and age suggests that </w:t>
      </w:r>
      <w:r w:rsidRPr="00AC3B91">
        <w:rPr>
          <w:rFonts w:ascii="Arial" w:hAnsi="Arial" w:cs="Arial"/>
          <w:sz w:val="20"/>
          <w:szCs w:val="20"/>
        </w:rPr>
        <w:lastRenderedPageBreak/>
        <w:t>gig employment may not substantially reward formal human capital or life-cycle advantages. Overall, the findings indicate that income vulnerability among women gig workers is shaped more by household composition and spatial location than by individual socio-demographic characteristics. The modest model fit reflects the complexity of gig-based livelihoods and points to the need for future research incorporating platform-level characteristics, working hours, skill differentiation, and access to social protection. From a policy standpoint, the results highlight the importance of household-oriented interventions, strategies to bridge the urban–rural digital divide, and gig-specific social security measures to mitigate income insecurity among women workers</w:t>
      </w:r>
      <w:r w:rsidR="008A78FA" w:rsidRPr="00CD792B">
        <w:rPr>
          <w:rFonts w:ascii="Arial" w:hAnsi="Arial" w:cs="Arial"/>
          <w:color w:val="000000" w:themeColor="text1"/>
          <w:sz w:val="20"/>
          <w:szCs w:val="20"/>
        </w:rPr>
        <w:t>.</w:t>
      </w:r>
    </w:p>
    <w:p w14:paraId="6B1355AE" w14:textId="09282D38" w:rsidR="008A78FA" w:rsidRPr="003774F5" w:rsidRDefault="003774F5" w:rsidP="008A78FA">
      <w:pPr>
        <w:spacing w:line="360" w:lineRule="auto"/>
        <w:jc w:val="both"/>
        <w:rPr>
          <w:rFonts w:ascii="Arial" w:hAnsi="Arial" w:cs="Arial"/>
          <w:b/>
          <w:bCs/>
          <w:color w:val="000000" w:themeColor="text1"/>
        </w:rPr>
      </w:pPr>
      <w:r w:rsidRPr="003774F5">
        <w:rPr>
          <w:rFonts w:ascii="Arial" w:hAnsi="Arial" w:cs="Arial"/>
          <w:b/>
          <w:bCs/>
          <w:color w:val="000000" w:themeColor="text1"/>
        </w:rPr>
        <w:t>5</w:t>
      </w:r>
      <w:r w:rsidR="008A78FA" w:rsidRPr="003774F5">
        <w:rPr>
          <w:rFonts w:ascii="Arial" w:hAnsi="Arial" w:cs="Arial"/>
          <w:b/>
          <w:bCs/>
          <w:color w:val="000000" w:themeColor="text1"/>
        </w:rPr>
        <w:t xml:space="preserve">.4 </w:t>
      </w:r>
      <w:r w:rsidRPr="003774F5">
        <w:rPr>
          <w:rFonts w:ascii="Arial" w:hAnsi="Arial" w:cs="Arial"/>
          <w:b/>
          <w:bCs/>
        </w:rPr>
        <w:t>Association Between Family Income and Socioeconomic Factors: Chi-Square Analysis</w:t>
      </w:r>
    </w:p>
    <w:p w14:paraId="18B9BD19" w14:textId="77777777" w:rsidR="003774F5" w:rsidRPr="00AC3B91" w:rsidRDefault="003774F5" w:rsidP="003774F5">
      <w:pPr>
        <w:spacing w:before="240" w:line="360" w:lineRule="auto"/>
        <w:jc w:val="both"/>
        <w:rPr>
          <w:rFonts w:ascii="Arial" w:hAnsi="Arial" w:cs="Arial"/>
          <w:sz w:val="20"/>
          <w:szCs w:val="20"/>
        </w:rPr>
      </w:pPr>
      <w:r w:rsidRPr="00AC3B91">
        <w:rPr>
          <w:rFonts w:ascii="Arial" w:hAnsi="Arial" w:cs="Arial"/>
          <w:sz w:val="20"/>
          <w:szCs w:val="20"/>
        </w:rPr>
        <w:t xml:space="preserve">The table presents the results of chi-square tests examining the bivariate associations between monthly family income and selected socio-economic characteristics of women engaged in the gig economy in Kerala. Monthly family income, dichotomized into below and above ₹25,000, is treated as the outcome variable, while caste, religion, ration card status, age group, educational qualification, marital status, presence of children, place of residence, household size, and household headship are considered explanatory factors. The chi-square test evaluates whether the observed differences in income distribution across categories of each variable are statistically significant or attributable to random variation. The results indicate that household size has a statistically significant association with income status (χ² = 3.70, p = 0.054), suggesting that women from smaller households are more likely to experience income vulnerability. This finding underscores the importance of household dependency structures and income-sharing arrangements in shaping economic outcomes among women gig workers. </w:t>
      </w:r>
    </w:p>
    <w:p w14:paraId="289834BC" w14:textId="77777777" w:rsidR="003774F5" w:rsidRPr="00AC3B91" w:rsidRDefault="003774F5" w:rsidP="003774F5">
      <w:pPr>
        <w:jc w:val="center"/>
        <w:rPr>
          <w:rFonts w:ascii="Arial" w:hAnsi="Arial" w:cs="Arial"/>
          <w:b/>
          <w:bCs/>
          <w:sz w:val="20"/>
          <w:szCs w:val="20"/>
        </w:rPr>
      </w:pPr>
      <w:r w:rsidRPr="00AC3B91">
        <w:rPr>
          <w:rFonts w:ascii="Arial" w:hAnsi="Arial" w:cs="Arial"/>
          <w:b/>
          <w:bCs/>
          <w:sz w:val="20"/>
          <w:szCs w:val="20"/>
        </w:rPr>
        <w:t>Table 4: Socioeconomic Variables and Their Association with Monthly Family Income</w:t>
      </w:r>
    </w:p>
    <w:tbl>
      <w:tblPr>
        <w:tblW w:w="8217" w:type="dxa"/>
        <w:jc w:val="center"/>
        <w:tblBorders>
          <w:top w:val="single" w:sz="4" w:space="0" w:color="auto"/>
        </w:tblBorders>
        <w:tblLook w:val="04A0" w:firstRow="1" w:lastRow="0" w:firstColumn="1" w:lastColumn="0" w:noHBand="0" w:noVBand="1"/>
      </w:tblPr>
      <w:tblGrid>
        <w:gridCol w:w="2689"/>
        <w:gridCol w:w="1842"/>
        <w:gridCol w:w="1276"/>
        <w:gridCol w:w="2410"/>
      </w:tblGrid>
      <w:tr w:rsidR="003774F5" w:rsidRPr="00AC3B91" w14:paraId="251AB6D9" w14:textId="77777777" w:rsidTr="00C3738C">
        <w:trPr>
          <w:trHeight w:val="570"/>
          <w:jc w:val="center"/>
        </w:trPr>
        <w:tc>
          <w:tcPr>
            <w:tcW w:w="2689" w:type="dxa"/>
            <w:tcBorders>
              <w:top w:val="single" w:sz="4" w:space="0" w:color="auto"/>
              <w:bottom w:val="single" w:sz="4" w:space="0" w:color="auto"/>
            </w:tcBorders>
            <w:vAlign w:val="center"/>
            <w:hideMark/>
          </w:tcPr>
          <w:p w14:paraId="722BE32A" w14:textId="77777777" w:rsidR="003774F5" w:rsidRPr="00AC3B91" w:rsidRDefault="003774F5" w:rsidP="00C3738C">
            <w:pPr>
              <w:spacing w:after="0" w:line="360" w:lineRule="auto"/>
              <w:jc w:val="center"/>
              <w:rPr>
                <w:rFonts w:ascii="Arial" w:eastAsia="Times New Roman" w:hAnsi="Arial" w:cs="Arial"/>
                <w:b/>
                <w:bCs/>
                <w:color w:val="000000"/>
                <w:kern w:val="0"/>
                <w:sz w:val="20"/>
                <w:szCs w:val="20"/>
                <w:lang w:eastAsia="en-IN"/>
                <w14:ligatures w14:val="none"/>
              </w:rPr>
            </w:pPr>
            <w:r w:rsidRPr="00AC3B91">
              <w:rPr>
                <w:rFonts w:ascii="Arial" w:eastAsia="Times New Roman" w:hAnsi="Arial" w:cs="Arial"/>
                <w:b/>
                <w:bCs/>
                <w:color w:val="000000"/>
                <w:kern w:val="0"/>
                <w:sz w:val="20"/>
                <w:szCs w:val="20"/>
                <w:lang w:eastAsia="en-IN"/>
                <w14:ligatures w14:val="none"/>
              </w:rPr>
              <w:t>Variable</w:t>
            </w:r>
          </w:p>
        </w:tc>
        <w:tc>
          <w:tcPr>
            <w:tcW w:w="1842" w:type="dxa"/>
            <w:tcBorders>
              <w:top w:val="single" w:sz="4" w:space="0" w:color="auto"/>
              <w:bottom w:val="single" w:sz="4" w:space="0" w:color="auto"/>
            </w:tcBorders>
            <w:vAlign w:val="center"/>
            <w:hideMark/>
          </w:tcPr>
          <w:p w14:paraId="18B6BE6B" w14:textId="77777777" w:rsidR="003774F5" w:rsidRPr="00AC3B91" w:rsidRDefault="003774F5" w:rsidP="00C3738C">
            <w:pPr>
              <w:spacing w:after="0" w:line="360" w:lineRule="auto"/>
              <w:jc w:val="center"/>
              <w:rPr>
                <w:rFonts w:ascii="Arial" w:eastAsia="Times New Roman" w:hAnsi="Arial" w:cs="Arial"/>
                <w:b/>
                <w:bCs/>
                <w:color w:val="000000"/>
                <w:kern w:val="0"/>
                <w:sz w:val="20"/>
                <w:szCs w:val="20"/>
                <w:lang w:eastAsia="en-IN"/>
                <w14:ligatures w14:val="none"/>
              </w:rPr>
            </w:pPr>
            <w:r w:rsidRPr="00AC3B91">
              <w:rPr>
                <w:rFonts w:ascii="Arial" w:eastAsia="Times New Roman" w:hAnsi="Arial" w:cs="Arial"/>
                <w:b/>
                <w:bCs/>
                <w:color w:val="000000"/>
                <w:kern w:val="0"/>
                <w:sz w:val="20"/>
                <w:szCs w:val="20"/>
                <w:lang w:eastAsia="en-IN"/>
                <w14:ligatures w14:val="none"/>
              </w:rPr>
              <w:t>χ² value</w:t>
            </w:r>
          </w:p>
        </w:tc>
        <w:tc>
          <w:tcPr>
            <w:tcW w:w="1276" w:type="dxa"/>
            <w:tcBorders>
              <w:top w:val="single" w:sz="4" w:space="0" w:color="auto"/>
              <w:bottom w:val="single" w:sz="4" w:space="0" w:color="auto"/>
            </w:tcBorders>
            <w:vAlign w:val="center"/>
            <w:hideMark/>
          </w:tcPr>
          <w:p w14:paraId="35B3C199" w14:textId="77777777" w:rsidR="003774F5" w:rsidRPr="00AC3B91" w:rsidRDefault="003774F5" w:rsidP="00C3738C">
            <w:pPr>
              <w:spacing w:after="0" w:line="360" w:lineRule="auto"/>
              <w:jc w:val="center"/>
              <w:rPr>
                <w:rFonts w:ascii="Arial" w:eastAsia="Times New Roman" w:hAnsi="Arial" w:cs="Arial"/>
                <w:b/>
                <w:bCs/>
                <w:color w:val="000000"/>
                <w:kern w:val="0"/>
                <w:sz w:val="20"/>
                <w:szCs w:val="20"/>
                <w:lang w:eastAsia="en-IN"/>
                <w14:ligatures w14:val="none"/>
              </w:rPr>
            </w:pPr>
            <w:r w:rsidRPr="00AC3B91">
              <w:rPr>
                <w:rFonts w:ascii="Arial" w:eastAsia="Times New Roman" w:hAnsi="Arial" w:cs="Arial"/>
                <w:b/>
                <w:bCs/>
                <w:color w:val="000000"/>
                <w:kern w:val="0"/>
                <w:sz w:val="20"/>
                <w:szCs w:val="20"/>
                <w:lang w:eastAsia="en-IN"/>
                <w14:ligatures w14:val="none"/>
              </w:rPr>
              <w:t>p-value</w:t>
            </w:r>
          </w:p>
        </w:tc>
        <w:tc>
          <w:tcPr>
            <w:tcW w:w="2410" w:type="dxa"/>
            <w:tcBorders>
              <w:top w:val="single" w:sz="4" w:space="0" w:color="auto"/>
              <w:bottom w:val="single" w:sz="4" w:space="0" w:color="auto"/>
            </w:tcBorders>
            <w:vAlign w:val="center"/>
            <w:hideMark/>
          </w:tcPr>
          <w:p w14:paraId="4C16E34C" w14:textId="77777777" w:rsidR="003774F5" w:rsidRPr="00AC3B91" w:rsidRDefault="003774F5" w:rsidP="00C3738C">
            <w:pPr>
              <w:spacing w:after="0" w:line="360" w:lineRule="auto"/>
              <w:jc w:val="center"/>
              <w:rPr>
                <w:rFonts w:ascii="Arial" w:eastAsia="Times New Roman" w:hAnsi="Arial" w:cs="Arial"/>
                <w:b/>
                <w:bCs/>
                <w:color w:val="000000"/>
                <w:kern w:val="0"/>
                <w:sz w:val="20"/>
                <w:szCs w:val="20"/>
                <w:lang w:eastAsia="en-IN"/>
                <w14:ligatures w14:val="none"/>
              </w:rPr>
            </w:pPr>
            <w:r w:rsidRPr="00AC3B91">
              <w:rPr>
                <w:rFonts w:ascii="Arial" w:eastAsia="Times New Roman" w:hAnsi="Arial" w:cs="Arial"/>
                <w:b/>
                <w:bCs/>
                <w:color w:val="000000"/>
                <w:kern w:val="0"/>
                <w:sz w:val="20"/>
                <w:szCs w:val="20"/>
                <w:lang w:eastAsia="en-IN"/>
                <w14:ligatures w14:val="none"/>
              </w:rPr>
              <w:t>Statistical significance</w:t>
            </w:r>
          </w:p>
        </w:tc>
      </w:tr>
      <w:tr w:rsidR="003774F5" w:rsidRPr="00AC3B91" w14:paraId="398BD48D" w14:textId="77777777" w:rsidTr="00C3738C">
        <w:trPr>
          <w:trHeight w:val="300"/>
          <w:jc w:val="center"/>
        </w:trPr>
        <w:tc>
          <w:tcPr>
            <w:tcW w:w="2689" w:type="dxa"/>
            <w:tcBorders>
              <w:top w:val="single" w:sz="4" w:space="0" w:color="auto"/>
            </w:tcBorders>
            <w:vAlign w:val="center"/>
            <w:hideMark/>
          </w:tcPr>
          <w:p w14:paraId="0CE56D50" w14:textId="77777777" w:rsidR="003774F5" w:rsidRPr="00AC3B91" w:rsidRDefault="003774F5" w:rsidP="00C3738C">
            <w:pPr>
              <w:spacing w:after="0" w:line="360" w:lineRule="auto"/>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Caste (SC / BC)</w:t>
            </w:r>
          </w:p>
        </w:tc>
        <w:tc>
          <w:tcPr>
            <w:tcW w:w="1842" w:type="dxa"/>
            <w:tcBorders>
              <w:top w:val="single" w:sz="4" w:space="0" w:color="auto"/>
            </w:tcBorders>
            <w:vAlign w:val="center"/>
            <w:hideMark/>
          </w:tcPr>
          <w:p w14:paraId="589F5EAB"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0.0035</w:t>
            </w:r>
          </w:p>
        </w:tc>
        <w:tc>
          <w:tcPr>
            <w:tcW w:w="1276" w:type="dxa"/>
            <w:tcBorders>
              <w:top w:val="single" w:sz="4" w:space="0" w:color="auto"/>
            </w:tcBorders>
            <w:vAlign w:val="center"/>
            <w:hideMark/>
          </w:tcPr>
          <w:p w14:paraId="74FFA055"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0.953</w:t>
            </w:r>
          </w:p>
        </w:tc>
        <w:tc>
          <w:tcPr>
            <w:tcW w:w="2410" w:type="dxa"/>
            <w:tcBorders>
              <w:top w:val="single" w:sz="4" w:space="0" w:color="auto"/>
            </w:tcBorders>
            <w:vAlign w:val="center"/>
            <w:hideMark/>
          </w:tcPr>
          <w:p w14:paraId="0DB6D165"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Not significant</w:t>
            </w:r>
          </w:p>
        </w:tc>
      </w:tr>
      <w:tr w:rsidR="003774F5" w:rsidRPr="00AC3B91" w14:paraId="75F9DA1B" w14:textId="77777777" w:rsidTr="00C3738C">
        <w:trPr>
          <w:trHeight w:val="600"/>
          <w:jc w:val="center"/>
        </w:trPr>
        <w:tc>
          <w:tcPr>
            <w:tcW w:w="2689" w:type="dxa"/>
            <w:vAlign w:val="center"/>
            <w:hideMark/>
          </w:tcPr>
          <w:p w14:paraId="4465FC4A" w14:textId="77777777" w:rsidR="003774F5" w:rsidRPr="00AC3B91" w:rsidRDefault="003774F5" w:rsidP="00C3738C">
            <w:pPr>
              <w:spacing w:after="0" w:line="360" w:lineRule="auto"/>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Religion (Islam / Hindu)</w:t>
            </w:r>
          </w:p>
        </w:tc>
        <w:tc>
          <w:tcPr>
            <w:tcW w:w="1842" w:type="dxa"/>
            <w:vAlign w:val="center"/>
            <w:hideMark/>
          </w:tcPr>
          <w:p w14:paraId="178C7F46"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1.6096</w:t>
            </w:r>
          </w:p>
        </w:tc>
        <w:tc>
          <w:tcPr>
            <w:tcW w:w="1276" w:type="dxa"/>
            <w:vAlign w:val="center"/>
            <w:hideMark/>
          </w:tcPr>
          <w:p w14:paraId="03FB527C"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0.205</w:t>
            </w:r>
          </w:p>
        </w:tc>
        <w:tc>
          <w:tcPr>
            <w:tcW w:w="2410" w:type="dxa"/>
            <w:vAlign w:val="center"/>
            <w:hideMark/>
          </w:tcPr>
          <w:p w14:paraId="5B981F69"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Not significant</w:t>
            </w:r>
          </w:p>
        </w:tc>
      </w:tr>
      <w:tr w:rsidR="003774F5" w:rsidRPr="00AC3B91" w14:paraId="4995221A" w14:textId="77777777" w:rsidTr="00C3738C">
        <w:trPr>
          <w:trHeight w:val="600"/>
          <w:jc w:val="center"/>
        </w:trPr>
        <w:tc>
          <w:tcPr>
            <w:tcW w:w="2689" w:type="dxa"/>
            <w:vAlign w:val="center"/>
            <w:hideMark/>
          </w:tcPr>
          <w:p w14:paraId="0D312B48" w14:textId="77777777" w:rsidR="003774F5" w:rsidRPr="00AC3B91" w:rsidRDefault="003774F5" w:rsidP="00C3738C">
            <w:pPr>
              <w:spacing w:after="0" w:line="360" w:lineRule="auto"/>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Ration Card Status (APL / BPL)</w:t>
            </w:r>
          </w:p>
        </w:tc>
        <w:tc>
          <w:tcPr>
            <w:tcW w:w="1842" w:type="dxa"/>
            <w:vAlign w:val="center"/>
            <w:hideMark/>
          </w:tcPr>
          <w:p w14:paraId="32562B2B"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3.208</w:t>
            </w:r>
          </w:p>
        </w:tc>
        <w:tc>
          <w:tcPr>
            <w:tcW w:w="1276" w:type="dxa"/>
            <w:vAlign w:val="center"/>
            <w:hideMark/>
          </w:tcPr>
          <w:p w14:paraId="2EC2EB70"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0.073</w:t>
            </w:r>
          </w:p>
        </w:tc>
        <w:tc>
          <w:tcPr>
            <w:tcW w:w="2410" w:type="dxa"/>
            <w:vAlign w:val="center"/>
            <w:hideMark/>
          </w:tcPr>
          <w:p w14:paraId="06CEE0DD"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Marginally significant (10%)</w:t>
            </w:r>
          </w:p>
        </w:tc>
      </w:tr>
      <w:tr w:rsidR="003774F5" w:rsidRPr="00AC3B91" w14:paraId="47139B16" w14:textId="77777777" w:rsidTr="00C3738C">
        <w:trPr>
          <w:trHeight w:val="600"/>
          <w:jc w:val="center"/>
        </w:trPr>
        <w:tc>
          <w:tcPr>
            <w:tcW w:w="2689" w:type="dxa"/>
            <w:vAlign w:val="center"/>
            <w:hideMark/>
          </w:tcPr>
          <w:p w14:paraId="794A128A" w14:textId="77777777" w:rsidR="003774F5" w:rsidRPr="00AC3B91" w:rsidRDefault="003774F5" w:rsidP="00C3738C">
            <w:pPr>
              <w:spacing w:after="0" w:line="360" w:lineRule="auto"/>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Age Group (Below 25 / Above 25)</w:t>
            </w:r>
          </w:p>
        </w:tc>
        <w:tc>
          <w:tcPr>
            <w:tcW w:w="1842" w:type="dxa"/>
            <w:vAlign w:val="center"/>
            <w:hideMark/>
          </w:tcPr>
          <w:p w14:paraId="29B622D5"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0.504</w:t>
            </w:r>
          </w:p>
        </w:tc>
        <w:tc>
          <w:tcPr>
            <w:tcW w:w="1276" w:type="dxa"/>
            <w:vAlign w:val="center"/>
            <w:hideMark/>
          </w:tcPr>
          <w:p w14:paraId="4B631208"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0.478</w:t>
            </w:r>
          </w:p>
        </w:tc>
        <w:tc>
          <w:tcPr>
            <w:tcW w:w="2410" w:type="dxa"/>
            <w:vAlign w:val="center"/>
            <w:hideMark/>
          </w:tcPr>
          <w:p w14:paraId="32B78FC7"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Not significant</w:t>
            </w:r>
          </w:p>
        </w:tc>
      </w:tr>
      <w:tr w:rsidR="003774F5" w:rsidRPr="00AC3B91" w14:paraId="18ED2289" w14:textId="77777777" w:rsidTr="00C3738C">
        <w:trPr>
          <w:trHeight w:val="1200"/>
          <w:jc w:val="center"/>
        </w:trPr>
        <w:tc>
          <w:tcPr>
            <w:tcW w:w="2689" w:type="dxa"/>
            <w:vAlign w:val="center"/>
            <w:hideMark/>
          </w:tcPr>
          <w:p w14:paraId="56317402" w14:textId="1D3CD9A6" w:rsidR="003774F5" w:rsidRPr="00AC3B91" w:rsidRDefault="003774F5" w:rsidP="00C3738C">
            <w:pPr>
              <w:spacing w:after="0" w:line="360" w:lineRule="auto"/>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Educational Qualification (</w:t>
            </w:r>
            <w:r>
              <w:rPr>
                <w:rFonts w:ascii="Arial" w:eastAsia="Times New Roman" w:hAnsi="Arial" w:cs="Arial"/>
                <w:color w:val="000000"/>
                <w:kern w:val="0"/>
                <w:sz w:val="20"/>
                <w:szCs w:val="20"/>
                <w:lang w:eastAsia="en-IN"/>
                <w14:ligatures w14:val="none"/>
              </w:rPr>
              <w:t>Up to +2</w:t>
            </w:r>
            <w:r w:rsidRPr="00AC3B91">
              <w:rPr>
                <w:rFonts w:ascii="Arial" w:eastAsia="Times New Roman" w:hAnsi="Arial" w:cs="Arial"/>
                <w:color w:val="000000"/>
                <w:kern w:val="0"/>
                <w:sz w:val="20"/>
                <w:szCs w:val="20"/>
                <w:lang w:eastAsia="en-IN"/>
                <w14:ligatures w14:val="none"/>
              </w:rPr>
              <w:t xml:space="preserve"> / </w:t>
            </w:r>
            <w:r>
              <w:rPr>
                <w:rFonts w:ascii="Arial" w:eastAsia="Times New Roman" w:hAnsi="Arial" w:cs="Arial"/>
                <w:color w:val="000000"/>
                <w:kern w:val="0"/>
                <w:sz w:val="20"/>
                <w:szCs w:val="20"/>
                <w:lang w:eastAsia="en-IN"/>
                <w14:ligatures w14:val="none"/>
              </w:rPr>
              <w:t>Degree</w:t>
            </w:r>
            <w:r w:rsidRPr="00AC3B91">
              <w:rPr>
                <w:rFonts w:ascii="Arial" w:eastAsia="Times New Roman" w:hAnsi="Arial" w:cs="Arial"/>
                <w:color w:val="000000"/>
                <w:kern w:val="0"/>
                <w:sz w:val="20"/>
                <w:szCs w:val="20"/>
                <w:lang w:eastAsia="en-IN"/>
                <w14:ligatures w14:val="none"/>
              </w:rPr>
              <w:t>)</w:t>
            </w:r>
          </w:p>
        </w:tc>
        <w:tc>
          <w:tcPr>
            <w:tcW w:w="1842" w:type="dxa"/>
            <w:vAlign w:val="center"/>
            <w:hideMark/>
          </w:tcPr>
          <w:p w14:paraId="423C4279"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0.1037</w:t>
            </w:r>
          </w:p>
        </w:tc>
        <w:tc>
          <w:tcPr>
            <w:tcW w:w="1276" w:type="dxa"/>
            <w:vAlign w:val="center"/>
            <w:hideMark/>
          </w:tcPr>
          <w:p w14:paraId="1CCEFC51"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0.747</w:t>
            </w:r>
          </w:p>
        </w:tc>
        <w:tc>
          <w:tcPr>
            <w:tcW w:w="2410" w:type="dxa"/>
            <w:vAlign w:val="center"/>
            <w:hideMark/>
          </w:tcPr>
          <w:p w14:paraId="4BB27988"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Not significant</w:t>
            </w:r>
          </w:p>
        </w:tc>
      </w:tr>
      <w:tr w:rsidR="003774F5" w:rsidRPr="00AC3B91" w14:paraId="29180F74" w14:textId="77777777" w:rsidTr="00C3738C">
        <w:trPr>
          <w:trHeight w:val="600"/>
          <w:jc w:val="center"/>
        </w:trPr>
        <w:tc>
          <w:tcPr>
            <w:tcW w:w="2689" w:type="dxa"/>
            <w:vAlign w:val="center"/>
            <w:hideMark/>
          </w:tcPr>
          <w:p w14:paraId="5C52AA39" w14:textId="77777777" w:rsidR="003774F5" w:rsidRPr="00AC3B91" w:rsidRDefault="003774F5" w:rsidP="00C3738C">
            <w:pPr>
              <w:spacing w:after="0" w:line="360" w:lineRule="auto"/>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Marital Status (Married / Single)</w:t>
            </w:r>
          </w:p>
        </w:tc>
        <w:tc>
          <w:tcPr>
            <w:tcW w:w="1842" w:type="dxa"/>
            <w:vAlign w:val="center"/>
            <w:hideMark/>
          </w:tcPr>
          <w:p w14:paraId="6A593F58"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0.9623</w:t>
            </w:r>
          </w:p>
        </w:tc>
        <w:tc>
          <w:tcPr>
            <w:tcW w:w="1276" w:type="dxa"/>
            <w:vAlign w:val="center"/>
            <w:hideMark/>
          </w:tcPr>
          <w:p w14:paraId="7CE00FB9"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0.327</w:t>
            </w:r>
          </w:p>
        </w:tc>
        <w:tc>
          <w:tcPr>
            <w:tcW w:w="2410" w:type="dxa"/>
            <w:vAlign w:val="center"/>
            <w:hideMark/>
          </w:tcPr>
          <w:p w14:paraId="3AC8169B"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Not significant</w:t>
            </w:r>
          </w:p>
        </w:tc>
      </w:tr>
      <w:tr w:rsidR="003774F5" w:rsidRPr="00AC3B91" w14:paraId="636B418D" w14:textId="77777777" w:rsidTr="00C3738C">
        <w:trPr>
          <w:trHeight w:val="300"/>
          <w:jc w:val="center"/>
        </w:trPr>
        <w:tc>
          <w:tcPr>
            <w:tcW w:w="2689" w:type="dxa"/>
            <w:vAlign w:val="center"/>
            <w:hideMark/>
          </w:tcPr>
          <w:p w14:paraId="1B159223" w14:textId="77777777" w:rsidR="003774F5" w:rsidRPr="00AC3B91" w:rsidRDefault="003774F5" w:rsidP="00C3738C">
            <w:pPr>
              <w:spacing w:after="0" w:line="360" w:lineRule="auto"/>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Children (Yes / No)</w:t>
            </w:r>
          </w:p>
        </w:tc>
        <w:tc>
          <w:tcPr>
            <w:tcW w:w="1842" w:type="dxa"/>
            <w:vAlign w:val="center"/>
            <w:hideMark/>
          </w:tcPr>
          <w:p w14:paraId="2593F6A6"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0.1006</w:t>
            </w:r>
          </w:p>
        </w:tc>
        <w:tc>
          <w:tcPr>
            <w:tcW w:w="1276" w:type="dxa"/>
            <w:vAlign w:val="center"/>
            <w:hideMark/>
          </w:tcPr>
          <w:p w14:paraId="3869FF0B"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0.751</w:t>
            </w:r>
          </w:p>
        </w:tc>
        <w:tc>
          <w:tcPr>
            <w:tcW w:w="2410" w:type="dxa"/>
            <w:vAlign w:val="center"/>
            <w:hideMark/>
          </w:tcPr>
          <w:p w14:paraId="556A2070"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Not significant</w:t>
            </w:r>
          </w:p>
        </w:tc>
      </w:tr>
      <w:tr w:rsidR="003774F5" w:rsidRPr="00AC3B91" w14:paraId="7E144A33" w14:textId="77777777" w:rsidTr="00C3738C">
        <w:trPr>
          <w:trHeight w:val="600"/>
          <w:jc w:val="center"/>
        </w:trPr>
        <w:tc>
          <w:tcPr>
            <w:tcW w:w="2689" w:type="dxa"/>
            <w:vAlign w:val="center"/>
            <w:hideMark/>
          </w:tcPr>
          <w:p w14:paraId="24BEA866" w14:textId="77777777" w:rsidR="003774F5" w:rsidRPr="00AC3B91" w:rsidRDefault="003774F5" w:rsidP="00C3738C">
            <w:pPr>
              <w:spacing w:after="0" w:line="360" w:lineRule="auto"/>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lastRenderedPageBreak/>
              <w:t>Place of Residence (Urban / Rural)</w:t>
            </w:r>
          </w:p>
        </w:tc>
        <w:tc>
          <w:tcPr>
            <w:tcW w:w="1842" w:type="dxa"/>
            <w:vAlign w:val="center"/>
            <w:hideMark/>
          </w:tcPr>
          <w:p w14:paraId="414F134B"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2.7968</w:t>
            </w:r>
          </w:p>
        </w:tc>
        <w:tc>
          <w:tcPr>
            <w:tcW w:w="1276" w:type="dxa"/>
            <w:vAlign w:val="center"/>
            <w:hideMark/>
          </w:tcPr>
          <w:p w14:paraId="11A3ED9B"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0.094</w:t>
            </w:r>
          </w:p>
        </w:tc>
        <w:tc>
          <w:tcPr>
            <w:tcW w:w="2410" w:type="dxa"/>
            <w:vAlign w:val="center"/>
            <w:hideMark/>
          </w:tcPr>
          <w:p w14:paraId="58DF001D"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Marginally significant (10%)</w:t>
            </w:r>
          </w:p>
        </w:tc>
      </w:tr>
      <w:tr w:rsidR="003774F5" w:rsidRPr="00AC3B91" w14:paraId="659A9E04" w14:textId="77777777" w:rsidTr="00C3738C">
        <w:trPr>
          <w:trHeight w:val="600"/>
          <w:jc w:val="center"/>
        </w:trPr>
        <w:tc>
          <w:tcPr>
            <w:tcW w:w="2689" w:type="dxa"/>
            <w:vAlign w:val="center"/>
            <w:hideMark/>
          </w:tcPr>
          <w:p w14:paraId="6B6F756B" w14:textId="77777777" w:rsidR="003774F5" w:rsidRPr="00AC3B91" w:rsidRDefault="003774F5" w:rsidP="00C3738C">
            <w:pPr>
              <w:spacing w:after="0" w:line="360" w:lineRule="auto"/>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Household Size (&lt;5 / &gt;5 members)</w:t>
            </w:r>
          </w:p>
        </w:tc>
        <w:tc>
          <w:tcPr>
            <w:tcW w:w="1842" w:type="dxa"/>
            <w:vAlign w:val="center"/>
            <w:hideMark/>
          </w:tcPr>
          <w:p w14:paraId="2DF8837B"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3.7024</w:t>
            </w:r>
          </w:p>
        </w:tc>
        <w:tc>
          <w:tcPr>
            <w:tcW w:w="1276" w:type="dxa"/>
            <w:vAlign w:val="center"/>
            <w:hideMark/>
          </w:tcPr>
          <w:p w14:paraId="31D8D808"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0.054</w:t>
            </w:r>
          </w:p>
        </w:tc>
        <w:tc>
          <w:tcPr>
            <w:tcW w:w="2410" w:type="dxa"/>
            <w:vAlign w:val="center"/>
            <w:hideMark/>
          </w:tcPr>
          <w:p w14:paraId="66E47648"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Significant (5%)</w:t>
            </w:r>
          </w:p>
        </w:tc>
      </w:tr>
      <w:tr w:rsidR="003774F5" w:rsidRPr="00AC3B91" w14:paraId="32DBBB21" w14:textId="77777777" w:rsidTr="00C3738C">
        <w:trPr>
          <w:trHeight w:val="600"/>
          <w:jc w:val="center"/>
        </w:trPr>
        <w:tc>
          <w:tcPr>
            <w:tcW w:w="2689" w:type="dxa"/>
            <w:tcBorders>
              <w:bottom w:val="single" w:sz="4" w:space="0" w:color="auto"/>
            </w:tcBorders>
            <w:vAlign w:val="center"/>
            <w:hideMark/>
          </w:tcPr>
          <w:p w14:paraId="77ACF4F0" w14:textId="77777777" w:rsidR="003774F5" w:rsidRPr="00AC3B91" w:rsidRDefault="003774F5" w:rsidP="00C3738C">
            <w:pPr>
              <w:spacing w:after="0" w:line="360" w:lineRule="auto"/>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Head of Household (Male / Female)</w:t>
            </w:r>
          </w:p>
        </w:tc>
        <w:tc>
          <w:tcPr>
            <w:tcW w:w="1842" w:type="dxa"/>
            <w:tcBorders>
              <w:bottom w:val="single" w:sz="4" w:space="0" w:color="auto"/>
            </w:tcBorders>
            <w:vAlign w:val="center"/>
            <w:hideMark/>
          </w:tcPr>
          <w:p w14:paraId="413D9432"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0.0085</w:t>
            </w:r>
          </w:p>
        </w:tc>
        <w:tc>
          <w:tcPr>
            <w:tcW w:w="1276" w:type="dxa"/>
            <w:tcBorders>
              <w:bottom w:val="single" w:sz="4" w:space="0" w:color="auto"/>
            </w:tcBorders>
            <w:vAlign w:val="center"/>
            <w:hideMark/>
          </w:tcPr>
          <w:p w14:paraId="726B297D"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0.926</w:t>
            </w:r>
          </w:p>
        </w:tc>
        <w:tc>
          <w:tcPr>
            <w:tcW w:w="2410" w:type="dxa"/>
            <w:tcBorders>
              <w:bottom w:val="single" w:sz="4" w:space="0" w:color="auto"/>
            </w:tcBorders>
            <w:vAlign w:val="center"/>
            <w:hideMark/>
          </w:tcPr>
          <w:p w14:paraId="14238CC2" w14:textId="77777777" w:rsidR="003774F5" w:rsidRPr="00AC3B91" w:rsidRDefault="003774F5" w:rsidP="00C3738C">
            <w:pPr>
              <w:spacing w:after="0" w:line="360" w:lineRule="auto"/>
              <w:jc w:val="center"/>
              <w:rPr>
                <w:rFonts w:ascii="Arial" w:eastAsia="Times New Roman" w:hAnsi="Arial" w:cs="Arial"/>
                <w:color w:val="000000"/>
                <w:kern w:val="0"/>
                <w:sz w:val="20"/>
                <w:szCs w:val="20"/>
                <w:lang w:eastAsia="en-IN"/>
                <w14:ligatures w14:val="none"/>
              </w:rPr>
            </w:pPr>
            <w:r w:rsidRPr="00AC3B91">
              <w:rPr>
                <w:rFonts w:ascii="Arial" w:eastAsia="Times New Roman" w:hAnsi="Arial" w:cs="Arial"/>
                <w:color w:val="000000"/>
                <w:kern w:val="0"/>
                <w:sz w:val="20"/>
                <w:szCs w:val="20"/>
                <w:lang w:eastAsia="en-IN"/>
                <w14:ligatures w14:val="none"/>
              </w:rPr>
              <w:t>Not significant</w:t>
            </w:r>
          </w:p>
        </w:tc>
      </w:tr>
    </w:tbl>
    <w:p w14:paraId="32A6B3DC" w14:textId="73946D55" w:rsidR="003774F5" w:rsidRPr="00AC3B91" w:rsidRDefault="003774F5" w:rsidP="003774F5">
      <w:pPr>
        <w:spacing w:line="360" w:lineRule="auto"/>
        <w:jc w:val="both"/>
        <w:rPr>
          <w:rFonts w:ascii="Arial" w:hAnsi="Arial" w:cs="Arial"/>
          <w:sz w:val="20"/>
          <w:szCs w:val="20"/>
        </w:rPr>
      </w:pPr>
      <w:r w:rsidRPr="00AC3B91">
        <w:rPr>
          <w:rFonts w:ascii="Arial" w:hAnsi="Arial" w:cs="Arial"/>
          <w:sz w:val="20"/>
          <w:szCs w:val="20"/>
        </w:rPr>
        <w:t xml:space="preserve">      </w:t>
      </w:r>
      <w:r>
        <w:rPr>
          <w:rFonts w:ascii="Arial" w:hAnsi="Arial" w:cs="Arial"/>
          <w:sz w:val="20"/>
          <w:szCs w:val="20"/>
        </w:rPr>
        <w:t xml:space="preserve"> </w:t>
      </w:r>
      <w:r w:rsidRPr="00AC3B91">
        <w:rPr>
          <w:rFonts w:ascii="Arial" w:hAnsi="Arial" w:cs="Arial"/>
          <w:sz w:val="20"/>
          <w:szCs w:val="20"/>
        </w:rPr>
        <w:t>Source: Survey Data</w:t>
      </w:r>
    </w:p>
    <w:p w14:paraId="404ED4B7" w14:textId="77777777" w:rsidR="003774F5" w:rsidRPr="00AC3B91" w:rsidRDefault="003774F5" w:rsidP="003774F5">
      <w:pPr>
        <w:spacing w:line="360" w:lineRule="auto"/>
        <w:jc w:val="both"/>
        <w:rPr>
          <w:rFonts w:ascii="Arial" w:hAnsi="Arial" w:cs="Arial"/>
          <w:sz w:val="20"/>
          <w:szCs w:val="20"/>
        </w:rPr>
      </w:pPr>
      <w:r w:rsidRPr="00AC3B91">
        <w:rPr>
          <w:rFonts w:ascii="Arial" w:hAnsi="Arial" w:cs="Arial"/>
          <w:sz w:val="20"/>
          <w:szCs w:val="20"/>
        </w:rPr>
        <w:t>Place of residence (χ² = 2.80, p = 0.094) and ration card status (χ² = 3.21, p = 0.073) show marginal significance, indicating that urban location and formal welfare classification may influence income levels, although these relationships do not reach conventional significance thresholds. These patterns suggest that spatial access to gig opportunities and inconsistencies in poverty identification mechanisms may contribute to income vulnerability. In contrast, variables such as caste, religion, age, education, marital status, presence of children, and household headship do not exhibit statistically significant associations with income. This implies that income vulnerability within the gig economy transcends traditional socio-demographic categories, reflecting the homogenizing and precarious nature of platform-based work. The use of the chi-square test is essential, as it provides a preliminary bivariate diagnostic prior to multivariate modelling. While logistic regression identifies the net effect of each variable after controlling for others, the chi-square test helps to understand simple associations and assess whether variables merit inclusion in the regression analysis. Moreover, consistency between chi-square results and logistic regression findings—particularly regarding household size and place of residence—enhances the robustness and credibility of the empirical results.</w:t>
      </w:r>
    </w:p>
    <w:p w14:paraId="22948347" w14:textId="55DA579B" w:rsidR="008A78FA" w:rsidRPr="002A1132" w:rsidRDefault="002A1132" w:rsidP="002A1132">
      <w:pPr>
        <w:spacing w:line="360" w:lineRule="auto"/>
        <w:jc w:val="both"/>
        <w:rPr>
          <w:rFonts w:ascii="Arial" w:hAnsi="Arial" w:cs="Arial"/>
          <w:b/>
          <w:bCs/>
          <w:color w:val="000000" w:themeColor="text1"/>
        </w:rPr>
      </w:pPr>
      <w:r w:rsidRPr="002A1132">
        <w:rPr>
          <w:rFonts w:ascii="Arial" w:hAnsi="Arial" w:cs="Arial"/>
          <w:b/>
          <w:bCs/>
          <w:color w:val="000000" w:themeColor="text1"/>
        </w:rPr>
        <w:t>6</w:t>
      </w:r>
      <w:r w:rsidR="008A78FA" w:rsidRPr="002A1132">
        <w:rPr>
          <w:rFonts w:ascii="Arial" w:hAnsi="Arial" w:cs="Arial"/>
          <w:b/>
          <w:bCs/>
          <w:color w:val="000000" w:themeColor="text1"/>
        </w:rPr>
        <w:t xml:space="preserve"> MAJOR FINDINGS AND POLICY IMPLICATIONS </w:t>
      </w:r>
    </w:p>
    <w:p w14:paraId="62B51490" w14:textId="77777777" w:rsidR="002A1132" w:rsidRPr="00AC3B91" w:rsidRDefault="002A1132" w:rsidP="002A1132">
      <w:pPr>
        <w:spacing w:line="360" w:lineRule="auto"/>
        <w:jc w:val="both"/>
        <w:rPr>
          <w:rFonts w:ascii="Arial" w:hAnsi="Arial" w:cs="Arial"/>
          <w:sz w:val="20"/>
          <w:szCs w:val="20"/>
        </w:rPr>
      </w:pPr>
      <w:r w:rsidRPr="00AC3B91">
        <w:rPr>
          <w:rFonts w:ascii="Arial" w:hAnsi="Arial" w:cs="Arial"/>
          <w:sz w:val="20"/>
          <w:szCs w:val="20"/>
        </w:rPr>
        <w:t xml:space="preserve">The findings of this study, based on primary data collected from 300 women gig workers across Malappuram, Ernakulam, and Kannur districts, offer several important policy insights for strengthening gender-inclusive labour market interventions in Kerala. First, the socioeconomic profile and income differentials identified through logistic regression analysis suggest that entry into gig work is not uniform but shaped by education, household responsibilities, mobility constraints, and prior work experience. Therefore, state labour policies must move beyond generic employment promotion and instead design targeted support mechanisms for women who are socioeconomically disadvantaged. Skill development programmes under agencies such as the Kerala Academy for Skills Excellence and the </w:t>
      </w:r>
      <w:proofErr w:type="spellStart"/>
      <w:r w:rsidRPr="00AC3B91">
        <w:rPr>
          <w:rFonts w:ascii="Arial" w:hAnsi="Arial" w:cs="Arial"/>
          <w:sz w:val="20"/>
          <w:szCs w:val="20"/>
        </w:rPr>
        <w:t>Kudumbashree</w:t>
      </w:r>
      <w:proofErr w:type="spellEnd"/>
      <w:r w:rsidRPr="00AC3B91">
        <w:rPr>
          <w:rFonts w:ascii="Arial" w:hAnsi="Arial" w:cs="Arial"/>
          <w:sz w:val="20"/>
          <w:szCs w:val="20"/>
        </w:rPr>
        <w:t xml:space="preserve"> can be aligned with digital platform skills, financial literacy, and entrepreneurial training specifically tailored to women gig workers.</w:t>
      </w:r>
    </w:p>
    <w:p w14:paraId="57E2B081" w14:textId="77777777" w:rsidR="002A1132" w:rsidRPr="00AC3B91" w:rsidRDefault="002A1132" w:rsidP="002A1132">
      <w:pPr>
        <w:spacing w:line="360" w:lineRule="auto"/>
        <w:jc w:val="both"/>
        <w:rPr>
          <w:rFonts w:ascii="Arial" w:hAnsi="Arial" w:cs="Arial"/>
          <w:sz w:val="20"/>
          <w:szCs w:val="20"/>
        </w:rPr>
      </w:pPr>
      <w:r w:rsidRPr="00AC3B91">
        <w:rPr>
          <w:rFonts w:ascii="Arial" w:hAnsi="Arial" w:cs="Arial"/>
          <w:sz w:val="20"/>
          <w:szCs w:val="20"/>
        </w:rPr>
        <w:t xml:space="preserve">Second, the income-based disparities observed across districts indicate the need for region-specific interventions. Urban districts such as Ernakulam, with higher platform penetration and diversified gig opportunities, may benefit from regulatory frameworks ensuring minimum earnings standards, transparent algorithmic management, and social security contributions. In contrast, districts like Malappuram and Kannur require improved digital infrastructure, safe mobility options, and awareness programmes to enhance women’s access to higher-paying gigs. Local self-government institutions, </w:t>
      </w:r>
      <w:r w:rsidRPr="00AC3B91">
        <w:rPr>
          <w:rFonts w:ascii="Arial" w:hAnsi="Arial" w:cs="Arial"/>
          <w:sz w:val="20"/>
          <w:szCs w:val="20"/>
        </w:rPr>
        <w:lastRenderedPageBreak/>
        <w:t>which play a significant role in Kerala’s decentralized development model, can facilitate district-level labour registries to formally recognize gig workers and connect them to welfare schemes.</w:t>
      </w:r>
    </w:p>
    <w:p w14:paraId="2E9A16B0" w14:textId="77777777" w:rsidR="002A1132" w:rsidRPr="00AC3B91" w:rsidRDefault="002A1132" w:rsidP="002A1132">
      <w:pPr>
        <w:spacing w:line="360" w:lineRule="auto"/>
        <w:jc w:val="both"/>
        <w:rPr>
          <w:rFonts w:ascii="Arial" w:hAnsi="Arial" w:cs="Arial"/>
          <w:sz w:val="20"/>
          <w:szCs w:val="20"/>
        </w:rPr>
      </w:pPr>
      <w:r w:rsidRPr="00AC3B91">
        <w:rPr>
          <w:rFonts w:ascii="Arial" w:hAnsi="Arial" w:cs="Arial"/>
          <w:sz w:val="20"/>
          <w:szCs w:val="20"/>
        </w:rPr>
        <w:t>Third, the absence of employment security and social protection for women gig workers calls for the extension of labour welfare measures to platform-based workers. The Government of Kerala may consider creating a dedicated gig workers’ welfare board or expanding existing unorganized sector welfare boards to include platform workers. Health insurance coverage, maternity benefits, accident insurance, and pension schemes must be institutionalized to reduce income volatility and vulnerability. Given the gendered constraints highlighted in the analysis, childcare support services and safe working conditions should be prioritized to enhance women’s sustained participation in gig employment.</w:t>
      </w:r>
    </w:p>
    <w:p w14:paraId="68651EE6" w14:textId="77777777" w:rsidR="002A1132" w:rsidRPr="00AC3B91" w:rsidRDefault="002A1132" w:rsidP="002A1132">
      <w:pPr>
        <w:spacing w:line="360" w:lineRule="auto"/>
        <w:jc w:val="both"/>
        <w:rPr>
          <w:rFonts w:ascii="Arial" w:hAnsi="Arial" w:cs="Arial"/>
          <w:sz w:val="20"/>
          <w:szCs w:val="20"/>
        </w:rPr>
      </w:pPr>
      <w:r w:rsidRPr="00AC3B91">
        <w:rPr>
          <w:rFonts w:ascii="Arial" w:hAnsi="Arial" w:cs="Arial"/>
          <w:sz w:val="20"/>
          <w:szCs w:val="20"/>
        </w:rPr>
        <w:t>Fourth, the statistical evidence on income determinants underscores the importance of digital inclusion policies. Bridging the digital divide through subsidized internet access, smartphone financing schemes, and digital literacy campaigns can improve women’s bargaining power within platforms. Partnerships between the state, private platforms, and civil society organizations can promote fair contracting practices and grievance redressal mechanisms, ensuring that women workers are not disproportionately disadvantaged by opaque rating systems or algorithmic bias.</w:t>
      </w:r>
    </w:p>
    <w:p w14:paraId="359DAC6F" w14:textId="77777777" w:rsidR="002A1132" w:rsidRDefault="002A1132" w:rsidP="002A1132">
      <w:pPr>
        <w:spacing w:line="360" w:lineRule="auto"/>
        <w:jc w:val="both"/>
        <w:rPr>
          <w:rFonts w:ascii="Arial" w:hAnsi="Arial" w:cs="Arial"/>
          <w:b/>
          <w:bCs/>
          <w:color w:val="000000" w:themeColor="text1"/>
        </w:rPr>
      </w:pPr>
      <w:r w:rsidRPr="00AC3B91">
        <w:rPr>
          <w:rFonts w:ascii="Arial" w:hAnsi="Arial" w:cs="Arial"/>
          <w:sz w:val="20"/>
          <w:szCs w:val="20"/>
        </w:rPr>
        <w:t>Finally, the study highlights the need for systematic data collection and monitoring of the gig workforce. Integrating gender-disaggregated gig employment statistics into state labour surveys would enable evidence-based policymaking. Universities and research institutions can collaborate with the Department of Economics and Labour to conduct periodic assessments of platform work trends across districts. Such an institutional framework would ensure that Kerala’s model of social development evolves to address the emerging realities of digital labour markets while safeguarding gender equity and income security.</w:t>
      </w:r>
      <w:r w:rsidR="008A78FA" w:rsidRPr="008A78FA">
        <w:rPr>
          <w:rFonts w:ascii="Arial" w:hAnsi="Arial" w:cs="Arial"/>
          <w:b/>
          <w:bCs/>
          <w:color w:val="000000" w:themeColor="text1"/>
        </w:rPr>
        <w:t xml:space="preserve"> </w:t>
      </w:r>
    </w:p>
    <w:p w14:paraId="0551EB15" w14:textId="55331BFA" w:rsidR="008A78FA" w:rsidRPr="002A1132" w:rsidRDefault="002A1132" w:rsidP="002A1132">
      <w:pPr>
        <w:spacing w:line="360" w:lineRule="auto"/>
        <w:jc w:val="both"/>
        <w:rPr>
          <w:rFonts w:ascii="Arial" w:hAnsi="Arial" w:cs="Arial"/>
          <w:sz w:val="20"/>
          <w:szCs w:val="20"/>
        </w:rPr>
      </w:pPr>
      <w:r>
        <w:rPr>
          <w:rFonts w:ascii="Arial" w:hAnsi="Arial" w:cs="Arial"/>
          <w:b/>
          <w:bCs/>
          <w:color w:val="000000" w:themeColor="text1"/>
        </w:rPr>
        <w:t xml:space="preserve">7 </w:t>
      </w:r>
      <w:proofErr w:type="gramStart"/>
      <w:r w:rsidR="008A78FA" w:rsidRPr="008A78FA">
        <w:rPr>
          <w:rFonts w:ascii="Arial" w:hAnsi="Arial" w:cs="Arial"/>
          <w:b/>
          <w:bCs/>
          <w:color w:val="000000" w:themeColor="text1"/>
        </w:rPr>
        <w:t>CONCLUSION</w:t>
      </w:r>
      <w:proofErr w:type="gramEnd"/>
      <w:r w:rsidR="000E6BB1">
        <w:rPr>
          <w:rFonts w:ascii="Arial" w:hAnsi="Arial" w:cs="Arial"/>
          <w:b/>
          <w:bCs/>
          <w:color w:val="000000" w:themeColor="text1"/>
        </w:rPr>
        <w:t xml:space="preserve"> </w:t>
      </w:r>
    </w:p>
    <w:p w14:paraId="32B44166" w14:textId="253BEDF6" w:rsidR="008A78FA" w:rsidRPr="002A1132" w:rsidRDefault="002A1132" w:rsidP="002A1132">
      <w:pPr>
        <w:spacing w:line="360" w:lineRule="auto"/>
        <w:jc w:val="both"/>
        <w:rPr>
          <w:rFonts w:ascii="Arial" w:hAnsi="Arial" w:cs="Arial"/>
          <w:sz w:val="20"/>
          <w:szCs w:val="20"/>
        </w:rPr>
      </w:pPr>
      <w:r w:rsidRPr="00AC3B91">
        <w:rPr>
          <w:rFonts w:ascii="Arial" w:hAnsi="Arial" w:cs="Arial"/>
          <w:sz w:val="20"/>
          <w:szCs w:val="20"/>
        </w:rPr>
        <w:t>In conclusion, the logistic regression analysis reveals that women’s participation in Kerala’s gig economy is significantly influenced by age, educational attainment, marital status, household income, access to digital resources, and prior work experience. Women possessing higher levels of education, stronger digital competencies, and belonging to middle-income households demonstrate a greater likelihood of engaging in gig work, highlighting the central role of human capital and technological preparedness, even as unpaid care responsibilities continue to impose gender-specific constraints. The findings point to the inherently dual character of gig employment: while it provides flexibility and avenues for income supplementation or re-entry into the labour market, it seldom guarantees stable earnings or sustained upward mobility, often serving as a supplementary or transitional livelihood option within Kerala’s distinctive development context marked by high social indicators alongside structural employment limitations. These insights underscore the importance of policy measures aimed at enhancing digital inclusion, expanding targeted skill development initiatives, and strengthening social protection frameworks for women gig workers, while future studies employing longitudinal and qualitative methods could offer deeper understanding of career progression, platform governance, and long-term economic outcomes to inform more inclusive and evidence-driven policy interventions</w:t>
      </w:r>
      <w:r w:rsidR="008A78FA" w:rsidRPr="00CD792B">
        <w:rPr>
          <w:rFonts w:ascii="Arial" w:hAnsi="Arial" w:cs="Arial"/>
          <w:color w:val="000000" w:themeColor="text1"/>
          <w:sz w:val="20"/>
          <w:szCs w:val="20"/>
        </w:rPr>
        <w:t>.</w:t>
      </w:r>
    </w:p>
    <w:p w14:paraId="5ED0805B" w14:textId="03FCC27B" w:rsidR="002A415E" w:rsidRDefault="0059717B" w:rsidP="0059717B">
      <w:pPr>
        <w:spacing w:before="240" w:after="0" w:line="360" w:lineRule="auto"/>
        <w:jc w:val="both"/>
        <w:rPr>
          <w:rFonts w:ascii="Arial" w:hAnsi="Arial" w:cs="Arial"/>
          <w:b/>
          <w:bCs/>
        </w:rPr>
      </w:pPr>
      <w:bookmarkStart w:id="0" w:name="_GoBack"/>
      <w:bookmarkEnd w:id="0"/>
      <w:r w:rsidRPr="0059717B">
        <w:rPr>
          <w:rFonts w:ascii="Arial" w:hAnsi="Arial" w:cs="Arial"/>
          <w:b/>
          <w:bCs/>
        </w:rPr>
        <w:lastRenderedPageBreak/>
        <w:t xml:space="preserve">REFERENCES </w:t>
      </w:r>
    </w:p>
    <w:p w14:paraId="014C5FED" w14:textId="77777777" w:rsidR="002A1132" w:rsidRDefault="002A1132" w:rsidP="002A1132">
      <w:pPr>
        <w:spacing w:before="240" w:line="360" w:lineRule="auto"/>
        <w:jc w:val="both"/>
        <w:rPr>
          <w:rFonts w:ascii="Arial" w:hAnsi="Arial" w:cs="Arial"/>
          <w:sz w:val="20"/>
          <w:szCs w:val="20"/>
        </w:rPr>
      </w:pPr>
      <w:proofErr w:type="spellStart"/>
      <w:r w:rsidRPr="00AC3B91">
        <w:rPr>
          <w:rFonts w:ascii="Arial" w:hAnsi="Arial" w:cs="Arial"/>
          <w:sz w:val="20"/>
          <w:szCs w:val="20"/>
        </w:rPr>
        <w:t>Chengodan</w:t>
      </w:r>
      <w:proofErr w:type="spellEnd"/>
      <w:r w:rsidRPr="00AC3B91">
        <w:rPr>
          <w:rFonts w:ascii="Arial" w:hAnsi="Arial" w:cs="Arial"/>
          <w:sz w:val="20"/>
          <w:szCs w:val="20"/>
        </w:rPr>
        <w:t xml:space="preserve">, N., &amp; </w:t>
      </w:r>
      <w:proofErr w:type="spellStart"/>
      <w:r w:rsidRPr="00AC3B91">
        <w:rPr>
          <w:rFonts w:ascii="Arial" w:hAnsi="Arial" w:cs="Arial"/>
          <w:sz w:val="20"/>
          <w:szCs w:val="20"/>
        </w:rPr>
        <w:t>Jamsheer</w:t>
      </w:r>
      <w:proofErr w:type="spellEnd"/>
      <w:r w:rsidRPr="00AC3B91">
        <w:rPr>
          <w:rFonts w:ascii="Arial" w:hAnsi="Arial" w:cs="Arial"/>
          <w:sz w:val="20"/>
          <w:szCs w:val="20"/>
        </w:rPr>
        <w:t xml:space="preserve">, T. P. (2025). Assessing the challenges faced by women gig workers in the </w:t>
      </w:r>
    </w:p>
    <w:p w14:paraId="451AA69D" w14:textId="7D6E0896" w:rsidR="002A1132" w:rsidRPr="00AC3B91" w:rsidRDefault="002A1132" w:rsidP="002A1132">
      <w:pPr>
        <w:spacing w:line="360" w:lineRule="auto"/>
        <w:ind w:left="720"/>
        <w:jc w:val="both"/>
        <w:rPr>
          <w:rFonts w:ascii="Arial" w:hAnsi="Arial" w:cs="Arial"/>
          <w:sz w:val="20"/>
          <w:szCs w:val="20"/>
        </w:rPr>
      </w:pPr>
      <w:r w:rsidRPr="00AC3B91">
        <w:rPr>
          <w:rFonts w:ascii="Arial" w:hAnsi="Arial" w:cs="Arial"/>
          <w:sz w:val="20"/>
          <w:szCs w:val="20"/>
        </w:rPr>
        <w:t xml:space="preserve">Malappuram District of Kerala, India: Logistic regression approach. </w:t>
      </w:r>
      <w:r w:rsidRPr="00AC3B91">
        <w:rPr>
          <w:rFonts w:ascii="Arial" w:hAnsi="Arial" w:cs="Arial"/>
          <w:i/>
          <w:iCs/>
          <w:sz w:val="20"/>
          <w:szCs w:val="20"/>
        </w:rPr>
        <w:t>South Asian Journal of Social Studies and Economics, 22</w:t>
      </w:r>
      <w:r w:rsidRPr="00AC3B91">
        <w:rPr>
          <w:rFonts w:ascii="Arial" w:hAnsi="Arial" w:cs="Arial"/>
          <w:sz w:val="20"/>
          <w:szCs w:val="20"/>
        </w:rPr>
        <w:t>(12), 222–233.</w:t>
      </w:r>
    </w:p>
    <w:p w14:paraId="6C51E66B" w14:textId="77777777" w:rsidR="002A1132" w:rsidRDefault="002A1132" w:rsidP="002A1132">
      <w:pPr>
        <w:spacing w:after="0" w:line="360" w:lineRule="auto"/>
        <w:jc w:val="both"/>
        <w:rPr>
          <w:rFonts w:ascii="Arial" w:hAnsi="Arial" w:cs="Arial"/>
          <w:i/>
          <w:iCs/>
          <w:sz w:val="20"/>
          <w:szCs w:val="20"/>
        </w:rPr>
      </w:pPr>
      <w:r w:rsidRPr="00AC3B91">
        <w:rPr>
          <w:rFonts w:ascii="Arial" w:hAnsi="Arial" w:cs="Arial"/>
          <w:sz w:val="20"/>
          <w:szCs w:val="20"/>
        </w:rPr>
        <w:t xml:space="preserve">Harris, B. (2017). Uber, Lyft, and regulating the sharing economy. </w:t>
      </w:r>
      <w:r w:rsidRPr="00AC3B91">
        <w:rPr>
          <w:rFonts w:ascii="Arial" w:hAnsi="Arial" w:cs="Arial"/>
          <w:i/>
          <w:iCs/>
          <w:sz w:val="20"/>
          <w:szCs w:val="20"/>
        </w:rPr>
        <w:t xml:space="preserve">Case Western Reserve Law Review, </w:t>
      </w:r>
    </w:p>
    <w:p w14:paraId="2A769F11" w14:textId="6A08BD45" w:rsidR="002A1132" w:rsidRPr="00AC3B91" w:rsidRDefault="002A1132" w:rsidP="002A1132">
      <w:pPr>
        <w:spacing w:line="360" w:lineRule="auto"/>
        <w:ind w:firstLine="720"/>
        <w:jc w:val="both"/>
        <w:rPr>
          <w:rFonts w:ascii="Arial" w:hAnsi="Arial" w:cs="Arial"/>
          <w:sz w:val="20"/>
          <w:szCs w:val="20"/>
        </w:rPr>
      </w:pPr>
      <w:r w:rsidRPr="00AC3B91">
        <w:rPr>
          <w:rFonts w:ascii="Arial" w:hAnsi="Arial" w:cs="Arial"/>
          <w:i/>
          <w:iCs/>
          <w:sz w:val="20"/>
          <w:szCs w:val="20"/>
        </w:rPr>
        <w:t>68</w:t>
      </w:r>
      <w:r w:rsidRPr="00AC3B91">
        <w:rPr>
          <w:rFonts w:ascii="Arial" w:hAnsi="Arial" w:cs="Arial"/>
          <w:sz w:val="20"/>
          <w:szCs w:val="20"/>
        </w:rPr>
        <w:t>(3), 865–895.</w:t>
      </w:r>
    </w:p>
    <w:p w14:paraId="5DB7CC22" w14:textId="77777777" w:rsidR="002A1132" w:rsidRDefault="002A1132" w:rsidP="002A1132">
      <w:pPr>
        <w:spacing w:after="0" w:line="360" w:lineRule="auto"/>
        <w:jc w:val="both"/>
        <w:rPr>
          <w:rFonts w:ascii="Arial" w:hAnsi="Arial" w:cs="Arial"/>
          <w:i/>
          <w:iCs/>
          <w:sz w:val="20"/>
          <w:szCs w:val="20"/>
        </w:rPr>
      </w:pPr>
      <w:r w:rsidRPr="00AC3B91">
        <w:rPr>
          <w:rFonts w:ascii="Arial" w:hAnsi="Arial" w:cs="Arial"/>
          <w:sz w:val="20"/>
          <w:szCs w:val="20"/>
        </w:rPr>
        <w:t xml:space="preserve">Joseph, K. J. (2021). Platform economy and the Kerala model: Opportunities and challenges. </w:t>
      </w:r>
      <w:r w:rsidRPr="00AC3B91">
        <w:rPr>
          <w:rFonts w:ascii="Arial" w:hAnsi="Arial" w:cs="Arial"/>
          <w:i/>
          <w:iCs/>
          <w:sz w:val="20"/>
          <w:szCs w:val="20"/>
        </w:rPr>
        <w:t xml:space="preserve">Economic </w:t>
      </w:r>
    </w:p>
    <w:p w14:paraId="23C11456" w14:textId="1D0180D2" w:rsidR="002A1132" w:rsidRPr="00AC3B91" w:rsidRDefault="002A1132" w:rsidP="002A1132">
      <w:pPr>
        <w:spacing w:line="360" w:lineRule="auto"/>
        <w:ind w:firstLine="720"/>
        <w:jc w:val="both"/>
        <w:rPr>
          <w:rFonts w:ascii="Arial" w:hAnsi="Arial" w:cs="Arial"/>
          <w:sz w:val="20"/>
          <w:szCs w:val="20"/>
        </w:rPr>
      </w:pPr>
      <w:r w:rsidRPr="00AC3B91">
        <w:rPr>
          <w:rFonts w:ascii="Arial" w:hAnsi="Arial" w:cs="Arial"/>
          <w:i/>
          <w:iCs/>
          <w:sz w:val="20"/>
          <w:szCs w:val="20"/>
        </w:rPr>
        <w:t>and Political Weekly, 56</w:t>
      </w:r>
      <w:r w:rsidRPr="00AC3B91">
        <w:rPr>
          <w:rFonts w:ascii="Arial" w:hAnsi="Arial" w:cs="Arial"/>
          <w:sz w:val="20"/>
          <w:szCs w:val="20"/>
        </w:rPr>
        <w:t>(34), 45–52.</w:t>
      </w:r>
    </w:p>
    <w:p w14:paraId="16E8CE89" w14:textId="77777777" w:rsidR="002A1132" w:rsidRDefault="002A1132" w:rsidP="002A1132">
      <w:pPr>
        <w:spacing w:after="0" w:line="360" w:lineRule="auto"/>
        <w:jc w:val="both"/>
        <w:rPr>
          <w:rFonts w:ascii="Arial" w:hAnsi="Arial" w:cs="Arial"/>
          <w:i/>
          <w:iCs/>
          <w:sz w:val="20"/>
          <w:szCs w:val="20"/>
        </w:rPr>
      </w:pPr>
      <w:r w:rsidRPr="00AC3B91">
        <w:rPr>
          <w:rFonts w:ascii="Arial" w:hAnsi="Arial" w:cs="Arial"/>
          <w:sz w:val="20"/>
          <w:szCs w:val="20"/>
        </w:rPr>
        <w:t xml:space="preserve">Kannan, K. P., Pillai, P. R., &amp; </w:t>
      </w:r>
      <w:proofErr w:type="spellStart"/>
      <w:r w:rsidRPr="00AC3B91">
        <w:rPr>
          <w:rFonts w:ascii="Arial" w:hAnsi="Arial" w:cs="Arial"/>
          <w:sz w:val="20"/>
          <w:szCs w:val="20"/>
        </w:rPr>
        <w:t>Sathyapalan</w:t>
      </w:r>
      <w:proofErr w:type="spellEnd"/>
      <w:r w:rsidRPr="00AC3B91">
        <w:rPr>
          <w:rFonts w:ascii="Arial" w:hAnsi="Arial" w:cs="Arial"/>
          <w:sz w:val="20"/>
          <w:szCs w:val="20"/>
        </w:rPr>
        <w:t xml:space="preserve">, S. (1991). </w:t>
      </w:r>
      <w:r w:rsidRPr="00AC3B91">
        <w:rPr>
          <w:rFonts w:ascii="Arial" w:hAnsi="Arial" w:cs="Arial"/>
          <w:i/>
          <w:iCs/>
          <w:sz w:val="20"/>
          <w:szCs w:val="20"/>
        </w:rPr>
        <w:t xml:space="preserve">Kerala’s development experience: Economic and </w:t>
      </w:r>
    </w:p>
    <w:p w14:paraId="4135F3D2" w14:textId="6F1F1801" w:rsidR="002A1132" w:rsidRPr="00AC3B91" w:rsidRDefault="002A1132" w:rsidP="002A1132">
      <w:pPr>
        <w:spacing w:line="360" w:lineRule="auto"/>
        <w:ind w:firstLine="720"/>
        <w:jc w:val="both"/>
        <w:rPr>
          <w:rFonts w:ascii="Arial" w:hAnsi="Arial" w:cs="Arial"/>
          <w:sz w:val="20"/>
          <w:szCs w:val="20"/>
        </w:rPr>
      </w:pPr>
      <w:r w:rsidRPr="00AC3B91">
        <w:rPr>
          <w:rFonts w:ascii="Arial" w:hAnsi="Arial" w:cs="Arial"/>
          <w:i/>
          <w:iCs/>
          <w:sz w:val="20"/>
          <w:szCs w:val="20"/>
        </w:rPr>
        <w:t>social perspectives</w:t>
      </w:r>
      <w:r w:rsidRPr="00AC3B91">
        <w:rPr>
          <w:rFonts w:ascii="Arial" w:hAnsi="Arial" w:cs="Arial"/>
          <w:sz w:val="20"/>
          <w:szCs w:val="20"/>
        </w:rPr>
        <w:t>. Delhi: Institute of Social Sciences.</w:t>
      </w:r>
    </w:p>
    <w:p w14:paraId="7351B4FD" w14:textId="77777777" w:rsidR="002A1132" w:rsidRDefault="002A1132" w:rsidP="002A1132">
      <w:pPr>
        <w:spacing w:after="0" w:line="360" w:lineRule="auto"/>
        <w:jc w:val="both"/>
        <w:rPr>
          <w:rFonts w:ascii="Arial" w:hAnsi="Arial" w:cs="Arial"/>
          <w:sz w:val="20"/>
          <w:szCs w:val="20"/>
        </w:rPr>
      </w:pPr>
      <w:r w:rsidRPr="00AC3B91">
        <w:rPr>
          <w:rFonts w:ascii="Arial" w:hAnsi="Arial" w:cs="Arial"/>
          <w:sz w:val="20"/>
          <w:szCs w:val="20"/>
        </w:rPr>
        <w:t xml:space="preserve">Leela, M. H., Nakkeeran, I., Jayaprada, N., Singh, A., &amp; Shankar Narayan, P. B. (2025). Gendered </w:t>
      </w:r>
    </w:p>
    <w:p w14:paraId="4DD78B31" w14:textId="7C480E18" w:rsidR="002A1132" w:rsidRPr="00AC3B91" w:rsidRDefault="002A1132" w:rsidP="002A1132">
      <w:pPr>
        <w:spacing w:line="360" w:lineRule="auto"/>
        <w:ind w:left="720"/>
        <w:jc w:val="both"/>
        <w:rPr>
          <w:rFonts w:ascii="Arial" w:hAnsi="Arial" w:cs="Arial"/>
          <w:sz w:val="20"/>
          <w:szCs w:val="20"/>
        </w:rPr>
      </w:pPr>
      <w:r w:rsidRPr="00AC3B91">
        <w:rPr>
          <w:rFonts w:ascii="Arial" w:hAnsi="Arial" w:cs="Arial"/>
          <w:sz w:val="20"/>
          <w:szCs w:val="20"/>
        </w:rPr>
        <w:t xml:space="preserve">experience and safety challenges among women gig workers. </w:t>
      </w:r>
      <w:r w:rsidRPr="00AC3B91">
        <w:rPr>
          <w:rFonts w:ascii="Arial" w:hAnsi="Arial" w:cs="Arial"/>
          <w:i/>
          <w:iCs/>
          <w:sz w:val="20"/>
          <w:szCs w:val="20"/>
        </w:rPr>
        <w:t>European Economic Letters (EEL), 15</w:t>
      </w:r>
      <w:r w:rsidRPr="00AC3B91">
        <w:rPr>
          <w:rFonts w:ascii="Arial" w:hAnsi="Arial" w:cs="Arial"/>
          <w:sz w:val="20"/>
          <w:szCs w:val="20"/>
        </w:rPr>
        <w:t>(4), 1153–1162.</w:t>
      </w:r>
    </w:p>
    <w:p w14:paraId="3176A164" w14:textId="77777777" w:rsidR="002A1132" w:rsidRDefault="002A1132" w:rsidP="002A1132">
      <w:pPr>
        <w:spacing w:after="0" w:line="360" w:lineRule="auto"/>
        <w:jc w:val="both"/>
        <w:rPr>
          <w:rFonts w:ascii="Arial" w:hAnsi="Arial" w:cs="Arial"/>
          <w:sz w:val="20"/>
          <w:szCs w:val="20"/>
        </w:rPr>
      </w:pPr>
      <w:r w:rsidRPr="00AC3B91">
        <w:rPr>
          <w:rFonts w:ascii="Arial" w:hAnsi="Arial" w:cs="Arial"/>
          <w:sz w:val="20"/>
          <w:szCs w:val="20"/>
        </w:rPr>
        <w:t xml:space="preserve">Liang, C., Hong, Y., Gu, B., &amp; Peng, J. (2018). Gender wage gap in online gig economy and gender </w:t>
      </w:r>
    </w:p>
    <w:p w14:paraId="6103B0B7" w14:textId="20993AEF" w:rsidR="002A1132" w:rsidRPr="00AC3B91" w:rsidRDefault="002A1132" w:rsidP="002A1132">
      <w:pPr>
        <w:spacing w:line="360" w:lineRule="auto"/>
        <w:ind w:left="720"/>
        <w:jc w:val="both"/>
        <w:rPr>
          <w:rFonts w:ascii="Arial" w:hAnsi="Arial" w:cs="Arial"/>
          <w:sz w:val="20"/>
          <w:szCs w:val="20"/>
        </w:rPr>
      </w:pPr>
      <w:r w:rsidRPr="00AC3B91">
        <w:rPr>
          <w:rFonts w:ascii="Arial" w:hAnsi="Arial" w:cs="Arial"/>
          <w:sz w:val="20"/>
          <w:szCs w:val="20"/>
        </w:rPr>
        <w:t xml:space="preserve">differences in job preferences. </w:t>
      </w:r>
      <w:r w:rsidRPr="00AC3B91">
        <w:rPr>
          <w:rFonts w:ascii="Arial" w:hAnsi="Arial" w:cs="Arial"/>
          <w:i/>
          <w:iCs/>
          <w:sz w:val="20"/>
          <w:szCs w:val="20"/>
        </w:rPr>
        <w:t>The Networks, Electronic Commerce, and Telecommunications (NET) Institute</w:t>
      </w:r>
      <w:r w:rsidRPr="00AC3B91">
        <w:rPr>
          <w:rFonts w:ascii="Arial" w:hAnsi="Arial" w:cs="Arial"/>
          <w:sz w:val="20"/>
          <w:szCs w:val="20"/>
        </w:rPr>
        <w:t xml:space="preserve">, Working Paper No. 18-03. </w:t>
      </w:r>
      <w:hyperlink r:id="rId8" w:tgtFrame="_new" w:history="1">
        <w:r w:rsidRPr="00AC3B91">
          <w:rPr>
            <w:rStyle w:val="Hyperlink"/>
            <w:rFonts w:ascii="Arial" w:hAnsi="Arial" w:cs="Arial"/>
            <w:sz w:val="20"/>
            <w:szCs w:val="20"/>
          </w:rPr>
          <w:t>https://papers.ssrn.com/sol3/papers.cfm?abstract_id=3266249</w:t>
        </w:r>
      </w:hyperlink>
    </w:p>
    <w:p w14:paraId="1E0FA027" w14:textId="77777777" w:rsidR="002A1132" w:rsidRDefault="002A1132" w:rsidP="002A1132">
      <w:pPr>
        <w:spacing w:after="0" w:line="360" w:lineRule="auto"/>
        <w:jc w:val="both"/>
        <w:rPr>
          <w:rFonts w:ascii="Arial" w:hAnsi="Arial" w:cs="Arial"/>
          <w:i/>
          <w:iCs/>
          <w:sz w:val="20"/>
          <w:szCs w:val="20"/>
        </w:rPr>
      </w:pPr>
      <w:r w:rsidRPr="00AC3B91">
        <w:rPr>
          <w:rFonts w:ascii="Arial" w:hAnsi="Arial" w:cs="Arial"/>
          <w:sz w:val="20"/>
          <w:szCs w:val="20"/>
        </w:rPr>
        <w:t xml:space="preserve">Mehta, B. S. (2023). Changing nature of work and the gig economy: Theory and debate. </w:t>
      </w:r>
      <w:r w:rsidRPr="00AC3B91">
        <w:rPr>
          <w:rFonts w:ascii="Arial" w:hAnsi="Arial" w:cs="Arial"/>
          <w:i/>
          <w:iCs/>
          <w:sz w:val="20"/>
          <w:szCs w:val="20"/>
        </w:rPr>
        <w:t xml:space="preserve">FIIB Business </w:t>
      </w:r>
    </w:p>
    <w:p w14:paraId="659F351E" w14:textId="2F1A4681" w:rsidR="002A1132" w:rsidRPr="00AC3B91" w:rsidRDefault="002A1132" w:rsidP="002A1132">
      <w:pPr>
        <w:spacing w:line="360" w:lineRule="auto"/>
        <w:ind w:firstLine="720"/>
        <w:jc w:val="both"/>
        <w:rPr>
          <w:rFonts w:ascii="Arial" w:hAnsi="Arial" w:cs="Arial"/>
          <w:sz w:val="20"/>
          <w:szCs w:val="20"/>
        </w:rPr>
      </w:pPr>
      <w:r w:rsidRPr="00AC3B91">
        <w:rPr>
          <w:rFonts w:ascii="Arial" w:hAnsi="Arial" w:cs="Arial"/>
          <w:i/>
          <w:iCs/>
          <w:sz w:val="20"/>
          <w:szCs w:val="20"/>
        </w:rPr>
        <w:t>Review, 12</w:t>
      </w:r>
      <w:r w:rsidRPr="00AC3B91">
        <w:rPr>
          <w:rFonts w:ascii="Arial" w:hAnsi="Arial" w:cs="Arial"/>
          <w:sz w:val="20"/>
          <w:szCs w:val="20"/>
        </w:rPr>
        <w:t xml:space="preserve">(3), 227–237. </w:t>
      </w:r>
      <w:hyperlink r:id="rId9" w:tgtFrame="_new" w:history="1">
        <w:r w:rsidRPr="00AC3B91">
          <w:rPr>
            <w:rStyle w:val="Hyperlink"/>
            <w:rFonts w:ascii="Arial" w:hAnsi="Arial" w:cs="Arial"/>
            <w:sz w:val="20"/>
            <w:szCs w:val="20"/>
          </w:rPr>
          <w:t>https://doi.org/10.1177/23197145231174321</w:t>
        </w:r>
      </w:hyperlink>
    </w:p>
    <w:p w14:paraId="35BA812C" w14:textId="77777777" w:rsidR="002A1132" w:rsidRDefault="002A1132" w:rsidP="002A1132">
      <w:pPr>
        <w:spacing w:after="0" w:line="360" w:lineRule="auto"/>
        <w:jc w:val="both"/>
        <w:rPr>
          <w:rFonts w:ascii="Arial" w:hAnsi="Arial" w:cs="Arial"/>
          <w:sz w:val="20"/>
          <w:szCs w:val="20"/>
        </w:rPr>
      </w:pPr>
      <w:r w:rsidRPr="00AC3B91">
        <w:rPr>
          <w:rFonts w:ascii="Arial" w:hAnsi="Arial" w:cs="Arial"/>
          <w:sz w:val="20"/>
          <w:szCs w:val="20"/>
        </w:rPr>
        <w:t xml:space="preserve">NITI Aayog. (2022, July 15). NITI Aayog pitches for incentives to draw more women into gig economy. </w:t>
      </w:r>
    </w:p>
    <w:p w14:paraId="27C5BB88" w14:textId="587FB11D" w:rsidR="002A1132" w:rsidRPr="00AC3B91" w:rsidRDefault="002A1132" w:rsidP="002A1132">
      <w:pPr>
        <w:spacing w:line="360" w:lineRule="auto"/>
        <w:ind w:firstLine="720"/>
        <w:jc w:val="both"/>
        <w:rPr>
          <w:rFonts w:ascii="Arial" w:hAnsi="Arial" w:cs="Arial"/>
          <w:sz w:val="20"/>
          <w:szCs w:val="20"/>
        </w:rPr>
      </w:pPr>
      <w:r w:rsidRPr="00AC3B91">
        <w:rPr>
          <w:rFonts w:ascii="Arial" w:hAnsi="Arial" w:cs="Arial"/>
          <w:i/>
          <w:iCs/>
          <w:sz w:val="20"/>
          <w:szCs w:val="20"/>
        </w:rPr>
        <w:t>The Indian Express.</w:t>
      </w:r>
      <w:r w:rsidRPr="00AC3B91">
        <w:rPr>
          <w:rFonts w:ascii="Arial" w:hAnsi="Arial" w:cs="Arial"/>
          <w:sz w:val="20"/>
          <w:szCs w:val="20"/>
        </w:rPr>
        <w:t xml:space="preserve"> https://indianexpress.com/article</w:t>
      </w:r>
    </w:p>
    <w:p w14:paraId="67B81F01" w14:textId="77777777" w:rsidR="002A1132" w:rsidRPr="00AC3B91" w:rsidRDefault="002A1132" w:rsidP="002A1132">
      <w:pPr>
        <w:spacing w:line="360" w:lineRule="auto"/>
        <w:jc w:val="both"/>
        <w:rPr>
          <w:rFonts w:ascii="Arial" w:hAnsi="Arial" w:cs="Arial"/>
          <w:sz w:val="20"/>
          <w:szCs w:val="20"/>
        </w:rPr>
      </w:pPr>
      <w:r w:rsidRPr="00AC3B91">
        <w:rPr>
          <w:rFonts w:ascii="Arial" w:hAnsi="Arial" w:cs="Arial"/>
          <w:sz w:val="20"/>
          <w:szCs w:val="20"/>
        </w:rPr>
        <w:t xml:space="preserve">Oommen, M. A. (2008). Reforms and the Kerala model. </w:t>
      </w:r>
      <w:r w:rsidRPr="00AC3B91">
        <w:rPr>
          <w:rFonts w:ascii="Arial" w:hAnsi="Arial" w:cs="Arial"/>
          <w:i/>
          <w:iCs/>
          <w:sz w:val="20"/>
          <w:szCs w:val="20"/>
        </w:rPr>
        <w:t>Economic and Political Weekly, 43</w:t>
      </w:r>
      <w:r w:rsidRPr="00AC3B91">
        <w:rPr>
          <w:rFonts w:ascii="Arial" w:hAnsi="Arial" w:cs="Arial"/>
          <w:sz w:val="20"/>
          <w:szCs w:val="20"/>
        </w:rPr>
        <w:t>(2), 22–25.</w:t>
      </w:r>
    </w:p>
    <w:p w14:paraId="41EA1CEE" w14:textId="77777777" w:rsidR="002A1132" w:rsidRDefault="002A1132" w:rsidP="002A1132">
      <w:pPr>
        <w:spacing w:after="0" w:line="360" w:lineRule="auto"/>
        <w:jc w:val="both"/>
        <w:rPr>
          <w:rFonts w:ascii="Arial" w:hAnsi="Arial" w:cs="Arial"/>
          <w:sz w:val="20"/>
          <w:szCs w:val="20"/>
        </w:rPr>
      </w:pPr>
      <w:r w:rsidRPr="00AC3B91">
        <w:rPr>
          <w:rFonts w:ascii="Arial" w:hAnsi="Arial" w:cs="Arial"/>
          <w:sz w:val="20"/>
          <w:szCs w:val="20"/>
        </w:rPr>
        <w:t xml:space="preserve">Panwar, S., Singh, D., &amp; </w:t>
      </w:r>
      <w:proofErr w:type="spellStart"/>
      <w:r w:rsidRPr="00AC3B91">
        <w:rPr>
          <w:rFonts w:ascii="Arial" w:hAnsi="Arial" w:cs="Arial"/>
          <w:sz w:val="20"/>
          <w:szCs w:val="20"/>
        </w:rPr>
        <w:t>Chaduhary</w:t>
      </w:r>
      <w:proofErr w:type="spellEnd"/>
      <w:r w:rsidRPr="00AC3B91">
        <w:rPr>
          <w:rFonts w:ascii="Arial" w:hAnsi="Arial" w:cs="Arial"/>
          <w:sz w:val="20"/>
          <w:szCs w:val="20"/>
        </w:rPr>
        <w:t xml:space="preserve">, T. (2024). An interdisciplinary analysis of Indian gig economy with </w:t>
      </w:r>
    </w:p>
    <w:p w14:paraId="1D8A57F6" w14:textId="619C3D57" w:rsidR="002A1132" w:rsidRPr="00AC3B91" w:rsidRDefault="002A1132" w:rsidP="002A1132">
      <w:pPr>
        <w:spacing w:line="360" w:lineRule="auto"/>
        <w:ind w:left="720"/>
        <w:jc w:val="both"/>
        <w:rPr>
          <w:rFonts w:ascii="Arial" w:hAnsi="Arial" w:cs="Arial"/>
          <w:sz w:val="20"/>
          <w:szCs w:val="20"/>
        </w:rPr>
      </w:pPr>
      <w:r w:rsidRPr="00AC3B91">
        <w:rPr>
          <w:rFonts w:ascii="Arial" w:hAnsi="Arial" w:cs="Arial"/>
          <w:sz w:val="20"/>
          <w:szCs w:val="20"/>
        </w:rPr>
        <w:t xml:space="preserve">a focus on women workers. </w:t>
      </w:r>
      <w:r w:rsidRPr="00AC3B91">
        <w:rPr>
          <w:rFonts w:ascii="Arial" w:hAnsi="Arial" w:cs="Arial"/>
          <w:i/>
          <w:iCs/>
          <w:sz w:val="20"/>
          <w:szCs w:val="20"/>
        </w:rPr>
        <w:t>Educational Administration: Theory and Practice, 30</w:t>
      </w:r>
      <w:r w:rsidRPr="00AC3B91">
        <w:rPr>
          <w:rFonts w:ascii="Arial" w:hAnsi="Arial" w:cs="Arial"/>
          <w:sz w:val="20"/>
          <w:szCs w:val="20"/>
        </w:rPr>
        <w:t>(4), 10332–10336.</w:t>
      </w:r>
    </w:p>
    <w:p w14:paraId="29597C54" w14:textId="77777777" w:rsidR="002A1132" w:rsidRDefault="002A1132" w:rsidP="002A1132">
      <w:pPr>
        <w:spacing w:after="0" w:line="360" w:lineRule="auto"/>
        <w:jc w:val="both"/>
        <w:rPr>
          <w:rFonts w:ascii="Arial" w:hAnsi="Arial" w:cs="Arial"/>
          <w:sz w:val="20"/>
          <w:szCs w:val="20"/>
        </w:rPr>
      </w:pPr>
      <w:proofErr w:type="spellStart"/>
      <w:r w:rsidRPr="00AC3B91">
        <w:rPr>
          <w:rFonts w:ascii="Arial" w:hAnsi="Arial" w:cs="Arial"/>
          <w:sz w:val="20"/>
          <w:szCs w:val="20"/>
        </w:rPr>
        <w:t>Parayil</w:t>
      </w:r>
      <w:proofErr w:type="spellEnd"/>
      <w:r w:rsidRPr="00AC3B91">
        <w:rPr>
          <w:rFonts w:ascii="Arial" w:hAnsi="Arial" w:cs="Arial"/>
          <w:sz w:val="20"/>
          <w:szCs w:val="20"/>
        </w:rPr>
        <w:t xml:space="preserve">, G. (1996). The “Kerala model” of development: Development and sustainability in the Third </w:t>
      </w:r>
    </w:p>
    <w:p w14:paraId="5F5D2FBD" w14:textId="4D64A6A2" w:rsidR="002A1132" w:rsidRPr="00AC3B91" w:rsidRDefault="002A1132" w:rsidP="002A1132">
      <w:pPr>
        <w:spacing w:line="360" w:lineRule="auto"/>
        <w:ind w:firstLine="720"/>
        <w:jc w:val="both"/>
        <w:rPr>
          <w:rFonts w:ascii="Arial" w:hAnsi="Arial" w:cs="Arial"/>
          <w:sz w:val="20"/>
          <w:szCs w:val="20"/>
        </w:rPr>
      </w:pPr>
      <w:r w:rsidRPr="00AC3B91">
        <w:rPr>
          <w:rFonts w:ascii="Arial" w:hAnsi="Arial" w:cs="Arial"/>
          <w:sz w:val="20"/>
          <w:szCs w:val="20"/>
        </w:rPr>
        <w:t xml:space="preserve">World. </w:t>
      </w:r>
      <w:r w:rsidRPr="00AC3B91">
        <w:rPr>
          <w:rFonts w:ascii="Arial" w:hAnsi="Arial" w:cs="Arial"/>
          <w:i/>
          <w:iCs/>
          <w:sz w:val="20"/>
          <w:szCs w:val="20"/>
        </w:rPr>
        <w:t>Third World Quarterly, 17</w:t>
      </w:r>
      <w:r w:rsidRPr="00AC3B91">
        <w:rPr>
          <w:rFonts w:ascii="Arial" w:hAnsi="Arial" w:cs="Arial"/>
          <w:sz w:val="20"/>
          <w:szCs w:val="20"/>
        </w:rPr>
        <w:t xml:space="preserve">(5), 941–957. </w:t>
      </w:r>
      <w:hyperlink r:id="rId10" w:tgtFrame="_new" w:history="1">
        <w:r w:rsidRPr="00AC3B91">
          <w:rPr>
            <w:rStyle w:val="Hyperlink"/>
            <w:rFonts w:ascii="Arial" w:hAnsi="Arial" w:cs="Arial"/>
            <w:sz w:val="20"/>
            <w:szCs w:val="20"/>
          </w:rPr>
          <w:t>https://doi.org/10.1080/01436599615105</w:t>
        </w:r>
      </w:hyperlink>
    </w:p>
    <w:p w14:paraId="44E36AF2" w14:textId="72A163C0" w:rsidR="002A1132" w:rsidRDefault="002A1132" w:rsidP="002A1132">
      <w:pPr>
        <w:spacing w:after="0" w:line="360" w:lineRule="auto"/>
        <w:jc w:val="both"/>
        <w:rPr>
          <w:rFonts w:ascii="Arial" w:hAnsi="Arial" w:cs="Arial"/>
          <w:i/>
          <w:iCs/>
          <w:sz w:val="20"/>
          <w:szCs w:val="20"/>
        </w:rPr>
      </w:pPr>
      <w:r w:rsidRPr="00AC3B91">
        <w:rPr>
          <w:rFonts w:ascii="Arial" w:hAnsi="Arial" w:cs="Arial"/>
          <w:sz w:val="20"/>
          <w:szCs w:val="20"/>
        </w:rPr>
        <w:t>Rahul, &amp; Shaifali. (2025). Invisible labo</w:t>
      </w:r>
      <w:r>
        <w:rPr>
          <w:rFonts w:ascii="Arial" w:hAnsi="Arial" w:cs="Arial"/>
          <w:sz w:val="20"/>
          <w:szCs w:val="20"/>
        </w:rPr>
        <w:t>u</w:t>
      </w:r>
      <w:r w:rsidRPr="00AC3B91">
        <w:rPr>
          <w:rFonts w:ascii="Arial" w:hAnsi="Arial" w:cs="Arial"/>
          <w:sz w:val="20"/>
          <w:szCs w:val="20"/>
        </w:rPr>
        <w:t xml:space="preserve">r in digital age: Women and the gig economy. </w:t>
      </w:r>
      <w:r w:rsidRPr="00AC3B91">
        <w:rPr>
          <w:rFonts w:ascii="Arial" w:hAnsi="Arial" w:cs="Arial"/>
          <w:i/>
          <w:iCs/>
          <w:sz w:val="20"/>
          <w:szCs w:val="20"/>
        </w:rPr>
        <w:t xml:space="preserve">International </w:t>
      </w:r>
    </w:p>
    <w:p w14:paraId="14FD486B" w14:textId="6903766F" w:rsidR="002A1132" w:rsidRPr="00AC3B91" w:rsidRDefault="002A1132" w:rsidP="002A1132">
      <w:pPr>
        <w:spacing w:line="360" w:lineRule="auto"/>
        <w:ind w:firstLine="720"/>
        <w:jc w:val="both"/>
        <w:rPr>
          <w:rFonts w:ascii="Arial" w:hAnsi="Arial" w:cs="Arial"/>
          <w:sz w:val="20"/>
          <w:szCs w:val="20"/>
        </w:rPr>
      </w:pPr>
      <w:r w:rsidRPr="00AC3B91">
        <w:rPr>
          <w:rFonts w:ascii="Arial" w:hAnsi="Arial" w:cs="Arial"/>
          <w:i/>
          <w:iCs/>
          <w:sz w:val="20"/>
          <w:szCs w:val="20"/>
        </w:rPr>
        <w:t>Journal of Engineering Technologies and Management Research.</w:t>
      </w:r>
    </w:p>
    <w:p w14:paraId="5ADA015C" w14:textId="77777777" w:rsidR="002A1132" w:rsidRDefault="002A1132" w:rsidP="002A1132">
      <w:pPr>
        <w:spacing w:after="0" w:line="360" w:lineRule="auto"/>
        <w:jc w:val="both"/>
        <w:rPr>
          <w:rFonts w:ascii="Arial" w:hAnsi="Arial" w:cs="Arial"/>
          <w:sz w:val="20"/>
          <w:szCs w:val="20"/>
        </w:rPr>
      </w:pPr>
      <w:r w:rsidRPr="00AC3B91">
        <w:rPr>
          <w:rFonts w:ascii="Arial" w:hAnsi="Arial" w:cs="Arial"/>
          <w:sz w:val="20"/>
          <w:szCs w:val="20"/>
        </w:rPr>
        <w:t xml:space="preserve">Ramachandran, R., Singh, A., &amp; Narain, N. (2021). The gig economy in India: A study of platform </w:t>
      </w:r>
    </w:p>
    <w:p w14:paraId="53CFF3C8" w14:textId="48A42E46" w:rsidR="002A1132" w:rsidRPr="00AC3B91" w:rsidRDefault="002A1132" w:rsidP="002A1132">
      <w:pPr>
        <w:spacing w:line="360" w:lineRule="auto"/>
        <w:ind w:left="720"/>
        <w:jc w:val="both"/>
        <w:rPr>
          <w:rFonts w:ascii="Arial" w:hAnsi="Arial" w:cs="Arial"/>
          <w:sz w:val="20"/>
          <w:szCs w:val="20"/>
        </w:rPr>
      </w:pPr>
      <w:r w:rsidRPr="00AC3B91">
        <w:rPr>
          <w:rFonts w:ascii="Arial" w:hAnsi="Arial" w:cs="Arial"/>
          <w:sz w:val="20"/>
          <w:szCs w:val="20"/>
        </w:rPr>
        <w:t xml:space="preserve">workers’ experiences. </w:t>
      </w:r>
      <w:r w:rsidRPr="00AC3B91">
        <w:rPr>
          <w:rFonts w:ascii="Arial" w:hAnsi="Arial" w:cs="Arial"/>
          <w:i/>
          <w:iCs/>
          <w:sz w:val="20"/>
          <w:szCs w:val="20"/>
        </w:rPr>
        <w:t>Journal of Labour Research, 42</w:t>
      </w:r>
      <w:r w:rsidRPr="00AC3B91">
        <w:rPr>
          <w:rFonts w:ascii="Arial" w:hAnsi="Arial" w:cs="Arial"/>
          <w:sz w:val="20"/>
          <w:szCs w:val="20"/>
        </w:rPr>
        <w:t xml:space="preserve">(3), 289–310. </w:t>
      </w:r>
      <w:hyperlink r:id="rId11" w:history="1">
        <w:r w:rsidRPr="00132145">
          <w:rPr>
            <w:rStyle w:val="Hyperlink"/>
            <w:rFonts w:ascii="Arial" w:hAnsi="Arial" w:cs="Arial"/>
            <w:sz w:val="20"/>
            <w:szCs w:val="20"/>
          </w:rPr>
          <w:t>https://doi.org/10.1007/s12122-021-09322-7</w:t>
        </w:r>
      </w:hyperlink>
    </w:p>
    <w:p w14:paraId="79236FB4" w14:textId="77777777" w:rsidR="002A1132" w:rsidRDefault="002A1132" w:rsidP="002A1132">
      <w:pPr>
        <w:spacing w:after="0" w:line="360" w:lineRule="auto"/>
        <w:jc w:val="both"/>
        <w:rPr>
          <w:rFonts w:ascii="Arial" w:hAnsi="Arial" w:cs="Arial"/>
          <w:sz w:val="20"/>
          <w:szCs w:val="20"/>
        </w:rPr>
      </w:pPr>
      <w:r w:rsidRPr="00AC3B91">
        <w:rPr>
          <w:rFonts w:ascii="Arial" w:hAnsi="Arial" w:cs="Arial"/>
          <w:sz w:val="20"/>
          <w:szCs w:val="20"/>
        </w:rPr>
        <w:t xml:space="preserve">Rani, U., &amp; Furrer, M. (2021). Digital labour platforms and new forms of flexible work in developing </w:t>
      </w:r>
    </w:p>
    <w:p w14:paraId="6BC8215C" w14:textId="5D90052D" w:rsidR="002A1132" w:rsidRPr="00AC3B91" w:rsidRDefault="002A1132" w:rsidP="002A1132">
      <w:pPr>
        <w:spacing w:line="360" w:lineRule="auto"/>
        <w:ind w:left="720"/>
        <w:jc w:val="both"/>
        <w:rPr>
          <w:rFonts w:ascii="Arial" w:hAnsi="Arial" w:cs="Arial"/>
          <w:sz w:val="20"/>
          <w:szCs w:val="20"/>
        </w:rPr>
      </w:pPr>
      <w:r w:rsidRPr="00AC3B91">
        <w:rPr>
          <w:rFonts w:ascii="Arial" w:hAnsi="Arial" w:cs="Arial"/>
          <w:sz w:val="20"/>
          <w:szCs w:val="20"/>
        </w:rPr>
        <w:lastRenderedPageBreak/>
        <w:t xml:space="preserve">countries: Algorithmic management of work and workers. </w:t>
      </w:r>
      <w:r w:rsidRPr="00AC3B91">
        <w:rPr>
          <w:rFonts w:ascii="Arial" w:hAnsi="Arial" w:cs="Arial"/>
          <w:i/>
          <w:iCs/>
          <w:sz w:val="20"/>
          <w:szCs w:val="20"/>
        </w:rPr>
        <w:t>Competition and Change, 25</w:t>
      </w:r>
      <w:r w:rsidRPr="00AC3B91">
        <w:rPr>
          <w:rFonts w:ascii="Arial" w:hAnsi="Arial" w:cs="Arial"/>
          <w:sz w:val="20"/>
          <w:szCs w:val="20"/>
        </w:rPr>
        <w:t xml:space="preserve">(2), 212–236. </w:t>
      </w:r>
      <w:hyperlink r:id="rId12" w:tgtFrame="_new" w:history="1">
        <w:r w:rsidRPr="00AC3B91">
          <w:rPr>
            <w:rStyle w:val="Hyperlink"/>
            <w:rFonts w:ascii="Arial" w:hAnsi="Arial" w:cs="Arial"/>
            <w:sz w:val="20"/>
            <w:szCs w:val="20"/>
          </w:rPr>
          <w:t>https://journals.sagepub.com/doi/abs/10.1177/1024529420905187</w:t>
        </w:r>
      </w:hyperlink>
    </w:p>
    <w:p w14:paraId="598D535F" w14:textId="77777777" w:rsidR="002A1132" w:rsidRDefault="002A1132" w:rsidP="002A1132">
      <w:pPr>
        <w:spacing w:after="0" w:line="360" w:lineRule="auto"/>
        <w:jc w:val="both"/>
        <w:rPr>
          <w:rFonts w:ascii="Arial" w:hAnsi="Arial" w:cs="Arial"/>
          <w:sz w:val="20"/>
          <w:szCs w:val="20"/>
        </w:rPr>
      </w:pPr>
      <w:r w:rsidRPr="00AC3B91">
        <w:rPr>
          <w:rFonts w:ascii="Arial" w:hAnsi="Arial" w:cs="Arial"/>
          <w:sz w:val="20"/>
          <w:szCs w:val="20"/>
        </w:rPr>
        <w:t xml:space="preserve">Rani, U., Dhir, R. K., &amp; Gobel, N. (2022). Work on online labour platforms: Does formal education </w:t>
      </w:r>
    </w:p>
    <w:p w14:paraId="77B4C13A" w14:textId="67483E5D" w:rsidR="002A1132" w:rsidRPr="00AC3B91" w:rsidRDefault="002A1132" w:rsidP="002A1132">
      <w:pPr>
        <w:spacing w:line="360" w:lineRule="auto"/>
        <w:ind w:left="720"/>
        <w:jc w:val="both"/>
        <w:rPr>
          <w:rFonts w:ascii="Arial" w:hAnsi="Arial" w:cs="Arial"/>
          <w:sz w:val="20"/>
          <w:szCs w:val="20"/>
        </w:rPr>
      </w:pPr>
      <w:r w:rsidRPr="00AC3B91">
        <w:rPr>
          <w:rFonts w:ascii="Arial" w:hAnsi="Arial" w:cs="Arial"/>
          <w:sz w:val="20"/>
          <w:szCs w:val="20"/>
        </w:rPr>
        <w:t xml:space="preserve">matter? In Huws, U., &amp; Surie, A. (Eds.), </w:t>
      </w:r>
      <w:proofErr w:type="spellStart"/>
      <w:r w:rsidRPr="00AC3B91">
        <w:rPr>
          <w:rFonts w:ascii="Arial" w:hAnsi="Arial" w:cs="Arial"/>
          <w:i/>
          <w:iCs/>
          <w:sz w:val="20"/>
          <w:szCs w:val="20"/>
        </w:rPr>
        <w:t>Platformization</w:t>
      </w:r>
      <w:proofErr w:type="spellEnd"/>
      <w:r w:rsidRPr="00AC3B91">
        <w:rPr>
          <w:rFonts w:ascii="Arial" w:hAnsi="Arial" w:cs="Arial"/>
          <w:i/>
          <w:iCs/>
          <w:sz w:val="20"/>
          <w:szCs w:val="20"/>
        </w:rPr>
        <w:t xml:space="preserve"> and informality: Pathways of change, alteration and transformation.</w:t>
      </w:r>
      <w:r w:rsidRPr="00AC3B91">
        <w:rPr>
          <w:rFonts w:ascii="Arial" w:hAnsi="Arial" w:cs="Arial"/>
          <w:sz w:val="20"/>
          <w:szCs w:val="20"/>
        </w:rPr>
        <w:t xml:space="preserve"> India: Routledge.</w:t>
      </w:r>
    </w:p>
    <w:p w14:paraId="0BB1E009" w14:textId="77777777" w:rsidR="002A1132" w:rsidRDefault="002A1132" w:rsidP="002A1132">
      <w:pPr>
        <w:spacing w:after="0" w:line="360" w:lineRule="auto"/>
        <w:jc w:val="both"/>
        <w:rPr>
          <w:rFonts w:ascii="Arial" w:hAnsi="Arial" w:cs="Arial"/>
          <w:sz w:val="20"/>
          <w:szCs w:val="20"/>
        </w:rPr>
      </w:pPr>
      <w:r w:rsidRPr="00AC3B91">
        <w:rPr>
          <w:rFonts w:ascii="Arial" w:hAnsi="Arial" w:cs="Arial"/>
          <w:sz w:val="20"/>
          <w:szCs w:val="20"/>
        </w:rPr>
        <w:t xml:space="preserve">Sen, S., &amp; Kalita, M. (2025). The gig economy and women: Participation factors and reproductive health </w:t>
      </w:r>
    </w:p>
    <w:p w14:paraId="6C65C32E" w14:textId="1DC43855" w:rsidR="002A1132" w:rsidRPr="00AC3B91" w:rsidRDefault="002A1132" w:rsidP="002A1132">
      <w:pPr>
        <w:spacing w:line="360" w:lineRule="auto"/>
        <w:ind w:firstLine="720"/>
        <w:jc w:val="both"/>
        <w:rPr>
          <w:rFonts w:ascii="Arial" w:hAnsi="Arial" w:cs="Arial"/>
          <w:sz w:val="20"/>
          <w:szCs w:val="20"/>
        </w:rPr>
      </w:pPr>
      <w:r w:rsidRPr="00AC3B91">
        <w:rPr>
          <w:rFonts w:ascii="Arial" w:hAnsi="Arial" w:cs="Arial"/>
          <w:sz w:val="20"/>
          <w:szCs w:val="20"/>
        </w:rPr>
        <w:t xml:space="preserve">impacts. </w:t>
      </w:r>
      <w:r w:rsidRPr="00AC3B91">
        <w:rPr>
          <w:rFonts w:ascii="Arial" w:hAnsi="Arial" w:cs="Arial"/>
          <w:i/>
          <w:iCs/>
          <w:sz w:val="20"/>
          <w:szCs w:val="20"/>
        </w:rPr>
        <w:t>South Asian Journal of Social Studies and Economics, 22</w:t>
      </w:r>
      <w:r w:rsidRPr="00AC3B91">
        <w:rPr>
          <w:rFonts w:ascii="Arial" w:hAnsi="Arial" w:cs="Arial"/>
          <w:sz w:val="20"/>
          <w:szCs w:val="20"/>
        </w:rPr>
        <w:t>(10), 362–373.</w:t>
      </w:r>
    </w:p>
    <w:p w14:paraId="2725C0C6" w14:textId="77777777" w:rsidR="002A1132" w:rsidRDefault="002A1132" w:rsidP="002A1132">
      <w:pPr>
        <w:spacing w:after="0" w:line="360" w:lineRule="auto"/>
        <w:jc w:val="both"/>
        <w:rPr>
          <w:rFonts w:ascii="Arial" w:hAnsi="Arial" w:cs="Arial"/>
          <w:i/>
          <w:iCs/>
          <w:sz w:val="20"/>
          <w:szCs w:val="20"/>
        </w:rPr>
      </w:pPr>
      <w:r w:rsidRPr="00AC3B91">
        <w:rPr>
          <w:rFonts w:ascii="Arial" w:hAnsi="Arial" w:cs="Arial"/>
          <w:sz w:val="20"/>
          <w:szCs w:val="20"/>
        </w:rPr>
        <w:t xml:space="preserve">Sundararajan, A. (2016). </w:t>
      </w:r>
      <w:r w:rsidRPr="00AC3B91">
        <w:rPr>
          <w:rFonts w:ascii="Arial" w:hAnsi="Arial" w:cs="Arial"/>
          <w:i/>
          <w:iCs/>
          <w:sz w:val="20"/>
          <w:szCs w:val="20"/>
        </w:rPr>
        <w:t xml:space="preserve">The sharing economy: The end of employment and the rise of crowd-based </w:t>
      </w:r>
    </w:p>
    <w:p w14:paraId="35EB2F1C" w14:textId="6E613D73" w:rsidR="008A78FA" w:rsidRPr="002A1132" w:rsidRDefault="002A1132" w:rsidP="002A1132">
      <w:pPr>
        <w:spacing w:line="360" w:lineRule="auto"/>
        <w:ind w:firstLine="720"/>
        <w:jc w:val="both"/>
        <w:rPr>
          <w:rFonts w:ascii="Arial" w:hAnsi="Arial" w:cs="Arial"/>
          <w:sz w:val="20"/>
          <w:szCs w:val="20"/>
        </w:rPr>
      </w:pPr>
      <w:r w:rsidRPr="00AC3B91">
        <w:rPr>
          <w:rFonts w:ascii="Arial" w:hAnsi="Arial" w:cs="Arial"/>
          <w:i/>
          <w:iCs/>
          <w:sz w:val="20"/>
          <w:szCs w:val="20"/>
        </w:rPr>
        <w:t>capitalism.</w:t>
      </w:r>
      <w:r w:rsidRPr="00AC3B91">
        <w:rPr>
          <w:rFonts w:ascii="Arial" w:hAnsi="Arial" w:cs="Arial"/>
          <w:sz w:val="20"/>
          <w:szCs w:val="20"/>
        </w:rPr>
        <w:t xml:space="preserve"> MIT Press.</w:t>
      </w:r>
    </w:p>
    <w:p w14:paraId="01757B5A" w14:textId="77777777" w:rsidR="008A78FA" w:rsidRDefault="008A78FA" w:rsidP="0059717B">
      <w:pPr>
        <w:spacing w:before="240" w:after="0" w:line="360" w:lineRule="auto"/>
        <w:jc w:val="both"/>
        <w:rPr>
          <w:rFonts w:ascii="Arial" w:hAnsi="Arial" w:cs="Arial"/>
          <w:b/>
          <w:bCs/>
        </w:rPr>
      </w:pPr>
    </w:p>
    <w:p w14:paraId="6F108430" w14:textId="77777777" w:rsidR="002D1F76" w:rsidRPr="0059717B" w:rsidRDefault="002D1F76" w:rsidP="00DB4131">
      <w:pPr>
        <w:spacing w:line="360" w:lineRule="auto"/>
        <w:jc w:val="both"/>
        <w:rPr>
          <w:rFonts w:ascii="Arial" w:hAnsi="Arial" w:cs="Arial"/>
          <w:sz w:val="20"/>
          <w:szCs w:val="20"/>
        </w:rPr>
      </w:pPr>
    </w:p>
    <w:sectPr w:rsidR="002D1F76" w:rsidRPr="0059717B">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2345C" w14:textId="77777777" w:rsidR="00B45634" w:rsidRDefault="00B45634" w:rsidP="000F76EB">
      <w:pPr>
        <w:spacing w:after="0" w:line="240" w:lineRule="auto"/>
      </w:pPr>
      <w:r>
        <w:separator/>
      </w:r>
    </w:p>
  </w:endnote>
  <w:endnote w:type="continuationSeparator" w:id="0">
    <w:p w14:paraId="04C82E76" w14:textId="77777777" w:rsidR="00B45634" w:rsidRDefault="00B45634" w:rsidP="000F7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434EB" w14:textId="77777777" w:rsidR="00D9372A" w:rsidRDefault="00D937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712566"/>
      <w:docPartObj>
        <w:docPartGallery w:val="Page Numbers (Bottom of Page)"/>
        <w:docPartUnique/>
      </w:docPartObj>
    </w:sdtPr>
    <w:sdtEndPr>
      <w:rPr>
        <w:color w:val="7F7F7F" w:themeColor="background1" w:themeShade="7F"/>
        <w:spacing w:val="60"/>
      </w:rPr>
    </w:sdtEndPr>
    <w:sdtContent>
      <w:p w14:paraId="1C4A78D3" w14:textId="4ADD1DD4" w:rsidR="000F76EB" w:rsidRDefault="000F76E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7407154" w14:textId="77777777" w:rsidR="000F76EB" w:rsidRDefault="000F76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1585E" w14:textId="77777777" w:rsidR="00D9372A" w:rsidRDefault="00D93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1A751" w14:textId="77777777" w:rsidR="00B45634" w:rsidRDefault="00B45634" w:rsidP="000F76EB">
      <w:pPr>
        <w:spacing w:after="0" w:line="240" w:lineRule="auto"/>
      </w:pPr>
      <w:r>
        <w:separator/>
      </w:r>
    </w:p>
  </w:footnote>
  <w:footnote w:type="continuationSeparator" w:id="0">
    <w:p w14:paraId="5A5D9654" w14:textId="77777777" w:rsidR="00B45634" w:rsidRDefault="00B45634" w:rsidP="000F7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5FF60" w14:textId="2D36C442" w:rsidR="00D9372A" w:rsidRDefault="00D9372A">
    <w:pPr>
      <w:pStyle w:val="Header"/>
    </w:pPr>
    <w:r>
      <w:rPr>
        <w:noProof/>
      </w:rPr>
      <w:pict w14:anchorId="0FAE4F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8001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6126D" w14:textId="1781B011" w:rsidR="00D9372A" w:rsidRDefault="00D9372A">
    <w:pPr>
      <w:pStyle w:val="Header"/>
    </w:pPr>
    <w:r>
      <w:rPr>
        <w:noProof/>
      </w:rPr>
      <w:pict w14:anchorId="1C9191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8001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FE239" w14:textId="69E7D335" w:rsidR="00D9372A" w:rsidRDefault="00D9372A">
    <w:pPr>
      <w:pStyle w:val="Header"/>
    </w:pPr>
    <w:r>
      <w:rPr>
        <w:noProof/>
      </w:rPr>
      <w:pict w14:anchorId="398622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8001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A411F"/>
    <w:multiLevelType w:val="multilevel"/>
    <w:tmpl w:val="20908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2C01AA"/>
    <w:multiLevelType w:val="multilevel"/>
    <w:tmpl w:val="FC26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E4A1B"/>
    <w:multiLevelType w:val="multilevel"/>
    <w:tmpl w:val="55506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80D"/>
    <w:rsid w:val="000016E9"/>
    <w:rsid w:val="00005A0F"/>
    <w:rsid w:val="00030349"/>
    <w:rsid w:val="0003107B"/>
    <w:rsid w:val="00034823"/>
    <w:rsid w:val="00043EF7"/>
    <w:rsid w:val="000455D8"/>
    <w:rsid w:val="000629AA"/>
    <w:rsid w:val="000C0FA5"/>
    <w:rsid w:val="000D4AEE"/>
    <w:rsid w:val="000D5573"/>
    <w:rsid w:val="000E0CD0"/>
    <w:rsid w:val="000E2B17"/>
    <w:rsid w:val="000E6BB1"/>
    <w:rsid w:val="000F76EB"/>
    <w:rsid w:val="00144909"/>
    <w:rsid w:val="001451A9"/>
    <w:rsid w:val="001617E1"/>
    <w:rsid w:val="00175D97"/>
    <w:rsid w:val="0018085E"/>
    <w:rsid w:val="00185FC5"/>
    <w:rsid w:val="00191033"/>
    <w:rsid w:val="001A3AAD"/>
    <w:rsid w:val="001A50E1"/>
    <w:rsid w:val="001B3AD1"/>
    <w:rsid w:val="001B71BC"/>
    <w:rsid w:val="001C5C7D"/>
    <w:rsid w:val="001D43AD"/>
    <w:rsid w:val="001E125D"/>
    <w:rsid w:val="00202D2C"/>
    <w:rsid w:val="00215722"/>
    <w:rsid w:val="00221B22"/>
    <w:rsid w:val="00222C82"/>
    <w:rsid w:val="00225533"/>
    <w:rsid w:val="00232C6A"/>
    <w:rsid w:val="0023379E"/>
    <w:rsid w:val="00235C1B"/>
    <w:rsid w:val="00262573"/>
    <w:rsid w:val="00266F16"/>
    <w:rsid w:val="00273010"/>
    <w:rsid w:val="002A1132"/>
    <w:rsid w:val="002A415E"/>
    <w:rsid w:val="002B3121"/>
    <w:rsid w:val="002B7AB5"/>
    <w:rsid w:val="002B7F28"/>
    <w:rsid w:val="002C689E"/>
    <w:rsid w:val="002C78FD"/>
    <w:rsid w:val="002D1F76"/>
    <w:rsid w:val="002D26E0"/>
    <w:rsid w:val="002E0A26"/>
    <w:rsid w:val="002E73F0"/>
    <w:rsid w:val="002F2D48"/>
    <w:rsid w:val="002F6D04"/>
    <w:rsid w:val="00312E10"/>
    <w:rsid w:val="00316400"/>
    <w:rsid w:val="00317278"/>
    <w:rsid w:val="00331F1D"/>
    <w:rsid w:val="00361671"/>
    <w:rsid w:val="00366B14"/>
    <w:rsid w:val="00367C28"/>
    <w:rsid w:val="003717AE"/>
    <w:rsid w:val="00373EE8"/>
    <w:rsid w:val="003774F5"/>
    <w:rsid w:val="00380434"/>
    <w:rsid w:val="003878E2"/>
    <w:rsid w:val="003A5CF4"/>
    <w:rsid w:val="003C0BFC"/>
    <w:rsid w:val="003D5B6A"/>
    <w:rsid w:val="003D642D"/>
    <w:rsid w:val="003E0295"/>
    <w:rsid w:val="003E3E3B"/>
    <w:rsid w:val="003F69FE"/>
    <w:rsid w:val="00403910"/>
    <w:rsid w:val="00422608"/>
    <w:rsid w:val="00432791"/>
    <w:rsid w:val="00445B06"/>
    <w:rsid w:val="0046049F"/>
    <w:rsid w:val="00463549"/>
    <w:rsid w:val="0046746D"/>
    <w:rsid w:val="004726F2"/>
    <w:rsid w:val="00491737"/>
    <w:rsid w:val="00494326"/>
    <w:rsid w:val="00494516"/>
    <w:rsid w:val="004A6152"/>
    <w:rsid w:val="004B2654"/>
    <w:rsid w:val="004C2859"/>
    <w:rsid w:val="004E73DA"/>
    <w:rsid w:val="00511073"/>
    <w:rsid w:val="0051190C"/>
    <w:rsid w:val="0052057F"/>
    <w:rsid w:val="0052532F"/>
    <w:rsid w:val="00533583"/>
    <w:rsid w:val="0054509A"/>
    <w:rsid w:val="00550A44"/>
    <w:rsid w:val="00551884"/>
    <w:rsid w:val="005536A2"/>
    <w:rsid w:val="005568EE"/>
    <w:rsid w:val="005571C5"/>
    <w:rsid w:val="005601B8"/>
    <w:rsid w:val="00575B7E"/>
    <w:rsid w:val="00584A49"/>
    <w:rsid w:val="005904AE"/>
    <w:rsid w:val="0059188D"/>
    <w:rsid w:val="0059717B"/>
    <w:rsid w:val="00597C15"/>
    <w:rsid w:val="005A7EFE"/>
    <w:rsid w:val="005D065F"/>
    <w:rsid w:val="005E3110"/>
    <w:rsid w:val="005F1FD5"/>
    <w:rsid w:val="0061348F"/>
    <w:rsid w:val="006177EA"/>
    <w:rsid w:val="00620C9B"/>
    <w:rsid w:val="00626787"/>
    <w:rsid w:val="00642AC9"/>
    <w:rsid w:val="00650FB2"/>
    <w:rsid w:val="0066096C"/>
    <w:rsid w:val="0066614D"/>
    <w:rsid w:val="00680FEF"/>
    <w:rsid w:val="006955A0"/>
    <w:rsid w:val="006966FD"/>
    <w:rsid w:val="006A06EA"/>
    <w:rsid w:val="006A7535"/>
    <w:rsid w:val="006B2B5D"/>
    <w:rsid w:val="006B5EA6"/>
    <w:rsid w:val="006B7264"/>
    <w:rsid w:val="006D0F75"/>
    <w:rsid w:val="006F1079"/>
    <w:rsid w:val="0071142B"/>
    <w:rsid w:val="00724365"/>
    <w:rsid w:val="00726474"/>
    <w:rsid w:val="0073518E"/>
    <w:rsid w:val="00736132"/>
    <w:rsid w:val="00742972"/>
    <w:rsid w:val="007601BD"/>
    <w:rsid w:val="00761999"/>
    <w:rsid w:val="00773E3F"/>
    <w:rsid w:val="00775173"/>
    <w:rsid w:val="00776F1D"/>
    <w:rsid w:val="00787827"/>
    <w:rsid w:val="00792935"/>
    <w:rsid w:val="007B2F7F"/>
    <w:rsid w:val="007C0FD9"/>
    <w:rsid w:val="007C2E38"/>
    <w:rsid w:val="007C703E"/>
    <w:rsid w:val="007F10CB"/>
    <w:rsid w:val="007F1D34"/>
    <w:rsid w:val="00806308"/>
    <w:rsid w:val="00807669"/>
    <w:rsid w:val="00810513"/>
    <w:rsid w:val="00825DB4"/>
    <w:rsid w:val="0082793E"/>
    <w:rsid w:val="008326A4"/>
    <w:rsid w:val="008438D8"/>
    <w:rsid w:val="00852F03"/>
    <w:rsid w:val="00857DD0"/>
    <w:rsid w:val="008624AE"/>
    <w:rsid w:val="0086322D"/>
    <w:rsid w:val="0087336E"/>
    <w:rsid w:val="008A78FA"/>
    <w:rsid w:val="008B510A"/>
    <w:rsid w:val="008D6822"/>
    <w:rsid w:val="008E1DB6"/>
    <w:rsid w:val="008E34EC"/>
    <w:rsid w:val="008F6F65"/>
    <w:rsid w:val="009016E4"/>
    <w:rsid w:val="00904193"/>
    <w:rsid w:val="00905C2D"/>
    <w:rsid w:val="009150C1"/>
    <w:rsid w:val="00917560"/>
    <w:rsid w:val="009428CA"/>
    <w:rsid w:val="00950894"/>
    <w:rsid w:val="00952FE4"/>
    <w:rsid w:val="009B6F1F"/>
    <w:rsid w:val="009E7CF5"/>
    <w:rsid w:val="009F7DDA"/>
    <w:rsid w:val="00A020D7"/>
    <w:rsid w:val="00A021C5"/>
    <w:rsid w:val="00A0779C"/>
    <w:rsid w:val="00A12A99"/>
    <w:rsid w:val="00A13C84"/>
    <w:rsid w:val="00A252D3"/>
    <w:rsid w:val="00A365D2"/>
    <w:rsid w:val="00A453C4"/>
    <w:rsid w:val="00A506D9"/>
    <w:rsid w:val="00A56ADF"/>
    <w:rsid w:val="00A6594F"/>
    <w:rsid w:val="00A73483"/>
    <w:rsid w:val="00A7738A"/>
    <w:rsid w:val="00AB07B5"/>
    <w:rsid w:val="00AC0A74"/>
    <w:rsid w:val="00AD55B1"/>
    <w:rsid w:val="00AD6E77"/>
    <w:rsid w:val="00AF1EEC"/>
    <w:rsid w:val="00AF217B"/>
    <w:rsid w:val="00AF67F9"/>
    <w:rsid w:val="00B03F36"/>
    <w:rsid w:val="00B25968"/>
    <w:rsid w:val="00B32812"/>
    <w:rsid w:val="00B36840"/>
    <w:rsid w:val="00B45634"/>
    <w:rsid w:val="00B5139C"/>
    <w:rsid w:val="00B63B26"/>
    <w:rsid w:val="00B67278"/>
    <w:rsid w:val="00B67692"/>
    <w:rsid w:val="00B70CEC"/>
    <w:rsid w:val="00B71374"/>
    <w:rsid w:val="00B8215E"/>
    <w:rsid w:val="00BA086B"/>
    <w:rsid w:val="00BD3447"/>
    <w:rsid w:val="00BE129F"/>
    <w:rsid w:val="00BE2653"/>
    <w:rsid w:val="00C01857"/>
    <w:rsid w:val="00C11A6C"/>
    <w:rsid w:val="00C22E25"/>
    <w:rsid w:val="00C30245"/>
    <w:rsid w:val="00C40AC9"/>
    <w:rsid w:val="00C51BE0"/>
    <w:rsid w:val="00C7476E"/>
    <w:rsid w:val="00C93F05"/>
    <w:rsid w:val="00C96180"/>
    <w:rsid w:val="00CA4042"/>
    <w:rsid w:val="00CA436B"/>
    <w:rsid w:val="00CA4B8D"/>
    <w:rsid w:val="00CC1F42"/>
    <w:rsid w:val="00CC4107"/>
    <w:rsid w:val="00CE5335"/>
    <w:rsid w:val="00CF67EE"/>
    <w:rsid w:val="00D0385F"/>
    <w:rsid w:val="00D152E5"/>
    <w:rsid w:val="00D17776"/>
    <w:rsid w:val="00D21347"/>
    <w:rsid w:val="00D308B1"/>
    <w:rsid w:val="00D4796C"/>
    <w:rsid w:val="00D50CEF"/>
    <w:rsid w:val="00D65E99"/>
    <w:rsid w:val="00D66FB4"/>
    <w:rsid w:val="00D71F71"/>
    <w:rsid w:val="00D7383C"/>
    <w:rsid w:val="00D759DA"/>
    <w:rsid w:val="00D90791"/>
    <w:rsid w:val="00D9372A"/>
    <w:rsid w:val="00DB05DB"/>
    <w:rsid w:val="00DB4131"/>
    <w:rsid w:val="00DB5CC8"/>
    <w:rsid w:val="00DC2830"/>
    <w:rsid w:val="00DD2E11"/>
    <w:rsid w:val="00DE41E7"/>
    <w:rsid w:val="00E10CE8"/>
    <w:rsid w:val="00E112E8"/>
    <w:rsid w:val="00E23360"/>
    <w:rsid w:val="00E26B95"/>
    <w:rsid w:val="00E3463E"/>
    <w:rsid w:val="00E42BAC"/>
    <w:rsid w:val="00E4401F"/>
    <w:rsid w:val="00E512AC"/>
    <w:rsid w:val="00E55E4B"/>
    <w:rsid w:val="00E63B56"/>
    <w:rsid w:val="00E87686"/>
    <w:rsid w:val="00EA22EC"/>
    <w:rsid w:val="00EB6250"/>
    <w:rsid w:val="00EC12A8"/>
    <w:rsid w:val="00EC22EF"/>
    <w:rsid w:val="00EC412D"/>
    <w:rsid w:val="00F10F62"/>
    <w:rsid w:val="00F11624"/>
    <w:rsid w:val="00F178F8"/>
    <w:rsid w:val="00F37D09"/>
    <w:rsid w:val="00F40BDD"/>
    <w:rsid w:val="00F634CF"/>
    <w:rsid w:val="00F656A8"/>
    <w:rsid w:val="00F66A6E"/>
    <w:rsid w:val="00F679DB"/>
    <w:rsid w:val="00F71DFB"/>
    <w:rsid w:val="00F94A50"/>
    <w:rsid w:val="00FA4D5B"/>
    <w:rsid w:val="00FA5F0C"/>
    <w:rsid w:val="00FC680D"/>
    <w:rsid w:val="00FC761E"/>
    <w:rsid w:val="00FC7F0F"/>
    <w:rsid w:val="00FD4716"/>
    <w:rsid w:val="00FD5255"/>
    <w:rsid w:val="00FD5D43"/>
    <w:rsid w:val="00FE26A1"/>
    <w:rsid w:val="00FF59A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A963D2"/>
  <w15:chartTrackingRefBased/>
  <w15:docId w15:val="{7E6991F5-E2EC-4ADA-B0B5-116C529A1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5B06"/>
  </w:style>
  <w:style w:type="paragraph" w:styleId="Heading1">
    <w:name w:val="heading 1"/>
    <w:basedOn w:val="Normal"/>
    <w:next w:val="Normal"/>
    <w:link w:val="Heading1Char"/>
    <w:uiPriority w:val="9"/>
    <w:qFormat/>
    <w:rsid w:val="00FC68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68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68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68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68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68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8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8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8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8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68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68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68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68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68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8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8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80D"/>
    <w:rPr>
      <w:rFonts w:eastAsiaTheme="majorEastAsia" w:cstheme="majorBidi"/>
      <w:color w:val="272727" w:themeColor="text1" w:themeTint="D8"/>
    </w:rPr>
  </w:style>
  <w:style w:type="paragraph" w:styleId="Title">
    <w:name w:val="Title"/>
    <w:basedOn w:val="Normal"/>
    <w:next w:val="Normal"/>
    <w:link w:val="TitleChar"/>
    <w:uiPriority w:val="10"/>
    <w:qFormat/>
    <w:rsid w:val="00FC68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8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68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68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680D"/>
    <w:pPr>
      <w:spacing w:before="160"/>
      <w:jc w:val="center"/>
    </w:pPr>
    <w:rPr>
      <w:i/>
      <w:iCs/>
      <w:color w:val="404040" w:themeColor="text1" w:themeTint="BF"/>
    </w:rPr>
  </w:style>
  <w:style w:type="character" w:customStyle="1" w:styleId="QuoteChar">
    <w:name w:val="Quote Char"/>
    <w:basedOn w:val="DefaultParagraphFont"/>
    <w:link w:val="Quote"/>
    <w:uiPriority w:val="29"/>
    <w:rsid w:val="00FC680D"/>
    <w:rPr>
      <w:i/>
      <w:iCs/>
      <w:color w:val="404040" w:themeColor="text1" w:themeTint="BF"/>
    </w:rPr>
  </w:style>
  <w:style w:type="paragraph" w:styleId="ListParagraph">
    <w:name w:val="List Paragraph"/>
    <w:basedOn w:val="Normal"/>
    <w:uiPriority w:val="34"/>
    <w:qFormat/>
    <w:rsid w:val="00FC680D"/>
    <w:pPr>
      <w:ind w:left="720"/>
      <w:contextualSpacing/>
    </w:pPr>
  </w:style>
  <w:style w:type="character" w:styleId="IntenseEmphasis">
    <w:name w:val="Intense Emphasis"/>
    <w:basedOn w:val="DefaultParagraphFont"/>
    <w:uiPriority w:val="21"/>
    <w:qFormat/>
    <w:rsid w:val="00FC680D"/>
    <w:rPr>
      <w:i/>
      <w:iCs/>
      <w:color w:val="2F5496" w:themeColor="accent1" w:themeShade="BF"/>
    </w:rPr>
  </w:style>
  <w:style w:type="paragraph" w:styleId="IntenseQuote">
    <w:name w:val="Intense Quote"/>
    <w:basedOn w:val="Normal"/>
    <w:next w:val="Normal"/>
    <w:link w:val="IntenseQuoteChar"/>
    <w:uiPriority w:val="30"/>
    <w:qFormat/>
    <w:rsid w:val="00FC68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680D"/>
    <w:rPr>
      <w:i/>
      <w:iCs/>
      <w:color w:val="2F5496" w:themeColor="accent1" w:themeShade="BF"/>
    </w:rPr>
  </w:style>
  <w:style w:type="character" w:styleId="IntenseReference">
    <w:name w:val="Intense Reference"/>
    <w:basedOn w:val="DefaultParagraphFont"/>
    <w:uiPriority w:val="32"/>
    <w:qFormat/>
    <w:rsid w:val="00FC680D"/>
    <w:rPr>
      <w:b/>
      <w:bCs/>
      <w:smallCaps/>
      <w:color w:val="2F5496" w:themeColor="accent1" w:themeShade="BF"/>
      <w:spacing w:val="5"/>
    </w:rPr>
  </w:style>
  <w:style w:type="paragraph" w:styleId="Header">
    <w:name w:val="header"/>
    <w:basedOn w:val="Normal"/>
    <w:link w:val="HeaderChar"/>
    <w:uiPriority w:val="99"/>
    <w:unhideWhenUsed/>
    <w:rsid w:val="000F76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6EB"/>
  </w:style>
  <w:style w:type="paragraph" w:styleId="Footer">
    <w:name w:val="footer"/>
    <w:basedOn w:val="Normal"/>
    <w:link w:val="FooterChar"/>
    <w:uiPriority w:val="99"/>
    <w:unhideWhenUsed/>
    <w:rsid w:val="000F76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6EB"/>
  </w:style>
  <w:style w:type="paragraph" w:styleId="FootnoteText">
    <w:name w:val="footnote text"/>
    <w:basedOn w:val="Normal"/>
    <w:link w:val="FootnoteTextChar"/>
    <w:uiPriority w:val="99"/>
    <w:unhideWhenUsed/>
    <w:rsid w:val="005536A2"/>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rsid w:val="005536A2"/>
    <w:rPr>
      <w:kern w:val="0"/>
      <w:sz w:val="20"/>
      <w:szCs w:val="20"/>
      <w14:ligatures w14:val="none"/>
    </w:rPr>
  </w:style>
  <w:style w:type="character" w:styleId="FootnoteReference">
    <w:name w:val="footnote reference"/>
    <w:basedOn w:val="DefaultParagraphFont"/>
    <w:uiPriority w:val="99"/>
    <w:semiHidden/>
    <w:unhideWhenUsed/>
    <w:rsid w:val="005536A2"/>
    <w:rPr>
      <w:vertAlign w:val="superscript"/>
    </w:rPr>
  </w:style>
  <w:style w:type="table" w:styleId="TableGrid">
    <w:name w:val="Table Grid"/>
    <w:basedOn w:val="TableNormal"/>
    <w:uiPriority w:val="39"/>
    <w:rsid w:val="0019103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6180"/>
    <w:rPr>
      <w:rFonts w:ascii="Times New Roman" w:hAnsi="Times New Roman" w:cs="Times New Roman"/>
      <w:sz w:val="24"/>
      <w:szCs w:val="24"/>
    </w:rPr>
  </w:style>
  <w:style w:type="character" w:styleId="Hyperlink">
    <w:name w:val="Hyperlink"/>
    <w:basedOn w:val="DefaultParagraphFont"/>
    <w:uiPriority w:val="99"/>
    <w:unhideWhenUsed/>
    <w:rsid w:val="0059717B"/>
    <w:rPr>
      <w:color w:val="0563C1" w:themeColor="hyperlink"/>
      <w:u w:val="single"/>
    </w:rPr>
  </w:style>
  <w:style w:type="paragraph" w:styleId="NoSpacing">
    <w:name w:val="No Spacing"/>
    <w:uiPriority w:val="1"/>
    <w:qFormat/>
    <w:rsid w:val="00FA5F0C"/>
    <w:pPr>
      <w:spacing w:after="0" w:line="240" w:lineRule="auto"/>
    </w:pPr>
    <w:rPr>
      <w:sz w:val="24"/>
      <w:szCs w:val="24"/>
    </w:rPr>
  </w:style>
  <w:style w:type="character" w:styleId="UnresolvedMention">
    <w:name w:val="Unresolved Mention"/>
    <w:basedOn w:val="DefaultParagraphFont"/>
    <w:uiPriority w:val="99"/>
    <w:semiHidden/>
    <w:unhideWhenUsed/>
    <w:rsid w:val="00DB0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91416">
      <w:bodyDiv w:val="1"/>
      <w:marLeft w:val="0"/>
      <w:marRight w:val="0"/>
      <w:marTop w:val="0"/>
      <w:marBottom w:val="0"/>
      <w:divBdr>
        <w:top w:val="none" w:sz="0" w:space="0" w:color="auto"/>
        <w:left w:val="none" w:sz="0" w:space="0" w:color="auto"/>
        <w:bottom w:val="none" w:sz="0" w:space="0" w:color="auto"/>
        <w:right w:val="none" w:sz="0" w:space="0" w:color="auto"/>
      </w:divBdr>
    </w:div>
    <w:div w:id="106628282">
      <w:bodyDiv w:val="1"/>
      <w:marLeft w:val="0"/>
      <w:marRight w:val="0"/>
      <w:marTop w:val="0"/>
      <w:marBottom w:val="0"/>
      <w:divBdr>
        <w:top w:val="none" w:sz="0" w:space="0" w:color="auto"/>
        <w:left w:val="none" w:sz="0" w:space="0" w:color="auto"/>
        <w:bottom w:val="none" w:sz="0" w:space="0" w:color="auto"/>
        <w:right w:val="none" w:sz="0" w:space="0" w:color="auto"/>
      </w:divBdr>
    </w:div>
    <w:div w:id="111901627">
      <w:bodyDiv w:val="1"/>
      <w:marLeft w:val="0"/>
      <w:marRight w:val="0"/>
      <w:marTop w:val="0"/>
      <w:marBottom w:val="0"/>
      <w:divBdr>
        <w:top w:val="none" w:sz="0" w:space="0" w:color="auto"/>
        <w:left w:val="none" w:sz="0" w:space="0" w:color="auto"/>
        <w:bottom w:val="none" w:sz="0" w:space="0" w:color="auto"/>
        <w:right w:val="none" w:sz="0" w:space="0" w:color="auto"/>
      </w:divBdr>
    </w:div>
    <w:div w:id="487213054">
      <w:bodyDiv w:val="1"/>
      <w:marLeft w:val="0"/>
      <w:marRight w:val="0"/>
      <w:marTop w:val="0"/>
      <w:marBottom w:val="0"/>
      <w:divBdr>
        <w:top w:val="none" w:sz="0" w:space="0" w:color="auto"/>
        <w:left w:val="none" w:sz="0" w:space="0" w:color="auto"/>
        <w:bottom w:val="none" w:sz="0" w:space="0" w:color="auto"/>
        <w:right w:val="none" w:sz="0" w:space="0" w:color="auto"/>
      </w:divBdr>
    </w:div>
    <w:div w:id="986667795">
      <w:bodyDiv w:val="1"/>
      <w:marLeft w:val="0"/>
      <w:marRight w:val="0"/>
      <w:marTop w:val="0"/>
      <w:marBottom w:val="0"/>
      <w:divBdr>
        <w:top w:val="none" w:sz="0" w:space="0" w:color="auto"/>
        <w:left w:val="none" w:sz="0" w:space="0" w:color="auto"/>
        <w:bottom w:val="none" w:sz="0" w:space="0" w:color="auto"/>
        <w:right w:val="none" w:sz="0" w:space="0" w:color="auto"/>
      </w:divBdr>
    </w:div>
    <w:div w:id="1160779820">
      <w:bodyDiv w:val="1"/>
      <w:marLeft w:val="0"/>
      <w:marRight w:val="0"/>
      <w:marTop w:val="0"/>
      <w:marBottom w:val="0"/>
      <w:divBdr>
        <w:top w:val="none" w:sz="0" w:space="0" w:color="auto"/>
        <w:left w:val="none" w:sz="0" w:space="0" w:color="auto"/>
        <w:bottom w:val="none" w:sz="0" w:space="0" w:color="auto"/>
        <w:right w:val="none" w:sz="0" w:space="0" w:color="auto"/>
      </w:divBdr>
    </w:div>
    <w:div w:id="1264919820">
      <w:bodyDiv w:val="1"/>
      <w:marLeft w:val="0"/>
      <w:marRight w:val="0"/>
      <w:marTop w:val="0"/>
      <w:marBottom w:val="0"/>
      <w:divBdr>
        <w:top w:val="none" w:sz="0" w:space="0" w:color="auto"/>
        <w:left w:val="none" w:sz="0" w:space="0" w:color="auto"/>
        <w:bottom w:val="none" w:sz="0" w:space="0" w:color="auto"/>
        <w:right w:val="none" w:sz="0" w:space="0" w:color="auto"/>
      </w:divBdr>
    </w:div>
    <w:div w:id="198831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pers.ssrn.com/sol3/papers.cfm?abstract_id=3266249"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journals.sagepub.com/doi/abs/10.1177/1024529420905187"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2122-021-09322-7"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080/0143659961510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177/23197145231174321"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Sheet2!$B$1</c:f>
              <c:strCache>
                <c:ptCount val="1"/>
                <c:pt idx="0">
                  <c:v>Frequency of Female Gig Workers</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Sheet2!$A$2:$A$8</c:f>
              <c:strCache>
                <c:ptCount val="7"/>
                <c:pt idx="0">
                  <c:v>Online Teaching</c:v>
                </c:pt>
                <c:pt idx="1">
                  <c:v>Content Creation</c:v>
                </c:pt>
                <c:pt idx="2">
                  <c:v>Beauty &amp; Wellness Services</c:v>
                </c:pt>
                <c:pt idx="3">
                  <c:v>Graphic Design</c:v>
                </c:pt>
                <c:pt idx="4">
                  <c:v>Video Editing</c:v>
                </c:pt>
                <c:pt idx="5">
                  <c:v>Tailoring</c:v>
                </c:pt>
                <c:pt idx="6">
                  <c:v>Home Baking</c:v>
                </c:pt>
              </c:strCache>
            </c:strRef>
          </c:cat>
          <c:val>
            <c:numRef>
              <c:f>Sheet2!$B$2:$B$8</c:f>
              <c:numCache>
                <c:formatCode>General</c:formatCode>
                <c:ptCount val="7"/>
                <c:pt idx="0">
                  <c:v>78</c:v>
                </c:pt>
                <c:pt idx="1">
                  <c:v>46</c:v>
                </c:pt>
                <c:pt idx="2">
                  <c:v>34</c:v>
                </c:pt>
                <c:pt idx="3">
                  <c:v>28</c:v>
                </c:pt>
                <c:pt idx="4">
                  <c:v>42</c:v>
                </c:pt>
                <c:pt idx="5">
                  <c:v>39</c:v>
                </c:pt>
                <c:pt idx="6">
                  <c:v>33</c:v>
                </c:pt>
              </c:numCache>
            </c:numRef>
          </c:val>
          <c:extLst>
            <c:ext xmlns:c16="http://schemas.microsoft.com/office/drawing/2014/chart" uri="{C3380CC4-5D6E-409C-BE32-E72D297353CC}">
              <c16:uniqueId val="{00000000-F4C7-4899-A1CF-FC75D300B661}"/>
            </c:ext>
          </c:extLst>
        </c:ser>
        <c:ser>
          <c:idx val="1"/>
          <c:order val="1"/>
          <c:tx>
            <c:strRef>
              <c:f>Sheet2!$C$1</c:f>
              <c:strCache>
                <c:ptCount val="1"/>
                <c:pt idx="0">
                  <c:v>Percentage </c:v>
                </c:pt>
              </c:strCache>
            </c:strRef>
          </c:tx>
          <c:spPr>
            <a:solidFill>
              <a:schemeClr val="accent2"/>
            </a:solidFill>
            <a:ln>
              <a:noFill/>
            </a:ln>
            <a:effectLst/>
            <a:sp3d/>
          </c:spPr>
          <c:invertIfNegative val="0"/>
          <c:dLbls>
            <c:dLbl>
              <c:idx val="0"/>
              <c:layout>
                <c:manualLayout>
                  <c:x val="1.0126681949566431E-2"/>
                  <c:y val="0"/>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5.0936708860759482E-2"/>
                      <c:h val="5.447745168217609E-2"/>
                    </c:manualLayout>
                  </c15:layout>
                </c:ext>
                <c:ext xmlns:c16="http://schemas.microsoft.com/office/drawing/2014/chart" uri="{C3380CC4-5D6E-409C-BE32-E72D297353CC}">
                  <c16:uniqueId val="{00000001-F4C7-4899-A1CF-FC75D300B661}"/>
                </c:ext>
              </c:extLst>
            </c:dLbl>
            <c:dLbl>
              <c:idx val="1"/>
              <c:layout>
                <c:manualLayout>
                  <c:x val="1.518987341772147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4C7-4899-A1CF-FC75D300B661}"/>
                </c:ext>
              </c:extLst>
            </c:dLbl>
            <c:dLbl>
              <c:idx val="2"/>
              <c:layout>
                <c:manualLayout>
                  <c:x val="1.2658227848101219E-2"/>
                  <c:y val="-4.545454545454628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4C7-4899-A1CF-FC75D300B661}"/>
                </c:ext>
              </c:extLst>
            </c:dLbl>
            <c:dLbl>
              <c:idx val="3"/>
              <c:layout>
                <c:manualLayout>
                  <c:x val="1.5189873417721518E-2"/>
                  <c:y val="-8.333237067067631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4C7-4899-A1CF-FC75D300B661}"/>
                </c:ext>
              </c:extLst>
            </c:dLbl>
            <c:dLbl>
              <c:idx val="4"/>
              <c:layout>
                <c:manualLayout>
                  <c:x val="1.012658227848091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4C7-4899-A1CF-FC75D300B661}"/>
                </c:ext>
              </c:extLst>
            </c:dLbl>
            <c:dLbl>
              <c:idx val="5"/>
              <c:layout>
                <c:manualLayout>
                  <c:x val="1.0126582278481013E-2"/>
                  <c:y val="-8.333237067067631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4C7-4899-A1CF-FC75D300B661}"/>
                </c:ext>
              </c:extLst>
            </c:dLbl>
            <c:dLbl>
              <c:idx val="6"/>
              <c:layout>
                <c:manualLayout>
                  <c:x val="1.7721518987341586E-2"/>
                  <c:y val="-8.333237067067631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4C7-4899-A1CF-FC75D300B66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Sheet2!$A$2:$A$8</c:f>
              <c:strCache>
                <c:ptCount val="7"/>
                <c:pt idx="0">
                  <c:v>Online Teaching</c:v>
                </c:pt>
                <c:pt idx="1">
                  <c:v>Content Creation</c:v>
                </c:pt>
                <c:pt idx="2">
                  <c:v>Beauty &amp; Wellness Services</c:v>
                </c:pt>
                <c:pt idx="3">
                  <c:v>Graphic Design</c:v>
                </c:pt>
                <c:pt idx="4">
                  <c:v>Video Editing</c:v>
                </c:pt>
                <c:pt idx="5">
                  <c:v>Tailoring</c:v>
                </c:pt>
                <c:pt idx="6">
                  <c:v>Home Baking</c:v>
                </c:pt>
              </c:strCache>
            </c:strRef>
          </c:cat>
          <c:val>
            <c:numRef>
              <c:f>Sheet2!$C$2:$C$8</c:f>
              <c:numCache>
                <c:formatCode>General</c:formatCode>
                <c:ptCount val="7"/>
                <c:pt idx="0">
                  <c:v>26</c:v>
                </c:pt>
                <c:pt idx="1">
                  <c:v>15.3</c:v>
                </c:pt>
                <c:pt idx="2">
                  <c:v>11.3</c:v>
                </c:pt>
                <c:pt idx="3">
                  <c:v>9.3000000000000007</c:v>
                </c:pt>
                <c:pt idx="4">
                  <c:v>14</c:v>
                </c:pt>
                <c:pt idx="5">
                  <c:v>13</c:v>
                </c:pt>
                <c:pt idx="6">
                  <c:v>11</c:v>
                </c:pt>
              </c:numCache>
            </c:numRef>
          </c:val>
          <c:extLst>
            <c:ext xmlns:c16="http://schemas.microsoft.com/office/drawing/2014/chart" uri="{C3380CC4-5D6E-409C-BE32-E72D297353CC}">
              <c16:uniqueId val="{00000008-F4C7-4899-A1CF-FC75D300B661}"/>
            </c:ext>
          </c:extLst>
        </c:ser>
        <c:dLbls>
          <c:showLegendKey val="0"/>
          <c:showVal val="1"/>
          <c:showCatName val="0"/>
          <c:showSerName val="0"/>
          <c:showPercent val="0"/>
          <c:showBubbleSize val="0"/>
        </c:dLbls>
        <c:gapWidth val="150"/>
        <c:shape val="box"/>
        <c:axId val="1389211120"/>
        <c:axId val="1389218320"/>
        <c:axId val="0"/>
      </c:bar3DChart>
      <c:catAx>
        <c:axId val="13892111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389218320"/>
        <c:crosses val="autoZero"/>
        <c:auto val="1"/>
        <c:lblAlgn val="ctr"/>
        <c:lblOffset val="100"/>
        <c:noMultiLvlLbl val="0"/>
      </c:catAx>
      <c:valAx>
        <c:axId val="1389218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389211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1167</TotalTime>
  <Pages>15</Pages>
  <Words>6338</Words>
  <Characters>36132</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1170</cp:lastModifiedBy>
  <cp:revision>170</cp:revision>
  <dcterms:created xsi:type="dcterms:W3CDTF">2025-08-05T01:13:00Z</dcterms:created>
  <dcterms:modified xsi:type="dcterms:W3CDTF">2026-02-23T09:47:00Z</dcterms:modified>
</cp:coreProperties>
</file>