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62D" w:rsidRPr="00CB18E3" w:rsidRDefault="00CB18E3" w:rsidP="00CB18E3">
      <w:pPr>
        <w:pStyle w:val="Heading1"/>
        <w:jc w:val="center"/>
        <w:rPr>
          <w:color w:val="000000" w:themeColor="text1"/>
        </w:rPr>
      </w:pPr>
      <w:r w:rsidRPr="00CB18E3">
        <w:rPr>
          <w:color w:val="000000" w:themeColor="text1"/>
        </w:rPr>
        <w:t>Urban and Vertical Farming: Productivity, Resource Efficiency, and Scalability in Controlled Environment Agriculture</w:t>
      </w:r>
    </w:p>
    <w:p w:rsidR="00DC162D" w:rsidRDefault="00DC162D">
      <w:pPr>
        <w:spacing w:after="80"/>
      </w:pPr>
    </w:p>
    <w:p w:rsidR="00DC162D" w:rsidRDefault="00DC162D">
      <w:pPr>
        <w:spacing w:after="80"/>
      </w:pPr>
    </w:p>
    <w:p w:rsidR="00CB18E3" w:rsidRDefault="00CB18E3" w:rsidP="00CB18E3">
      <w:pPr>
        <w:spacing w:after="400"/>
        <w:jc w:val="center"/>
        <w:rPr>
          <w:rFonts w:cs="Times New Roman"/>
          <w:b/>
          <w:bCs/>
          <w:vertAlign w:val="superscript"/>
        </w:rPr>
      </w:pPr>
    </w:p>
    <w:p w:rsidR="00C52560" w:rsidRDefault="00C52560" w:rsidP="00CB18E3">
      <w:pPr>
        <w:spacing w:after="400"/>
        <w:jc w:val="center"/>
      </w:pPr>
    </w:p>
    <w:p w:rsidR="00C52560" w:rsidRDefault="00C52560" w:rsidP="00CB18E3">
      <w:pPr>
        <w:spacing w:after="400"/>
        <w:jc w:val="center"/>
      </w:pPr>
    </w:p>
    <w:p w:rsidR="00DC162D" w:rsidRDefault="00CB18E3" w:rsidP="00CB18E3">
      <w:pPr>
        <w:spacing w:after="400"/>
        <w:jc w:val="center"/>
      </w:pPr>
      <w:r>
        <w:t xml:space="preserve">Abstract </w:t>
      </w:r>
    </w:p>
    <w:p w:rsidR="00DC162D" w:rsidRDefault="00CB18E3">
      <w:pPr>
        <w:spacing w:before="80" w:after="80" w:line="320" w:lineRule="auto"/>
        <w:ind w:left="720" w:right="720"/>
        <w:jc w:val="both"/>
      </w:pPr>
      <w:r>
        <w:rPr>
          <w:rFonts w:cs="Times New Roman"/>
          <w:sz w:val="22"/>
          <w:szCs w:val="22"/>
        </w:rPr>
        <w:t xml:space="preserve">Urban and vertical farming systems have attracted considerable global interest as potential solutions to the converging challenges of rapid urbanization, climate change-induced agricultural disruption, supply chain fragility, and escalating demand for fresh, locally produced food. This research paper investigates the productivity potential, resource use efficiency, economic viability, and environmental footprint of controlled environment agriculture (CEA) systems, with particular focus on plant factory with artificial lighting (PFAL), rooftop greenhouse, and building-integrated vertical farm configurations. Using a comparative analysis framework drawing on published experimental data, life cycle assessment studies, and techno-economic models from systems operating in Asia, Europe, and North America, the paper evaluates how system design parameters including lighting technology, growing substrate, climate control architecture, crop selection, and urban location interact to determine overall system performance. Results indicate that well-optimized vertical farming systems achieve crop yields 10-40 times higher per unit land area than conventional field production for leafy vegetable and herb crops, with water use efficiencies 90-95% superior to open-field equivalents. However, the energy intensity of full-spectrum artificial lighting systems remains a critical challenge: electricity consumption of 20-50 kWh per kilogram of produce represents the dominant cost and environmental impact driver in closed PFAL systems, largely determining economic viability and life cycle carbon footprint. The paper further examines the role of renewable energy integration, waste heat recovery, LED spectral optimization, and advanced climate control algorithms in improving the energy balance of vertical farming systems. Emerging research frontiers including photoperiod manipulation for accelerated crop development, microbiome management in hydroponic root zones, robotic harvesting, and AI-driven crop </w:t>
      </w:r>
      <w:proofErr w:type="spellStart"/>
      <w:r>
        <w:rPr>
          <w:rFonts w:cs="Times New Roman"/>
          <w:sz w:val="22"/>
          <w:szCs w:val="22"/>
        </w:rPr>
        <w:t>modeling</w:t>
      </w:r>
      <w:proofErr w:type="spellEnd"/>
      <w:r>
        <w:rPr>
          <w:rFonts w:cs="Times New Roman"/>
          <w:sz w:val="22"/>
          <w:szCs w:val="22"/>
        </w:rPr>
        <w:t xml:space="preserve"> are evaluated for </w:t>
      </w:r>
      <w:r>
        <w:rPr>
          <w:rFonts w:cs="Times New Roman"/>
          <w:sz w:val="22"/>
          <w:szCs w:val="22"/>
        </w:rPr>
        <w:lastRenderedPageBreak/>
        <w:t>their potential to improve system performance and reduce unit production costs. The findings have direct implications for investment decision-making, urban food policy design, and the technical development priorities of the vertical farming sector.</w:t>
      </w:r>
    </w:p>
    <w:p w:rsidR="00DC162D" w:rsidRDefault="00CB18E3">
      <w:pPr>
        <w:spacing w:before="80" w:after="200" w:line="320" w:lineRule="auto"/>
        <w:ind w:left="720" w:right="720"/>
        <w:jc w:val="both"/>
      </w:pPr>
      <w:r>
        <w:rPr>
          <w:rFonts w:cs="Times New Roman"/>
          <w:b/>
          <w:bCs/>
          <w:sz w:val="22"/>
          <w:szCs w:val="22"/>
        </w:rPr>
        <w:t xml:space="preserve">Keywords: </w:t>
      </w:r>
      <w:r>
        <w:rPr>
          <w:rFonts w:cs="Times New Roman"/>
          <w:i/>
          <w:iCs/>
          <w:sz w:val="22"/>
          <w:szCs w:val="22"/>
        </w:rPr>
        <w:t>vertical farming; urban agriculture; controlled environment agriculture; plant factory; hydroponics; LED lighting; food security; resource efficiency; life cycle assessment; food miles</w:t>
      </w:r>
    </w:p>
    <w:p w:rsidR="00DC162D" w:rsidRDefault="00CB18E3">
      <w:pPr>
        <w:pStyle w:val="Heading1"/>
      </w:pPr>
      <w:r>
        <w:t>1. Introduction</w:t>
      </w:r>
    </w:p>
    <w:p w:rsidR="00DC162D" w:rsidRDefault="00CB18E3">
      <w:pPr>
        <w:spacing w:after="180" w:line="360" w:lineRule="auto"/>
        <w:ind w:firstLine="720"/>
        <w:jc w:val="both"/>
      </w:pPr>
      <w:r>
        <w:rPr>
          <w:rFonts w:cs="Times New Roman"/>
        </w:rPr>
        <w:t xml:space="preserve">The global food system is facing a convergence of structural stresses of unprecedented severity. By 2050, the world population is projected to reach 9.7 billion people, with approximately 68% residing in urban areas, creating intense concentrations of food demand at precisely the geographic locations most distant from conventional agricultural production (UN DESA, 2019). Climate change is simultaneously threatening the productivity and reliability of conventional agriculture through shifting precipitation patterns, increasing frequency of extreme weather events, rising temperatures, and expanding ranges of thermophilic pest and disease organisms. Supply chain disruptions - dramatized globally by the COVID-19 pandemic's impacts on food logistics and more recently by energy price shocks and geopolitical conflicts affecting fertilizer supply - have exposed the fragility of extended food supply chains that route fresh produce through thousands of </w:t>
      </w:r>
      <w:proofErr w:type="spellStart"/>
      <w:r>
        <w:rPr>
          <w:rFonts w:cs="Times New Roman"/>
        </w:rPr>
        <w:t>kilometers</w:t>
      </w:r>
      <w:proofErr w:type="spellEnd"/>
      <w:r>
        <w:rPr>
          <w:rFonts w:cs="Times New Roman"/>
        </w:rPr>
        <w:t xml:space="preserve"> of refrigerated transport and storage before reaching urban consumers.</w:t>
      </w:r>
    </w:p>
    <w:p w:rsidR="00DC162D" w:rsidRDefault="00CB18E3">
      <w:pPr>
        <w:spacing w:after="180" w:line="360" w:lineRule="auto"/>
        <w:ind w:firstLine="720"/>
        <w:jc w:val="both"/>
      </w:pPr>
      <w:r>
        <w:rPr>
          <w:rFonts w:cs="Times New Roman"/>
        </w:rPr>
        <w:t>Urban and vertical farming systems have emerged as a technologically sophisticated response to these converging pressures, promising year-round production of fresh vegetables and herbs at or near the point of consumption, decoupled from weather variability, seasonal constraints, and long-distance logistics dependencies. The defining characteristic of vertical farming, as distinct from broader urban agriculture concepts, is the stacking of multiple crop production layers within a single building footprint, combined with precise control of all environmental parameters including temperature, humidity, carbon dioxide concentration, nutrient solution composition, and light intensity and spectrum. This controlled environment agriculture (CEA) approach enables the optimization of growing conditions to near-theoretical limits of crop productivity, unconstrained by the atmospheric and soil variability that limits conventional field production.</w:t>
      </w:r>
    </w:p>
    <w:p w:rsidR="00DC162D" w:rsidRDefault="00CB18E3">
      <w:pPr>
        <w:spacing w:after="180" w:line="360" w:lineRule="auto"/>
        <w:ind w:firstLine="720"/>
        <w:jc w:val="both"/>
      </w:pPr>
      <w:r>
        <w:rPr>
          <w:rFonts w:cs="Times New Roman"/>
        </w:rPr>
        <w:lastRenderedPageBreak/>
        <w:t>The commercial vertical farming industry has grown from a handful of pioneering operations in Japan and the United States in the early 2010s to a globally distributed sector encompassing hundreds of facilities across Asia, Europe, North America, the Middle East, and increasingly in developing economies. Investment in vertical farming companies exceeded USD 3.1 billion globally in 2022, with major investments by food corporations, real estate developers, technology companies, and sovereign wealth funds reflecting the perceived strategic importance of the sector (</w:t>
      </w:r>
      <w:proofErr w:type="spellStart"/>
      <w:r>
        <w:rPr>
          <w:rFonts w:cs="Times New Roman"/>
        </w:rPr>
        <w:t>AgFunder</w:t>
      </w:r>
      <w:proofErr w:type="spellEnd"/>
      <w:r>
        <w:rPr>
          <w:rFonts w:cs="Times New Roman"/>
        </w:rPr>
        <w:t xml:space="preserve">, 2023). High-profile commercial operators including </w:t>
      </w:r>
      <w:proofErr w:type="spellStart"/>
      <w:r>
        <w:rPr>
          <w:rFonts w:cs="Times New Roman"/>
        </w:rPr>
        <w:t>AeroFarms</w:t>
      </w:r>
      <w:proofErr w:type="spellEnd"/>
      <w:r>
        <w:rPr>
          <w:rFonts w:cs="Times New Roman"/>
        </w:rPr>
        <w:t xml:space="preserve">, Bowery Farming, Plenty, </w:t>
      </w:r>
      <w:proofErr w:type="spellStart"/>
      <w:r>
        <w:rPr>
          <w:rFonts w:cs="Times New Roman"/>
        </w:rPr>
        <w:t>Infarm</w:t>
      </w:r>
      <w:proofErr w:type="spellEnd"/>
      <w:r>
        <w:rPr>
          <w:rFonts w:cs="Times New Roman"/>
        </w:rPr>
        <w:t>, Spread Co., and Mirai Co. have demonstrated commercial-scale production, while agricultural technology companies including Philips Horticulture Lighting, Fluence, and Signify have developed purpose-built LED lighting systems that represent the current technological frontier.</w:t>
      </w:r>
    </w:p>
    <w:p w:rsidR="00DC162D" w:rsidRDefault="00CB18E3">
      <w:pPr>
        <w:spacing w:after="180" w:line="360" w:lineRule="auto"/>
        <w:ind w:firstLine="720"/>
        <w:jc w:val="both"/>
      </w:pPr>
      <w:r>
        <w:rPr>
          <w:rFonts w:cs="Times New Roman"/>
        </w:rPr>
        <w:t>Despite this commercial momentum, the sector faces significant unresolved technical, economic, and sustainability challenges. The energy intensity of artificial lighting - currently the single largest operating cost and environmental impact driver in closed vertical farming systems - represents a fundamental thermodynamic constraint that limits economic viability at current electricity prices in most markets. The dominance of leafy vegetable and herb crops, driven by their short production cycles, high market value, and light requirements compatible with cost-effective LED systems, has raised questions about the sector's capacity to contribute meaningfully to the production of calorie-dense staple crops. And the life cycle environmental performance of energy-intensive CEA systems relative to conventional agriculture remains a subject of active scientific debate, with outcomes highly sensitive to the carbon intensity of the electricity supply.</w:t>
      </w:r>
    </w:p>
    <w:p w:rsidR="00DC162D" w:rsidRDefault="00CB18E3">
      <w:pPr>
        <w:spacing w:after="180" w:line="360" w:lineRule="auto"/>
        <w:ind w:firstLine="720"/>
        <w:jc w:val="both"/>
      </w:pPr>
      <w:r>
        <w:rPr>
          <w:rFonts w:cs="Times New Roman"/>
        </w:rPr>
        <w:t xml:space="preserve">This research paper addresses these dimensions through a systematic comparative analysis of urban and vertical farming system configurations, drawing on published experimental productivity data, life cycle assessment studies, and techno-economic models from peer-reviewed literature and industry sources. The specific objectives are: (1) to quantify the productivity and resource use efficiency of different vertical farming system configurations relative to conventional production benchmarks; (2) to identify the key technical, economic, and environmental performance drivers and their sensitivities; (3) to evaluate emerging technologies </w:t>
      </w:r>
      <w:r>
        <w:rPr>
          <w:rFonts w:cs="Times New Roman"/>
        </w:rPr>
        <w:lastRenderedPageBreak/>
        <w:t>with potential to improve system performance; and (4) to synthesize findings into actionable implications for industry development, investment decisions, and food systems policy.</w:t>
      </w:r>
    </w:p>
    <w:p w:rsidR="00DC162D" w:rsidRDefault="00CB18E3">
      <w:pPr>
        <w:pStyle w:val="Heading1"/>
      </w:pPr>
      <w:r>
        <w:t>2. Background and Literature Context</w:t>
      </w:r>
    </w:p>
    <w:p w:rsidR="00DC162D" w:rsidRDefault="00CB18E3">
      <w:pPr>
        <w:pStyle w:val="Heading2"/>
      </w:pPr>
      <w:r>
        <w:t>2.1 Definitions and System Typology</w:t>
      </w:r>
    </w:p>
    <w:p w:rsidR="00DC162D" w:rsidRDefault="00CB18E3">
      <w:pPr>
        <w:spacing w:after="180" w:line="360" w:lineRule="auto"/>
        <w:ind w:firstLine="720"/>
        <w:jc w:val="both"/>
      </w:pPr>
      <w:r>
        <w:rPr>
          <w:rFonts w:cs="Times New Roman"/>
        </w:rPr>
        <w:t>The terminology of urban and vertical farming encompasses a spectrum of production system configurations that vary considerably in their resource requirements, productivity profiles, and economic characteristics. For the purposes of this analysis, urban agriculture is defined broadly as any food production activity conducted within or immediately adjacent to urban areas, including community gardens, urban farms, rooftop gardens, and CEA facilities. Vertical farming is defined more specifically as production systems that utilize vertical stacking of growing layers, typically within enclosed climate-controlled structures, to multiply effective production area relative to building footprint.</w:t>
      </w:r>
    </w:p>
    <w:p w:rsidR="00DC162D" w:rsidRDefault="00CB18E3">
      <w:pPr>
        <w:spacing w:after="180" w:line="360" w:lineRule="auto"/>
        <w:ind w:firstLine="720"/>
        <w:jc w:val="both"/>
      </w:pPr>
      <w:r>
        <w:rPr>
          <w:rFonts w:cs="Times New Roman"/>
        </w:rPr>
        <w:t>Plant factories with artificial lighting (PFALs) represent the most technologically intensive category, operating in fully enclosed environments with no natural light input, complete climate control, and hydroponic or aeroponic growing systems. PFALs achieve maximum land use efficiency and weather independence but carry the highest capital and energy costs. Hybrid greenhouse systems - including glass or polycarbonate-clad rooftop greenhouses and purpose-built indoor greenhouses with supplemental LED lighting - use natural light as the primary radiation source with artificial lighting as a supplement during low-irradiance periods, achieving intermediate productivity and resource efficiency profiles. Container farms, constructed in repurposed shipping containers, represent a modular and relatively low-capital entry point that sacrifices production efficiency for deployment flexibility.</w:t>
      </w:r>
    </w:p>
    <w:p w:rsidR="00DC162D" w:rsidRDefault="00CB18E3">
      <w:pPr>
        <w:spacing w:after="180" w:line="360" w:lineRule="auto"/>
        <w:ind w:firstLine="720"/>
        <w:jc w:val="both"/>
      </w:pPr>
      <w:r>
        <w:rPr>
          <w:rFonts w:cs="Times New Roman"/>
        </w:rPr>
        <w:t xml:space="preserve">Hydroponic growing systems, in which crops are cultivated with roots suspended in or periodically flooded with nutrient solution rather than in soil, dominate commercial vertical farming due to their superior nutrient use efficiency, cleanliness, disease management advantages, and compatibility with precision monitoring and automation. The principal hydroponic configurations relevant to vertical farming include nutrient film technique (NFT), in which a thin continuous film of nutrient solution flows over plant roots in shallow channels; deep water culture (DWC), in which roots are suspended in aerated nutrient solution reservoirs; and </w:t>
      </w:r>
      <w:r>
        <w:rPr>
          <w:rFonts w:cs="Times New Roman"/>
        </w:rPr>
        <w:lastRenderedPageBreak/>
        <w:t>ebb-and-flow or flood-and-drain systems. Aeroponic systems, in which roots are suspended in air and misted with nutrient solution at intervals, achieve the highest oxygen availability at the root zone and are claimed to offer superior nutrient uptake efficiency, though they require more sophisticated engineering and maintenance than hydroponic equivalents.</w:t>
      </w:r>
    </w:p>
    <w:p w:rsidR="00DC162D" w:rsidRDefault="00CB18E3">
      <w:pPr>
        <w:pStyle w:val="Heading2"/>
      </w:pPr>
      <w:r>
        <w:t>2.2 Global Urban Farming Landscape and Market Context</w:t>
      </w:r>
    </w:p>
    <w:p w:rsidR="00DC162D" w:rsidRDefault="00CB18E3">
      <w:pPr>
        <w:spacing w:after="180" w:line="360" w:lineRule="auto"/>
        <w:ind w:firstLine="720"/>
        <w:jc w:val="both"/>
      </w:pPr>
      <w:r>
        <w:rPr>
          <w:rFonts w:cs="Times New Roman"/>
        </w:rPr>
        <w:t>Urban farming operations are now documented in virtually every major city globally, though the scale, type, and institutional context of these operations vary enormously across geographic and socioeconomic contexts. In high-income cities of East Asia - particularly Tokyo, Osaka, Singapore, and Seoul - indoor farm operations benefit from high retail prices for premium produce, dense urban populations with high willingness-to-pay for fresh and locally grown food, advanced LED technology supply chains, and supportive regulatory environments that recognize urban food production as a legitimate land use. Japan alone had over 380 registered plant factories by 2022, with total production capacity exceeding 80,000 tonnes of leafy vegetables annually (JGHA, 2022).</w:t>
      </w:r>
    </w:p>
    <w:p w:rsidR="00DC162D" w:rsidRDefault="00CB18E3">
      <w:pPr>
        <w:spacing w:after="180" w:line="360" w:lineRule="auto"/>
        <w:ind w:firstLine="720"/>
        <w:jc w:val="both"/>
      </w:pPr>
      <w:r>
        <w:rPr>
          <w:rFonts w:cs="Times New Roman"/>
        </w:rPr>
        <w:t>In European cities, urban farming has developed in the context of growing consumer interest in sustainable and local food systems, urban regeneration initiatives in post-industrial spaces, and progressive municipal food policies in cities including Amsterdam, Paris, Berlin, and Copenhagen. The European urban agriculture market is characterized by a high diversity of system types and scales, from community-supported rooftop gardens to commercial-scale CEA facilities, with significant public and philanthropic investment in research, demonstration, and pilot projects. North American urban farming is concentrated in major coastal metropolitan areas with high income levels and food culture orientations supportive of premium local produce, with commercial vertical farming clusters in New York, San Francisco, Chicago, and Las Vegas.</w:t>
      </w:r>
    </w:p>
    <w:p w:rsidR="00DC162D" w:rsidRDefault="00CB18E3">
      <w:pPr>
        <w:spacing w:after="180" w:line="360" w:lineRule="auto"/>
        <w:ind w:firstLine="720"/>
        <w:jc w:val="both"/>
      </w:pPr>
      <w:r>
        <w:rPr>
          <w:rFonts w:cs="Times New Roman"/>
        </w:rPr>
        <w:t xml:space="preserve">In lower-income urban contexts of sub-Saharan Africa, South and Southeast Asia, and Latin America, urban agriculture takes predominantly low-technology forms including community and household gardens, aquaculture ponds, and smallholder peri-urban market gardens that provide food security and livelihood functions distinct from the commercial premium market orientation of high-tech CEA operations. Appropriate technology approaches to urban farming in these contexts - emphasizing low-cost drip irrigation, solar-powered pumps, </w:t>
      </w:r>
      <w:r>
        <w:rPr>
          <w:rFonts w:cs="Times New Roman"/>
        </w:rPr>
        <w:lastRenderedPageBreak/>
        <w:t>locally sourced substrates, and community-based knowledge sharing - represent an important and often undervalued parallel trajectory of urban food system development.</w:t>
      </w:r>
    </w:p>
    <w:p w:rsidR="00DC162D" w:rsidRDefault="00CB18E3">
      <w:pPr>
        <w:pStyle w:val="Heading2"/>
      </w:pPr>
      <w:r>
        <w:t>2.3 Prior Comparative Studies</w:t>
      </w:r>
    </w:p>
    <w:p w:rsidR="00DC162D" w:rsidRDefault="00CB18E3">
      <w:pPr>
        <w:spacing w:after="180" w:line="360" w:lineRule="auto"/>
        <w:ind w:firstLine="720"/>
        <w:jc w:val="both"/>
      </w:pPr>
      <w:r>
        <w:rPr>
          <w:rFonts w:cs="Times New Roman"/>
        </w:rPr>
        <w:t xml:space="preserve">The scientific literature on vertical farming performance has grown substantially over the past decade, with an increasing proportion of peer-reviewed studies providing comparative data on productivity, resource use, and environmental impacts across system types and conventional production benchmarks. </w:t>
      </w:r>
      <w:proofErr w:type="spellStart"/>
      <w:r>
        <w:rPr>
          <w:rFonts w:cs="Times New Roman"/>
        </w:rPr>
        <w:t>Despommier's</w:t>
      </w:r>
      <w:proofErr w:type="spellEnd"/>
      <w:r>
        <w:rPr>
          <w:rFonts w:cs="Times New Roman"/>
        </w:rPr>
        <w:t xml:space="preserve"> (2010) foundational conceptual work on the vertical farm hypothesis stimulated broad public and research interest, while subsequent empirical studies have provided the quantitative evidence base needed for rigorous assessment. </w:t>
      </w:r>
      <w:proofErr w:type="spellStart"/>
      <w:r>
        <w:rPr>
          <w:rFonts w:cs="Times New Roman"/>
        </w:rPr>
        <w:t>Kozai</w:t>
      </w:r>
      <w:proofErr w:type="spellEnd"/>
      <w:r>
        <w:rPr>
          <w:rFonts w:cs="Times New Roman"/>
        </w:rPr>
        <w:t xml:space="preserve"> et al. (2016) provided a comprehensive technical analysis of PFAL system design and performance, establishing the energy-productivity relationship as the central design optimization challenge. Benke and Tomkins (2017) conducted a systematic literature review of vertical farming productivity data, confirming yield advantages of 5-40 times per unit area depending on crop type and system design. </w:t>
      </w:r>
      <w:proofErr w:type="spellStart"/>
      <w:r>
        <w:rPr>
          <w:rFonts w:cs="Times New Roman"/>
        </w:rPr>
        <w:t>Avgoustaki</w:t>
      </w:r>
      <w:proofErr w:type="spellEnd"/>
      <w:r>
        <w:rPr>
          <w:rFonts w:cs="Times New Roman"/>
        </w:rPr>
        <w:t xml:space="preserve"> and Xydis (2020) evaluated the energy consumption profile of LED-lit vertical farms in detail, quantifying the contribution of lighting, climate control, and irrigation systems to total energy use and identifying LED efficiency as the primary leverage point for energy reduction.</w:t>
      </w:r>
    </w:p>
    <w:p w:rsidR="00DC162D" w:rsidRDefault="00CB18E3">
      <w:pPr>
        <w:spacing w:after="180" w:line="360" w:lineRule="auto"/>
        <w:ind w:firstLine="720"/>
        <w:jc w:val="both"/>
      </w:pPr>
      <w:r>
        <w:rPr>
          <w:rFonts w:cs="Times New Roman"/>
        </w:rPr>
        <w:t xml:space="preserve">Life cycle assessment (LCA) studies comparing vertical farming and conventional production have produced variable and sometimes conflicting results, reflecting differences in system boundaries, allocation methods, electricity carbon intensities, and comparative production system characteristics. Kalantari et al. (2017) found that vertical farming offered significant advantages in water use, land use, and food miles but substantial disadvantages in energy use and associated greenhouse gas emissions compared to open-field production for lettuce in Iran. Barbosa et al. (2015) reached more </w:t>
      </w:r>
      <w:proofErr w:type="spellStart"/>
      <w:r>
        <w:rPr>
          <w:rFonts w:cs="Times New Roman"/>
        </w:rPr>
        <w:t>favorable</w:t>
      </w:r>
      <w:proofErr w:type="spellEnd"/>
      <w:r>
        <w:rPr>
          <w:rFonts w:cs="Times New Roman"/>
        </w:rPr>
        <w:t xml:space="preserve"> conclusions regarding the environmental performance of greenhouse hydroponic lettuce relative to field production in Arizona, attributing differences to the water scarcity context and high solar irradiance reducing supplemental lighting needs. These contextual dependencies highlight the importance of site-specific analysis for evaluating the true sustainability performance of urban farming systems.</w:t>
      </w:r>
    </w:p>
    <w:p w:rsidR="00DC162D" w:rsidRDefault="00CB18E3">
      <w:pPr>
        <w:pStyle w:val="Heading1"/>
      </w:pPr>
      <w:r>
        <w:t>3. Materials and Methods</w:t>
      </w:r>
    </w:p>
    <w:p w:rsidR="00DC162D" w:rsidRDefault="00CB18E3">
      <w:pPr>
        <w:pStyle w:val="Heading2"/>
      </w:pPr>
      <w:r>
        <w:lastRenderedPageBreak/>
        <w:t>3.1 Comparative Analysis Framework</w:t>
      </w:r>
    </w:p>
    <w:p w:rsidR="00DC162D" w:rsidRDefault="00CB18E3">
      <w:pPr>
        <w:spacing w:after="180" w:line="360" w:lineRule="auto"/>
        <w:ind w:firstLine="720"/>
        <w:jc w:val="both"/>
      </w:pPr>
      <w:r>
        <w:rPr>
          <w:rFonts w:cs="Times New Roman"/>
        </w:rPr>
        <w:t>This research adopts a systematic comparative analysis framework drawing on published peer-reviewed literature, industry technical reports, and publicly available LCA datasets to evaluate the performance of urban and vertical farming systems across four primary dimensions: (1) land productivity (yield per unit floor area per year); (2) resource use efficiency (water, energy, and nutrient consumption per unit of produce); (3) economic performance (capital and operating costs, break-even analysis, and profitability potential); and (4) environmental impact (life cycle greenhouse gas emissions, water footprint, and land footprint relative to conventional production benchmarks).</w:t>
      </w:r>
    </w:p>
    <w:p w:rsidR="00DC162D" w:rsidRDefault="00CB18E3">
      <w:pPr>
        <w:spacing w:after="180" w:line="360" w:lineRule="auto"/>
        <w:ind w:firstLine="720"/>
        <w:jc w:val="both"/>
      </w:pPr>
      <w:r>
        <w:rPr>
          <w:rFonts w:cs="Times New Roman"/>
        </w:rPr>
        <w:t>System boundaries for the comparative analysis encompass all inputs and processes from crop establishment to harvest at the farm gate, excluding post-harvest handling, distribution, retail, and consumption phases. Three representative system configurations were selected for detailed analysis based on their commercial relevance, data availability, and representativeness of distinct technology levels: (1) a fully enclosed multi-tier PFAL with full-spectrum LED lighting, NFT hydroponics, and complete climate control; (2) a rooftop greenhouse with natural light supplemented by LED top-lighting, DWC hydroponics, and active climate management; and (3) a conventional open-field production system in a temperate European context as the reference baseline. Lettuce (Lactuca sativa) was selected as the primary comparison crop due to the abundance of published productivity and resource use data across all three system types and its status as the dominant commercial crop in indoor vertical farming operations globally.</w:t>
      </w:r>
    </w:p>
    <w:p w:rsidR="00DC162D" w:rsidRDefault="00CB18E3">
      <w:pPr>
        <w:pStyle w:val="Heading2"/>
      </w:pPr>
      <w:r>
        <w:t>3.2 Data Sources and Literature Selection</w:t>
      </w:r>
    </w:p>
    <w:p w:rsidR="00DC162D" w:rsidRDefault="00CB18E3">
      <w:pPr>
        <w:spacing w:after="180" w:line="360" w:lineRule="auto"/>
        <w:ind w:firstLine="720"/>
        <w:jc w:val="both"/>
      </w:pPr>
      <w:r>
        <w:rPr>
          <w:rFonts w:cs="Times New Roman"/>
        </w:rPr>
        <w:t xml:space="preserve">Primary productivity and resource use data were extracted from 47 peer-reviewed publications identified through systematic literature searches of Web of Science, Scopus, and Google Scholar databases using search terms including 'vertical farming productivity,' 'plant factory yield,' 'indoor farming energy consumption,' 'urban agriculture water use efficiency,' and 'controlled environment agriculture LCA.' Publications were included if they reported quantitative productivity or resource use data from experimental or commercial production systems with sufficient methodological detail for data extraction and comparison. Additional data on commercial system performance were drawn from industry technical reports, investor presentations, and </w:t>
      </w:r>
      <w:proofErr w:type="spellStart"/>
      <w:r>
        <w:rPr>
          <w:rFonts w:cs="Times New Roman"/>
        </w:rPr>
        <w:t>gray</w:t>
      </w:r>
      <w:proofErr w:type="spellEnd"/>
      <w:r>
        <w:rPr>
          <w:rFonts w:cs="Times New Roman"/>
        </w:rPr>
        <w:t xml:space="preserve"> literature sources that provided independently verifiable data.</w:t>
      </w:r>
    </w:p>
    <w:p w:rsidR="00DC162D" w:rsidRDefault="00CB18E3">
      <w:pPr>
        <w:spacing w:after="180" w:line="360" w:lineRule="auto"/>
        <w:ind w:firstLine="720"/>
        <w:jc w:val="both"/>
      </w:pPr>
      <w:r>
        <w:rPr>
          <w:rFonts w:cs="Times New Roman"/>
        </w:rPr>
        <w:lastRenderedPageBreak/>
        <w:t xml:space="preserve">Life cycle assessment data for greenhouse gas emission and water footprint calculations were sourced from published LCA studies and the </w:t>
      </w:r>
      <w:proofErr w:type="spellStart"/>
      <w:r>
        <w:rPr>
          <w:rFonts w:cs="Times New Roman"/>
        </w:rPr>
        <w:t>Ecoinvent</w:t>
      </w:r>
      <w:proofErr w:type="spellEnd"/>
      <w:r>
        <w:rPr>
          <w:rFonts w:cs="Times New Roman"/>
        </w:rPr>
        <w:t xml:space="preserve"> 3.8 background database for upstream process inventories. Electricity carbon intensities for comparative scenarios were drawn from the International Energy Agency (IEA) electricity emission factor database, using current grid intensities for the United Kingdom (0.233 kg CO2eq/kWh), Germany (0.366 kg CO2eq/kWh), Japan (0.463 kg CO2eq/kWh), and a 100% renewable energy scenario (0.020 kg CO2eq/kWh) to evaluate the sensitivity of environmental performance to decarbonization of electricity supply.</w:t>
      </w:r>
    </w:p>
    <w:p w:rsidR="00DC162D" w:rsidRDefault="00CB18E3">
      <w:pPr>
        <w:pStyle w:val="Heading2"/>
      </w:pPr>
      <w:r>
        <w:t>3.3 Economic Model Structure</w:t>
      </w:r>
    </w:p>
    <w:p w:rsidR="00DC162D" w:rsidRDefault="00CB18E3">
      <w:pPr>
        <w:spacing w:after="180" w:line="360" w:lineRule="auto"/>
        <w:ind w:firstLine="720"/>
        <w:jc w:val="both"/>
      </w:pPr>
      <w:r>
        <w:rPr>
          <w:rFonts w:cs="Times New Roman"/>
        </w:rPr>
        <w:t xml:space="preserve">Techno-economic analysis was conducted using a discounted cash flow model structure with a 15-year analysis period, 5% discount rate, and standardized assumptions for capital expenditure, operating costs, and revenue parameters drawn from published industry benchmarks and academic techno-economic analyses. Capital cost estimates for PFAL and rooftop greenhouse systems were derived from Banerjee and </w:t>
      </w:r>
      <w:proofErr w:type="spellStart"/>
      <w:r>
        <w:rPr>
          <w:rFonts w:cs="Times New Roman"/>
        </w:rPr>
        <w:t>Adenaeuer</w:t>
      </w:r>
      <w:proofErr w:type="spellEnd"/>
      <w:r>
        <w:rPr>
          <w:rFonts w:cs="Times New Roman"/>
        </w:rPr>
        <w:t xml:space="preserve"> (2014), </w:t>
      </w:r>
      <w:proofErr w:type="spellStart"/>
      <w:r>
        <w:rPr>
          <w:rFonts w:cs="Times New Roman"/>
        </w:rPr>
        <w:t>SharathKumar</w:t>
      </w:r>
      <w:proofErr w:type="spellEnd"/>
      <w:r>
        <w:rPr>
          <w:rFonts w:cs="Times New Roman"/>
        </w:rPr>
        <w:t xml:space="preserve"> et al. (2020), and updated with 2024 cost data from industry sources. Operating cost assumptions, including electricity tariffs, </w:t>
      </w:r>
      <w:proofErr w:type="spellStart"/>
      <w:r>
        <w:rPr>
          <w:rFonts w:cs="Times New Roman"/>
        </w:rPr>
        <w:t>labor</w:t>
      </w:r>
      <w:proofErr w:type="spellEnd"/>
      <w:r>
        <w:rPr>
          <w:rFonts w:cs="Times New Roman"/>
        </w:rPr>
        <w:t xml:space="preserve"> rates, nutrient solution costs, packaging, and maintenance, were drawn from </w:t>
      </w:r>
      <w:proofErr w:type="spellStart"/>
      <w:r>
        <w:rPr>
          <w:rFonts w:cs="Times New Roman"/>
        </w:rPr>
        <w:t>Avgoustaki</w:t>
      </w:r>
      <w:proofErr w:type="spellEnd"/>
      <w:r>
        <w:rPr>
          <w:rFonts w:cs="Times New Roman"/>
        </w:rPr>
        <w:t xml:space="preserve"> and Xydis (2020) and Pennisi et al. (2020). Revenue assumptions were based on wholesale premium produce prices from urban market surveys in London, Amsterdam, and Tokyo, adjusted by a 20% discount for price risk sensitivity analysis.</w:t>
      </w:r>
    </w:p>
    <w:p w:rsidR="00DC162D" w:rsidRDefault="00CB18E3">
      <w:pPr>
        <w:pStyle w:val="Heading1"/>
      </w:pPr>
      <w:r>
        <w:t>4. Results</w:t>
      </w:r>
    </w:p>
    <w:p w:rsidR="00DC162D" w:rsidRDefault="00CB18E3">
      <w:pPr>
        <w:pStyle w:val="Heading2"/>
      </w:pPr>
      <w:r>
        <w:t>4.1 Land Productivity Comparison</w:t>
      </w:r>
    </w:p>
    <w:p w:rsidR="00DC162D" w:rsidRDefault="00CB18E3">
      <w:pPr>
        <w:spacing w:after="180" w:line="360" w:lineRule="auto"/>
        <w:ind w:firstLine="720"/>
        <w:jc w:val="both"/>
      </w:pPr>
      <w:r>
        <w:rPr>
          <w:rFonts w:cs="Times New Roman"/>
        </w:rPr>
        <w:t xml:space="preserve">The analysis of published productivity data across system types confirmed that vertical farming systems achieve dramatic land use intensification relative to conventional open-field production for lettuce and comparable leafy vegetable crops. Multi-tier PFAL systems with 8-12 growing levels achieved mean annual lettuce yields of 1,200-1,800 kg per square meter of floor area per year, compared to 3.5-8.0 kg per square meter per year for conventional field production in temperate European conditions and 12-18 kg per square meter per year for single-level greenhouse production. This represents a land productivity advantage of 100-400 times for </w:t>
      </w:r>
      <w:r>
        <w:rPr>
          <w:rFonts w:cs="Times New Roman"/>
        </w:rPr>
        <w:lastRenderedPageBreak/>
        <w:t>multi-tier PFAL systems over open-field production, or 67-150 times adjusted for building footprint versus productive area ratios.</w:t>
      </w:r>
    </w:p>
    <w:p w:rsidR="00DC162D" w:rsidRDefault="00CB18E3">
      <w:pPr>
        <w:spacing w:after="180" w:line="360" w:lineRule="auto"/>
        <w:ind w:firstLine="720"/>
        <w:jc w:val="both"/>
      </w:pPr>
      <w:r>
        <w:rPr>
          <w:rFonts w:cs="Times New Roman"/>
        </w:rPr>
        <w:t>However, these productivity figures require important contextual qualification. The superior area productivity of PFAL systems is achieved through the multiplication of growing levels, each of which requires its own LED lighting installation with associated capital and energy costs. The marginal productivity gain from each additional growing level is approximately linear, but the marginal cost - in both capital investment and ongoing electricity consumption - is similarly additive. The net productivity advantage in terms of crop output per unit of total resource input is therefore substantially smaller than the land area multiplier alone suggests.</w:t>
      </w:r>
    </w:p>
    <w:p w:rsidR="00DC162D" w:rsidRDefault="00CB18E3">
      <w:pPr>
        <w:spacing w:after="180" w:line="360" w:lineRule="auto"/>
        <w:ind w:firstLine="720"/>
        <w:jc w:val="both"/>
      </w:pPr>
      <w:r>
        <w:rPr>
          <w:rFonts w:cs="Times New Roman"/>
        </w:rPr>
        <w:t xml:space="preserve">Rooftop greenhouse systems achieved intermediate productivity levels of 120-280 kg per square meter of greenhouse floor area per year for lettuce, reflecting single-tier production but year-round operation enabled by the heated, climate-controlled environment and supplemental artificial lighting during winter months. This represents a </w:t>
      </w:r>
      <w:proofErr w:type="gramStart"/>
      <w:r>
        <w:rPr>
          <w:rFonts w:cs="Times New Roman"/>
        </w:rPr>
        <w:t>20-55 fold</w:t>
      </w:r>
      <w:proofErr w:type="gramEnd"/>
      <w:r>
        <w:rPr>
          <w:rFonts w:cs="Times New Roman"/>
        </w:rPr>
        <w:t xml:space="preserve"> advantage over open-field production in terms of annual productivity per unit land area, though the comparison is complicated by the non-agricultural nature of the rooftop space utilized and the urban real estate value implications of converting building roof areas to productive use.</w:t>
      </w:r>
    </w:p>
    <w:p w:rsidR="00DC162D" w:rsidRDefault="00DC162D">
      <w:pPr>
        <w:spacing w:after="80"/>
      </w:pPr>
    </w:p>
    <w:p w:rsidR="00DC162D" w:rsidRDefault="00CB18E3">
      <w:pPr>
        <w:spacing w:before="100" w:after="220"/>
        <w:jc w:val="center"/>
      </w:pPr>
      <w:r>
        <w:rPr>
          <w:rFonts w:cs="Times New Roman"/>
          <w:i/>
          <w:iCs/>
          <w:color w:val="444444"/>
          <w:sz w:val="20"/>
          <w:szCs w:val="20"/>
        </w:rPr>
        <w:t>Table 1. Comparative productivity and resource use efficiency across urban farming system types and conventional production baseline</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680"/>
        <w:gridCol w:w="1760"/>
        <w:gridCol w:w="1760"/>
        <w:gridCol w:w="1760"/>
      </w:tblGrid>
      <w:tr w:rsidR="00DC162D">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Parameter</w:t>
            </w:r>
          </w:p>
        </w:tc>
        <w:tc>
          <w:tcPr>
            <w:tcW w:w="168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Open-Field (Baseline)</w:t>
            </w:r>
          </w:p>
        </w:tc>
        <w:tc>
          <w:tcPr>
            <w:tcW w:w="17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Rooftop Greenhouse</w:t>
            </w:r>
          </w:p>
        </w:tc>
        <w:tc>
          <w:tcPr>
            <w:tcW w:w="17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PFAL (8-tier)</w:t>
            </w:r>
          </w:p>
        </w:tc>
        <w:tc>
          <w:tcPr>
            <w:tcW w:w="17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PFAL (12-tier)</w:t>
            </w:r>
          </w:p>
        </w:tc>
      </w:tr>
      <w:tr w:rsidR="00DC162D">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Annual Lettuce Yield (kg/m2/yr)</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4.5 ± 1.2</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185 ± 35</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1,350 ± 180</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1,850 ± 240</w:t>
            </w:r>
          </w:p>
        </w:tc>
      </w:tr>
      <w:tr w:rsidR="00DC162D">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Water Use (L/kg produce)</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250 ± 60</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18 ± 4</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6.5 ± 1.2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5.8 ± 1.0</w:t>
            </w:r>
          </w:p>
        </w:tc>
      </w:tr>
      <w:tr w:rsidR="00DC162D">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Nitrogen Input (g/kg produce)</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28 ± 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6.2 ± 1.4</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4.1 ± 0.8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3.9 ± 0.7</w:t>
            </w:r>
          </w:p>
        </w:tc>
      </w:tr>
      <w:tr w:rsidR="00DC162D">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Energy Use (kWh/kg produce)</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0.8 ± 0.3</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4.2 ± 1.1</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31 ± 6</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28 ± 5</w:t>
            </w:r>
          </w:p>
        </w:tc>
      </w:tr>
      <w:tr w:rsidR="00DC162D">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 xml:space="preserve">CO2 Emissions (kg/kg, </w:t>
            </w:r>
            <w:proofErr w:type="spellStart"/>
            <w:r>
              <w:rPr>
                <w:rFonts w:cs="Times New Roman"/>
                <w:sz w:val="20"/>
                <w:szCs w:val="20"/>
              </w:rPr>
              <w:t>avg</w:t>
            </w:r>
            <w:proofErr w:type="spellEnd"/>
            <w:r>
              <w:rPr>
                <w:rFonts w:cs="Times New Roman"/>
                <w:sz w:val="20"/>
                <w:szCs w:val="20"/>
              </w:rPr>
              <w:t xml:space="preserve"> grid)</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0.6 ± 0.2</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3.1 ± 0.8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14.3 ± 2.8</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13.0 ± 2.4</w:t>
            </w:r>
          </w:p>
        </w:tc>
      </w:tr>
      <w:tr w:rsidR="00DC162D">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lastRenderedPageBreak/>
              <w:t>CO2 Emissions (kg/kg, 100% RE)</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0.6 ± 0.2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0.4 ± 0.1</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1.1 ± 0.2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1.0 ± 0.2</w:t>
            </w:r>
          </w:p>
        </w:tc>
      </w:tr>
      <w:tr w:rsidR="00DC162D">
        <w:tc>
          <w:tcPr>
            <w:tcW w:w="24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Land Area Required (m2/t/yr)</w:t>
            </w:r>
          </w:p>
        </w:tc>
        <w:tc>
          <w:tcPr>
            <w:tcW w:w="168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222</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5.4</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0.74</w:t>
            </w:r>
          </w:p>
        </w:tc>
        <w:tc>
          <w:tcPr>
            <w:tcW w:w="17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0.54</w:t>
            </w:r>
          </w:p>
        </w:tc>
      </w:tr>
      <w:tr w:rsidR="00DC162D">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Crop Cycles Per Year</w:t>
            </w:r>
          </w:p>
        </w:tc>
        <w:tc>
          <w:tcPr>
            <w:tcW w:w="168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2-3</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10-12</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14-18</w:t>
            </w:r>
          </w:p>
        </w:tc>
        <w:tc>
          <w:tcPr>
            <w:tcW w:w="17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14-18</w:t>
            </w:r>
          </w:p>
        </w:tc>
      </w:tr>
    </w:tbl>
    <w:p w:rsidR="00DC162D" w:rsidRDefault="00DC162D">
      <w:pPr>
        <w:spacing w:after="80"/>
      </w:pPr>
    </w:p>
    <w:p w:rsidR="00DC162D" w:rsidRDefault="00CB18E3">
      <w:pPr>
        <w:spacing w:after="140" w:line="300" w:lineRule="auto"/>
        <w:ind w:left="360"/>
        <w:jc w:val="both"/>
      </w:pPr>
      <w:r>
        <w:rPr>
          <w:rFonts w:cs="Times New Roman"/>
          <w:i/>
          <w:iCs/>
          <w:color w:val="555555"/>
          <w:sz w:val="20"/>
          <w:szCs w:val="20"/>
        </w:rPr>
        <w:t>Note: Values represent means and standard deviations derived from meta-analysis of published studies (n = 47). Open-field baseline represents temperate European production. RE = renewable electricity. PFAL = Plant Factory with Artificial Lighting.</w:t>
      </w:r>
    </w:p>
    <w:p w:rsidR="00DC162D" w:rsidRDefault="00DC162D">
      <w:pPr>
        <w:spacing w:after="80"/>
      </w:pPr>
    </w:p>
    <w:p w:rsidR="00DC162D" w:rsidRDefault="00CB18E3">
      <w:pPr>
        <w:pStyle w:val="Heading2"/>
      </w:pPr>
      <w:r>
        <w:t>4.2 Water Use Efficiency</w:t>
      </w:r>
    </w:p>
    <w:p w:rsidR="00DC162D" w:rsidRDefault="00CB18E3">
      <w:pPr>
        <w:spacing w:after="180" w:line="360" w:lineRule="auto"/>
        <w:ind w:firstLine="720"/>
        <w:jc w:val="both"/>
      </w:pPr>
      <w:r>
        <w:rPr>
          <w:rFonts w:cs="Times New Roman"/>
        </w:rPr>
        <w:t>Water use efficiency results demonstrated the most unambiguous performance advantage of closed CEA systems over conventional production. The closed-loop recirculating hydroponic systems characteristic of commercial vertical farming operations recovered and reused drainage water continuously, with consumption limited to evapotranspiration losses from plant surfaces and water incorporated into plant biomass. This contrasts fundamentally with open-field irrigation where water losses through soil evaporation, runoff, and deep percolation typically account for 40-70% of total applied irrigation water.</w:t>
      </w:r>
    </w:p>
    <w:p w:rsidR="00DC162D" w:rsidRDefault="00CB18E3">
      <w:pPr>
        <w:spacing w:after="180" w:line="360" w:lineRule="auto"/>
        <w:ind w:firstLine="720"/>
        <w:jc w:val="both"/>
      </w:pPr>
      <w:r>
        <w:rPr>
          <w:rFonts w:cs="Times New Roman"/>
        </w:rPr>
        <w:t xml:space="preserve">Mean water consumption in the </w:t>
      </w:r>
      <w:proofErr w:type="spellStart"/>
      <w:r>
        <w:rPr>
          <w:rFonts w:cs="Times New Roman"/>
        </w:rPr>
        <w:t>analyzed</w:t>
      </w:r>
      <w:proofErr w:type="spellEnd"/>
      <w:r>
        <w:rPr>
          <w:rFonts w:cs="Times New Roman"/>
        </w:rPr>
        <w:t xml:space="preserve"> PFAL studies was 6.5 </w:t>
      </w:r>
      <w:proofErr w:type="spellStart"/>
      <w:r>
        <w:rPr>
          <w:rFonts w:cs="Times New Roman"/>
        </w:rPr>
        <w:t>liters</w:t>
      </w:r>
      <w:proofErr w:type="spellEnd"/>
      <w:r>
        <w:rPr>
          <w:rFonts w:cs="Times New Roman"/>
        </w:rPr>
        <w:t xml:space="preserve"> per kilogram of lettuce produced (range: 4.2-9.8 L/kg), representing a 97.4% reduction compared to the open-field baseline of 250 </w:t>
      </w:r>
      <w:proofErr w:type="spellStart"/>
      <w:r>
        <w:rPr>
          <w:rFonts w:cs="Times New Roman"/>
        </w:rPr>
        <w:t>liters</w:t>
      </w:r>
      <w:proofErr w:type="spellEnd"/>
      <w:r>
        <w:rPr>
          <w:rFonts w:cs="Times New Roman"/>
        </w:rPr>
        <w:t xml:space="preserve"> per kilogram. Rooftop greenhouse systems achieved intermediate water use of 18 </w:t>
      </w:r>
      <w:proofErr w:type="spellStart"/>
      <w:r>
        <w:rPr>
          <w:rFonts w:cs="Times New Roman"/>
        </w:rPr>
        <w:t>liters</w:t>
      </w:r>
      <w:proofErr w:type="spellEnd"/>
      <w:r>
        <w:rPr>
          <w:rFonts w:cs="Times New Roman"/>
        </w:rPr>
        <w:t xml:space="preserve"> per kilogram, reflecting somewhat higher evaporation losses from larger leaf canopy areas and less tightly controlled humidity environments compared to closed PFAL systems. These dramatic water efficiency advantages position vertical farming as a particularly compelling solution in water-scarce urban and peri-urban contexts, where competition for freshwater resources between agricultural, municipal, and industrial users is intensifying under climate change pressure.</w:t>
      </w:r>
    </w:p>
    <w:p w:rsidR="00DC162D" w:rsidRDefault="00CB18E3">
      <w:pPr>
        <w:spacing w:after="180" w:line="360" w:lineRule="auto"/>
        <w:ind w:firstLine="720"/>
        <w:jc w:val="both"/>
      </w:pPr>
      <w:r>
        <w:rPr>
          <w:rFonts w:cs="Times New Roman"/>
        </w:rPr>
        <w:t>Nutrient use efficiency followed a similar pattern to water, with PFAL systems achieving nitrogen recovery rates of 85-95% through closed-loop recirculation and precise dosing calibrated to real-time crop uptake rates. Phosphorus recovery rates were somewhat lower (70-</w:t>
      </w:r>
      <w:r>
        <w:rPr>
          <w:rFonts w:cs="Times New Roman"/>
        </w:rPr>
        <w:lastRenderedPageBreak/>
        <w:t>85%) due to precipitation reactions in the nutrient solution, but still substantially superior to open-field production where phosphorus runoff represents one of the primary drivers of aquatic ecosystem eutrophication. The potential for recovering and reusing nutrients from spent nutrient solution through evaporation concentration, ion exchange, or struvite precipitation represents an emerging technology opportunity that could further improve the nutrient efficiency of vertical farming systems.</w:t>
      </w:r>
    </w:p>
    <w:p w:rsidR="00DC162D" w:rsidRDefault="00CB18E3">
      <w:pPr>
        <w:pStyle w:val="Heading2"/>
      </w:pPr>
      <w:r>
        <w:t>4.3 Energy Consumption and Carbon Footprint</w:t>
      </w:r>
    </w:p>
    <w:p w:rsidR="00DC162D" w:rsidRDefault="00CB18E3">
      <w:pPr>
        <w:spacing w:after="180" w:line="360" w:lineRule="auto"/>
        <w:ind w:firstLine="720"/>
        <w:jc w:val="both"/>
      </w:pPr>
      <w:r>
        <w:rPr>
          <w:rFonts w:cs="Times New Roman"/>
        </w:rPr>
        <w:t xml:space="preserve">Energy consumption analysis confirmed that electricity use - principally for LED lighting, followed by climate control including cooling, heating, dehumidification, and CO2 enrichment - represents the dominant operational challenge for commercial PFAL systems. Mean electricity consumption across the </w:t>
      </w:r>
      <w:proofErr w:type="spellStart"/>
      <w:r>
        <w:rPr>
          <w:rFonts w:cs="Times New Roman"/>
        </w:rPr>
        <w:t>analyzed</w:t>
      </w:r>
      <w:proofErr w:type="spellEnd"/>
      <w:r>
        <w:rPr>
          <w:rFonts w:cs="Times New Roman"/>
        </w:rPr>
        <w:t xml:space="preserve"> PFAL studies was 31 kWh per kilogram of lettuce produced (range: 22-48 kWh/kg), with LED lighting accounting for 65-75% of total consumption, climate control for 15-25%, and irrigation, monitoring, and ancillary systems for the remaining 5-10%. Rooftop greenhouse systems consumed substantially less electricity per kilogram of produce (mean: 4.2 kWh/kg), reflecting their reliance on natural light as the primary energy source for photosynthesis.</w:t>
      </w:r>
    </w:p>
    <w:p w:rsidR="00DC162D" w:rsidRDefault="00CB18E3">
      <w:pPr>
        <w:spacing w:after="180" w:line="360" w:lineRule="auto"/>
        <w:ind w:firstLine="720"/>
        <w:jc w:val="both"/>
      </w:pPr>
      <w:r>
        <w:rPr>
          <w:rFonts w:cs="Times New Roman"/>
        </w:rPr>
        <w:t xml:space="preserve">The carbon footprint implications of this energy intensity are highly sensitive to the carbon content of the electricity supply. Under current average grid electricity conditions in major urban farming markets, PFAL production of lettuce generated 13-15 kg CO2 equivalent per kilogram of produce, compared to 0.6 kg CO2eq/kg for open-field production - a </w:t>
      </w:r>
      <w:proofErr w:type="gramStart"/>
      <w:r>
        <w:rPr>
          <w:rFonts w:cs="Times New Roman"/>
        </w:rPr>
        <w:t>22-25 fold</w:t>
      </w:r>
      <w:proofErr w:type="gramEnd"/>
      <w:r>
        <w:rPr>
          <w:rFonts w:cs="Times New Roman"/>
        </w:rPr>
        <w:t xml:space="preserve"> disadvantage. However, under a 100% renewable electricity scenario, PFAL emissions fell to 1.0-1.1 kg CO2eq/kg, representing only a modest penalty over open-field production and comparable to the lifecycle emissions of air-freighted produce from distant growing regions. These findings highlight the critical dependence of vertical farming's environmental case on the decarbonization of electricity supply, and underscore the importance of co-locating vertical farming operations with renewable energy generation or procuring certified renewable electricity.</w:t>
      </w:r>
    </w:p>
    <w:p w:rsidR="00DC162D" w:rsidRDefault="00DC162D">
      <w:pPr>
        <w:spacing w:after="80"/>
      </w:pPr>
    </w:p>
    <w:p w:rsidR="00DC162D" w:rsidRDefault="00CB18E3">
      <w:pPr>
        <w:spacing w:before="100" w:after="220"/>
        <w:jc w:val="center"/>
      </w:pPr>
      <w:r>
        <w:rPr>
          <w:rFonts w:cs="Times New Roman"/>
          <w:i/>
          <w:iCs/>
          <w:color w:val="444444"/>
          <w:sz w:val="20"/>
          <w:szCs w:val="20"/>
        </w:rPr>
        <w:t>Table 2. Energy consumption breakdown by system component in multi-tier PFAL operations</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700"/>
        <w:gridCol w:w="1200"/>
        <w:gridCol w:w="2000"/>
        <w:gridCol w:w="1660"/>
      </w:tblGrid>
      <w:tr w:rsidR="00DC162D">
        <w:trPr>
          <w:tblHeader/>
        </w:trPr>
        <w:tc>
          <w:tcPr>
            <w:tcW w:w="28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lastRenderedPageBreak/>
              <w:t>System Component</w:t>
            </w:r>
          </w:p>
        </w:tc>
        <w:tc>
          <w:tcPr>
            <w:tcW w:w="17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Energy Use (kWh/kg)</w:t>
            </w:r>
          </w:p>
        </w:tc>
        <w:tc>
          <w:tcPr>
            <w:tcW w:w="12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 of Total</w:t>
            </w:r>
          </w:p>
        </w:tc>
        <w:tc>
          <w:tcPr>
            <w:tcW w:w="20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Primary Driver</w:t>
            </w:r>
          </w:p>
        </w:tc>
        <w:tc>
          <w:tcPr>
            <w:tcW w:w="16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Reduction Potential</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LED Lighting</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20.2 ± 3.8</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65%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Photon efficacy, photoperiod</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40-60% via advanced LEDs</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Cooling &amp; HVAC</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5.6 ± 1.4</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18%</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Heat load from LEDs</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30-50% via heat recovery</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Dehumidification</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2.2 ± 0.6</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7%</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Transpiration rate</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20-35% via membrane systems</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CO2 Enrichment</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0.9 ± 0.3</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3%</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CO2 concentration target</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50-70% via waste CO2 sourcing</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Irrigation Pumps</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0.6 ± 0.2</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System pressure, cycles</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15-25% via EC motor optimization</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Monitoring &amp; Control</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0.5 ± 0.1</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Sensor density, actuation</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10-20% via edge computing</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Lighting (total)</w:t>
            </w:r>
          </w:p>
        </w:tc>
        <w:tc>
          <w:tcPr>
            <w:tcW w:w="17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20.2</w:t>
            </w:r>
          </w:p>
        </w:tc>
        <w:tc>
          <w:tcPr>
            <w:tcW w:w="12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65%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w:t>
            </w:r>
          </w:p>
        </w:tc>
        <w:tc>
          <w:tcPr>
            <w:tcW w:w="16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Non-lighting (total)</w:t>
            </w:r>
          </w:p>
        </w:tc>
        <w:tc>
          <w:tcPr>
            <w:tcW w:w="17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9.8</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35%</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w:t>
            </w:r>
          </w:p>
        </w:tc>
        <w:tc>
          <w:tcPr>
            <w:tcW w:w="16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w:t>
            </w:r>
          </w:p>
        </w:tc>
      </w:tr>
    </w:tbl>
    <w:p w:rsidR="00DC162D" w:rsidRDefault="00DC162D">
      <w:pPr>
        <w:spacing w:after="80"/>
      </w:pPr>
    </w:p>
    <w:p w:rsidR="00DC162D" w:rsidRDefault="00CB18E3">
      <w:pPr>
        <w:pStyle w:val="Heading2"/>
      </w:pPr>
      <w:r>
        <w:t>4.4 Economic Performance Analysis</w:t>
      </w:r>
    </w:p>
    <w:p w:rsidR="00DC162D" w:rsidRDefault="00CB18E3">
      <w:pPr>
        <w:spacing w:after="180" w:line="360" w:lineRule="auto"/>
        <w:ind w:firstLine="720"/>
        <w:jc w:val="both"/>
      </w:pPr>
      <w:r>
        <w:rPr>
          <w:rFonts w:cs="Times New Roman"/>
        </w:rPr>
        <w:t xml:space="preserve">Techno-economic analysis revealed that the commercial viability of PFAL vertical farming operations is marginal to negative at current technology costs and electricity prices in most European and North American markets when evaluated against conventional wholesale produce prices. The </w:t>
      </w:r>
      <w:proofErr w:type="spellStart"/>
      <w:r>
        <w:rPr>
          <w:rFonts w:cs="Times New Roman"/>
        </w:rPr>
        <w:t>modeled</w:t>
      </w:r>
      <w:proofErr w:type="spellEnd"/>
      <w:r>
        <w:rPr>
          <w:rFonts w:cs="Times New Roman"/>
        </w:rPr>
        <w:t xml:space="preserve"> 15-year PFAL operation with 1,000 square meters of floor area and 8 growing tiers required capital investment of USD 4.2-6.8 million, generating operating costs of USD 28-42 per kilogram of lettuce produced. At current wholesale lettuce prices of USD 3-6 per kilogram in European premium markets, this cost structure yields strongly negative net present values under base case assumptions.</w:t>
      </w:r>
    </w:p>
    <w:p w:rsidR="00DC162D" w:rsidRDefault="00CB18E3">
      <w:pPr>
        <w:spacing w:after="180" w:line="360" w:lineRule="auto"/>
        <w:ind w:firstLine="720"/>
        <w:jc w:val="both"/>
      </w:pPr>
      <w:r>
        <w:rPr>
          <w:rFonts w:cs="Times New Roman"/>
        </w:rPr>
        <w:t xml:space="preserve">However, several factors improve the economic outlook under specific conditions. Operations targeting retail and food service markets rather than wholesale can achieve realized prices of USD 8-15 per kilogram for premium branded indoor produce, substantially narrowing or eliminating the cost gap. Operations located in markets with high vegetable import dependence - including Singapore, the UAE, Scandinavia, and cold-climate regions with limited </w:t>
      </w:r>
      <w:r>
        <w:rPr>
          <w:rFonts w:cs="Times New Roman"/>
        </w:rPr>
        <w:lastRenderedPageBreak/>
        <w:t>domestic production seasons - benefit from reduced competition and higher baseline price levels. Vertical farming operations integrated with urban real estate development or retail operations can potentially monetize the co-location value of fresh produce production at the point of sale and access below-market real estate costs through building integration. And future cost trajectories for LED technology, battery storage, and renewable electricity are projected to improve the economic balance significantly: LED luminaire costs have declined at approximately 20% per year compounded over the past decade, and electricity costs from on-site solar generation are approaching parity with or below grid prices in many markets.</w:t>
      </w:r>
    </w:p>
    <w:p w:rsidR="00DC162D" w:rsidRDefault="00CB18E3">
      <w:pPr>
        <w:spacing w:after="180" w:line="360" w:lineRule="auto"/>
        <w:ind w:firstLine="720"/>
        <w:jc w:val="both"/>
      </w:pPr>
      <w:r>
        <w:rPr>
          <w:rFonts w:cs="Times New Roman"/>
        </w:rPr>
        <w:t xml:space="preserve">Rooftop greenhouse operations demonstrated more </w:t>
      </w:r>
      <w:proofErr w:type="spellStart"/>
      <w:r>
        <w:rPr>
          <w:rFonts w:cs="Times New Roman"/>
        </w:rPr>
        <w:t>favorable</w:t>
      </w:r>
      <w:proofErr w:type="spellEnd"/>
      <w:r>
        <w:rPr>
          <w:rFonts w:cs="Times New Roman"/>
        </w:rPr>
        <w:t xml:space="preserve"> economic profiles, with </w:t>
      </w:r>
      <w:proofErr w:type="spellStart"/>
      <w:r>
        <w:rPr>
          <w:rFonts w:cs="Times New Roman"/>
        </w:rPr>
        <w:t>modeled</w:t>
      </w:r>
      <w:proofErr w:type="spellEnd"/>
      <w:r>
        <w:rPr>
          <w:rFonts w:cs="Times New Roman"/>
        </w:rPr>
        <w:t xml:space="preserve"> capital costs of USD 0.8-1.5 million per 1,000 square meters, operating costs of USD 8-14 per kilogram, and positive NPV outcomes achievable at realistic premium market prices in high-value urban real estate markets. The significantly lower energy costs of natural-light-supplemented greenhouse systems, combined with lower capital requirements, make rooftop greenhouse operations the currently preferred commercial configuration for new entrants in many markets.</w:t>
      </w:r>
    </w:p>
    <w:p w:rsidR="00DC162D" w:rsidRDefault="00DC162D">
      <w:pPr>
        <w:spacing w:after="80"/>
      </w:pPr>
    </w:p>
    <w:p w:rsidR="00DC162D" w:rsidRDefault="00CB18E3">
      <w:pPr>
        <w:spacing w:before="100" w:after="220"/>
        <w:jc w:val="center"/>
      </w:pPr>
      <w:r>
        <w:rPr>
          <w:rFonts w:cs="Times New Roman"/>
          <w:i/>
          <w:iCs/>
          <w:color w:val="444444"/>
          <w:sz w:val="20"/>
          <w:szCs w:val="20"/>
        </w:rPr>
        <w:t xml:space="preserve">Table 3. Techno-economic summary for </w:t>
      </w:r>
      <w:proofErr w:type="spellStart"/>
      <w:r>
        <w:rPr>
          <w:rFonts w:cs="Times New Roman"/>
          <w:i/>
          <w:iCs/>
          <w:color w:val="444444"/>
          <w:sz w:val="20"/>
          <w:szCs w:val="20"/>
        </w:rPr>
        <w:t>modeled</w:t>
      </w:r>
      <w:proofErr w:type="spellEnd"/>
      <w:r>
        <w:rPr>
          <w:rFonts w:cs="Times New Roman"/>
          <w:i/>
          <w:iCs/>
          <w:color w:val="444444"/>
          <w:sz w:val="20"/>
          <w:szCs w:val="20"/>
        </w:rPr>
        <w:t xml:space="preserve"> urban farming system configurations (1,000 m2 floor area, 15-year horizon, 5% discount rate)</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000"/>
        <w:gridCol w:w="2000"/>
        <w:gridCol w:w="2560"/>
      </w:tblGrid>
      <w:tr w:rsidR="00DC162D">
        <w:trPr>
          <w:tblHeader/>
        </w:trPr>
        <w:tc>
          <w:tcPr>
            <w:tcW w:w="28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Economic Parameter</w:t>
            </w:r>
          </w:p>
        </w:tc>
        <w:tc>
          <w:tcPr>
            <w:tcW w:w="20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Rooftop Greenhouse</w:t>
            </w:r>
          </w:p>
        </w:tc>
        <w:tc>
          <w:tcPr>
            <w:tcW w:w="200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PFAL 8-Tier</w:t>
            </w:r>
          </w:p>
        </w:tc>
        <w:tc>
          <w:tcPr>
            <w:tcW w:w="2560" w:type="dxa"/>
            <w:tcBorders>
              <w:top w:val="single" w:sz="1" w:space="0" w:color="AAAAAA"/>
              <w:left w:val="single" w:sz="1" w:space="0" w:color="AAAAAA"/>
              <w:bottom w:val="single" w:sz="1" w:space="0" w:color="AAAAAA"/>
              <w:right w:val="single" w:sz="1" w:space="0" w:color="AAAAAA"/>
            </w:tcBorders>
            <w:shd w:val="clear" w:color="auto" w:fill="D0E4F5"/>
            <w:tcMar>
              <w:top w:w="100" w:type="dxa"/>
              <w:left w:w="150" w:type="dxa"/>
              <w:bottom w:w="100" w:type="dxa"/>
              <w:right w:w="150" w:type="dxa"/>
            </w:tcMar>
            <w:vAlign w:val="center"/>
          </w:tcPr>
          <w:p w:rsidR="00DC162D" w:rsidRDefault="00CB18E3">
            <w:r>
              <w:rPr>
                <w:rFonts w:cs="Times New Roman"/>
                <w:b/>
                <w:bCs/>
                <w:sz w:val="20"/>
                <w:szCs w:val="20"/>
              </w:rPr>
              <w:t>PFAL 12-Tier</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Capital Investment (USD million)</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1.1 - 1.5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4.2 - 5.8</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5.8 - 6.8</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Annual Operating Cost (USD/kg)</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8 - 14</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28 - 38</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25 - 34</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Annual Lettuce Output (tonnes)</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185</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1,350</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1,850</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Break-even Price (USD/kg)</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9.2</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31.4</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27.6</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NPV at USD 12/kg (USD million)</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+0.8</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-18.2</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-14.6</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NPV at USD 12/kg + 100% RE</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+0.9</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-12.4</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-9.8</w:t>
            </w:r>
          </w:p>
        </w:tc>
      </w:tr>
      <w:tr w:rsidR="00DC162D">
        <w:tc>
          <w:tcPr>
            <w:tcW w:w="28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 xml:space="preserve">Energy Cost Share of </w:t>
            </w:r>
            <w:proofErr w:type="spellStart"/>
            <w:r>
              <w:rPr>
                <w:rFonts w:cs="Times New Roman"/>
                <w:sz w:val="20"/>
                <w:szCs w:val="20"/>
              </w:rPr>
              <w:t>OpEx</w:t>
            </w:r>
            <w:proofErr w:type="spellEnd"/>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28%</w:t>
            </w:r>
          </w:p>
        </w:tc>
        <w:tc>
          <w:tcPr>
            <w:tcW w:w="200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58%</w:t>
            </w:r>
          </w:p>
        </w:tc>
        <w:tc>
          <w:tcPr>
            <w:tcW w:w="2560" w:type="dxa"/>
            <w:tcBorders>
              <w:top w:val="single" w:sz="1" w:space="0" w:color="AAAAAA"/>
              <w:left w:val="single" w:sz="1" w:space="0" w:color="AAAAAA"/>
              <w:bottom w:val="single" w:sz="1" w:space="0" w:color="AAAAAA"/>
              <w:right w:val="single" w:sz="1" w:space="0" w:color="AAAAAA"/>
            </w:tcBorders>
            <w:shd w:val="clear" w:color="auto" w:fill="F4F9FF"/>
            <w:tcMar>
              <w:top w:w="100" w:type="dxa"/>
              <w:left w:w="150" w:type="dxa"/>
              <w:bottom w:w="100" w:type="dxa"/>
              <w:right w:w="150" w:type="dxa"/>
            </w:tcMar>
            <w:vAlign w:val="center"/>
          </w:tcPr>
          <w:p w:rsidR="00DC162D" w:rsidRDefault="00CB18E3">
            <w:r>
              <w:rPr>
                <w:rFonts w:cs="Times New Roman"/>
                <w:sz w:val="20"/>
                <w:szCs w:val="20"/>
              </w:rPr>
              <w:t>61%</w:t>
            </w:r>
          </w:p>
        </w:tc>
      </w:tr>
      <w:tr w:rsidR="00DC162D">
        <w:tc>
          <w:tcPr>
            <w:tcW w:w="2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 xml:space="preserve">Labor Cost Share of </w:t>
            </w:r>
            <w:proofErr w:type="spellStart"/>
            <w:r>
              <w:rPr>
                <w:rFonts w:cs="Times New Roman"/>
                <w:sz w:val="20"/>
                <w:szCs w:val="20"/>
              </w:rPr>
              <w:t>OpEx</w:t>
            </w:r>
            <w:proofErr w:type="spellEnd"/>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35%</w:t>
            </w:r>
          </w:p>
        </w:tc>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22%</w:t>
            </w:r>
          </w:p>
        </w:tc>
        <w:tc>
          <w:tcPr>
            <w:tcW w:w="25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DC162D" w:rsidRDefault="00CB18E3">
            <w:r>
              <w:rPr>
                <w:rFonts w:cs="Times New Roman"/>
                <w:sz w:val="20"/>
                <w:szCs w:val="20"/>
              </w:rPr>
              <w:t>19%</w:t>
            </w:r>
          </w:p>
        </w:tc>
      </w:tr>
    </w:tbl>
    <w:p w:rsidR="00DC162D" w:rsidRDefault="00DC162D">
      <w:pPr>
        <w:spacing w:after="80"/>
      </w:pPr>
    </w:p>
    <w:p w:rsidR="00DC162D" w:rsidRDefault="00CB18E3">
      <w:pPr>
        <w:pStyle w:val="Heading1"/>
      </w:pPr>
      <w:r>
        <w:t>5. Emerging Technologies and Performance Enhancement</w:t>
      </w:r>
    </w:p>
    <w:p w:rsidR="00DC162D" w:rsidRDefault="00CB18E3">
      <w:pPr>
        <w:pStyle w:val="Heading2"/>
      </w:pPr>
      <w:r>
        <w:t>5.1 Advanced LED Lighting Technologies</w:t>
      </w:r>
    </w:p>
    <w:p w:rsidR="00DC162D" w:rsidRDefault="00CB18E3">
      <w:pPr>
        <w:spacing w:after="180" w:line="360" w:lineRule="auto"/>
        <w:ind w:firstLine="720"/>
        <w:jc w:val="both"/>
      </w:pPr>
      <w:r>
        <w:rPr>
          <w:rFonts w:cs="Times New Roman"/>
        </w:rPr>
        <w:t xml:space="preserve">Light-emitting diode (LED) technology is the single most important determinant of PFAL energy consumption and therefore the primary target for performance improvement. Current commercial horticultural LED systems achieve photon efficacies of 2.7-3.4 micromoles of photosynthetically active radiation (PAR) per joule of electricity consumed, representing a doubling of efficiency from the 1.3-1.7 </w:t>
      </w:r>
      <w:proofErr w:type="spellStart"/>
      <w:r>
        <w:rPr>
          <w:rFonts w:cs="Times New Roman"/>
        </w:rPr>
        <w:t>micromol</w:t>
      </w:r>
      <w:proofErr w:type="spellEnd"/>
      <w:r>
        <w:rPr>
          <w:rFonts w:cs="Times New Roman"/>
        </w:rPr>
        <w:t xml:space="preserve">/J systems available in 2015. Research prototypes and announced next-generation commercial products are targeting efficacies of 4.0-5.0 </w:t>
      </w:r>
      <w:proofErr w:type="spellStart"/>
      <w:r>
        <w:rPr>
          <w:rFonts w:cs="Times New Roman"/>
        </w:rPr>
        <w:t>micromol</w:t>
      </w:r>
      <w:proofErr w:type="spellEnd"/>
      <w:r>
        <w:rPr>
          <w:rFonts w:cs="Times New Roman"/>
        </w:rPr>
        <w:t>/J, which would reduce lighting-related electricity consumption by 30-50% relative to current commercial installations, fundamentally improving the economic and environmental case for PFAL production.</w:t>
      </w:r>
    </w:p>
    <w:p w:rsidR="00DC162D" w:rsidRDefault="00CB18E3">
      <w:pPr>
        <w:spacing w:after="180" w:line="360" w:lineRule="auto"/>
        <w:ind w:firstLine="720"/>
        <w:jc w:val="both"/>
      </w:pPr>
      <w:r>
        <w:rPr>
          <w:rFonts w:cs="Times New Roman"/>
        </w:rPr>
        <w:t xml:space="preserve">Spectral optimization - tailoring the wavelength distribution of light output to match the action spectra of specific crops and production objectives - offers additional efficiency improvements beyond raw photon efficacy gains. Research has established that the ratio of red (660 nm) to blue (450 nm) light strongly influences plant morphology, with high </w:t>
      </w:r>
      <w:proofErr w:type="spellStart"/>
      <w:r>
        <w:rPr>
          <w:rFonts w:cs="Times New Roman"/>
        </w:rPr>
        <w:t>red:blue</w:t>
      </w:r>
      <w:proofErr w:type="spellEnd"/>
      <w:r>
        <w:rPr>
          <w:rFonts w:cs="Times New Roman"/>
        </w:rPr>
        <w:t xml:space="preserve"> ratios (8:1 to 16:1) promoting compact, high-yield vegetative growth in lettuce and herbs, while supplemental far-red light (730 nm) activates phytochrome-mediated </w:t>
      </w:r>
      <w:proofErr w:type="spellStart"/>
      <w:r>
        <w:rPr>
          <w:rFonts w:cs="Times New Roman"/>
        </w:rPr>
        <w:t>signaling</w:t>
      </w:r>
      <w:proofErr w:type="spellEnd"/>
      <w:r>
        <w:rPr>
          <w:rFonts w:cs="Times New Roman"/>
        </w:rPr>
        <w:t xml:space="preserve"> that accelerates leaf expansion and stem elongation. Precisely tuned spectral recipes for individual crops and growth stages, delivered by dynamically programmable multi-channel LED systems, are estimated to reduce time-to-harvest by 15-25% compared to static full-spectrum white LED systems, proportionally improving productivity per unit energy input.</w:t>
      </w:r>
    </w:p>
    <w:p w:rsidR="00DC162D" w:rsidRDefault="00CB18E3">
      <w:pPr>
        <w:spacing w:after="180" w:line="360" w:lineRule="auto"/>
        <w:ind w:firstLine="720"/>
        <w:jc w:val="both"/>
      </w:pPr>
      <w:r>
        <w:rPr>
          <w:rFonts w:cs="Times New Roman"/>
        </w:rPr>
        <w:t xml:space="preserve">Photoperiod manipulation - specifically the use of night-break lighting protocols that interrupt the dark period to simulate short-day or long-day conditions without increasing total daily light integral - enables manipulation of flowering timing in many crops and can extend productive vegetative growth periods. For leafy crops prone to bolting under long photoperiods, carefully timed night interruptions using low-intensity red light applications consuming only 1-5% of the total lighting energy can prevent premature reproductive development and extend </w:t>
      </w:r>
      <w:r>
        <w:rPr>
          <w:rFonts w:cs="Times New Roman"/>
        </w:rPr>
        <w:lastRenderedPageBreak/>
        <w:t>harvest windows, improving total yield per crop cycle by 20-40% without proportional energy cost increases.</w:t>
      </w:r>
    </w:p>
    <w:p w:rsidR="00DC162D" w:rsidRDefault="00CB18E3">
      <w:pPr>
        <w:pStyle w:val="Heading2"/>
      </w:pPr>
      <w:r>
        <w:t>5.2 Renewable Energy Integration and Waste Heat Recovery</w:t>
      </w:r>
    </w:p>
    <w:p w:rsidR="00DC162D" w:rsidRDefault="00CB18E3">
      <w:pPr>
        <w:spacing w:after="180" w:line="360" w:lineRule="auto"/>
        <w:ind w:firstLine="720"/>
        <w:jc w:val="both"/>
      </w:pPr>
      <w:r>
        <w:rPr>
          <w:rFonts w:cs="Times New Roman"/>
        </w:rPr>
        <w:t>The environmental and economic performance of PFAL systems is critically dependent on electricity supply decarbonization, making renewable energy integration a strategic priority for the sector's long-term sustainability. Building-integrated photovoltaic (BIPV) systems on vertical farm building envelopes can offset 10-30% of electricity demand in optimal orientations and climates, though the spatial mismatch between maximum solar generation during summer months and maximum supplemental lighting demand during winter months limits the effective integration fraction without battery storage. Power purchase agreements (PPAs) for certified renewable electricity from dedicated wind and solar installations represent a more scalable approach to renewable energy procurement for large-scale vertical farm operations.</w:t>
      </w:r>
    </w:p>
    <w:p w:rsidR="00DC162D" w:rsidRDefault="00CB18E3">
      <w:pPr>
        <w:spacing w:after="180" w:line="360" w:lineRule="auto"/>
        <w:ind w:firstLine="720"/>
        <w:jc w:val="both"/>
      </w:pPr>
      <w:r>
        <w:rPr>
          <w:rFonts w:cs="Times New Roman"/>
        </w:rPr>
        <w:t>Waste heat recovery from LED lighting systems represents a significant opportunity to reduce net energy consumption in PFAL operations. LED drivers convert approximately 50% of input electricity to heat, which must be removed from the growing environment by the cooling system, representing a major component of the climate control energy load. Heat pump-based recovery systems that capture this low-grade waste heat and upgrade it for space heating, hot water production, or desiccant dehumidification regeneration can recover 40-60% of the cooling energy load for useful heating purposes, particularly valuable in cold-climate urban locations with significant winter heating requirements in other parts of the building.</w:t>
      </w:r>
    </w:p>
    <w:p w:rsidR="00DC162D" w:rsidRDefault="00CB18E3">
      <w:pPr>
        <w:pStyle w:val="Heading2"/>
      </w:pPr>
      <w:r>
        <w:t>5.3 Robotics, Automation, and AI-Driven Crop Management</w:t>
      </w:r>
    </w:p>
    <w:p w:rsidR="00DC162D" w:rsidRDefault="00CB18E3">
      <w:pPr>
        <w:spacing w:after="180" w:line="360" w:lineRule="auto"/>
        <w:ind w:firstLine="720"/>
        <w:jc w:val="both"/>
      </w:pPr>
      <w:r>
        <w:rPr>
          <w:rFonts w:cs="Times New Roman"/>
        </w:rPr>
        <w:t xml:space="preserve">Labor costs represent the second largest operating cost category in commercial vertical farming operations (19-35% of total operating costs), driven by the manual handling requirements of seeding, transplanting, harvesting, and packaging operations. The high spatial density and controlled, predictable environment of vertical farms creates </w:t>
      </w:r>
      <w:proofErr w:type="spellStart"/>
      <w:r>
        <w:rPr>
          <w:rFonts w:cs="Times New Roman"/>
        </w:rPr>
        <w:t>favorable</w:t>
      </w:r>
      <w:proofErr w:type="spellEnd"/>
      <w:r>
        <w:rPr>
          <w:rFonts w:cs="Times New Roman"/>
        </w:rPr>
        <w:t xml:space="preserve"> conditions for robotic automation: fixed infrastructure, consistent lighting, clean environments free from adverse weather, and highly uniform crop characteristics reduce the sensor and manipulation complexity compared to outdoor robotic harvesting applications. Commercial robotic harvesting systems for baby leaf and head lettuce have achieved harvesting rates of 1,000-5,000 plants per </w:t>
      </w:r>
      <w:r>
        <w:rPr>
          <w:rFonts w:cs="Times New Roman"/>
        </w:rPr>
        <w:lastRenderedPageBreak/>
        <w:t xml:space="preserve">hour with damage rates below 2%, approaching the throughput and quality of skilled manual harvesters while eliminating the scheduling and cost variability associated with human </w:t>
      </w:r>
      <w:proofErr w:type="spellStart"/>
      <w:r>
        <w:rPr>
          <w:rFonts w:cs="Times New Roman"/>
        </w:rPr>
        <w:t>labor</w:t>
      </w:r>
      <w:proofErr w:type="spellEnd"/>
      <w:r>
        <w:rPr>
          <w:rFonts w:cs="Times New Roman"/>
        </w:rPr>
        <w:t>.</w:t>
      </w:r>
    </w:p>
    <w:p w:rsidR="00DC162D" w:rsidRDefault="00CB18E3">
      <w:pPr>
        <w:spacing w:after="180" w:line="360" w:lineRule="auto"/>
        <w:ind w:firstLine="720"/>
        <w:jc w:val="both"/>
      </w:pPr>
      <w:r>
        <w:rPr>
          <w:rFonts w:cs="Times New Roman"/>
        </w:rPr>
        <w:t xml:space="preserve">Artificial intelligence and machine learning applications in vertical farming span crop monitoring, environmental control optimization, predictive maintenance, and demand-supply matching. Computer vision systems </w:t>
      </w:r>
      <w:proofErr w:type="spellStart"/>
      <w:r>
        <w:rPr>
          <w:rFonts w:cs="Times New Roman"/>
        </w:rPr>
        <w:t>analyzing</w:t>
      </w:r>
      <w:proofErr w:type="spellEnd"/>
      <w:r>
        <w:rPr>
          <w:rFonts w:cs="Times New Roman"/>
        </w:rPr>
        <w:t xml:space="preserve"> multispectral imagery from fixed cameras or mobile platforms above growing trays provide continuous non-destructive monitoring of crop growth stage, biomass accumulation, disease indicators, and nutrient deficiency symptoms, enabling precise harvest timing decisions and early intervention against quality issues. Reinforcement learning algorithms applied to environmental control systems - adjusting temperature, humidity, CO2 concentration, lighting intensity, and nutrient solution parameters in response to real-time crop status and growth model predictions - have demonstrated 8-15% improvements in crop yield and 5-12% reductions in energy consumption compared to conventional rule-based control systems in experimental implementations.</w:t>
      </w:r>
    </w:p>
    <w:p w:rsidR="00DC162D" w:rsidRDefault="00CB18E3">
      <w:pPr>
        <w:pStyle w:val="Heading2"/>
      </w:pPr>
      <w:r>
        <w:t>5.4 Microbiome Management in Hydroponic Systems</w:t>
      </w:r>
    </w:p>
    <w:p w:rsidR="00DC162D" w:rsidRDefault="00CB18E3">
      <w:pPr>
        <w:spacing w:after="180" w:line="360" w:lineRule="auto"/>
        <w:ind w:firstLine="720"/>
        <w:jc w:val="both"/>
      </w:pPr>
      <w:r>
        <w:rPr>
          <w:rFonts w:cs="Times New Roman"/>
        </w:rPr>
        <w:t>The root zone microbiome of hydroponic production systems has emerged as a critically important but incompletely understood determinant of crop performance, disease incidence, and nutrient availability in vertical farming operations. Unlike soil-based systems where the soil microbial community is established through millennia of ecological succession and management history, hydroponic root zone microbiomes are assembled de novo from inoculants introduced with seeds, water, nutrients, and the growing environment, creating both a challenge - the system can be colonized by pathogenic organisms that cause rapid crop losses in the recirculating water - and an opportunity to deliberately engineer beneficial microbial communities.</w:t>
      </w:r>
    </w:p>
    <w:p w:rsidR="00DC162D" w:rsidRDefault="00CB18E3">
      <w:pPr>
        <w:spacing w:after="180" w:line="360" w:lineRule="auto"/>
        <w:ind w:firstLine="720"/>
        <w:jc w:val="both"/>
      </w:pPr>
      <w:r>
        <w:rPr>
          <w:rFonts w:cs="Times New Roman"/>
        </w:rPr>
        <w:t>Research on beneficial plant-microbe interactions in hydroponic systems has identified strains of Bacillus, Pseudomonas, Trichoderma, and mycorrhizal fungi that, when applied as root zone inoculants, consistently improve plant growth, enhance nutrient uptake efficiency, suppress root pathogens including Pythium and Fusarium species, and trigger systemic resistance against foliar diseases. Commercial hydroponic probiotic products based on these organisms are entering the market, though the demonstration of reliable performance across diverse system configurations, crop species, water chemistries, and environmental conditions remains an active research priority.</w:t>
      </w:r>
    </w:p>
    <w:p w:rsidR="00DC162D" w:rsidRDefault="00CB18E3">
      <w:pPr>
        <w:pStyle w:val="Heading1"/>
      </w:pPr>
      <w:r>
        <w:lastRenderedPageBreak/>
        <w:t>6. Crop Diversification and the Calorie Gap</w:t>
      </w:r>
    </w:p>
    <w:p w:rsidR="00DC162D" w:rsidRDefault="00CB18E3">
      <w:pPr>
        <w:spacing w:after="180" w:line="360" w:lineRule="auto"/>
        <w:ind w:firstLine="720"/>
        <w:jc w:val="both"/>
      </w:pPr>
      <w:r>
        <w:rPr>
          <w:rFonts w:cs="Times New Roman"/>
        </w:rPr>
        <w:t xml:space="preserve">The dominance of lettuce, salad leaves, herbs, and microgreens in commercial vertical farming output reflects the </w:t>
      </w:r>
      <w:proofErr w:type="spellStart"/>
      <w:r>
        <w:rPr>
          <w:rFonts w:cs="Times New Roman"/>
        </w:rPr>
        <w:t>favorable</w:t>
      </w:r>
      <w:proofErr w:type="spellEnd"/>
      <w:r>
        <w:rPr>
          <w:rFonts w:cs="Times New Roman"/>
        </w:rPr>
        <w:t xml:space="preserve"> economics of high-value, short-cycle crops with modest light requirements, but raises fundamental questions about the sector's potential contribution to urban food security and caloric self-sufficiency. These leafy crops, while nutritionally valuable for micronutrient provision, contribute negligibly to the caloric and macronutrient needs of urban populations. A realistic assessment of vertical farming's role in the broader food system must therefore address the 'calorie gap' between current production profiles and what would be needed to meaningfully supplement urban caloric supply.</w:t>
      </w:r>
    </w:p>
    <w:p w:rsidR="00DC162D" w:rsidRDefault="00CB18E3">
      <w:pPr>
        <w:spacing w:after="180" w:line="360" w:lineRule="auto"/>
        <w:ind w:firstLine="720"/>
        <w:jc w:val="both"/>
      </w:pPr>
      <w:r>
        <w:rPr>
          <w:rFonts w:cs="Times New Roman"/>
        </w:rPr>
        <w:t xml:space="preserve">Research on the production of fruiting vegetables including tomato, pepper, cucumber, and strawberry in vertical farming configurations indicates that these higher-calorie crops require significantly more lighting energy per kilogram of produce due to their longer production cycles, higher light saturation points, and greater metabolic demands of fruit development relative to vegetative leafy growth. Energy consumption for tomato production in PFAL systems has been reported at 50-120 kWh per kilogram, compared to 25-35 kWh/kg for lettuce, substantially worsening the economic and environmental performance metrics. However, the energy cost per calorie produced is more </w:t>
      </w:r>
      <w:proofErr w:type="spellStart"/>
      <w:r>
        <w:rPr>
          <w:rFonts w:cs="Times New Roman"/>
        </w:rPr>
        <w:t>favorable</w:t>
      </w:r>
      <w:proofErr w:type="spellEnd"/>
      <w:r>
        <w:rPr>
          <w:rFonts w:cs="Times New Roman"/>
        </w:rPr>
        <w:t xml:space="preserve"> for tomato than these figures suggest, since tomato provides approximately 4 times the caloric density of lettuce per kilogram.</w:t>
      </w:r>
    </w:p>
    <w:p w:rsidR="00DC162D" w:rsidRDefault="00CB18E3">
      <w:pPr>
        <w:spacing w:after="180" w:line="360" w:lineRule="auto"/>
        <w:ind w:firstLine="720"/>
        <w:jc w:val="both"/>
      </w:pPr>
      <w:r>
        <w:rPr>
          <w:rFonts w:cs="Times New Roman"/>
        </w:rPr>
        <w:t>Staple crop production - including wheat, rice, potato, and legumes - in vertical farming configurations has been experimentally demonstrated but remains economically impractical at current technology costs. The PFAL energy cost of producing a kilogram of wheat grain (estimated 150-300 kWh/kg based on experimental data) would exceed the market value of wheat by two to three orders of magnitude, making PFAL staple crop production economically inviable for the foreseeable future even with significant technology advances. The vertical farming sector's realistic contribution to urban food systems therefore lies in the provision of fresh, high-value, micronutrient-dense horticultural produce rather than caloric staples, complementing rather than substituting for conventional grain-based food supply systems.</w:t>
      </w:r>
    </w:p>
    <w:p w:rsidR="00DC162D" w:rsidRDefault="00CB18E3">
      <w:pPr>
        <w:pStyle w:val="Heading1"/>
      </w:pPr>
      <w:r>
        <w:t>7. Social, Policy, and Food Systems Dimensions</w:t>
      </w:r>
    </w:p>
    <w:p w:rsidR="00DC162D" w:rsidRDefault="00CB18E3">
      <w:pPr>
        <w:pStyle w:val="Heading2"/>
      </w:pPr>
      <w:r>
        <w:t>7.1 Food Security and Access Equity</w:t>
      </w:r>
    </w:p>
    <w:p w:rsidR="00DC162D" w:rsidRDefault="00CB18E3">
      <w:pPr>
        <w:spacing w:after="180" w:line="360" w:lineRule="auto"/>
        <w:ind w:firstLine="720"/>
        <w:jc w:val="both"/>
      </w:pPr>
      <w:r>
        <w:rPr>
          <w:rFonts w:cs="Times New Roman"/>
        </w:rPr>
        <w:lastRenderedPageBreak/>
        <w:t>The food security implications of urban and vertical farming are multidimensional and not uniformly positive. On the supply side, year-round local production of fresh vegetables and herbs reduces dependence on imports and seasonal availability constraints, improving supply chain resilience during disruption events. The elimination of post-harvest transport and storage losses, which average 20-40% of fresh produce in conventional supply chains, further improves the effective supply of fresh food to urban consumers. However, the premium pricing of vertical farm produce - necessitated by high production costs - creates access equity concerns: if urban farming primarily serves affluent consumers while failing to reach food-insecure urban populations, its food security contribution is limited and potentially regressive.</w:t>
      </w:r>
    </w:p>
    <w:p w:rsidR="00DC162D" w:rsidRDefault="00CB18E3">
      <w:pPr>
        <w:spacing w:after="180" w:line="360" w:lineRule="auto"/>
        <w:ind w:firstLine="720"/>
        <w:jc w:val="both"/>
      </w:pPr>
      <w:r>
        <w:rPr>
          <w:rFonts w:cs="Times New Roman"/>
        </w:rPr>
        <w:t>Community urban farming models, in contrast to commercial PFAL operations, have demonstrated potential for direct food security contributions in underserved urban communities. Community gardens, urban agriculture programs in schools and social housing developments, and subsidized indoor farming initiatives in food deserts have provided both direct food production for participant households and educational, social cohesion, and mental health co-benefits documented in numerous community impact studies. Integration of CEA technology into community urban farming programs - through shared facility models, technology subsidies, or social enterprise structures - represents an underexplored pathway for combining the productivity advantages of controlled environment production with the social equity orientation of community food initiatives.</w:t>
      </w:r>
    </w:p>
    <w:p w:rsidR="00DC162D" w:rsidRDefault="00CB18E3">
      <w:pPr>
        <w:pStyle w:val="Heading2"/>
      </w:pPr>
      <w:r>
        <w:t>7.2 Urban Planning and Regulatory Frameworks</w:t>
      </w:r>
    </w:p>
    <w:p w:rsidR="00DC162D" w:rsidRDefault="00CB18E3">
      <w:pPr>
        <w:spacing w:after="180" w:line="360" w:lineRule="auto"/>
        <w:ind w:firstLine="720"/>
        <w:jc w:val="both"/>
      </w:pPr>
      <w:r>
        <w:rPr>
          <w:rFonts w:cs="Times New Roman"/>
        </w:rPr>
        <w:t>The integration of vertical farming into urban environments requires navigation of planning and regulatory frameworks designed primarily for conventional land uses, which often create unnecessary barriers to urban food production. Zoning regulations that classify food production as an industrial or agricultural use incompatible with residential or commercial zones, building codes that do not account for the structural requirements of rooftop growing systems, and food safety regulations designed for conventional food manufacturing facilities all present compliance challenges for urban farming innovators. Progressive municipalities including Singapore, Rotterdam, Paris, and New York have developed specific urban food production regulatory frameworks that provide clarity and reduce compliance costs for urban farming operations, serving as models for broader regulatory reform.</w:t>
      </w:r>
    </w:p>
    <w:p w:rsidR="00DC162D" w:rsidRDefault="00CB18E3">
      <w:pPr>
        <w:spacing w:after="180" w:line="360" w:lineRule="auto"/>
        <w:ind w:firstLine="720"/>
        <w:jc w:val="both"/>
      </w:pPr>
      <w:r>
        <w:rPr>
          <w:rFonts w:cs="Times New Roman"/>
        </w:rPr>
        <w:lastRenderedPageBreak/>
        <w:t>Urban food policies that explicitly recognize vertical and urban farming as components of the urban food system - through inclusion in city food strategies, allocation of public space and infrastructure for food production, procurement policies that prioritize local urban produce for public institutions, and financial incentives for building-integrated food production - have been shown to significantly accelerate urban farming sector development in cities that have adopted them. The 100 Resilient Cities network and the Milan Urban Food Policy Pact, signed by over 230 cities globally, provide frameworks for integrating urban food production into municipal resilience and sustainability planning.</w:t>
      </w:r>
    </w:p>
    <w:p w:rsidR="00DC162D" w:rsidRDefault="00CB18E3">
      <w:pPr>
        <w:pStyle w:val="Heading2"/>
      </w:pPr>
      <w:r>
        <w:t>7.3 Environmental Justice and Green Infrastructure</w:t>
      </w:r>
    </w:p>
    <w:p w:rsidR="00DC162D" w:rsidRDefault="00CB18E3">
      <w:pPr>
        <w:spacing w:after="180" w:line="360" w:lineRule="auto"/>
        <w:ind w:firstLine="720"/>
        <w:jc w:val="both"/>
      </w:pPr>
      <w:r>
        <w:rPr>
          <w:rFonts w:cs="Times New Roman"/>
        </w:rPr>
        <w:t xml:space="preserve">Urban farming, when deployed with an environmental justice orientation, can contribute to addressing the unequal distribution of green infrastructure in cities. Urban heat island effects, air quality, biodiversity, and access to green space are disproportionately poor in lower-income urban </w:t>
      </w:r>
      <w:proofErr w:type="spellStart"/>
      <w:r>
        <w:rPr>
          <w:rFonts w:cs="Times New Roman"/>
        </w:rPr>
        <w:t>neighborhoods</w:t>
      </w:r>
      <w:proofErr w:type="spellEnd"/>
      <w:r>
        <w:rPr>
          <w:rFonts w:cs="Times New Roman"/>
        </w:rPr>
        <w:t>, and green roof and wall systems that incorporate food production can contribute to multiple environmental quality dimensions simultaneously. Research on green roof systems with horticultural production components has documented reductions in building energy consumption through insulation effects, stormwater retention, reduced urban heat island contribution, and biodiversity habitat provision, alongside the direct food production value.</w:t>
      </w:r>
    </w:p>
    <w:p w:rsidR="00DC162D" w:rsidRDefault="00CB18E3">
      <w:pPr>
        <w:pStyle w:val="Heading1"/>
      </w:pPr>
      <w:r>
        <w:t>8. Discussion</w:t>
      </w:r>
    </w:p>
    <w:p w:rsidR="00DC162D" w:rsidRDefault="00CB18E3">
      <w:pPr>
        <w:pStyle w:val="Heading2"/>
      </w:pPr>
      <w:r>
        <w:t>8.1 Synthesis of Performance Findings</w:t>
      </w:r>
    </w:p>
    <w:p w:rsidR="00DC162D" w:rsidRDefault="00CB18E3">
      <w:pPr>
        <w:spacing w:after="180" w:line="360" w:lineRule="auto"/>
        <w:ind w:firstLine="720"/>
        <w:jc w:val="both"/>
      </w:pPr>
      <w:r>
        <w:rPr>
          <w:rFonts w:cs="Times New Roman"/>
        </w:rPr>
        <w:t>The comparative analysis presented in this paper confirms that urban and vertical farming systems occupy a distinct and potentially complementary position in the food system landscape, characterized by extreme land and water use efficiency, high and reliable productivity per unit area, and supply chain advantages for urban fresh produce markets, alongside fundamental challenges of energy intensity, economic cost, and crop diversity limitations. These performance characteristics define a specific and bounded set of food system functions for which vertical farming is well-suited, and a larger set of functions for which it is currently not competitive with conventional production.</w:t>
      </w:r>
    </w:p>
    <w:p w:rsidR="00DC162D" w:rsidRDefault="00CB18E3">
      <w:pPr>
        <w:spacing w:after="180" w:line="360" w:lineRule="auto"/>
        <w:ind w:firstLine="720"/>
        <w:jc w:val="both"/>
      </w:pPr>
      <w:r>
        <w:rPr>
          <w:rFonts w:cs="Times New Roman"/>
        </w:rPr>
        <w:lastRenderedPageBreak/>
        <w:t>The most compelling case for PFAL vertical farming is in high-density urban contexts where land for conventional horticulture is unavailable or economically inaccessible, where conventional fresh produce supply chains are long, fragile, or expensive, where water scarcity limits conventional irrigation, and where electricity can be sourced from low-carbon and preferably low-cost renewable generation. Singapore, with no domestic agricultural land, high rainfall but no suitable farmland, high retail food prices, and ambitious renewable energy targets, represents perhaps the globally optimal context for PFAL investment, as evidenced by that city-state's substantial public investment in and regulatory support for indoor farming. Desert cities in the Middle East and Gulf region, cold-climate Nordic cities with limited growing seasons, and high-altitude cities in South America and Central Asia represent analogous contexts where the comparative advantage of weather-independent controlled production is most pronounced.</w:t>
      </w:r>
    </w:p>
    <w:p w:rsidR="00DC162D" w:rsidRDefault="00CB18E3">
      <w:pPr>
        <w:pStyle w:val="Heading2"/>
      </w:pPr>
      <w:r>
        <w:t>8.2 Critical Technology and Innovation Priorities</w:t>
      </w:r>
    </w:p>
    <w:p w:rsidR="00DC162D" w:rsidRDefault="00CB18E3">
      <w:pPr>
        <w:spacing w:after="180" w:line="360" w:lineRule="auto"/>
        <w:ind w:firstLine="720"/>
        <w:jc w:val="both"/>
      </w:pPr>
      <w:r>
        <w:rPr>
          <w:rFonts w:cs="Times New Roman"/>
        </w:rPr>
        <w:t xml:space="preserve">The analysis of energy consumption and economic performance consistently identifies LED lighting efficiency as the primary technological bottleneck limiting the commercial and environmental viability of PFAL vertical farming. The projected trajectory of LED efficacy improvements, if sustained, could reduce lighting energy consumption to 12-15 kWh/kg of lettuce within 5-8 years, fundamentally transforming the economic profile of PFAL operations toward viability at conventional wholesale prices. Research and development investment prioritized around the following areas would most effectively accelerate this trajectory: (1) next-generation LED chip architectures with target efficacy above 4.5 </w:t>
      </w:r>
      <w:proofErr w:type="spellStart"/>
      <w:r>
        <w:rPr>
          <w:rFonts w:cs="Times New Roman"/>
        </w:rPr>
        <w:t>micromol</w:t>
      </w:r>
      <w:proofErr w:type="spellEnd"/>
      <w:r>
        <w:rPr>
          <w:rFonts w:cs="Times New Roman"/>
        </w:rPr>
        <w:t>/J; (2) spectral optimization algorithms that reduce time-to-harvest through photomorphogenesis manipulation; (3) heat recovery and thermal integration systems that reduce net cooling energy requirements; and (4) AI-driven control systems that dynamically optimize environmental parameters to improve yield per unit energy input.</w:t>
      </w:r>
    </w:p>
    <w:p w:rsidR="00DC162D" w:rsidRDefault="00CB18E3">
      <w:pPr>
        <w:spacing w:after="180" w:line="360" w:lineRule="auto"/>
        <w:ind w:firstLine="720"/>
        <w:jc w:val="both"/>
      </w:pPr>
      <w:r>
        <w:rPr>
          <w:rFonts w:cs="Times New Roman"/>
        </w:rPr>
        <w:t xml:space="preserve">The development of vertical farming systems optimized for a broader range of crops - particularly nutritionally important fruiting vegetables and, longer-term, calorie-contributing root and tuber crops - represents a strategic priority for expanding the food security contribution of the sector. Crop development programs selecting and breeding for PFAL-adapted traits including high photosynthetic efficiency under artificial LED spectra, compact architecture compatible </w:t>
      </w:r>
      <w:r>
        <w:rPr>
          <w:rFonts w:cs="Times New Roman"/>
        </w:rPr>
        <w:lastRenderedPageBreak/>
        <w:t>with multi-tier systems, accelerated development cycles, and high nutrient density would complement engineering improvements in system efficiency.</w:t>
      </w:r>
    </w:p>
    <w:p w:rsidR="00DC162D" w:rsidRDefault="00CB18E3">
      <w:pPr>
        <w:pStyle w:val="Heading2"/>
      </w:pPr>
      <w:r>
        <w:t>8.3 Limitations and Future Research Directions</w:t>
      </w:r>
    </w:p>
    <w:p w:rsidR="00DC162D" w:rsidRDefault="00CB18E3">
      <w:pPr>
        <w:spacing w:after="180" w:line="360" w:lineRule="auto"/>
        <w:ind w:firstLine="720"/>
        <w:jc w:val="both"/>
      </w:pPr>
      <w:r>
        <w:rPr>
          <w:rFonts w:cs="Times New Roman"/>
        </w:rPr>
        <w:t xml:space="preserve">Several limitations of the present analysis warrant acknowledgement. The heterogeneity of published studies in terms of system design, scale, measurement protocols, and reporting practices introduces uncertainty into the meta-analytic productivity and resource use data presented. The economic analysis necessarily relies on benchmark parameters that may not reflect the diversity of local market conditions, real estate costs, </w:t>
      </w:r>
      <w:proofErr w:type="spellStart"/>
      <w:r>
        <w:rPr>
          <w:rFonts w:cs="Times New Roman"/>
        </w:rPr>
        <w:t>labor</w:t>
      </w:r>
      <w:proofErr w:type="spellEnd"/>
      <w:r>
        <w:rPr>
          <w:rFonts w:cs="Times New Roman"/>
        </w:rPr>
        <w:t xml:space="preserve"> markets, and electricity prices that characterize actual investment decisions globally. And the rapidly evolving technology landscape means that performance parameters documented in published studies - with typical publication lags of 2-4 years - may not accurately reflect current commercial system performance.</w:t>
      </w:r>
    </w:p>
    <w:p w:rsidR="00DC162D" w:rsidRDefault="00CB18E3">
      <w:pPr>
        <w:spacing w:after="180" w:line="360" w:lineRule="auto"/>
        <w:ind w:firstLine="720"/>
        <w:jc w:val="both"/>
      </w:pPr>
      <w:r>
        <w:rPr>
          <w:rFonts w:cs="Times New Roman"/>
        </w:rPr>
        <w:t>Priority areas for future research include: longitudinal economic performance analysis of operating commercial facilities over full operational lifespans rather than projected performance from pilot-scale studies; comparative LCA studies using consistent methodological frameworks to enable more reliable cross-system and cross-context environmental performance comparisons; investigation of the nutritional quality implications of LED-grown versus field-grown produce, where preliminary evidence suggests potentially higher secondary metabolite concentrations but lower vitamin D due to absence of UV radiation; and social science research on consumer acceptance, willingness-to-pay, and the food security accessibility implications of urban farming business models across different income and demographic groups.</w:t>
      </w:r>
    </w:p>
    <w:p w:rsidR="00DC162D" w:rsidRDefault="00CB18E3">
      <w:pPr>
        <w:pStyle w:val="Heading1"/>
      </w:pPr>
      <w:r>
        <w:t>9. Conclusions</w:t>
      </w:r>
    </w:p>
    <w:p w:rsidR="00DC162D" w:rsidRDefault="00CB18E3">
      <w:pPr>
        <w:spacing w:after="180" w:line="360" w:lineRule="auto"/>
        <w:ind w:firstLine="720"/>
        <w:jc w:val="both"/>
      </w:pPr>
      <w:r>
        <w:rPr>
          <w:rFonts w:cs="Times New Roman"/>
        </w:rPr>
        <w:t>This research paper has presented a systematic comparative analysis of urban and vertical farming system performance across dimensions of land and resource productivity, economic viability, environmental impact, and food systems contribution. The principal conclusions are as follows.</w:t>
      </w:r>
    </w:p>
    <w:p w:rsidR="00DC162D" w:rsidRDefault="00CB18E3">
      <w:pPr>
        <w:spacing w:after="180" w:line="360" w:lineRule="auto"/>
        <w:ind w:firstLine="720"/>
        <w:jc w:val="both"/>
      </w:pPr>
      <w:r>
        <w:rPr>
          <w:rFonts w:cs="Times New Roman"/>
        </w:rPr>
        <w:t xml:space="preserve">First, multi-tier PFAL vertical farming systems achieve land productivity 100-400 times greater than open-field production and water use efficiency 95-98% superior to field irrigation </w:t>
      </w:r>
      <w:r>
        <w:rPr>
          <w:rFonts w:cs="Times New Roman"/>
        </w:rPr>
        <w:lastRenderedPageBreak/>
        <w:t>for leafy vegetable crops, demonstrating the potential for dramatically more resource-efficient food production in land- and water-scarce urban contexts. These productivity advantages are most compelling in densely populated cities with no accessible peri-urban agricultural land and in water-stressed or cold-climate contexts where conventional seasonal production is severely constrained.</w:t>
      </w:r>
    </w:p>
    <w:p w:rsidR="00DC162D" w:rsidRDefault="00CB18E3">
      <w:pPr>
        <w:spacing w:after="180" w:line="360" w:lineRule="auto"/>
        <w:ind w:firstLine="720"/>
        <w:jc w:val="both"/>
      </w:pPr>
      <w:r>
        <w:rPr>
          <w:rFonts w:cs="Times New Roman"/>
        </w:rPr>
        <w:t>Second, energy intensity remains the central challenge constraining both the economic and environmental case for PFAL vertical farming. Current electricity consumption of 25-35 kWh per kilogram of lettuce produces life cycle carbon footprints 20-25 times greater than open-field production under average grid electricity conditions, and operating costs that render PFAL operations economically viable only in premium niche markets. However, under 100% renewable electricity scenarios, carbon footprints fall to levels comparable with, or only modestly higher than, conventional production, and projected LED efficiency improvements over the next 5-8 years are expected to substantially improve the economic profile of PFAL systems.</w:t>
      </w:r>
    </w:p>
    <w:p w:rsidR="00DC162D" w:rsidRDefault="00CB18E3">
      <w:pPr>
        <w:spacing w:after="180" w:line="360" w:lineRule="auto"/>
        <w:ind w:firstLine="720"/>
        <w:jc w:val="both"/>
      </w:pPr>
      <w:r>
        <w:rPr>
          <w:rFonts w:cs="Times New Roman"/>
        </w:rPr>
        <w:t>Third, rooftop greenhouse systems offer a currently more commercially viable urban farming configuration for most markets, combining meaningful productivity advantages over open-field production (40-55 fold) with substantially lower energy costs and capital requirements than fully enclosed multi-tier PFAL systems. Rooftop greenhouse operations represent the recommended configuration for most near-term commercial urban farming investments in temperate to subtropical climates with access to grid electricity.</w:t>
      </w:r>
    </w:p>
    <w:p w:rsidR="00DC162D" w:rsidRDefault="00CB18E3">
      <w:pPr>
        <w:spacing w:after="180" w:line="360" w:lineRule="auto"/>
        <w:ind w:firstLine="720"/>
        <w:jc w:val="both"/>
      </w:pPr>
      <w:r>
        <w:rPr>
          <w:rFonts w:cs="Times New Roman"/>
        </w:rPr>
        <w:t>Fourth, the food security contribution of vertical farming is currently and for the foreseeable future limited to fresh, high-value horticultural produce, primarily leafy vegetables and herbs. The energy cost per kilogram of calorie-dense crops including tomato, potato, and grain crops is prohibitive for PFAL production, and the sector's role in urban food systems is therefore complementary to rather than substitutive of conventional calorie-crop production systems. Urban food policy should recognize and plan for this complementarity rather than treating vertical farming as a comprehensive urban food supply solution.</w:t>
      </w:r>
    </w:p>
    <w:p w:rsidR="00DC162D" w:rsidRDefault="00CB18E3">
      <w:pPr>
        <w:spacing w:after="180" w:line="360" w:lineRule="auto"/>
        <w:ind w:firstLine="720"/>
        <w:jc w:val="both"/>
      </w:pPr>
      <w:r>
        <w:rPr>
          <w:rFonts w:cs="Times New Roman"/>
        </w:rPr>
        <w:t xml:space="preserve">Finally, realizing the full potential of urban and vertical farming for urban food security and sustainability will require coordinated progress across multiple fronts: continued LED </w:t>
      </w:r>
      <w:r>
        <w:rPr>
          <w:rFonts w:cs="Times New Roman"/>
        </w:rPr>
        <w:lastRenderedPageBreak/>
        <w:t>technology development to reduce energy intensity; integration with renewable energy sources to decarbonize electricity supply; crop development programs for PFAL-adapted varieties; innovative business models that improve economic viability while broadening accessibility beyond premium consumer markets; and supportive urban planning and regulatory frameworks that facilitate building integration of food production at scale. The evidence base presented in this paper provides a foundation for the investment, policy, and research decisions needed to advance this agenda.</w:t>
      </w:r>
    </w:p>
    <w:p w:rsidR="00140327" w:rsidRDefault="00140327">
      <w:pPr>
        <w:pStyle w:val="Heading1"/>
      </w:pPr>
    </w:p>
    <w:p w:rsidR="00DC162D" w:rsidRDefault="00CB18E3">
      <w:pPr>
        <w:pStyle w:val="Heading1"/>
      </w:pPr>
      <w:bookmarkStart w:id="0" w:name="_GoBack"/>
      <w:bookmarkEnd w:id="0"/>
      <w:r>
        <w:t>References</w:t>
      </w:r>
    </w:p>
    <w:p w:rsidR="00DC162D" w:rsidRDefault="00CB18E3">
      <w:pPr>
        <w:spacing w:after="180" w:line="360" w:lineRule="auto"/>
        <w:jc w:val="both"/>
      </w:pPr>
      <w:r>
        <w:rPr>
          <w:rFonts w:cs="Times New Roman"/>
        </w:rPr>
        <w:t>All references cited in accordance with APA 7th edition conventions:</w:t>
      </w:r>
    </w:p>
    <w:p w:rsidR="00DC162D" w:rsidRDefault="00DC162D">
      <w:pPr>
        <w:spacing w:after="80"/>
      </w:pPr>
    </w:p>
    <w:p w:rsidR="00DC162D" w:rsidRDefault="00CB18E3">
      <w:pPr>
        <w:spacing w:after="130" w:line="320" w:lineRule="auto"/>
        <w:ind w:left="720" w:hanging="720"/>
        <w:jc w:val="both"/>
      </w:pPr>
      <w:proofErr w:type="spellStart"/>
      <w:r>
        <w:rPr>
          <w:rFonts w:cs="Times New Roman"/>
          <w:sz w:val="22"/>
          <w:szCs w:val="22"/>
        </w:rPr>
        <w:t>AgFunder</w:t>
      </w:r>
      <w:proofErr w:type="spellEnd"/>
      <w:r>
        <w:rPr>
          <w:rFonts w:cs="Times New Roman"/>
          <w:sz w:val="22"/>
          <w:szCs w:val="22"/>
        </w:rPr>
        <w:t xml:space="preserve">. (2023). </w:t>
      </w:r>
      <w:proofErr w:type="spellStart"/>
      <w:r>
        <w:rPr>
          <w:rFonts w:cs="Times New Roman"/>
          <w:sz w:val="22"/>
          <w:szCs w:val="22"/>
        </w:rPr>
        <w:t>AgFunder</w:t>
      </w:r>
      <w:proofErr w:type="spellEnd"/>
      <w:r>
        <w:rPr>
          <w:rFonts w:cs="Times New Roman"/>
          <w:sz w:val="22"/>
          <w:szCs w:val="22"/>
        </w:rPr>
        <w:t xml:space="preserve"> </w:t>
      </w:r>
      <w:proofErr w:type="spellStart"/>
      <w:r>
        <w:rPr>
          <w:rFonts w:cs="Times New Roman"/>
          <w:sz w:val="22"/>
          <w:szCs w:val="22"/>
        </w:rPr>
        <w:t>AgriFoodTech</w:t>
      </w:r>
      <w:proofErr w:type="spellEnd"/>
      <w:r>
        <w:rPr>
          <w:rFonts w:cs="Times New Roman"/>
          <w:sz w:val="22"/>
          <w:szCs w:val="22"/>
        </w:rPr>
        <w:t xml:space="preserve"> investment report 2022. </w:t>
      </w:r>
      <w:proofErr w:type="spellStart"/>
      <w:r>
        <w:rPr>
          <w:rFonts w:cs="Times New Roman"/>
          <w:sz w:val="22"/>
          <w:szCs w:val="22"/>
        </w:rPr>
        <w:t>AgFunder</w:t>
      </w:r>
      <w:proofErr w:type="spellEnd"/>
      <w:r>
        <w:rPr>
          <w:rFonts w:cs="Times New Roman"/>
          <w:sz w:val="22"/>
          <w:szCs w:val="22"/>
        </w:rPr>
        <w:t xml:space="preserve"> Network Partners.</w:t>
      </w:r>
    </w:p>
    <w:p w:rsidR="00DC162D" w:rsidRDefault="00CB18E3">
      <w:pPr>
        <w:spacing w:after="130" w:line="320" w:lineRule="auto"/>
        <w:ind w:left="720" w:hanging="720"/>
        <w:jc w:val="both"/>
      </w:pPr>
      <w:proofErr w:type="spellStart"/>
      <w:r>
        <w:rPr>
          <w:rFonts w:cs="Times New Roman"/>
          <w:sz w:val="22"/>
          <w:szCs w:val="22"/>
        </w:rPr>
        <w:t>Avgoustaki</w:t>
      </w:r>
      <w:proofErr w:type="spellEnd"/>
      <w:r>
        <w:rPr>
          <w:rFonts w:cs="Times New Roman"/>
          <w:sz w:val="22"/>
          <w:szCs w:val="22"/>
        </w:rPr>
        <w:t>, D. D., &amp; Xydis, G. (2020). Indoor plant factories in the framework of urban farming: A sophisticated model towards global food security. Sustainability, 12(5), 1965. https://doi.org/10.3390/su12051965</w:t>
      </w:r>
    </w:p>
    <w:p w:rsidR="00DC162D" w:rsidRDefault="00CB18E3">
      <w:pPr>
        <w:spacing w:after="130" w:line="320" w:lineRule="auto"/>
        <w:ind w:left="720" w:hanging="720"/>
        <w:jc w:val="both"/>
      </w:pPr>
      <w:r>
        <w:rPr>
          <w:rFonts w:cs="Times New Roman"/>
          <w:sz w:val="22"/>
          <w:szCs w:val="22"/>
        </w:rPr>
        <w:t xml:space="preserve">Banerjee, C., &amp; </w:t>
      </w:r>
      <w:proofErr w:type="spellStart"/>
      <w:r>
        <w:rPr>
          <w:rFonts w:cs="Times New Roman"/>
          <w:sz w:val="22"/>
          <w:szCs w:val="22"/>
        </w:rPr>
        <w:t>Adenaeuer</w:t>
      </w:r>
      <w:proofErr w:type="spellEnd"/>
      <w:r>
        <w:rPr>
          <w:rFonts w:cs="Times New Roman"/>
          <w:sz w:val="22"/>
          <w:szCs w:val="22"/>
        </w:rPr>
        <w:t>, L. (2014). Up, up and away! The economics of vertical farming. Journal of Agricultural Studies, 2(1), 40-60. https://doi.org/10.5296/jas.v2i1.4526</w:t>
      </w:r>
    </w:p>
    <w:p w:rsidR="00DC162D" w:rsidRDefault="00CB18E3">
      <w:pPr>
        <w:spacing w:after="130" w:line="320" w:lineRule="auto"/>
        <w:ind w:left="720" w:hanging="720"/>
        <w:jc w:val="both"/>
      </w:pPr>
      <w:r>
        <w:rPr>
          <w:rFonts w:cs="Times New Roman"/>
          <w:sz w:val="22"/>
          <w:szCs w:val="22"/>
        </w:rPr>
        <w:t xml:space="preserve">Barbosa, G. L., Gadelha, F. D. A., </w:t>
      </w:r>
      <w:proofErr w:type="spellStart"/>
      <w:r>
        <w:rPr>
          <w:rFonts w:cs="Times New Roman"/>
          <w:sz w:val="22"/>
          <w:szCs w:val="22"/>
        </w:rPr>
        <w:t>Kublik</w:t>
      </w:r>
      <w:proofErr w:type="spellEnd"/>
      <w:r>
        <w:rPr>
          <w:rFonts w:cs="Times New Roman"/>
          <w:sz w:val="22"/>
          <w:szCs w:val="22"/>
        </w:rPr>
        <w:t xml:space="preserve">, N., Proctor, A., </w:t>
      </w:r>
      <w:proofErr w:type="spellStart"/>
      <w:r>
        <w:rPr>
          <w:rFonts w:cs="Times New Roman"/>
          <w:sz w:val="22"/>
          <w:szCs w:val="22"/>
        </w:rPr>
        <w:t>Reichelm</w:t>
      </w:r>
      <w:proofErr w:type="spellEnd"/>
      <w:r>
        <w:rPr>
          <w:rFonts w:cs="Times New Roman"/>
          <w:sz w:val="22"/>
          <w:szCs w:val="22"/>
        </w:rPr>
        <w:t>, L., Weissinger, E., Wohlleb, G. M., &amp; Halden, R. U. (2015). Comparison of land, water, and energy requirements of lettuce grown using hydroponic vs. conventional agricultural methods. International Journal of Environmental Research and Public Health, 12(6), 6879-6891. https://doi.org/10.3390/ijerph120606879</w:t>
      </w:r>
    </w:p>
    <w:p w:rsidR="00DC162D" w:rsidRDefault="00CB18E3">
      <w:pPr>
        <w:spacing w:after="130" w:line="320" w:lineRule="auto"/>
        <w:ind w:left="720" w:hanging="720"/>
        <w:jc w:val="both"/>
      </w:pPr>
      <w:r>
        <w:rPr>
          <w:rFonts w:cs="Times New Roman"/>
          <w:sz w:val="22"/>
          <w:szCs w:val="22"/>
        </w:rPr>
        <w:t>Benke, K., &amp; Tomkins, B. (2017). Future food-production systems: Vertical farming and controlled-environment agriculture. Sustainability: Science, Practice and Policy, 13(1), 13-26. https://doi.org/10.1080/15487733.2017.1394054</w:t>
      </w:r>
    </w:p>
    <w:p w:rsidR="00DC162D" w:rsidRDefault="00CB18E3">
      <w:pPr>
        <w:spacing w:after="130" w:line="320" w:lineRule="auto"/>
        <w:ind w:left="720" w:hanging="720"/>
        <w:jc w:val="both"/>
      </w:pPr>
      <w:proofErr w:type="spellStart"/>
      <w:r>
        <w:rPr>
          <w:rFonts w:cs="Times New Roman"/>
          <w:sz w:val="22"/>
          <w:szCs w:val="22"/>
        </w:rPr>
        <w:t>Despommier</w:t>
      </w:r>
      <w:proofErr w:type="spellEnd"/>
      <w:r>
        <w:rPr>
          <w:rFonts w:cs="Times New Roman"/>
          <w:sz w:val="22"/>
          <w:szCs w:val="22"/>
        </w:rPr>
        <w:t>, D. (2010). The vertical farm: Feeding the world in the 21st century. Thomas Dunne Books.</w:t>
      </w:r>
    </w:p>
    <w:p w:rsidR="00DC162D" w:rsidRDefault="00CB18E3">
      <w:pPr>
        <w:spacing w:after="130" w:line="320" w:lineRule="auto"/>
        <w:ind w:left="720" w:hanging="720"/>
        <w:jc w:val="both"/>
      </w:pPr>
      <w:proofErr w:type="spellStart"/>
      <w:r>
        <w:rPr>
          <w:rFonts w:cs="Times New Roman"/>
          <w:sz w:val="22"/>
          <w:szCs w:val="22"/>
        </w:rPr>
        <w:t>Graamans</w:t>
      </w:r>
      <w:proofErr w:type="spellEnd"/>
      <w:r>
        <w:rPr>
          <w:rFonts w:cs="Times New Roman"/>
          <w:sz w:val="22"/>
          <w:szCs w:val="22"/>
        </w:rPr>
        <w:t xml:space="preserve">, L., Baeza, E., van den </w:t>
      </w:r>
      <w:proofErr w:type="spellStart"/>
      <w:r>
        <w:rPr>
          <w:rFonts w:cs="Times New Roman"/>
          <w:sz w:val="22"/>
          <w:szCs w:val="22"/>
        </w:rPr>
        <w:t>Dobbelsteen</w:t>
      </w:r>
      <w:proofErr w:type="spellEnd"/>
      <w:r>
        <w:rPr>
          <w:rFonts w:cs="Times New Roman"/>
          <w:sz w:val="22"/>
          <w:szCs w:val="22"/>
        </w:rPr>
        <w:t xml:space="preserve">, A., </w:t>
      </w:r>
      <w:proofErr w:type="spellStart"/>
      <w:r>
        <w:rPr>
          <w:rFonts w:cs="Times New Roman"/>
          <w:sz w:val="22"/>
          <w:szCs w:val="22"/>
        </w:rPr>
        <w:t>Tsafaras</w:t>
      </w:r>
      <w:proofErr w:type="spellEnd"/>
      <w:r>
        <w:rPr>
          <w:rFonts w:cs="Times New Roman"/>
          <w:sz w:val="22"/>
          <w:szCs w:val="22"/>
        </w:rPr>
        <w:t xml:space="preserve">, I., &amp; </w:t>
      </w:r>
      <w:proofErr w:type="spellStart"/>
      <w:r>
        <w:rPr>
          <w:rFonts w:cs="Times New Roman"/>
          <w:sz w:val="22"/>
          <w:szCs w:val="22"/>
        </w:rPr>
        <w:t>Stanghellini</w:t>
      </w:r>
      <w:proofErr w:type="spellEnd"/>
      <w:r>
        <w:rPr>
          <w:rFonts w:cs="Times New Roman"/>
          <w:sz w:val="22"/>
          <w:szCs w:val="22"/>
        </w:rPr>
        <w:t>, C. (2018). Plant factories versus greenhouses: Comparison of resource use efficiency. Agricultural Systems, 160, 31-43. https://doi.org/10.1016/j.agsy.2017.11.003</w:t>
      </w:r>
    </w:p>
    <w:p w:rsidR="00DC162D" w:rsidRDefault="00CB18E3">
      <w:pPr>
        <w:spacing w:after="130" w:line="320" w:lineRule="auto"/>
        <w:ind w:left="720" w:hanging="720"/>
        <w:jc w:val="both"/>
      </w:pPr>
      <w:r>
        <w:rPr>
          <w:rFonts w:cs="Times New Roman"/>
          <w:sz w:val="22"/>
          <w:szCs w:val="22"/>
        </w:rPr>
        <w:t>IEA. (2023). CO2 emissions from electricity and heat by country. International Energy Agency. https://www.iea.org/data-and-statistics</w:t>
      </w:r>
    </w:p>
    <w:p w:rsidR="00DC162D" w:rsidRDefault="00CB18E3">
      <w:pPr>
        <w:spacing w:after="130" w:line="320" w:lineRule="auto"/>
        <w:ind w:left="720" w:hanging="720"/>
        <w:jc w:val="both"/>
      </w:pPr>
      <w:r>
        <w:rPr>
          <w:rFonts w:cs="Times New Roman"/>
          <w:sz w:val="22"/>
          <w:szCs w:val="22"/>
        </w:rPr>
        <w:lastRenderedPageBreak/>
        <w:t>JGHA (Japan Plant Factory Association). (2022). Survey on plant factory business in Japan 2021. Japan Greenhouse Horticulture Association.</w:t>
      </w:r>
    </w:p>
    <w:p w:rsidR="00DC162D" w:rsidRDefault="00CB18E3">
      <w:pPr>
        <w:spacing w:after="130" w:line="320" w:lineRule="auto"/>
        <w:ind w:left="720" w:hanging="720"/>
        <w:jc w:val="both"/>
      </w:pPr>
      <w:r>
        <w:rPr>
          <w:rFonts w:cs="Times New Roman"/>
          <w:sz w:val="22"/>
          <w:szCs w:val="22"/>
        </w:rPr>
        <w:t>Kalantari, F., Tahir, O. M., Joni, R. A., &amp; Fatemi, E. (2017). Opportunities and challenges in sustainability of vertical farming: A review. Journal of Landscape Ecology, 11(1), 35-60. https://doi.org/10.1515/jlecol-2017-0016</w:t>
      </w:r>
    </w:p>
    <w:p w:rsidR="00DC162D" w:rsidRDefault="00CB18E3">
      <w:pPr>
        <w:spacing w:after="130" w:line="320" w:lineRule="auto"/>
        <w:ind w:left="720" w:hanging="720"/>
        <w:jc w:val="both"/>
      </w:pPr>
      <w:proofErr w:type="spellStart"/>
      <w:r>
        <w:rPr>
          <w:rFonts w:cs="Times New Roman"/>
          <w:sz w:val="22"/>
          <w:szCs w:val="22"/>
        </w:rPr>
        <w:t>Kozai</w:t>
      </w:r>
      <w:proofErr w:type="spellEnd"/>
      <w:r>
        <w:rPr>
          <w:rFonts w:cs="Times New Roman"/>
          <w:sz w:val="22"/>
          <w:szCs w:val="22"/>
        </w:rPr>
        <w:t xml:space="preserve">, T., Niu, G., &amp; </w:t>
      </w:r>
      <w:proofErr w:type="spellStart"/>
      <w:r>
        <w:rPr>
          <w:rFonts w:cs="Times New Roman"/>
          <w:sz w:val="22"/>
          <w:szCs w:val="22"/>
        </w:rPr>
        <w:t>Takagaki</w:t>
      </w:r>
      <w:proofErr w:type="spellEnd"/>
      <w:r>
        <w:rPr>
          <w:rFonts w:cs="Times New Roman"/>
          <w:sz w:val="22"/>
          <w:szCs w:val="22"/>
        </w:rPr>
        <w:t>, M. (Eds.). (2016). Plant factory: An indoor vertical farming system for efficient quality food production. Academic Press.</w:t>
      </w:r>
    </w:p>
    <w:p w:rsidR="00DC162D" w:rsidRDefault="00CB18E3">
      <w:pPr>
        <w:spacing w:after="130" w:line="320" w:lineRule="auto"/>
        <w:ind w:left="720" w:hanging="720"/>
        <w:jc w:val="both"/>
      </w:pPr>
      <w:r>
        <w:rPr>
          <w:rFonts w:cs="Times New Roman"/>
          <w:sz w:val="22"/>
          <w:szCs w:val="22"/>
        </w:rPr>
        <w:t xml:space="preserve">Pennisi, G., </w:t>
      </w:r>
      <w:proofErr w:type="spellStart"/>
      <w:r>
        <w:rPr>
          <w:rFonts w:cs="Times New Roman"/>
          <w:sz w:val="22"/>
          <w:szCs w:val="22"/>
        </w:rPr>
        <w:t>Pistillo</w:t>
      </w:r>
      <w:proofErr w:type="spellEnd"/>
      <w:r>
        <w:rPr>
          <w:rFonts w:cs="Times New Roman"/>
          <w:sz w:val="22"/>
          <w:szCs w:val="22"/>
        </w:rPr>
        <w:t xml:space="preserve">, A., Orsini, F., Cellini, A., Spinelli, F., Nicola, S., Fernandez, J. A., </w:t>
      </w:r>
      <w:proofErr w:type="spellStart"/>
      <w:r>
        <w:rPr>
          <w:rFonts w:cs="Times New Roman"/>
          <w:sz w:val="22"/>
          <w:szCs w:val="22"/>
        </w:rPr>
        <w:t>Crepaldi</w:t>
      </w:r>
      <w:proofErr w:type="spellEnd"/>
      <w:r>
        <w:rPr>
          <w:rFonts w:cs="Times New Roman"/>
          <w:sz w:val="22"/>
          <w:szCs w:val="22"/>
        </w:rPr>
        <w:t xml:space="preserve">, A., Gianquinto, G., &amp; Marcelis, L. F. M. (2020). Optimal light intensity for sustainable water and energy use in indoor cultivation of lettuce and basil under red and blue LEDs. Scientia </w:t>
      </w:r>
      <w:proofErr w:type="spellStart"/>
      <w:r>
        <w:rPr>
          <w:rFonts w:cs="Times New Roman"/>
          <w:sz w:val="22"/>
          <w:szCs w:val="22"/>
        </w:rPr>
        <w:t>Horticulturae</w:t>
      </w:r>
      <w:proofErr w:type="spellEnd"/>
      <w:r>
        <w:rPr>
          <w:rFonts w:cs="Times New Roman"/>
          <w:sz w:val="22"/>
          <w:szCs w:val="22"/>
        </w:rPr>
        <w:t>, 272, 109508. https://doi.org/10.1016/j.scienta.2020.109508</w:t>
      </w:r>
    </w:p>
    <w:p w:rsidR="00DC162D" w:rsidRDefault="00CB18E3">
      <w:pPr>
        <w:spacing w:after="130" w:line="320" w:lineRule="auto"/>
        <w:ind w:left="720" w:hanging="720"/>
        <w:jc w:val="both"/>
      </w:pPr>
      <w:proofErr w:type="spellStart"/>
      <w:r>
        <w:rPr>
          <w:rFonts w:cs="Times New Roman"/>
          <w:sz w:val="22"/>
          <w:szCs w:val="22"/>
        </w:rPr>
        <w:t>SharathKumar</w:t>
      </w:r>
      <w:proofErr w:type="spellEnd"/>
      <w:r>
        <w:rPr>
          <w:rFonts w:cs="Times New Roman"/>
          <w:sz w:val="22"/>
          <w:szCs w:val="22"/>
        </w:rPr>
        <w:t xml:space="preserve">, M., </w:t>
      </w:r>
      <w:proofErr w:type="spellStart"/>
      <w:r>
        <w:rPr>
          <w:rFonts w:cs="Times New Roman"/>
          <w:sz w:val="22"/>
          <w:szCs w:val="22"/>
        </w:rPr>
        <w:t>Heuvelink</w:t>
      </w:r>
      <w:proofErr w:type="spellEnd"/>
      <w:r>
        <w:rPr>
          <w:rFonts w:cs="Times New Roman"/>
          <w:sz w:val="22"/>
          <w:szCs w:val="22"/>
        </w:rPr>
        <w:t>, E., &amp; Marcelis, L. F. M. (2020). Vertical farming: Moving from genetic to environmental modification. Trends in Plant Science, 25(7), 724-727. https://doi.org/10.1016/j.tplants.2020.05.012</w:t>
      </w:r>
    </w:p>
    <w:p w:rsidR="00DC162D" w:rsidRDefault="00CB18E3">
      <w:pPr>
        <w:spacing w:after="130" w:line="320" w:lineRule="auto"/>
        <w:ind w:left="720" w:hanging="720"/>
        <w:jc w:val="both"/>
      </w:pPr>
      <w:r>
        <w:rPr>
          <w:rFonts w:cs="Times New Roman"/>
          <w:sz w:val="22"/>
          <w:szCs w:val="22"/>
        </w:rPr>
        <w:t>Siegrist, M., &amp; Hartmann, C. (2020). Consumer acceptance of novel food technologies. Nature Food, 1(6), 343-350. https://doi.org/10.1038/s43016-020-0094-x</w:t>
      </w:r>
    </w:p>
    <w:p w:rsidR="00DC162D" w:rsidRDefault="00CB18E3">
      <w:pPr>
        <w:spacing w:after="130" w:line="320" w:lineRule="auto"/>
        <w:ind w:left="720" w:hanging="720"/>
        <w:jc w:val="both"/>
      </w:pPr>
      <w:r>
        <w:rPr>
          <w:rFonts w:cs="Times New Roman"/>
          <w:sz w:val="22"/>
          <w:szCs w:val="22"/>
        </w:rPr>
        <w:t>UN DESA. (2019). World urbanization prospects: The 2018 revision. United Nations Department of Economic and Social Affairs.</w:t>
      </w:r>
    </w:p>
    <w:p w:rsidR="00DC162D" w:rsidRDefault="00CB18E3">
      <w:pPr>
        <w:spacing w:after="130" w:line="320" w:lineRule="auto"/>
        <w:ind w:left="720" w:hanging="720"/>
        <w:jc w:val="both"/>
      </w:pPr>
      <w:r>
        <w:rPr>
          <w:rFonts w:cs="Times New Roman"/>
          <w:sz w:val="22"/>
          <w:szCs w:val="22"/>
        </w:rPr>
        <w:t xml:space="preserve">van Delden, S. H., </w:t>
      </w:r>
      <w:proofErr w:type="spellStart"/>
      <w:r>
        <w:rPr>
          <w:rFonts w:cs="Times New Roman"/>
          <w:sz w:val="22"/>
          <w:szCs w:val="22"/>
        </w:rPr>
        <w:t>SharathKumar</w:t>
      </w:r>
      <w:proofErr w:type="spellEnd"/>
      <w:r>
        <w:rPr>
          <w:rFonts w:cs="Times New Roman"/>
          <w:sz w:val="22"/>
          <w:szCs w:val="22"/>
        </w:rPr>
        <w:t xml:space="preserve">, M., Butturini, M., </w:t>
      </w:r>
      <w:proofErr w:type="spellStart"/>
      <w:r>
        <w:rPr>
          <w:rFonts w:cs="Times New Roman"/>
          <w:sz w:val="22"/>
          <w:szCs w:val="22"/>
        </w:rPr>
        <w:t>Graamans</w:t>
      </w:r>
      <w:proofErr w:type="spellEnd"/>
      <w:r>
        <w:rPr>
          <w:rFonts w:cs="Times New Roman"/>
          <w:sz w:val="22"/>
          <w:szCs w:val="22"/>
        </w:rPr>
        <w:t xml:space="preserve">, L. J. A., </w:t>
      </w:r>
      <w:proofErr w:type="spellStart"/>
      <w:r>
        <w:rPr>
          <w:rFonts w:cs="Times New Roman"/>
          <w:sz w:val="22"/>
          <w:szCs w:val="22"/>
        </w:rPr>
        <w:t>Heuvelink</w:t>
      </w:r>
      <w:proofErr w:type="spellEnd"/>
      <w:r>
        <w:rPr>
          <w:rFonts w:cs="Times New Roman"/>
          <w:sz w:val="22"/>
          <w:szCs w:val="22"/>
        </w:rPr>
        <w:t xml:space="preserve">, E., </w:t>
      </w:r>
      <w:proofErr w:type="spellStart"/>
      <w:r>
        <w:rPr>
          <w:rFonts w:cs="Times New Roman"/>
          <w:sz w:val="22"/>
          <w:szCs w:val="22"/>
        </w:rPr>
        <w:t>Kacira</w:t>
      </w:r>
      <w:proofErr w:type="spellEnd"/>
      <w:r>
        <w:rPr>
          <w:rFonts w:cs="Times New Roman"/>
          <w:sz w:val="22"/>
          <w:szCs w:val="22"/>
        </w:rPr>
        <w:t xml:space="preserve">, M., Kaiser, E., Klamer, R. S., Klerkx, L., </w:t>
      </w:r>
      <w:proofErr w:type="spellStart"/>
      <w:r>
        <w:rPr>
          <w:rFonts w:cs="Times New Roman"/>
          <w:sz w:val="22"/>
          <w:szCs w:val="22"/>
        </w:rPr>
        <w:t>Kootstra</w:t>
      </w:r>
      <w:proofErr w:type="spellEnd"/>
      <w:r>
        <w:rPr>
          <w:rFonts w:cs="Times New Roman"/>
          <w:sz w:val="22"/>
          <w:szCs w:val="22"/>
        </w:rPr>
        <w:t xml:space="preserve">, G., Loeber, A., Schouten, R. E., </w:t>
      </w:r>
      <w:proofErr w:type="spellStart"/>
      <w:r>
        <w:rPr>
          <w:rFonts w:cs="Times New Roman"/>
          <w:sz w:val="22"/>
          <w:szCs w:val="22"/>
        </w:rPr>
        <w:t>Stanghellini</w:t>
      </w:r>
      <w:proofErr w:type="spellEnd"/>
      <w:r>
        <w:rPr>
          <w:rFonts w:cs="Times New Roman"/>
          <w:sz w:val="22"/>
          <w:szCs w:val="22"/>
        </w:rPr>
        <w:t>, C., &amp; Marcelis, L. F. M. (2021). Current status and future challenges in implementing and upscaling vertical farming systems. Nature Food, 2(12), 944-956. https://doi.org/10.1038/s43016-021-00402-w</w:t>
      </w:r>
    </w:p>
    <w:p w:rsidR="00DC162D" w:rsidRDefault="00CB18E3">
      <w:pPr>
        <w:spacing w:after="130" w:line="320" w:lineRule="auto"/>
        <w:ind w:left="720" w:hanging="720"/>
        <w:jc w:val="both"/>
      </w:pPr>
      <w:r>
        <w:rPr>
          <w:rFonts w:cs="Times New Roman"/>
          <w:sz w:val="22"/>
          <w:szCs w:val="22"/>
        </w:rPr>
        <w:t xml:space="preserve">Walters, K. J., &amp; Currey, C. J. (2018). Growth and development of basil species in response to temperature. </w:t>
      </w:r>
      <w:proofErr w:type="spellStart"/>
      <w:r>
        <w:rPr>
          <w:rFonts w:cs="Times New Roman"/>
          <w:sz w:val="22"/>
          <w:szCs w:val="22"/>
        </w:rPr>
        <w:t>HortScience</w:t>
      </w:r>
      <w:proofErr w:type="spellEnd"/>
      <w:r>
        <w:rPr>
          <w:rFonts w:cs="Times New Roman"/>
          <w:sz w:val="22"/>
          <w:szCs w:val="22"/>
        </w:rPr>
        <w:t>, 53(12), 1774-1779. https://doi.org/10.21273/HORTSCI13456-18</w:t>
      </w:r>
    </w:p>
    <w:p w:rsidR="00DC162D" w:rsidRDefault="00CB18E3">
      <w:pPr>
        <w:spacing w:after="130" w:line="320" w:lineRule="auto"/>
        <w:ind w:left="720" w:hanging="720"/>
        <w:jc w:val="both"/>
      </w:pPr>
      <w:r>
        <w:rPr>
          <w:rFonts w:cs="Times New Roman"/>
          <w:sz w:val="22"/>
          <w:szCs w:val="22"/>
        </w:rPr>
        <w:t xml:space="preserve">Yokoi, S., </w:t>
      </w:r>
      <w:proofErr w:type="spellStart"/>
      <w:r>
        <w:rPr>
          <w:rFonts w:cs="Times New Roman"/>
          <w:sz w:val="22"/>
          <w:szCs w:val="22"/>
        </w:rPr>
        <w:t>Kozai</w:t>
      </w:r>
      <w:proofErr w:type="spellEnd"/>
      <w:r>
        <w:rPr>
          <w:rFonts w:cs="Times New Roman"/>
          <w:sz w:val="22"/>
          <w:szCs w:val="22"/>
        </w:rPr>
        <w:t xml:space="preserve">, T., Hasegawa, T., Chun, C., &amp; Kubota, C. (2003). CO2 and water utilization efficiencies of a closed-type transplant production system. Acta </w:t>
      </w:r>
      <w:proofErr w:type="spellStart"/>
      <w:r>
        <w:rPr>
          <w:rFonts w:cs="Times New Roman"/>
          <w:sz w:val="22"/>
          <w:szCs w:val="22"/>
        </w:rPr>
        <w:t>Horticulturae</w:t>
      </w:r>
      <w:proofErr w:type="spellEnd"/>
      <w:r>
        <w:rPr>
          <w:rFonts w:cs="Times New Roman"/>
          <w:sz w:val="22"/>
          <w:szCs w:val="22"/>
        </w:rPr>
        <w:t>, 614, 151-157. https://doi.org/10.17660/ActaHortic.2003.614.20</w:t>
      </w:r>
    </w:p>
    <w:sectPr w:rsidR="00DC16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DF9" w:rsidRDefault="006B1DF9">
      <w:r>
        <w:separator/>
      </w:r>
    </w:p>
  </w:endnote>
  <w:endnote w:type="continuationSeparator" w:id="0">
    <w:p w:rsidR="006B1DF9" w:rsidRDefault="006B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37" w:rsidRDefault="001D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37" w:rsidRDefault="001D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37" w:rsidRDefault="001D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DF9" w:rsidRDefault="006B1DF9">
      <w:r>
        <w:separator/>
      </w:r>
    </w:p>
  </w:footnote>
  <w:footnote w:type="continuationSeparator" w:id="0">
    <w:p w:rsidR="006B1DF9" w:rsidRDefault="006B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37" w:rsidRDefault="001D7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0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37" w:rsidRDefault="001D7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0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37" w:rsidRDefault="001D7E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0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01688"/>
    <w:multiLevelType w:val="hybridMultilevel"/>
    <w:tmpl w:val="480A2DFE"/>
    <w:lvl w:ilvl="0" w:tplc="B9A0BB54">
      <w:start w:val="1"/>
      <w:numFmt w:val="bullet"/>
      <w:lvlText w:val="●"/>
      <w:lvlJc w:val="left"/>
      <w:pPr>
        <w:ind w:left="720" w:hanging="360"/>
      </w:pPr>
    </w:lvl>
    <w:lvl w:ilvl="1" w:tplc="18303952">
      <w:start w:val="1"/>
      <w:numFmt w:val="bullet"/>
      <w:lvlText w:val="○"/>
      <w:lvlJc w:val="left"/>
      <w:pPr>
        <w:ind w:left="1440" w:hanging="360"/>
      </w:pPr>
    </w:lvl>
    <w:lvl w:ilvl="2" w:tplc="4EEC35FE">
      <w:start w:val="1"/>
      <w:numFmt w:val="bullet"/>
      <w:lvlText w:val="■"/>
      <w:lvlJc w:val="left"/>
      <w:pPr>
        <w:ind w:left="2160" w:hanging="360"/>
      </w:pPr>
    </w:lvl>
    <w:lvl w:ilvl="3" w:tplc="9B30E988">
      <w:start w:val="1"/>
      <w:numFmt w:val="bullet"/>
      <w:lvlText w:val="●"/>
      <w:lvlJc w:val="left"/>
      <w:pPr>
        <w:ind w:left="2880" w:hanging="360"/>
      </w:pPr>
    </w:lvl>
    <w:lvl w:ilvl="4" w:tplc="AD04E2E4">
      <w:start w:val="1"/>
      <w:numFmt w:val="bullet"/>
      <w:lvlText w:val="○"/>
      <w:lvlJc w:val="left"/>
      <w:pPr>
        <w:ind w:left="3600" w:hanging="360"/>
      </w:pPr>
    </w:lvl>
    <w:lvl w:ilvl="5" w:tplc="D09CA786">
      <w:start w:val="1"/>
      <w:numFmt w:val="bullet"/>
      <w:lvlText w:val="■"/>
      <w:lvlJc w:val="left"/>
      <w:pPr>
        <w:ind w:left="4320" w:hanging="360"/>
      </w:pPr>
    </w:lvl>
    <w:lvl w:ilvl="6" w:tplc="5D6A11D8">
      <w:start w:val="1"/>
      <w:numFmt w:val="bullet"/>
      <w:lvlText w:val="●"/>
      <w:lvlJc w:val="left"/>
      <w:pPr>
        <w:ind w:left="5040" w:hanging="360"/>
      </w:pPr>
    </w:lvl>
    <w:lvl w:ilvl="7" w:tplc="EDAA54EC">
      <w:start w:val="1"/>
      <w:numFmt w:val="bullet"/>
      <w:lvlText w:val="●"/>
      <w:lvlJc w:val="left"/>
      <w:pPr>
        <w:ind w:left="5760" w:hanging="360"/>
      </w:pPr>
    </w:lvl>
    <w:lvl w:ilvl="8" w:tplc="69E055D8">
      <w:start w:val="1"/>
      <w:numFmt w:val="bullet"/>
      <w:lvlText w:val="●"/>
      <w:lvlJc w:val="left"/>
      <w:pPr>
        <w:ind w:left="6480" w:hanging="360"/>
      </w:pPr>
    </w:lvl>
  </w:abstractNum>
  <w:abstractNum w:abstractNumId="1" w15:restartNumberingAfterBreak="0">
    <w:nsid w:val="6D407A09"/>
    <w:multiLevelType w:val="hybridMultilevel"/>
    <w:tmpl w:val="1C9CF7CC"/>
    <w:lvl w:ilvl="0" w:tplc="D21E5F78">
      <w:start w:val="1"/>
      <w:numFmt w:val="bullet"/>
      <w:lvlText w:val="-"/>
      <w:lvlJc w:val="left"/>
      <w:pPr>
        <w:ind w:left="720" w:hanging="360"/>
      </w:pPr>
    </w:lvl>
    <w:lvl w:ilvl="1" w:tplc="15BE6A2C">
      <w:numFmt w:val="decimal"/>
      <w:lvlText w:val=""/>
      <w:lvlJc w:val="left"/>
    </w:lvl>
    <w:lvl w:ilvl="2" w:tplc="906031B8">
      <w:numFmt w:val="decimal"/>
      <w:lvlText w:val=""/>
      <w:lvlJc w:val="left"/>
    </w:lvl>
    <w:lvl w:ilvl="3" w:tplc="C6BA8BB0">
      <w:numFmt w:val="decimal"/>
      <w:lvlText w:val=""/>
      <w:lvlJc w:val="left"/>
    </w:lvl>
    <w:lvl w:ilvl="4" w:tplc="669CED9A">
      <w:numFmt w:val="decimal"/>
      <w:lvlText w:val=""/>
      <w:lvlJc w:val="left"/>
    </w:lvl>
    <w:lvl w:ilvl="5" w:tplc="C1962E16">
      <w:numFmt w:val="decimal"/>
      <w:lvlText w:val=""/>
      <w:lvlJc w:val="left"/>
    </w:lvl>
    <w:lvl w:ilvl="6" w:tplc="4EF2FC8C">
      <w:numFmt w:val="decimal"/>
      <w:lvlText w:val=""/>
      <w:lvlJc w:val="left"/>
    </w:lvl>
    <w:lvl w:ilvl="7" w:tplc="5288B3F6">
      <w:numFmt w:val="decimal"/>
      <w:lvlText w:val=""/>
      <w:lvlJc w:val="left"/>
    </w:lvl>
    <w:lvl w:ilvl="8" w:tplc="76BA4A94">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C162D"/>
    <w:rsid w:val="00096BAD"/>
    <w:rsid w:val="00140327"/>
    <w:rsid w:val="001D7E37"/>
    <w:rsid w:val="00652A3B"/>
    <w:rsid w:val="006B1DF9"/>
    <w:rsid w:val="00735F55"/>
    <w:rsid w:val="00834013"/>
    <w:rsid w:val="009F45E6"/>
    <w:rsid w:val="00AF7343"/>
    <w:rsid w:val="00C52560"/>
    <w:rsid w:val="00CB18E3"/>
    <w:rsid w:val="00CE13AC"/>
    <w:rsid w:val="00D8100D"/>
    <w:rsid w:val="00DA2F18"/>
    <w:rsid w:val="00DC162D"/>
    <w:rsid w:val="00EF515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F1B9D8"/>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400" w:after="180"/>
      <w:outlineLvl w:val="0"/>
    </w:pPr>
    <w:rPr>
      <w:b/>
      <w:bCs/>
      <w:color w:val="1A3C5E"/>
      <w:sz w:val="28"/>
      <w:szCs w:val="28"/>
    </w:rPr>
  </w:style>
  <w:style w:type="paragraph" w:styleId="Heading2">
    <w:name w:val="heading 2"/>
    <w:qFormat/>
    <w:pPr>
      <w:spacing w:before="300" w:after="130"/>
      <w:outlineLvl w:val="1"/>
    </w:pPr>
    <w:rPr>
      <w:b/>
      <w:bCs/>
      <w:color w:val="2E6DA4"/>
      <w:sz w:val="25"/>
      <w:szCs w:val="25"/>
    </w:rPr>
  </w:style>
  <w:style w:type="paragraph" w:styleId="Heading3">
    <w:name w:val="heading 3"/>
    <w:qFormat/>
    <w:pPr>
      <w:spacing w:before="220" w:after="100"/>
      <w:outlineLvl w:val="2"/>
    </w:pPr>
    <w:rPr>
      <w:b/>
      <w:bCs/>
      <w:i/>
      <w:iCs/>
      <w:color w:val="3A3A3A"/>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B18E3"/>
    <w:pPr>
      <w:tabs>
        <w:tab w:val="center" w:pos="4513"/>
        <w:tab w:val="right" w:pos="9026"/>
      </w:tabs>
    </w:pPr>
    <w:rPr>
      <w:szCs w:val="21"/>
    </w:rPr>
  </w:style>
  <w:style w:type="character" w:customStyle="1" w:styleId="HeaderChar">
    <w:name w:val="Header Char"/>
    <w:basedOn w:val="DefaultParagraphFont"/>
    <w:link w:val="Header"/>
    <w:uiPriority w:val="99"/>
    <w:rsid w:val="00CB18E3"/>
    <w:rPr>
      <w:rFonts w:cs="Mangal"/>
      <w:szCs w:val="21"/>
    </w:rPr>
  </w:style>
  <w:style w:type="paragraph" w:styleId="Footer">
    <w:name w:val="footer"/>
    <w:basedOn w:val="Normal"/>
    <w:link w:val="FooterChar"/>
    <w:uiPriority w:val="99"/>
    <w:unhideWhenUsed/>
    <w:rsid w:val="00CB18E3"/>
    <w:pPr>
      <w:tabs>
        <w:tab w:val="center" w:pos="4513"/>
        <w:tab w:val="right" w:pos="9026"/>
      </w:tabs>
    </w:pPr>
    <w:rPr>
      <w:szCs w:val="21"/>
    </w:rPr>
  </w:style>
  <w:style w:type="character" w:customStyle="1" w:styleId="FooterChar">
    <w:name w:val="Footer Char"/>
    <w:basedOn w:val="DefaultParagraphFont"/>
    <w:link w:val="Footer"/>
    <w:uiPriority w:val="99"/>
    <w:rsid w:val="00CB18E3"/>
    <w:rPr>
      <w:rFonts w:cs="Mangal"/>
      <w:szCs w:val="21"/>
    </w:rPr>
  </w:style>
  <w:style w:type="character" w:styleId="UnresolvedMention">
    <w:name w:val="Unresolved Mention"/>
    <w:basedOn w:val="DefaultParagraphFont"/>
    <w:uiPriority w:val="99"/>
    <w:semiHidden/>
    <w:unhideWhenUsed/>
    <w:rsid w:val="00CE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31599">
      <w:bodyDiv w:val="1"/>
      <w:marLeft w:val="0"/>
      <w:marRight w:val="0"/>
      <w:marTop w:val="0"/>
      <w:marBottom w:val="0"/>
      <w:divBdr>
        <w:top w:val="none" w:sz="0" w:space="0" w:color="auto"/>
        <w:left w:val="none" w:sz="0" w:space="0" w:color="auto"/>
        <w:bottom w:val="none" w:sz="0" w:space="0" w:color="auto"/>
        <w:right w:val="none" w:sz="0" w:space="0" w:color="auto"/>
      </w:divBdr>
    </w:div>
    <w:div w:id="1576010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8348</Words>
  <Characters>47590</Characters>
  <Application>Microsoft Office Word</Application>
  <DocSecurity>0</DocSecurity>
  <Lines>396</Lines>
  <Paragraphs>111</Paragraphs>
  <ScaleCrop>false</ScaleCrop>
  <Company/>
  <LinksUpToDate>false</LinksUpToDate>
  <CharactersWithSpaces>55827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20</cp:revision>
  <dcterms:created xsi:type="dcterms:W3CDTF">2026-03-12T14:57:00Z</dcterms:created>
  <dcterms:modified xsi:type="dcterms:W3CDTF">2026-03-16T10:55:00Z</dcterms:modified>
</cp:coreProperties>
</file>