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FE4" w:rsidRDefault="007E7FE4" w:rsidP="007E7FE4">
      <w:pPr>
        <w:spacing w:before="100" w:beforeAutospacing="1" w:after="100" w:afterAutospacing="1" w:line="240" w:lineRule="auto"/>
        <w:jc w:val="center"/>
        <w:outlineLvl w:val="1"/>
        <w:rPr>
          <w:rFonts w:ascii="Times New Roman" w:hAnsi="Times New Roman" w:cs="Times New Roman"/>
          <w:b/>
          <w:bCs/>
          <w:sz w:val="28"/>
          <w:szCs w:val="28"/>
        </w:rPr>
      </w:pPr>
      <w:r w:rsidRPr="007E7FE4">
        <w:rPr>
          <w:rFonts w:ascii="Times New Roman" w:hAnsi="Times New Roman" w:cs="Times New Roman"/>
          <w:b/>
          <w:bCs/>
          <w:sz w:val="28"/>
          <w:szCs w:val="28"/>
        </w:rPr>
        <w:t xml:space="preserve">Economic Analysis of Bivoltine Silkworm </w:t>
      </w:r>
      <w:r w:rsidRPr="007E7FE4">
        <w:rPr>
          <w:rFonts w:ascii="Times New Roman" w:hAnsi="Times New Roman" w:cs="Tunga"/>
          <w:b/>
          <w:bCs/>
          <w:sz w:val="28"/>
          <w:szCs w:val="28"/>
          <w:cs/>
          <w:lang w:bidi="kn-IN"/>
        </w:rPr>
        <w:t>(</w:t>
      </w:r>
      <w:r w:rsidRPr="007E7FE4">
        <w:rPr>
          <w:rFonts w:ascii="Times New Roman" w:hAnsi="Times New Roman" w:cs="Times New Roman"/>
          <w:b/>
          <w:bCs/>
          <w:sz w:val="28"/>
          <w:szCs w:val="28"/>
        </w:rPr>
        <w:t>Bombyx mori L</w:t>
      </w:r>
      <w:r w:rsidRPr="007E7FE4">
        <w:rPr>
          <w:rFonts w:ascii="Times New Roman" w:hAnsi="Times New Roman" w:cs="Tunga"/>
          <w:b/>
          <w:bCs/>
          <w:sz w:val="28"/>
          <w:szCs w:val="28"/>
          <w:cs/>
          <w:lang w:bidi="kn-IN"/>
        </w:rPr>
        <w:t xml:space="preserve">.) </w:t>
      </w:r>
      <w:r w:rsidRPr="007E7FE4">
        <w:rPr>
          <w:rFonts w:ascii="Times New Roman" w:hAnsi="Times New Roman" w:cs="Times New Roman"/>
          <w:b/>
          <w:bCs/>
          <w:sz w:val="28"/>
          <w:szCs w:val="28"/>
        </w:rPr>
        <w:t>Seed Crop Production in Tree Mulberry as Influenced by Graded Nutrient Management</w:t>
      </w:r>
    </w:p>
    <w:p w:rsidR="00DC1D7E" w:rsidRDefault="00DC1D7E" w:rsidP="0067298E">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kn-IN"/>
        </w:rPr>
      </w:pPr>
    </w:p>
    <w:p w:rsidR="00E354C0" w:rsidRPr="00241B99" w:rsidRDefault="00497BF1" w:rsidP="0067298E">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kn-IN"/>
        </w:rPr>
      </w:pPr>
      <w:bookmarkStart w:id="0" w:name="_GoBack"/>
      <w:bookmarkEnd w:id="0"/>
      <w:r w:rsidRPr="00241B99">
        <w:rPr>
          <w:rFonts w:ascii="Times New Roman" w:eastAsia="Times New Roman" w:hAnsi="Times New Roman" w:cs="Times New Roman"/>
          <w:b/>
          <w:bCs/>
          <w:sz w:val="24"/>
          <w:szCs w:val="24"/>
          <w:lang w:eastAsia="en-IN" w:bidi="kn-IN"/>
        </w:rPr>
        <w:t>Abstract</w:t>
      </w:r>
    </w:p>
    <w:p w:rsidR="008A0719" w:rsidRPr="00241B99" w:rsidRDefault="0067298E" w:rsidP="00E354C0">
      <w:pPr>
        <w:spacing w:before="100" w:beforeAutospacing="1" w:after="100" w:afterAutospacing="1" w:line="240" w:lineRule="auto"/>
        <w:ind w:firstLine="720"/>
        <w:jc w:val="both"/>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unga"/>
          <w:b/>
          <w:bCs/>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Mulberry </w:t>
      </w:r>
      <w:r w:rsidR="008A0719" w:rsidRPr="008A0719">
        <w:rPr>
          <w:rFonts w:ascii="Times New Roman" w:eastAsia="Times New Roman" w:hAnsi="Times New Roman" w:cs="Tunga"/>
          <w:sz w:val="24"/>
          <w:szCs w:val="24"/>
          <w:cs/>
          <w:lang w:eastAsia="en-IN" w:bidi="kn-IN"/>
        </w:rPr>
        <w:t>(</w:t>
      </w:r>
      <w:proofErr w:type="spellStart"/>
      <w:r w:rsidR="008A0719" w:rsidRPr="00241B99">
        <w:rPr>
          <w:rFonts w:ascii="Times New Roman" w:eastAsia="Times New Roman" w:hAnsi="Times New Roman" w:cs="Times New Roman"/>
          <w:i/>
          <w:iCs/>
          <w:sz w:val="24"/>
          <w:szCs w:val="24"/>
          <w:lang w:eastAsia="en-IN" w:bidi="kn-IN"/>
        </w:rPr>
        <w:t>Morus</w:t>
      </w:r>
      <w:proofErr w:type="spellEnd"/>
      <w:r w:rsidR="008A0719" w:rsidRPr="008A0719">
        <w:rPr>
          <w:rFonts w:ascii="Times New Roman" w:eastAsia="Times New Roman" w:hAnsi="Times New Roman" w:cs="Times New Roman"/>
          <w:sz w:val="24"/>
          <w:szCs w:val="24"/>
          <w:lang w:eastAsia="en-IN" w:bidi="kn-IN"/>
        </w:rPr>
        <w:t xml:space="preserve"> </w:t>
      </w:r>
      <w:proofErr w:type="spellStart"/>
      <w:r w:rsidR="008A0719" w:rsidRPr="008A0719">
        <w:rPr>
          <w:rFonts w:ascii="Times New Roman" w:eastAsia="Times New Roman" w:hAnsi="Times New Roman" w:cs="Times New Roman"/>
          <w:sz w:val="24"/>
          <w:szCs w:val="24"/>
          <w:lang w:eastAsia="en-IN" w:bidi="kn-IN"/>
        </w:rPr>
        <w:t>spp</w:t>
      </w:r>
      <w:proofErr w:type="spellEnd"/>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leaf quality plays a crucial role in determining the growth, cocoon productivity and reproductive performance of the silkworm </w:t>
      </w:r>
      <w:r w:rsidR="008A0719" w:rsidRPr="00241B99">
        <w:rPr>
          <w:rFonts w:ascii="Times New Roman" w:eastAsia="Times New Roman" w:hAnsi="Times New Roman" w:cs="Times New Roman"/>
          <w:i/>
          <w:iCs/>
          <w:sz w:val="24"/>
          <w:szCs w:val="24"/>
          <w:lang w:eastAsia="en-IN" w:bidi="kn-IN"/>
        </w:rPr>
        <w:t>Bombyx mori</w:t>
      </w:r>
      <w:r w:rsidR="008A0719" w:rsidRPr="008A0719">
        <w:rPr>
          <w:rFonts w:ascii="Times New Roman" w:eastAsia="Times New Roman" w:hAnsi="Times New Roman" w:cs="Times New Roman"/>
          <w:sz w:val="24"/>
          <w:szCs w:val="24"/>
          <w:lang w:eastAsia="en-IN" w:bidi="kn-IN"/>
        </w:rPr>
        <w:t xml:space="preserve"> L</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The present investigation was carried out to assess the economics of bivoltine silkworm seed crop production raised on tree mulberry fertilized with graded levels of nutrients</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The experiment comprised two levels of farmyard manure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FYM</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 four levels of recommended dose of fertilizers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RDF</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and foliar spray of micronutrient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POSHAN</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arranged in a factorial randomized block design with sixteen treatment combinations</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Economic analysis was performed by estimating cost of cultivation, gross returns, net returns and benefit</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cost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B</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C</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ratio</w:t>
      </w:r>
      <w:r w:rsidR="008A0719" w:rsidRPr="008A0719">
        <w:rPr>
          <w:rFonts w:ascii="Times New Roman" w:eastAsia="Times New Roman" w:hAnsi="Times New Roman" w:cs="Tunga"/>
          <w:sz w:val="24"/>
          <w:szCs w:val="24"/>
          <w:cs/>
          <w:lang w:eastAsia="en-IN" w:bidi="kn-IN"/>
        </w:rPr>
        <w:t>.</w:t>
      </w:r>
    </w:p>
    <w:p w:rsidR="008A0719" w:rsidRPr="00241B99" w:rsidRDefault="008A0719" w:rsidP="008A0719">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w:t>
      </w:r>
      <w:r w:rsidRPr="008A0719">
        <w:rPr>
          <w:rFonts w:ascii="Times New Roman" w:eastAsia="Times New Roman" w:hAnsi="Times New Roman" w:cs="Times New Roman"/>
          <w:sz w:val="24"/>
          <w:szCs w:val="24"/>
          <w:lang w:eastAsia="en-IN" w:bidi="kn-IN"/>
        </w:rPr>
        <w:t xml:space="preserve">mong the treatments, the highest cost of production was recorded in T16 </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₹1,63,368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xml:space="preserve">, whereas the lowest cost was observed in T1 </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₹1,04,850 ha</w:t>
      </w:r>
      <w:r w:rsidR="00AC2B56">
        <w:rPr>
          <w:rFonts w:ascii="Times New Roman" w:eastAsia="Times New Roman" w:hAnsi="Times New Roman" w:cs="Tunga"/>
          <w:sz w:val="24"/>
          <w:szCs w:val="24"/>
          <w:vertAlign w:val="superscript"/>
          <w:cs/>
          <w:lang w:eastAsia="en-IN" w:bidi="kn-IN"/>
        </w:rPr>
        <w:t>-</w:t>
      </w:r>
      <w:r w:rsidRPr="008A0719">
        <w:rPr>
          <w:rFonts w:ascii="Times New Roman" w:eastAsia="Times New Roman" w:hAnsi="Times New Roman" w:cs="Times New Roman"/>
          <w:sz w:val="24"/>
          <w:szCs w:val="24"/>
          <w:lang w:eastAsia="en-IN" w:bidi="kn-IN"/>
        </w:rPr>
        <w:t>¹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In FC₁ breed, maximum gross returns of ₹4,19,237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and net returns of ₹3,12,119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were recorded in T8 </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20 t FYM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yr</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unga"/>
          <w:sz w:val="24"/>
          <w:szCs w:val="24"/>
          <w:cs/>
          <w:lang w:eastAsia="en-IN" w:bidi="kn-IN"/>
        </w:rPr>
        <w:t xml:space="preserve"> + </w:t>
      </w:r>
      <w:r w:rsidRPr="008A0719">
        <w:rPr>
          <w:rFonts w:ascii="Times New Roman" w:eastAsia="Times New Roman" w:hAnsi="Times New Roman" w:cs="Times New Roman"/>
          <w:sz w:val="24"/>
          <w:szCs w:val="24"/>
          <w:lang w:eastAsia="en-IN" w:bidi="kn-IN"/>
        </w:rPr>
        <w:t>125</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 xml:space="preserve">RDF </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foliar spray of POSHAN</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with the highest B</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C ratio of 3</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43</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Similarly, in FC₂ breed, T8 recorded the highest gross returns of ₹4,38,660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net returns of ₹3,31,542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and B</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C ratio of 3</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59</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Although T16 registered comparatively higher gross returns, its B</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C ratio was low</w:t>
      </w:r>
      <w:r w:rsidRPr="00241B99">
        <w:rPr>
          <w:rFonts w:ascii="Times New Roman" w:eastAsia="Times New Roman" w:hAnsi="Times New Roman" w:cs="Times New Roman"/>
          <w:sz w:val="24"/>
          <w:szCs w:val="24"/>
          <w:lang w:eastAsia="en-IN" w:bidi="kn-IN"/>
        </w:rPr>
        <w:t>er due to increased input costs</w:t>
      </w:r>
      <w:r w:rsidRPr="00241B9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 xml:space="preserve">Therefore, application of </w:t>
      </w:r>
      <w:r w:rsidRPr="00241B99">
        <w:rPr>
          <w:rFonts w:ascii="Times New Roman" w:eastAsia="Times New Roman" w:hAnsi="Times New Roman" w:cs="Times New Roman"/>
          <w:sz w:val="24"/>
          <w:szCs w:val="24"/>
          <w:lang w:eastAsia="en-IN" w:bidi="kn-IN"/>
        </w:rPr>
        <w:t>20 t FYM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241B99">
        <w:rPr>
          <w:rFonts w:ascii="Times New Roman" w:eastAsia="Times New Roman" w:hAnsi="Times New Roman" w:cs="Times New Roman"/>
          <w:sz w:val="24"/>
          <w:szCs w:val="24"/>
          <w:lang w:eastAsia="en-IN" w:bidi="kn-IN"/>
        </w:rPr>
        <w:t xml:space="preserve"> yr</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241B99">
        <w:rPr>
          <w:rFonts w:ascii="Times New Roman" w:eastAsia="Times New Roman" w:hAnsi="Times New Roman" w:cs="Times New Roman"/>
          <w:sz w:val="24"/>
          <w:szCs w:val="24"/>
          <w:lang w:eastAsia="en-IN" w:bidi="kn-IN"/>
        </w:rPr>
        <w:t xml:space="preserve"> combined with 125</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 xml:space="preserve">RDF and foliar spray of POSHAN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T8</w:t>
      </w:r>
      <w:r w:rsidRPr="00241B9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xml:space="preserve"> was found to be the most economically viable nutrient management practice for bivoltine seed crop production under tree mulberry cultivation</w:t>
      </w:r>
      <w:r w:rsidRPr="008A0719">
        <w:rPr>
          <w:rFonts w:ascii="Times New Roman" w:eastAsia="Times New Roman" w:hAnsi="Times New Roman" w:cs="Tunga"/>
          <w:sz w:val="24"/>
          <w:szCs w:val="24"/>
          <w:cs/>
          <w:lang w:eastAsia="en-IN" w:bidi="kn-IN"/>
        </w:rPr>
        <w:t>.</w:t>
      </w:r>
    </w:p>
    <w:p w:rsidR="00497BF1" w:rsidRPr="00241B99" w:rsidRDefault="00497BF1" w:rsidP="008A0719">
      <w:pPr>
        <w:spacing w:before="100" w:beforeAutospacing="1" w:after="100" w:afterAutospacing="1" w:line="240" w:lineRule="auto"/>
        <w:ind w:firstLine="720"/>
        <w:jc w:val="both"/>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Introduction</w:t>
      </w:r>
    </w:p>
    <w:p w:rsidR="00532768" w:rsidRDefault="00532768" w:rsidP="00C11292">
      <w:pPr>
        <w:pStyle w:val="NormalWeb"/>
        <w:spacing w:line="360" w:lineRule="auto"/>
        <w:ind w:firstLine="720"/>
        <w:jc w:val="both"/>
      </w:pPr>
      <w:r>
        <w:t xml:space="preserve">Sericulture is an important agro-based rural industry that involves the cultivation of mulberry and the rearing of silkworms for the production of silk. It plays a significant role in generating employment and providing regular income to rural households due to its labour-intensive nature and frequent harvest cycles (Lakshmanan, 2006). The enterprise integrates agricultural and industrial activities, including mulberry cultivation, silkworm rearing, silk reeling, and weaving, thereby contributing substantially to rural livelihoods and socio-economic development (Lakshmanan and </w:t>
      </w:r>
      <w:proofErr w:type="spellStart"/>
      <w:r>
        <w:t>Gethadevi</w:t>
      </w:r>
      <w:proofErr w:type="spellEnd"/>
      <w:r>
        <w:t>, 2007).</w:t>
      </w:r>
    </w:p>
    <w:p w:rsidR="00532768" w:rsidRDefault="00532768" w:rsidP="00C11292">
      <w:pPr>
        <w:pStyle w:val="NormalWeb"/>
        <w:spacing w:line="360" w:lineRule="auto"/>
        <w:ind w:firstLine="720"/>
        <w:jc w:val="both"/>
      </w:pPr>
      <w:r>
        <w:lastRenderedPageBreak/>
        <w:t>India is the second largest producer of silk in the world after China, contributing significantly to global silk production. Mulberry silk accounts for the major share of silk production in India, and the country has a large area under mulberry cultivation distributed across several states including Karnataka, Andhra Pradesh, Tamil Nadu, and West Bengal (Central Silk Board, 2019). Karnataka is one of the leading silk-producing states and contributes a major share to the national raw silk output due to favourable climatic conditions and widespread adoption of sericulture practices.</w:t>
      </w:r>
    </w:p>
    <w:p w:rsidR="00532768" w:rsidRDefault="00532768" w:rsidP="00C11292">
      <w:pPr>
        <w:pStyle w:val="NormalWeb"/>
        <w:spacing w:line="360" w:lineRule="auto"/>
        <w:ind w:firstLine="720"/>
        <w:jc w:val="both"/>
      </w:pPr>
      <w:r>
        <w:t>Mulberry cultivation is the backbone of sericulture, as the quality and quantity of mulberry leaves directly influence silkworm growth, cocoon yield, and silk productivity. Efficient nutrient management practices are therefore essential to maintain soil fertility, improve mulberry leaf yield, and enhance cocoon production (</w:t>
      </w:r>
      <w:proofErr w:type="spellStart"/>
      <w:r>
        <w:t>Hiriyanna</w:t>
      </w:r>
      <w:proofErr w:type="spellEnd"/>
      <w:r>
        <w:t xml:space="preserve"> et al., 2007). However, the cost of cultivation, labour requirements, and fluctuating cocoon prices influence the profitability of sericulture enterprises and affect farmers’ decisions regarding mulberry cultivation.</w:t>
      </w:r>
    </w:p>
    <w:p w:rsidR="00532768" w:rsidRDefault="00532768" w:rsidP="00C11292">
      <w:pPr>
        <w:pStyle w:val="NormalWeb"/>
        <w:spacing w:line="360" w:lineRule="auto"/>
        <w:ind w:firstLine="720"/>
        <w:jc w:val="both"/>
      </w:pPr>
      <w:r>
        <w:t>Several studies have highlighted the economic aspects of sericulture and the challenges faced by farmers. For instance, the profitability of mulberry cultivation and cocoon production varies across regions due to differences in labour availability, input costs, and management practices (</w:t>
      </w:r>
      <w:proofErr w:type="spellStart"/>
      <w:r>
        <w:t>Purushotham</w:t>
      </w:r>
      <w:proofErr w:type="spellEnd"/>
      <w:r>
        <w:t xml:space="preserve"> and Rama Mohan Rao, 2009). In some regions, farmers are gradually shifting from mulberry cultivation to other commercial or horticultural crops because of higher labour requirements and high initial investment associated with sericulture (Reddy et al., 2010). Nevertheless, sericulture remains an important livelihood activity, particularly for small and marginal farmers, as it provides regular income and employment throughout the year.</w:t>
      </w:r>
    </w:p>
    <w:p w:rsidR="00532768" w:rsidRDefault="00532768" w:rsidP="00C11292">
      <w:pPr>
        <w:pStyle w:val="NormalWeb"/>
        <w:spacing w:line="360" w:lineRule="auto"/>
        <w:ind w:firstLine="720"/>
        <w:jc w:val="both"/>
      </w:pPr>
      <w:r>
        <w:t>Improved mulberry cultivation practices, including balanced nutrient management, have the potential to enhance leaf production and improve silkworm performance. Nutrient management not only increases leaf yield but also improves the nutritional quality of mulberry leaves, which ultimately affects cocoon productivity and economic returns from silkworm rearing. Therefore, analysing the economic feasibility of silkworm seed crop production under different nutrient management practices is essential for improving productivity and profitability in sericulture.</w:t>
      </w:r>
    </w:p>
    <w:p w:rsidR="00532768" w:rsidRDefault="00532768" w:rsidP="00C11292">
      <w:pPr>
        <w:pStyle w:val="NormalWeb"/>
        <w:spacing w:line="360" w:lineRule="auto"/>
        <w:ind w:firstLine="720"/>
        <w:jc w:val="both"/>
      </w:pPr>
      <w:r>
        <w:lastRenderedPageBreak/>
        <w:t>Considering the importance of mulberry nutrition and the need to enhance economic returns from sericulture, the present study was undertaken to analyse the economics of bivoltine silkworm seed crop production in tree mulberry as influenced by graded nutrient management.</w:t>
      </w:r>
    </w:p>
    <w:p w:rsidR="00532768" w:rsidRDefault="00532768" w:rsidP="00C11292">
      <w:pPr>
        <w:spacing w:line="360" w:lineRule="auto"/>
        <w:jc w:val="both"/>
      </w:pPr>
    </w:p>
    <w:p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Materials and Methods</w:t>
      </w:r>
    </w:p>
    <w:p w:rsidR="0067298E" w:rsidRPr="00241B99" w:rsidRDefault="00497BF1" w:rsidP="0067298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The experiment was conducted at Krishi Vigyan Kendra, </w:t>
      </w:r>
      <w:proofErr w:type="spellStart"/>
      <w:r w:rsidRPr="00241B99">
        <w:rPr>
          <w:rFonts w:ascii="Times New Roman" w:eastAsia="Times New Roman" w:hAnsi="Times New Roman" w:cs="Times New Roman"/>
          <w:sz w:val="24"/>
          <w:szCs w:val="24"/>
          <w:lang w:eastAsia="en-IN" w:bidi="kn-IN"/>
        </w:rPr>
        <w:t>Haradanahalli</w:t>
      </w:r>
      <w:proofErr w:type="spellEnd"/>
      <w:r w:rsidRPr="00241B99">
        <w:rPr>
          <w:rFonts w:ascii="Times New Roman" w:eastAsia="Times New Roman" w:hAnsi="Times New Roman" w:cs="Times New Roman"/>
          <w:sz w:val="24"/>
          <w:szCs w:val="24"/>
          <w:lang w:eastAsia="en-IN" w:bidi="kn-IN"/>
        </w:rPr>
        <w:t xml:space="preserve"> Farm, Chamarajanagar district, Karnataka, in an established irrigated tree mulberry garden of variety V</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 planted at a spacing of 6 × 6 feet</w:t>
      </w:r>
      <w:r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experiment was laid out in a factorial randomized block design with three replications</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treatments consisted of two levels of farmyard manure, four levels of recommended dose of fertilizers</w:t>
      </w:r>
      <w:r w:rsidR="00B90300" w:rsidRPr="00241B99">
        <w:rPr>
          <w:rFonts w:ascii="Times New Roman" w:eastAsia="Times New Roman" w:hAnsi="Times New Roman" w:cs="Tunga"/>
          <w:sz w:val="24"/>
          <w:szCs w:val="24"/>
          <w:cs/>
          <w:lang w:eastAsia="en-IN" w:bidi="kn-IN"/>
        </w:rPr>
        <w:t xml:space="preserve"> </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300</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160</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160</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NPK</w:t>
      </w:r>
      <w:r w:rsidR="000F4BD0"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 and micronutrient foliar spray</w:t>
      </w:r>
      <w:r w:rsidR="00AC2B56">
        <w:rPr>
          <w:rFonts w:ascii="Times New Roman" w:eastAsia="Times New Roman" w:hAnsi="Times New Roman" w:cs="Tunga"/>
          <w:sz w:val="24"/>
          <w:szCs w:val="24"/>
          <w:cs/>
          <w:lang w:eastAsia="en-IN" w:bidi="kn-IN"/>
        </w:rPr>
        <w:t xml:space="preserve"> </w:t>
      </w:r>
      <w:r w:rsidR="000F4BD0" w:rsidRPr="00241B99">
        <w:rPr>
          <w:rFonts w:ascii="Times New Roman" w:eastAsia="Times New Roman" w:hAnsi="Times New Roman" w:cs="Tunga"/>
          <w:sz w:val="24"/>
          <w:szCs w:val="24"/>
          <w:cs/>
          <w:lang w:eastAsia="en-IN" w:bidi="kn-IN"/>
        </w:rPr>
        <w:t>(</w:t>
      </w:r>
      <w:proofErr w:type="spellStart"/>
      <w:r w:rsidR="000F4BD0" w:rsidRPr="00241B99">
        <w:rPr>
          <w:rFonts w:ascii="Times New Roman" w:eastAsia="Times New Roman" w:hAnsi="Times New Roman" w:cs="Times New Roman"/>
          <w:sz w:val="24"/>
          <w:szCs w:val="24"/>
          <w:lang w:eastAsia="en-IN" w:bidi="kn-IN"/>
        </w:rPr>
        <w:t>Poshan</w:t>
      </w:r>
      <w:proofErr w:type="spellEnd"/>
      <w:r w:rsidR="000F4BD0" w:rsidRPr="00241B99">
        <w:rPr>
          <w:rFonts w:ascii="Times New Roman" w:eastAsia="Times New Roman" w:hAnsi="Times New Roman" w:cs="Times New Roman"/>
          <w:sz w:val="24"/>
          <w:szCs w:val="24"/>
          <w:lang w:eastAsia="en-IN" w:bidi="kn-IN"/>
        </w:rPr>
        <w:t xml:space="preserve"> </w:t>
      </w:r>
      <w:proofErr w:type="spellStart"/>
      <w:r w:rsidR="000F4BD0" w:rsidRPr="00241B99">
        <w:rPr>
          <w:rFonts w:ascii="Times New Roman" w:eastAsia="Times New Roman" w:hAnsi="Times New Roman" w:cs="Times New Roman"/>
          <w:sz w:val="24"/>
          <w:szCs w:val="24"/>
          <w:lang w:eastAsia="en-IN" w:bidi="kn-IN"/>
        </w:rPr>
        <w:t>Seriboost</w:t>
      </w:r>
      <w:proofErr w:type="spellEnd"/>
      <w:r w:rsidR="000F4BD0" w:rsidRPr="00241B99">
        <w:rPr>
          <w:rFonts w:ascii="Times New Roman" w:eastAsia="Times New Roman" w:hAnsi="Times New Roman" w:cs="Times New Roman"/>
          <w:sz w:val="24"/>
          <w:szCs w:val="24"/>
          <w:lang w:eastAsia="en-IN" w:bidi="kn-IN"/>
        </w:rPr>
        <w:t xml:space="preserve"> Plus</w:t>
      </w:r>
      <w:r w:rsidR="000F4BD0"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 resulting in sixteen treatment combinations</w:t>
      </w:r>
      <w:r w:rsidRPr="00241B99">
        <w:rPr>
          <w:rFonts w:ascii="Times New Roman" w:eastAsia="Times New Roman" w:hAnsi="Times New Roman" w:cs="Tunga"/>
          <w:sz w:val="24"/>
          <w:szCs w:val="24"/>
          <w:cs/>
          <w:lang w:eastAsia="en-IN" w:bidi="kn-IN"/>
        </w:rPr>
        <w:t>.</w:t>
      </w:r>
      <w:r w:rsidR="00B90300" w:rsidRPr="00241B99">
        <w:rPr>
          <w:rFonts w:ascii="Times New Roman" w:eastAsia="Times New Roman" w:hAnsi="Times New Roman" w:cs="Times New Roman"/>
          <w:sz w:val="24"/>
          <w:szCs w:val="24"/>
          <w:lang w:eastAsia="en-IN" w:bidi="kn-IN"/>
        </w:rPr>
        <w:t xml:space="preserve"> The bivoltine hybrids used we</w:t>
      </w:r>
      <w:r w:rsidR="007E5675" w:rsidRPr="00241B99">
        <w:rPr>
          <w:rFonts w:ascii="Times New Roman" w:eastAsia="Times New Roman" w:hAnsi="Times New Roman" w:cs="Times New Roman"/>
          <w:sz w:val="24"/>
          <w:szCs w:val="24"/>
          <w:lang w:eastAsia="en-IN" w:bidi="kn-IN"/>
        </w:rPr>
        <w:t>re FC 1</w:t>
      </w:r>
      <w:r w:rsidR="007E5675" w:rsidRPr="00241B99">
        <w:rPr>
          <w:rFonts w:ascii="Times New Roman" w:eastAsia="Times New Roman" w:hAnsi="Times New Roman" w:cs="Tunga"/>
          <w:sz w:val="24"/>
          <w:szCs w:val="24"/>
          <w:cs/>
          <w:lang w:eastAsia="en-IN" w:bidi="kn-IN"/>
        </w:rPr>
        <w:t xml:space="preserve"> (</w:t>
      </w:r>
      <w:r w:rsidR="007E5675" w:rsidRPr="00241B99">
        <w:rPr>
          <w:rFonts w:ascii="Times New Roman" w:eastAsia="Times New Roman" w:hAnsi="Times New Roman" w:cs="Times New Roman"/>
          <w:sz w:val="24"/>
          <w:szCs w:val="24"/>
          <w:lang w:eastAsia="en-IN" w:bidi="kn-IN"/>
        </w:rPr>
        <w:t>CSR6×CSR26</w:t>
      </w:r>
      <w:r w:rsidR="007E5675" w:rsidRPr="00241B99">
        <w:rPr>
          <w:rFonts w:ascii="Times New Roman" w:eastAsia="Times New Roman" w:hAnsi="Times New Roman" w:cs="Tunga"/>
          <w:sz w:val="24"/>
          <w:szCs w:val="24"/>
          <w:cs/>
          <w:lang w:eastAsia="en-IN" w:bidi="kn-IN"/>
        </w:rPr>
        <w:t xml:space="preserve">) </w:t>
      </w:r>
      <w:r w:rsidR="007E5675" w:rsidRPr="00241B99">
        <w:rPr>
          <w:rFonts w:ascii="Times New Roman" w:eastAsia="Times New Roman" w:hAnsi="Times New Roman" w:cs="Times New Roman"/>
          <w:sz w:val="24"/>
          <w:szCs w:val="24"/>
          <w:lang w:eastAsia="en-IN" w:bidi="kn-IN"/>
        </w:rPr>
        <w:t xml:space="preserve">and FC 2 </w:t>
      </w:r>
      <w:r w:rsidR="007E5675" w:rsidRPr="00241B99">
        <w:rPr>
          <w:rFonts w:ascii="Times New Roman" w:eastAsia="Times New Roman" w:hAnsi="Times New Roman" w:cs="Tunga"/>
          <w:sz w:val="24"/>
          <w:szCs w:val="24"/>
          <w:cs/>
          <w:lang w:eastAsia="en-IN" w:bidi="kn-IN"/>
        </w:rPr>
        <w:t>(</w:t>
      </w:r>
      <w:r w:rsidR="007E5675" w:rsidRPr="00241B99">
        <w:rPr>
          <w:rFonts w:ascii="Times New Roman" w:eastAsia="Times New Roman" w:hAnsi="Times New Roman" w:cs="Times New Roman"/>
          <w:sz w:val="24"/>
          <w:szCs w:val="24"/>
          <w:lang w:eastAsia="en-IN" w:bidi="kn-IN"/>
        </w:rPr>
        <w:t>CSR2×CSR27</w:t>
      </w:r>
      <w:r w:rsidR="007E5675" w:rsidRPr="00241B99">
        <w:rPr>
          <w:rFonts w:ascii="Times New Roman" w:eastAsia="Times New Roman" w:hAnsi="Times New Roman" w:cs="Tunga"/>
          <w:sz w:val="24"/>
          <w:szCs w:val="24"/>
          <w:cs/>
          <w:lang w:eastAsia="en-IN" w:bidi="kn-IN"/>
        </w:rPr>
        <w:t>)</w:t>
      </w:r>
      <w:r w:rsidR="00B9030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Economic analysis was carried out by calculating cost of mulberry cultivation, cocoon production cost,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241B99">
        <w:rPr>
          <w:rFonts w:ascii="Times New Roman" w:eastAsia="Times New Roman" w:hAnsi="Times New Roman" w:cs="Tunga"/>
          <w:sz w:val="24"/>
          <w:szCs w:val="24"/>
          <w:cs/>
          <w:lang w:eastAsia="en-IN" w:bidi="kn-IN"/>
        </w:rPr>
        <w:t>.</w:t>
      </w:r>
    </w:p>
    <w:p w:rsidR="00497BF1" w:rsidRPr="00241B99" w:rsidRDefault="00497BF1" w:rsidP="0067298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kern w:val="36"/>
          <w:sz w:val="24"/>
          <w:szCs w:val="24"/>
          <w:lang w:eastAsia="en-IN" w:bidi="kn-IN"/>
        </w:rPr>
        <w:t>Cost Structure Used for Economic Analysis</w:t>
      </w:r>
    </w:p>
    <w:p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1</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different inputs used in irrigated tree mulberry garden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9"/>
        <w:gridCol w:w="4253"/>
        <w:gridCol w:w="1427"/>
        <w:gridCol w:w="880"/>
        <w:gridCol w:w="1406"/>
      </w:tblGrid>
      <w:tr w:rsidR="00497BF1" w:rsidRPr="00241B99" w:rsidTr="000F4BD0">
        <w:trPr>
          <w:tblHeader/>
          <w:tblCellSpacing w:w="15" w:type="dxa"/>
        </w:trPr>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proofErr w:type="spellStart"/>
            <w:r w:rsidRPr="00241B99">
              <w:rPr>
                <w:rFonts w:ascii="Times New Roman" w:eastAsia="Times New Roman" w:hAnsi="Times New Roman" w:cs="Times New Roman"/>
                <w:b/>
                <w:bCs/>
                <w:sz w:val="24"/>
                <w:szCs w:val="24"/>
                <w:lang w:eastAsia="en-IN" w:bidi="kn-IN"/>
              </w:rPr>
              <w:t>Sl</w:t>
            </w:r>
            <w:proofErr w:type="spellEnd"/>
            <w:r w:rsidRPr="00241B99">
              <w:rPr>
                <w:rFonts w:ascii="Times New Roman" w:eastAsia="Times New Roman" w:hAnsi="Times New Roman" w:cs="Times New Roman"/>
                <w:b/>
                <w:bCs/>
                <w:sz w:val="24"/>
                <w:szCs w:val="24"/>
                <w:lang w:eastAsia="en-IN" w:bidi="kn-IN"/>
              </w:rPr>
              <w:t xml:space="preserve"> No</w:t>
            </w:r>
          </w:p>
        </w:tc>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Requirement</w:t>
            </w:r>
          </w:p>
        </w:tc>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Amount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rsidTr="000F4BD0">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Ploughing of land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tractor drawn cultivator</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hrs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1000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hr</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3500</w:t>
            </w:r>
          </w:p>
        </w:tc>
      </w:tr>
      <w:tr w:rsidR="00497BF1" w:rsidRPr="00241B99" w:rsidTr="000F4BD0">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Cleaning of field and ridges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 man days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2500</w:t>
            </w:r>
          </w:p>
        </w:tc>
      </w:tr>
      <w:tr w:rsidR="00497BF1" w:rsidRPr="00241B99" w:rsidTr="000F4BD0">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FYM</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 man days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2250</w:t>
            </w:r>
          </w:p>
        </w:tc>
      </w:tr>
      <w:tr w:rsidR="00497BF1" w:rsidRPr="00241B99" w:rsidTr="000F4BD0">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fertilizers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 man days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900</w:t>
            </w:r>
          </w:p>
        </w:tc>
      </w:tr>
      <w:tr w:rsidR="00497BF1" w:rsidRPr="00241B99" w:rsidTr="000F4BD0">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foliar spray</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 man day</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r>
      <w:tr w:rsidR="00497BF1" w:rsidRPr="00241B99" w:rsidTr="000F4BD0">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Irrigation charges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 man days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4500</w:t>
            </w:r>
          </w:p>
        </w:tc>
      </w:tr>
      <w:tr w:rsidR="0067298E" w:rsidRPr="00241B99" w:rsidTr="000F4BD0">
        <w:trPr>
          <w:tblCellSpacing w:w="15" w:type="dxa"/>
        </w:trPr>
        <w:tc>
          <w:tcPr>
            <w:tcW w:w="0" w:type="auto"/>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p>
        </w:tc>
        <w:tc>
          <w:tcPr>
            <w:tcW w:w="0" w:type="auto"/>
            <w:vMerge w:val="restart"/>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proofErr w:type="spellStart"/>
            <w:r w:rsidRPr="00241B99">
              <w:rPr>
                <w:rFonts w:ascii="Times New Roman" w:eastAsia="Times New Roman" w:hAnsi="Times New Roman" w:cs="Times New Roman"/>
                <w:sz w:val="24"/>
                <w:szCs w:val="24"/>
                <w:lang w:eastAsia="en-IN" w:bidi="kn-IN"/>
              </w:rPr>
              <w:t>Intercultivation</w:t>
            </w:r>
            <w:proofErr w:type="spellEnd"/>
            <w:r w:rsidRPr="00241B99">
              <w:rPr>
                <w:rFonts w:ascii="Times New Roman" w:eastAsia="Times New Roman" w:hAnsi="Times New Roman" w:cs="Times New Roman"/>
                <w:sz w:val="24"/>
                <w:szCs w:val="24"/>
                <w:lang w:eastAsia="en-IN" w:bidi="kn-IN"/>
              </w:rPr>
              <w:t xml:space="preserve">   a</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tractor drawn</w:t>
            </w:r>
            <w:r w:rsidRPr="00241B99">
              <w:rPr>
                <w:rFonts w:ascii="Times New Roman" w:eastAsia="Times New Roman" w:hAnsi="Times New Roman" w:cs="Tunga"/>
                <w:sz w:val="24"/>
                <w:szCs w:val="24"/>
                <w:cs/>
                <w:lang w:eastAsia="en-IN" w:bidi="kn-IN"/>
              </w:rPr>
              <w:t>)</w:t>
            </w:r>
          </w:p>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                            b</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Weeding labour</w:t>
            </w:r>
          </w:p>
        </w:tc>
        <w:tc>
          <w:tcPr>
            <w:tcW w:w="0" w:type="auto"/>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hrs</w:t>
            </w:r>
          </w:p>
        </w:tc>
        <w:tc>
          <w:tcPr>
            <w:tcW w:w="0" w:type="auto"/>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1000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hr</w:t>
            </w:r>
          </w:p>
        </w:tc>
        <w:tc>
          <w:tcPr>
            <w:tcW w:w="0" w:type="auto"/>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3500</w:t>
            </w:r>
          </w:p>
        </w:tc>
      </w:tr>
      <w:tr w:rsidR="0067298E" w:rsidRPr="00241B99" w:rsidTr="000F4BD0">
        <w:trPr>
          <w:tblCellSpacing w:w="15" w:type="dxa"/>
        </w:trPr>
        <w:tc>
          <w:tcPr>
            <w:tcW w:w="0" w:type="auto"/>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unga"/>
                <w:sz w:val="24"/>
                <w:szCs w:val="24"/>
                <w:cs/>
                <w:lang w:eastAsia="en-IN" w:bidi="kn-IN"/>
              </w:rPr>
              <w:t xml:space="preserve"> </w:t>
            </w:r>
          </w:p>
        </w:tc>
        <w:tc>
          <w:tcPr>
            <w:tcW w:w="0" w:type="auto"/>
            <w:vMerge/>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p>
        </w:tc>
        <w:tc>
          <w:tcPr>
            <w:tcW w:w="0" w:type="auto"/>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 man days</w:t>
            </w:r>
          </w:p>
        </w:tc>
        <w:tc>
          <w:tcPr>
            <w:tcW w:w="0" w:type="auto"/>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w:t>
            </w:r>
          </w:p>
        </w:tc>
        <w:tc>
          <w:tcPr>
            <w:tcW w:w="0" w:type="auto"/>
            <w:vAlign w:val="center"/>
            <w:hideMark/>
          </w:tcPr>
          <w:p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1250</w:t>
            </w:r>
          </w:p>
        </w:tc>
      </w:tr>
      <w:tr w:rsidR="00497BF1" w:rsidRPr="00241B99" w:rsidTr="000F4BD0">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Pruning cum harvesting</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 man days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2800</w:t>
            </w:r>
          </w:p>
        </w:tc>
      </w:tr>
      <w:tr w:rsidR="00497BF1" w:rsidRPr="00241B99" w:rsidTr="000F4BD0">
        <w:trPr>
          <w:tblCellSpacing w:w="15" w:type="dxa"/>
        </w:trPr>
        <w:tc>
          <w:tcPr>
            <w:tcW w:w="0" w:type="auto"/>
            <w:vAlign w:val="center"/>
            <w:hideMark/>
          </w:tcPr>
          <w:p w:rsidR="00497BF1"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9</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Miscellaneous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500</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500</w:t>
            </w:r>
          </w:p>
        </w:tc>
      </w:tr>
    </w:tbl>
    <w:p w:rsidR="00497BF1" w:rsidRPr="00241B99" w:rsidRDefault="00497BF1" w:rsidP="00DF6F1E">
      <w:pPr>
        <w:spacing w:before="100" w:beforeAutospacing="1" w:after="100" w:afterAutospacing="1"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of cultural operations </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 xml:space="preserve">. </w:t>
      </w:r>
      <w:r w:rsidR="0067298E" w:rsidRPr="00241B99">
        <w:rPr>
          <w:rFonts w:ascii="Times New Roman" w:eastAsia="Times New Roman" w:hAnsi="Times New Roman" w:cs="Times New Roman"/>
          <w:b/>
          <w:bCs/>
          <w:sz w:val="24"/>
          <w:szCs w:val="24"/>
          <w:lang w:eastAsia="en-IN" w:bidi="kn-IN"/>
        </w:rPr>
        <w:t>22,1</w:t>
      </w:r>
      <w:r w:rsidRPr="00241B99">
        <w:rPr>
          <w:rFonts w:ascii="Times New Roman" w:eastAsia="Times New Roman" w:hAnsi="Times New Roman" w:cs="Times New Roman"/>
          <w:b/>
          <w:bCs/>
          <w:sz w:val="24"/>
          <w:szCs w:val="24"/>
          <w:lang w:eastAsia="en-IN" w:bidi="kn-IN"/>
        </w:rPr>
        <w:t>50</w:t>
      </w:r>
    </w:p>
    <w:p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2</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FYM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2"/>
        <w:gridCol w:w="1887"/>
        <w:gridCol w:w="1172"/>
        <w:gridCol w:w="1639"/>
      </w:tblGrid>
      <w:tr w:rsidR="00497BF1" w:rsidRPr="00241B99" w:rsidTr="007837D6">
        <w:trPr>
          <w:tblHeader/>
          <w:tblCellSpacing w:w="15" w:type="dxa"/>
        </w:trPr>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lastRenderedPageBreak/>
              <w:t>Treatment</w:t>
            </w:r>
          </w:p>
        </w:tc>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Quantity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t</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ha</w:t>
            </w:r>
            <w:r w:rsidRPr="00241B99">
              <w:rPr>
                <w:rFonts w:ascii="Times New Roman" w:eastAsia="Times New Roman" w:hAnsi="Times New Roman" w:cs="Tunga"/>
                <w:b/>
                <w:bCs/>
                <w:sz w:val="24"/>
                <w:szCs w:val="24"/>
                <w:cs/>
                <w:lang w:eastAsia="en-IN" w:bidi="kn-IN"/>
              </w:rPr>
              <w:t>/</w:t>
            </w:r>
            <w:proofErr w:type="spellStart"/>
            <w:r w:rsidRPr="00241B99">
              <w:rPr>
                <w:rFonts w:ascii="Times New Roman" w:eastAsia="Times New Roman" w:hAnsi="Times New Roman" w:cs="Times New Roman"/>
                <w:b/>
                <w:bCs/>
                <w:sz w:val="24"/>
                <w:szCs w:val="24"/>
                <w:lang w:eastAsia="en-IN" w:bidi="kn-IN"/>
              </w:rPr>
              <w:t>yr</w:t>
            </w:r>
            <w:proofErr w:type="spellEnd"/>
            <w:r w:rsidRPr="00241B99">
              <w:rPr>
                <w:rFonts w:ascii="Times New Roman" w:eastAsia="Times New Roman" w:hAnsi="Times New Roman" w:cs="Tunga"/>
                <w:b/>
                <w:bCs/>
                <w:sz w:val="24"/>
                <w:szCs w:val="24"/>
                <w:cs/>
                <w:lang w:eastAsia="en-IN" w:bidi="kn-IN"/>
              </w:rPr>
              <w:t>)</w:t>
            </w:r>
          </w:p>
        </w:tc>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Rate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t</w:t>
            </w:r>
            <w:r w:rsidRPr="00241B99">
              <w:rPr>
                <w:rFonts w:ascii="Times New Roman" w:eastAsia="Times New Roman" w:hAnsi="Times New Roman" w:cs="Tunga"/>
                <w:b/>
                <w:bCs/>
                <w:sz w:val="24"/>
                <w:szCs w:val="24"/>
                <w:cs/>
                <w:lang w:eastAsia="en-IN" w:bidi="kn-IN"/>
              </w:rPr>
              <w:t>)</w:t>
            </w:r>
          </w:p>
        </w:tc>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rsidTr="007837D6">
        <w:trPr>
          <w:tblCellSpacing w:w="15" w:type="dxa"/>
        </w:trPr>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FYM application</w:t>
            </w:r>
          </w:p>
        </w:tc>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p>
        </w:tc>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1950</w:t>
            </w:r>
          </w:p>
        </w:tc>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39,000</w:t>
            </w:r>
          </w:p>
        </w:tc>
      </w:tr>
      <w:tr w:rsidR="00497BF1" w:rsidRPr="00241B99" w:rsidTr="007837D6">
        <w:trPr>
          <w:tblCellSpacing w:w="15" w:type="dxa"/>
        </w:trPr>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FYM application</w:t>
            </w:r>
          </w:p>
        </w:tc>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40</w:t>
            </w:r>
          </w:p>
        </w:tc>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1950</w:t>
            </w:r>
          </w:p>
        </w:tc>
        <w:tc>
          <w:tcPr>
            <w:tcW w:w="0" w:type="auto"/>
            <w:vAlign w:val="center"/>
            <w:hideMark/>
          </w:tcPr>
          <w:p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78,000</w:t>
            </w:r>
          </w:p>
        </w:tc>
      </w:tr>
    </w:tbl>
    <w:p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3</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foliar spray of POSHAN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1001"/>
        <w:gridCol w:w="1260"/>
        <w:gridCol w:w="1033"/>
      </w:tblGrid>
      <w:tr w:rsidR="00497BF1" w:rsidRPr="00241B99" w:rsidTr="00DF6F1E">
        <w:trPr>
          <w:tblHeader/>
          <w:tblCellSpacing w:w="15" w:type="dxa"/>
        </w:trPr>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Quantity</w:t>
            </w:r>
          </w:p>
        </w:tc>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POSHAN foliar spray</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litres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Rs 280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litre</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700</w:t>
            </w:r>
          </w:p>
        </w:tc>
      </w:tr>
    </w:tbl>
    <w:p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4</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fertilizers used</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2"/>
        <w:gridCol w:w="1884"/>
        <w:gridCol w:w="865"/>
        <w:gridCol w:w="1406"/>
      </w:tblGrid>
      <w:tr w:rsidR="00497BF1" w:rsidRPr="00241B99" w:rsidTr="00DF6F1E">
        <w:trPr>
          <w:tblHeade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Fertilizer</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Requirement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kg</w:t>
            </w:r>
            <w:r w:rsidRPr="00241B99">
              <w:rPr>
                <w:rFonts w:ascii="Times New Roman" w:eastAsia="Times New Roman" w:hAnsi="Times New Roman" w:cs="Tunga"/>
                <w:b/>
                <w:bCs/>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Amount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rsidTr="00DF6F1E">
        <w:trP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210 kg</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388</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2327</w:t>
            </w:r>
          </w:p>
        </w:tc>
      </w:tr>
      <w:tr w:rsidR="00497BF1" w:rsidRPr="00241B99" w:rsidTr="00DF6F1E">
        <w:trP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300 kg</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517</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3102</w:t>
            </w:r>
          </w:p>
        </w:tc>
      </w:tr>
      <w:tr w:rsidR="00497BF1" w:rsidRPr="00241B99" w:rsidTr="00DF6F1E">
        <w:trP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375 kg</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646</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3877</w:t>
            </w:r>
          </w:p>
        </w:tc>
      </w:tr>
      <w:tr w:rsidR="00497BF1" w:rsidRPr="00241B99" w:rsidTr="00DF6F1E">
        <w:trP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120 kg</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261</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5220</w:t>
            </w:r>
          </w:p>
        </w:tc>
      </w:tr>
      <w:tr w:rsidR="00497BF1" w:rsidRPr="00241B99" w:rsidTr="00DF6F1E">
        <w:trP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160 kg</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348</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6960</w:t>
            </w:r>
          </w:p>
        </w:tc>
      </w:tr>
      <w:tr w:rsidR="00497BF1" w:rsidRPr="00241B99" w:rsidTr="00DF6F1E">
        <w:trP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200 kg</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435</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8700</w:t>
            </w:r>
          </w:p>
        </w:tc>
      </w:tr>
      <w:tr w:rsidR="00497BF1" w:rsidRPr="00241B99" w:rsidTr="00DF6F1E">
        <w:trP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120 kg</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200</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1450</w:t>
            </w:r>
          </w:p>
        </w:tc>
      </w:tr>
      <w:tr w:rsidR="00497BF1" w:rsidRPr="00241B99" w:rsidTr="00DF6F1E">
        <w:trP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160 kg</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267</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1933</w:t>
            </w:r>
          </w:p>
        </w:tc>
      </w:tr>
      <w:tr w:rsidR="00497BF1" w:rsidRPr="00241B99" w:rsidTr="00DF6F1E">
        <w:trPr>
          <w:tblCellSpacing w:w="15" w:type="dxa"/>
        </w:trPr>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200 kg</w:t>
            </w:r>
            <w:r w:rsidRPr="00241B99">
              <w:rPr>
                <w:rFonts w:ascii="Times New Roman" w:eastAsia="Times New Roman" w:hAnsi="Times New Roman" w:cs="Tunga"/>
                <w:sz w:val="24"/>
                <w:szCs w:val="24"/>
                <w:cs/>
                <w:lang w:eastAsia="en-IN" w:bidi="kn-IN"/>
              </w:rPr>
              <w:t>)</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334</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2416</w:t>
            </w:r>
          </w:p>
        </w:tc>
      </w:tr>
    </w:tbl>
    <w:p w:rsidR="00DF6F1E" w:rsidRPr="00241B99" w:rsidRDefault="00DF6F1E" w:rsidP="00DF6F1E">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br w:type="textWrapping" w:clear="all"/>
      </w:r>
    </w:p>
    <w:p w:rsidR="00497BF1" w:rsidRPr="00241B99" w:rsidRDefault="00497BF1" w:rsidP="00DF6F1E">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Table 5</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Total cost of mulberry production per hectare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1033"/>
      </w:tblGrid>
      <w:tr w:rsidR="00497BF1" w:rsidRPr="00241B99" w:rsidTr="00DF6F1E">
        <w:trPr>
          <w:tblHeader/>
          <w:tblCellSpacing w:w="15" w:type="dxa"/>
        </w:trPr>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Treatment</w:t>
            </w:r>
          </w:p>
        </w:tc>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59,900</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T2</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61,050</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T3</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69,572</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T4</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70,722</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T5</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72,795</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T6</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73,945</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T7</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76,018</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T8</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77,168</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T9</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1,01,150</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T10</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1,02,300</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lastRenderedPageBreak/>
              <w:t>T11</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1,10,822</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T12</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1,11,972</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T13</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1,14,045</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T14</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1,15,195</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T15</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1,17,268</w:t>
            </w:r>
          </w:p>
        </w:tc>
      </w:tr>
      <w:tr w:rsidR="00497BF1" w:rsidRPr="00241B99" w:rsidTr="00DF6F1E">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T16</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1,18,418</w:t>
            </w:r>
          </w:p>
        </w:tc>
      </w:tr>
    </w:tbl>
    <w:p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6</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cocoon production for 450 DFLs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5"/>
        <w:gridCol w:w="1033"/>
      </w:tblGrid>
      <w:tr w:rsidR="00497BF1" w:rsidRPr="00241B99" w:rsidTr="00FA0678">
        <w:trPr>
          <w:tblHeader/>
          <w:tblCellSpacing w:w="15" w:type="dxa"/>
        </w:trPr>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rsidTr="00FA0678">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proofErr w:type="spellStart"/>
            <w:r w:rsidRPr="00241B99">
              <w:rPr>
                <w:rFonts w:ascii="Times New Roman" w:eastAsia="Times New Roman" w:hAnsi="Times New Roman" w:cs="Times New Roman"/>
                <w:sz w:val="24"/>
                <w:szCs w:val="24"/>
                <w:lang w:eastAsia="en-IN" w:bidi="kn-IN"/>
              </w:rPr>
              <w:t>Chawki</w:t>
            </w:r>
            <w:proofErr w:type="spellEnd"/>
            <w:r w:rsidRPr="00241B99">
              <w:rPr>
                <w:rFonts w:ascii="Times New Roman" w:eastAsia="Times New Roman" w:hAnsi="Times New Roman" w:cs="Times New Roman"/>
                <w:sz w:val="24"/>
                <w:szCs w:val="24"/>
                <w:lang w:eastAsia="en-IN" w:bidi="kn-IN"/>
              </w:rPr>
              <w:t xml:space="preserve"> worms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13,500</w:t>
            </w:r>
          </w:p>
        </w:tc>
      </w:tr>
      <w:tr w:rsidR="00497BF1" w:rsidRPr="00241B99" w:rsidTr="00FA0678">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Paraffin paper and foam rubber</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600</w:t>
            </w:r>
          </w:p>
        </w:tc>
      </w:tr>
      <w:tr w:rsidR="00497BF1" w:rsidRPr="00241B99" w:rsidTr="00FA0678">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Depreciation on building and equipment</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2,500</w:t>
            </w:r>
          </w:p>
        </w:tc>
      </w:tr>
      <w:tr w:rsidR="00497BF1" w:rsidRPr="00241B99" w:rsidTr="00FA0678">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Disinfectants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300</w:t>
            </w:r>
          </w:p>
        </w:tc>
      </w:tr>
      <w:tr w:rsidR="00497BF1" w:rsidRPr="00241B99" w:rsidTr="00FA0678">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Rearing equipment</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1,500</w:t>
            </w:r>
          </w:p>
        </w:tc>
      </w:tr>
      <w:tr w:rsidR="00497BF1" w:rsidRPr="00241B99" w:rsidTr="00FA0678">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Labour charges</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10,500</w:t>
            </w:r>
          </w:p>
        </w:tc>
      </w:tr>
      <w:tr w:rsidR="00497BF1" w:rsidRPr="00241B99" w:rsidTr="00FA0678">
        <w:trPr>
          <w:tblCellSpacing w:w="15" w:type="dxa"/>
        </w:trPr>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Cocoon harvest and transportation</w:t>
            </w:r>
          </w:p>
        </w:tc>
        <w:tc>
          <w:tcPr>
            <w:tcW w:w="0" w:type="auto"/>
            <w:vAlign w:val="center"/>
            <w:hideMark/>
          </w:tcPr>
          <w:p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1,050</w:t>
            </w:r>
          </w:p>
        </w:tc>
      </w:tr>
    </w:tbl>
    <w:p w:rsidR="00497BF1" w:rsidRPr="00241B99" w:rsidRDefault="00497BF1" w:rsidP="00497BF1">
      <w:pPr>
        <w:spacing w:before="100" w:beforeAutospacing="1" w:after="100" w:afterAutospacing="1"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29,950</w:t>
      </w:r>
    </w:p>
    <w:p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Results and Discussion</w:t>
      </w:r>
    </w:p>
    <w:p w:rsidR="00497BF1" w:rsidRPr="00241B99" w:rsidRDefault="00497BF1" w:rsidP="00FA0678">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The cost of cultivation for mulberry production varied among treatments depending on the quantity of farmyard manure, fertilizers and micronutrients applied</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cost structure used in the present investigation is presented in Tables 1 to 6</w:t>
      </w:r>
      <w:r w:rsidRPr="00241B99">
        <w:rPr>
          <w:rFonts w:ascii="Times New Roman" w:eastAsia="Times New Roman" w:hAnsi="Times New Roman" w:cs="Tunga"/>
          <w:sz w:val="24"/>
          <w:szCs w:val="24"/>
          <w:cs/>
          <w:lang w:eastAsia="en-IN" w:bidi="kn-IN"/>
        </w:rPr>
        <w:t>.</w:t>
      </w:r>
      <w:r w:rsidR="00FA0678"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Economic analysis of bivoltine seed crop production was carried out using the cost of mulberry production and cocoon production cost to calculate 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241B99">
        <w:rPr>
          <w:rFonts w:ascii="Times New Roman" w:eastAsia="Times New Roman" w:hAnsi="Times New Roman" w:cs="Tunga"/>
          <w:sz w:val="24"/>
          <w:szCs w:val="24"/>
          <w:cs/>
          <w:lang w:eastAsia="en-IN" w:bidi="kn-IN"/>
        </w:rPr>
        <w:t>.</w:t>
      </w:r>
    </w:p>
    <w:p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7</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Economics of FC₁ seed crop</w:t>
      </w:r>
    </w:p>
    <w:tbl>
      <w:tblPr>
        <w:tblW w:w="8922" w:type="dxa"/>
        <w:tblInd w:w="-5" w:type="dxa"/>
        <w:tblLook w:val="04A0" w:firstRow="1" w:lastRow="0" w:firstColumn="1" w:lastColumn="0" w:noHBand="0" w:noVBand="1"/>
      </w:tblPr>
      <w:tblGrid>
        <w:gridCol w:w="1560"/>
        <w:gridCol w:w="2268"/>
        <w:gridCol w:w="1842"/>
        <w:gridCol w:w="1843"/>
        <w:gridCol w:w="1409"/>
      </w:tblGrid>
      <w:tr w:rsidR="002B2A35" w:rsidRPr="002B2A35" w:rsidTr="002B2A35">
        <w:trPr>
          <w:trHeight w:val="333"/>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2A35" w:rsidRPr="002B2A35" w:rsidRDefault="002B2A35" w:rsidP="002B2A35">
            <w:pPr>
              <w:spacing w:after="0" w:line="240" w:lineRule="auto"/>
              <w:jc w:val="center"/>
              <w:rPr>
                <w:rFonts w:ascii="Times New Roman" w:eastAsia="Times New Roman" w:hAnsi="Times New Roman" w:cs="Times New Roman"/>
                <w:b/>
                <w:bCs/>
                <w:color w:val="000000"/>
                <w:lang w:eastAsia="en-IN" w:bidi="kn-IN"/>
              </w:rPr>
            </w:pPr>
            <w:r w:rsidRPr="002B2A35">
              <w:rPr>
                <w:rFonts w:ascii="Times New Roman" w:eastAsia="Times New Roman" w:hAnsi="Times New Roman" w:cs="Times New Roman"/>
                <w:b/>
                <w:bCs/>
                <w:color w:val="000000"/>
                <w:lang w:eastAsia="en-IN" w:bidi="kn-IN"/>
              </w:rPr>
              <w:t>Treatments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Total</w:t>
            </w:r>
            <w:r w:rsidRPr="002B2A35">
              <w:rPr>
                <w:rFonts w:ascii="Times New Roman" w:eastAsia="Times New Roman" w:hAnsi="Times New Roman" w:cs="Tunga" w:hint="cs"/>
                <w:b/>
                <w:bCs/>
                <w:color w:val="000000"/>
                <w:sz w:val="24"/>
                <w:szCs w:val="24"/>
                <w:cs/>
                <w:lang w:eastAsia="en-IN" w:bidi="kn-IN"/>
              </w:rPr>
              <w:t xml:space="preserve"> </w:t>
            </w:r>
            <w:r>
              <w:rPr>
                <w:rFonts w:ascii="Times New Roman" w:eastAsia="Times New Roman" w:hAnsi="Times New Roman" w:cs="Times New Roman" w:hint="cs"/>
                <w:b/>
                <w:bCs/>
                <w:color w:val="000000"/>
                <w:sz w:val="24"/>
                <w:szCs w:val="24"/>
                <w:lang w:eastAsia="en-IN" w:bidi="kn-IN"/>
              </w:rPr>
              <w:t>cost of</w:t>
            </w:r>
          </w:p>
          <w:p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 xml:space="preserve">production </w:t>
            </w:r>
            <w:r w:rsidRPr="002B2A35">
              <w:rPr>
                <w:rFonts w:ascii="Times New Roman" w:eastAsia="Times New Roman" w:hAnsi="Times New Roman" w:cs="Tunga" w:hint="cs"/>
                <w:b/>
                <w:bCs/>
                <w:color w:val="000000"/>
                <w:sz w:val="24"/>
                <w:szCs w:val="24"/>
                <w:cs/>
                <w:lang w:eastAsia="en-IN" w:bidi="kn-IN"/>
              </w:rPr>
              <w:t>(</w:t>
            </w:r>
            <w:r w:rsidRPr="002B2A35">
              <w:rPr>
                <w:rFonts w:ascii="Times New Roman" w:eastAsia="Times New Roman" w:hAnsi="Times New Roman" w:cs="Times New Roman" w:hint="cs"/>
                <w:b/>
                <w:bCs/>
                <w:color w:val="000000"/>
                <w:sz w:val="24"/>
                <w:szCs w:val="24"/>
                <w:lang w:eastAsia="en-IN" w:bidi="kn-IN"/>
              </w:rPr>
              <w:t>Rs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ha</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crop</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Gross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returns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Rs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ha</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crop</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b/>
                <w:bCs/>
                <w:color w:val="000000"/>
                <w:sz w:val="24"/>
                <w:szCs w:val="24"/>
                <w:lang w:eastAsia="en-IN" w:bidi="kn-IN"/>
              </w:rPr>
              <w:t xml:space="preserve">Net returns </w:t>
            </w:r>
            <w:r w:rsidRPr="002B2A35">
              <w:rPr>
                <w:rFonts w:ascii="Times New Roman" w:eastAsia="Times New Roman" w:hAnsi="Times New Roman" w:cs="Tunga"/>
                <w:b/>
                <w:bCs/>
                <w:color w:val="000000"/>
                <w:sz w:val="24"/>
                <w:szCs w:val="24"/>
                <w:cs/>
                <w:lang w:eastAsia="en-IN" w:bidi="kn-IN"/>
              </w:rPr>
              <w:t>(</w:t>
            </w:r>
            <w:r w:rsidRPr="002B2A35">
              <w:rPr>
                <w:rFonts w:ascii="Times New Roman" w:eastAsia="Times New Roman" w:hAnsi="Times New Roman" w:cs="Times New Roman"/>
                <w:b/>
                <w:bCs/>
                <w:color w:val="000000"/>
                <w:sz w:val="24"/>
                <w:szCs w:val="24"/>
                <w:lang w:eastAsia="en-IN" w:bidi="kn-IN"/>
              </w:rPr>
              <w:t>Rs</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ha</w:t>
            </w:r>
            <w:r w:rsidRPr="002B2A35">
              <w:rPr>
                <w:rFonts w:ascii="Times New Roman" w:eastAsia="Times New Roman" w:hAnsi="Times New Roman" w:cs="Tunga"/>
                <w:b/>
                <w:bCs/>
                <w:color w:val="000000"/>
                <w:sz w:val="24"/>
                <w:szCs w:val="24"/>
                <w:vertAlign w:val="superscript"/>
                <w:cs/>
                <w:lang w:eastAsia="en-IN" w:bidi="kn-IN"/>
              </w:rPr>
              <w:t>-</w:t>
            </w:r>
            <w:r w:rsidRPr="002B2A35">
              <w:rPr>
                <w:rFonts w:ascii="Times New Roman" w:eastAsia="Times New Roman" w:hAnsi="Times New Roman" w:cs="Times New Roman"/>
                <w:b/>
                <w:bCs/>
                <w:color w:val="000000"/>
                <w:sz w:val="24"/>
                <w:szCs w:val="24"/>
                <w:vertAlign w:val="superscript"/>
                <w:lang w:eastAsia="en-IN" w:bidi="kn-IN"/>
              </w:rPr>
              <w:t>1</w:t>
            </w:r>
            <w:r w:rsidRPr="002B2A35">
              <w:rPr>
                <w:rFonts w:ascii="Times New Roman" w:eastAsia="Times New Roman" w:hAnsi="Times New Roman" w:cs="Times New Roman"/>
                <w:b/>
                <w:bCs/>
                <w:color w:val="000000"/>
                <w:sz w:val="24"/>
                <w:szCs w:val="24"/>
                <w:lang w:eastAsia="en-IN" w:bidi="kn-IN"/>
              </w:rPr>
              <w:t xml:space="preserve"> crop</w:t>
            </w:r>
            <w:r w:rsidRPr="002B2A35">
              <w:rPr>
                <w:rFonts w:ascii="Times New Roman" w:eastAsia="Times New Roman" w:hAnsi="Times New Roman" w:cs="Tunga"/>
                <w:b/>
                <w:bCs/>
                <w:color w:val="000000"/>
                <w:sz w:val="24"/>
                <w:szCs w:val="24"/>
                <w:vertAlign w:val="superscript"/>
                <w:cs/>
                <w:lang w:eastAsia="en-IN" w:bidi="kn-IN"/>
              </w:rPr>
              <w:t>-</w:t>
            </w:r>
            <w:r w:rsidRPr="002B2A35">
              <w:rPr>
                <w:rFonts w:ascii="Times New Roman" w:eastAsia="Times New Roman" w:hAnsi="Times New Roman" w:cs="Times New Roman"/>
                <w:b/>
                <w:bCs/>
                <w:color w:val="000000"/>
                <w:sz w:val="24"/>
                <w:szCs w:val="24"/>
                <w:vertAlign w:val="superscript"/>
                <w:lang w:eastAsia="en-IN" w:bidi="kn-IN"/>
              </w:rPr>
              <w:t>1</w:t>
            </w:r>
            <w:r w:rsidRPr="002B2A35">
              <w:rPr>
                <w:rFonts w:ascii="Times New Roman" w:eastAsia="Times New Roman" w:hAnsi="Times New Roman" w:cs="Tunga"/>
                <w:b/>
                <w:bCs/>
                <w:color w:val="000000"/>
                <w:sz w:val="24"/>
                <w:szCs w:val="24"/>
                <w:cs/>
                <w:lang w:eastAsia="en-IN" w:bidi="kn-IN"/>
              </w:rPr>
              <w:t>)</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b/>
                <w:bCs/>
                <w:color w:val="000000"/>
                <w:sz w:val="24"/>
                <w:szCs w:val="24"/>
                <w:lang w:eastAsia="en-IN" w:bidi="kn-IN"/>
              </w:rPr>
              <w:t>B</w:t>
            </w:r>
            <w:r w:rsidRPr="002B2A35">
              <w:rPr>
                <w:rFonts w:ascii="Times New Roman" w:eastAsia="Times New Roman" w:hAnsi="Times New Roman" w:cs="Tunga"/>
                <w:b/>
                <w:bCs/>
                <w:color w:val="000000"/>
                <w:sz w:val="24"/>
                <w:szCs w:val="24"/>
                <w:cs/>
                <w:lang w:eastAsia="en-IN" w:bidi="kn-IN"/>
              </w:rPr>
              <w:t>:</w:t>
            </w:r>
            <w:r w:rsidRPr="002B2A35">
              <w:rPr>
                <w:rFonts w:ascii="Times New Roman" w:eastAsia="Times New Roman" w:hAnsi="Times New Roman" w:cs="Times New Roman"/>
                <w:b/>
                <w:bCs/>
                <w:color w:val="000000"/>
                <w:sz w:val="24"/>
                <w:szCs w:val="24"/>
                <w:lang w:eastAsia="en-IN" w:bidi="kn-IN"/>
              </w:rPr>
              <w:t>C ratio</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1,04,850</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2,96,824</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2,06,974</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83</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T2</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1,06,000</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3,09,953</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2,18,953</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92</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T3</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1,14,522</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3,36,067</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2,36,545</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93</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T4</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1,15,672</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3,42,071</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2,41,399</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96</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lastRenderedPageBreak/>
              <w:t>T5</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1,17,745</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3,81,076</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2,78,331</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24</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T6</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1,18,895</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3,88,425</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2,84,530</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27</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T7</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1,20,968</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3,99,372</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2,93,404</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3</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T8</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1,22,118</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4,19,237</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3,12,119</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43</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T9</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1,46,100</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3,09,918</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1,78,818</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12</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T10</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1,47,250</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3,33,554</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2,01,304</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27</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T11</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1,55,772</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3,52,616</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2,11,844</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26</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T12</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1,56,922</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3,64,464</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2,22,542</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32</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T13</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1,58,995</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3,82,474</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2,38,479</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41</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T14</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1,60,145</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3,99,293</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2,54,148</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49</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T15</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1,62,218</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4,04,358</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2,57,140</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49</w:t>
            </w:r>
          </w:p>
        </w:tc>
      </w:tr>
      <w:tr w:rsidR="002B2A35" w:rsidRPr="002B2A35"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T16</w:t>
            </w:r>
          </w:p>
        </w:tc>
        <w:tc>
          <w:tcPr>
            <w:tcW w:w="2268"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1,63,368</w:t>
            </w:r>
          </w:p>
        </w:tc>
        <w:tc>
          <w:tcPr>
            <w:tcW w:w="1842"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4,27,274</w:t>
            </w:r>
          </w:p>
        </w:tc>
        <w:tc>
          <w:tcPr>
            <w:tcW w:w="1843"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2,78,906</w:t>
            </w:r>
          </w:p>
        </w:tc>
        <w:tc>
          <w:tcPr>
            <w:tcW w:w="1409" w:type="dxa"/>
            <w:tcBorders>
              <w:top w:val="nil"/>
              <w:left w:val="nil"/>
              <w:bottom w:val="single" w:sz="4" w:space="0" w:color="auto"/>
              <w:right w:val="single" w:sz="4" w:space="0" w:color="auto"/>
            </w:tcBorders>
            <w:shd w:val="clear" w:color="auto" w:fill="auto"/>
            <w:vAlign w:val="center"/>
            <w:hideMark/>
          </w:tcPr>
          <w:p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62</w:t>
            </w:r>
          </w:p>
        </w:tc>
      </w:tr>
    </w:tbl>
    <w:p w:rsidR="00D47271" w:rsidRDefault="00D47271" w:rsidP="002B2A35">
      <w:pPr>
        <w:spacing w:before="100" w:beforeAutospacing="1" w:after="100" w:afterAutospacing="1" w:line="240" w:lineRule="auto"/>
        <w:jc w:val="both"/>
        <w:rPr>
          <w:rFonts w:ascii="Times New Roman" w:eastAsia="Times New Roman" w:hAnsi="Times New Roman" w:cs="Times New Roman"/>
          <w:sz w:val="24"/>
          <w:szCs w:val="24"/>
          <w:lang w:eastAsia="en-IN" w:bidi="kn-IN"/>
        </w:rPr>
      </w:pPr>
    </w:p>
    <w:p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The economic performance of FC₁ bivoltine seed crop under different nutrient management treatments is presented in Table</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results revealed considerable variation in </w:t>
      </w:r>
      <w:r w:rsidRPr="00241B99">
        <w:rPr>
          <w:rFonts w:ascii="Times New Roman" w:eastAsia="Times New Roman" w:hAnsi="Times New Roman" w:cs="Times New Roman"/>
          <w:sz w:val="24"/>
          <w:szCs w:val="24"/>
          <w:lang w:eastAsia="en-IN" w:bidi="kn-IN"/>
        </w:rPr>
        <w:t>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cost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B</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ratio</w:t>
      </w:r>
      <w:r w:rsidRPr="00AC227D">
        <w:rPr>
          <w:rFonts w:ascii="Times New Roman" w:eastAsia="Times New Roman" w:hAnsi="Times New Roman" w:cs="Times New Roman"/>
          <w:sz w:val="24"/>
          <w:szCs w:val="24"/>
          <w:lang w:eastAsia="en-IN" w:bidi="kn-IN"/>
        </w:rPr>
        <w:t xml:space="preserve"> among the treatments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cost of cultivation</w:t>
      </w:r>
      <w:r w:rsidRPr="00AC227D">
        <w:rPr>
          <w:rFonts w:ascii="Times New Roman" w:eastAsia="Times New Roman" w:hAnsi="Times New Roman" w:cs="Times New Roman"/>
          <w:sz w:val="24"/>
          <w:szCs w:val="24"/>
          <w:lang w:eastAsia="en-IN" w:bidi="kn-IN"/>
        </w:rPr>
        <w:t xml:space="preserve"> ranged from ₹1,04,850 in T1 to ₹1,63,368 in T16</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gradual increase in cost of cultivation from T1 to T16 was mainly attributed to the higher input requirement in terms of increased quantities of farmyard manure, chemical fertilizers and micronutrient application in the higher nutrient level treatments</w:t>
      </w:r>
      <w:r w:rsidRPr="00AC227D">
        <w:rPr>
          <w:rFonts w:ascii="Times New Roman" w:eastAsia="Times New Roman" w:hAnsi="Times New Roman" w:cs="Tunga"/>
          <w:sz w:val="24"/>
          <w:szCs w:val="24"/>
          <w:cs/>
          <w:lang w:eastAsia="en-IN" w:bidi="kn-IN"/>
        </w:rPr>
        <w:t>.</w:t>
      </w:r>
    </w:p>
    <w:p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gross returns</w:t>
      </w:r>
      <w:r w:rsidRPr="00AC227D">
        <w:rPr>
          <w:rFonts w:ascii="Times New Roman" w:eastAsia="Times New Roman" w:hAnsi="Times New Roman" w:cs="Times New Roman"/>
          <w:sz w:val="24"/>
          <w:szCs w:val="24"/>
          <w:lang w:eastAsia="en-IN" w:bidi="kn-IN"/>
        </w:rPr>
        <w:t xml:space="preserve"> varied from ₹2,96,824 to ₹4,27,274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all the treatments, the highest gross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₹4,27,274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were recorded in T16, followed by T8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₹4,19,237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T15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₹4,04,358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increased gross returns in these treatments may be attributed to improved mulberry leaf yield and better leaf nutritional quality resulting from enhanced nutrient availability, which in turn promoted better silkworm growth, survival and seed crop productivity</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 similar trend was observed for </w:t>
      </w:r>
      <w:r w:rsidRPr="00241B99">
        <w:rPr>
          <w:rFonts w:ascii="Times New Roman" w:eastAsia="Times New Roman" w:hAnsi="Times New Roman" w:cs="Times New Roman"/>
          <w:sz w:val="24"/>
          <w:szCs w:val="24"/>
          <w:lang w:eastAsia="en-IN" w:bidi="kn-IN"/>
        </w:rPr>
        <w:t>net returns</w:t>
      </w:r>
      <w:r w:rsidRPr="00AC227D">
        <w:rPr>
          <w:rFonts w:ascii="Times New Roman" w:eastAsia="Times New Roman" w:hAnsi="Times New Roman" w:cs="Times New Roman"/>
          <w:sz w:val="24"/>
          <w:szCs w:val="24"/>
          <w:lang w:eastAsia="en-IN" w:bidi="kn-IN"/>
        </w:rPr>
        <w:t xml:space="preserve">, which ranged from ₹1,78,818 in T9 to ₹3,12,119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proofErr w:type="gramStart"/>
      <w:r w:rsidR="00227D47" w:rsidRPr="00AC227D">
        <w:rPr>
          <w:rFonts w:ascii="Times New Roman" w:eastAsia="Times New Roman" w:hAnsi="Times New Roman" w:cs="Times New Roman"/>
          <w:sz w:val="24"/>
          <w:szCs w:val="24"/>
          <w:lang w:eastAsia="en-IN" w:bidi="kn-IN"/>
        </w:rPr>
        <w:t xml:space="preserve">¹ </w:t>
      </w:r>
      <w:r w:rsidRPr="00AC227D">
        <w:rPr>
          <w:rFonts w:ascii="Times New Roman" w:eastAsia="Times New Roman" w:hAnsi="Times New Roman" w:cs="Times New Roman"/>
          <w:sz w:val="24"/>
          <w:szCs w:val="24"/>
          <w:lang w:eastAsia="en-IN" w:bidi="kn-IN"/>
        </w:rPr>
        <w:t xml:space="preserve"> in</w:t>
      </w:r>
      <w:proofErr w:type="gramEnd"/>
      <w:r w:rsidRPr="00AC227D">
        <w:rPr>
          <w:rFonts w:ascii="Times New Roman" w:eastAsia="Times New Roman" w:hAnsi="Times New Roman" w:cs="Times New Roman"/>
          <w:sz w:val="24"/>
          <w:szCs w:val="24"/>
          <w:lang w:eastAsia="en-IN" w:bidi="kn-IN"/>
        </w:rPr>
        <w:t xml:space="preserve"> T8</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maximum net returns were obtained in T8, followed by T7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₹2,93,404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T6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₹2,84,530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Although T16 recorded the highest gross returns, its net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₹2,78,906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were comparatively lower than T8 due to the substantially higher cost of cultivation</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AC227D">
        <w:rPr>
          <w:rFonts w:ascii="Times New Roman" w:eastAsia="Times New Roman" w:hAnsi="Times New Roman" w:cs="Times New Roman"/>
          <w:sz w:val="24"/>
          <w:szCs w:val="24"/>
          <w:lang w:eastAsia="en-IN" w:bidi="kn-IN"/>
        </w:rPr>
        <w:t>, which reflects the economic efficiency of the production system, ranged from 2</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12 to 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43</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Among all treatments, the highest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43</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was recorded in T8, followed by T7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30</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T6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27</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in these treatments indicates that moderate application of farmyard </w:t>
      </w:r>
      <w:r w:rsidRPr="00AC227D">
        <w:rPr>
          <w:rFonts w:ascii="Times New Roman" w:eastAsia="Times New Roman" w:hAnsi="Times New Roman" w:cs="Times New Roman"/>
          <w:sz w:val="24"/>
          <w:szCs w:val="24"/>
          <w:lang w:eastAsia="en-IN" w:bidi="kn-IN"/>
        </w:rPr>
        <w:lastRenderedPageBreak/>
        <w:t>manure along with higher levels of recommended fertilizers and micronutrient spray resulted in optimum productivity with relatively lower input costs</w:t>
      </w:r>
      <w:r w:rsidRPr="00AC227D">
        <w:rPr>
          <w:rFonts w:ascii="Times New Roman" w:eastAsia="Times New Roman" w:hAnsi="Times New Roman" w:cs="Tunga"/>
          <w:sz w:val="24"/>
          <w:szCs w:val="24"/>
          <w:cs/>
          <w:lang w:eastAsia="en-IN" w:bidi="kn-IN"/>
        </w:rPr>
        <w:t>.</w:t>
      </w:r>
    </w:p>
    <w:p w:rsidR="00497BF1" w:rsidRPr="00241B99"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In contrast, treatments receiving higher quantities of farmyard manure recorded comparatively lower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 ratios despite producing higher gross returns</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This indicates that </w:t>
      </w:r>
      <w:r w:rsidRPr="00241B99">
        <w:rPr>
          <w:rFonts w:ascii="Times New Roman" w:eastAsia="Times New Roman" w:hAnsi="Times New Roman" w:cs="Times New Roman"/>
          <w:sz w:val="24"/>
          <w:szCs w:val="24"/>
          <w:lang w:eastAsia="en-IN" w:bidi="kn-IN"/>
        </w:rPr>
        <w:t>excessive input application increases production cost without proportionate improvement in economic returns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Overall, the results clearly indicate that </w:t>
      </w:r>
      <w:r w:rsidRPr="00241B99">
        <w:rPr>
          <w:rFonts w:ascii="Times New Roman" w:eastAsia="Times New Roman" w:hAnsi="Times New Roman" w:cs="Times New Roman"/>
          <w:sz w:val="24"/>
          <w:szCs w:val="24"/>
          <w:lang w:eastAsia="en-IN" w:bidi="kn-IN"/>
        </w:rPr>
        <w:t>balanced nutrient management significantly influences the profitability of bivoltine seed crop production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evaluated, </w:t>
      </w:r>
      <w:r w:rsidRPr="00241B99">
        <w:rPr>
          <w:rFonts w:ascii="Times New Roman" w:eastAsia="Times New Roman" w:hAnsi="Times New Roman" w:cs="Times New Roman"/>
          <w:sz w:val="24"/>
          <w:szCs w:val="24"/>
          <w:lang w:eastAsia="en-IN" w:bidi="kn-IN"/>
        </w:rPr>
        <w:t>T8 proved to be the most economically efficient treatment</w:t>
      </w:r>
      <w:r w:rsidRPr="00AC227D">
        <w:rPr>
          <w:rFonts w:ascii="Times New Roman" w:eastAsia="Times New Roman" w:hAnsi="Times New Roman" w:cs="Times New Roman"/>
          <w:sz w:val="24"/>
          <w:szCs w:val="24"/>
          <w:lang w:eastAsia="en-IN" w:bidi="kn-IN"/>
        </w:rPr>
        <w:t>, as it recorded the highest net returns and benefit</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cost ratio, suggesting that this nutrient combination is more profitable and economically sustainable for bivoltine seed crop production under tree mulberry cultivation</w:t>
      </w:r>
      <w:r w:rsidRPr="00AC227D">
        <w:rPr>
          <w:rFonts w:ascii="Times New Roman" w:eastAsia="Times New Roman" w:hAnsi="Times New Roman" w:cs="Tunga"/>
          <w:sz w:val="24"/>
          <w:szCs w:val="24"/>
          <w:cs/>
          <w:lang w:eastAsia="en-IN" w:bidi="kn-IN"/>
        </w:rPr>
        <w:t>.</w:t>
      </w:r>
    </w:p>
    <w:p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Economics of FC₂ Bivoltine Seed Crop</w:t>
      </w:r>
    </w:p>
    <w:p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8</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Economics of FC₂ seed crop</w:t>
      </w:r>
    </w:p>
    <w:tbl>
      <w:tblPr>
        <w:tblW w:w="85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8"/>
        <w:gridCol w:w="1619"/>
        <w:gridCol w:w="1619"/>
        <w:gridCol w:w="1088"/>
      </w:tblGrid>
      <w:tr w:rsidR="00241B99" w:rsidRPr="00241B99" w:rsidTr="00241B99">
        <w:trPr>
          <w:trHeight w:val="315"/>
        </w:trPr>
        <w:tc>
          <w:tcPr>
            <w:tcW w:w="2093" w:type="dxa"/>
            <w:shd w:val="clear" w:color="auto" w:fill="auto"/>
            <w:vAlign w:val="center"/>
          </w:tcPr>
          <w:p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Treatments</w:t>
            </w:r>
          </w:p>
        </w:tc>
        <w:tc>
          <w:tcPr>
            <w:tcW w:w="2128" w:type="dxa"/>
            <w:shd w:val="clear" w:color="auto" w:fill="auto"/>
            <w:vAlign w:val="center"/>
          </w:tcPr>
          <w:p w:rsidR="00241B99" w:rsidRPr="00241B99" w:rsidRDefault="00241B99" w:rsidP="00241B99">
            <w:pPr>
              <w:spacing w:after="0" w:line="240" w:lineRule="auto"/>
              <w:jc w:val="center"/>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Total</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 xml:space="preserve">cost of production </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w:t>
            </w:r>
          </w:p>
        </w:tc>
        <w:tc>
          <w:tcPr>
            <w:tcW w:w="1619" w:type="dxa"/>
            <w:shd w:val="clear" w:color="auto" w:fill="auto"/>
            <w:vAlign w:val="center"/>
          </w:tcPr>
          <w:p w:rsidR="00241B99" w:rsidRPr="00241B99" w:rsidRDefault="00241B99" w:rsidP="00241B99">
            <w:pPr>
              <w:spacing w:after="0" w:line="240" w:lineRule="auto"/>
              <w:jc w:val="center"/>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Gross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returns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w:t>
            </w:r>
          </w:p>
        </w:tc>
        <w:tc>
          <w:tcPr>
            <w:tcW w:w="1619" w:type="dxa"/>
            <w:shd w:val="clear" w:color="auto" w:fill="auto"/>
            <w:vAlign w:val="center"/>
          </w:tcPr>
          <w:p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 xml:space="preserve">Net returns </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lang w:eastAsia="en-IN" w:bidi="kn-IN"/>
              </w:rPr>
              <w:t>1</w:t>
            </w:r>
            <w:r w:rsidRPr="00241B99">
              <w:rPr>
                <w:rFonts w:ascii="Times New Roman" w:eastAsia="Times New Roman" w:hAnsi="Times New Roman" w:cs="Times New Roman"/>
                <w:b/>
                <w:bCs/>
                <w:color w:val="000000"/>
                <w:sz w:val="24"/>
                <w:szCs w:val="24"/>
                <w:lang w:eastAsia="en-IN" w:bidi="kn-IN"/>
              </w:rPr>
              <w:t xml:space="preserve"> 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lang w:eastAsia="en-IN" w:bidi="kn-IN"/>
              </w:rPr>
              <w:t>1</w:t>
            </w:r>
            <w:r w:rsidRPr="00241B99">
              <w:rPr>
                <w:rFonts w:ascii="Times New Roman" w:eastAsia="Times New Roman" w:hAnsi="Times New Roman" w:cs="Tunga"/>
                <w:b/>
                <w:bCs/>
                <w:color w:val="000000"/>
                <w:sz w:val="24"/>
                <w:szCs w:val="24"/>
                <w:cs/>
                <w:lang w:eastAsia="en-IN" w:bidi="kn-IN"/>
              </w:rPr>
              <w:t>)</w:t>
            </w:r>
          </w:p>
        </w:tc>
        <w:tc>
          <w:tcPr>
            <w:tcW w:w="1088" w:type="dxa"/>
            <w:shd w:val="clear" w:color="auto" w:fill="auto"/>
            <w:vAlign w:val="center"/>
          </w:tcPr>
          <w:p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B</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C ratio</w:t>
            </w:r>
          </w:p>
        </w:tc>
      </w:tr>
      <w:tr w:rsidR="00241B99" w:rsidRPr="00241B99" w:rsidTr="00241B99">
        <w:trPr>
          <w:trHeight w:val="315"/>
        </w:trPr>
        <w:tc>
          <w:tcPr>
            <w:tcW w:w="2093" w:type="dxa"/>
            <w:shd w:val="clear" w:color="auto" w:fill="auto"/>
            <w:vAlign w:val="center"/>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w:t>
            </w:r>
          </w:p>
        </w:tc>
        <w:tc>
          <w:tcPr>
            <w:tcW w:w="2128" w:type="dxa"/>
            <w:shd w:val="clear" w:color="auto" w:fill="auto"/>
            <w:vAlign w:val="center"/>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1,04,850</w:t>
            </w:r>
          </w:p>
        </w:tc>
        <w:tc>
          <w:tcPr>
            <w:tcW w:w="1619" w:type="dxa"/>
            <w:shd w:val="clear" w:color="auto" w:fill="auto"/>
            <w:vAlign w:val="center"/>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2,87,009</w:t>
            </w:r>
          </w:p>
        </w:tc>
        <w:tc>
          <w:tcPr>
            <w:tcW w:w="1619" w:type="dxa"/>
            <w:shd w:val="clear" w:color="auto" w:fill="auto"/>
            <w:vAlign w:val="center"/>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1,97,159</w:t>
            </w:r>
          </w:p>
        </w:tc>
        <w:tc>
          <w:tcPr>
            <w:tcW w:w="1088" w:type="dxa"/>
            <w:shd w:val="clear" w:color="auto" w:fill="auto"/>
            <w:vAlign w:val="center"/>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74</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T2</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1,06,000</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3,09,367</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2,18,367</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92</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T3</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1,14,522</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3,32,852</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2,33,330</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91</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T4</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1,15,672</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3,40,893</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2,40,221</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95</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T5</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1,17,745</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3,73,848</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2,71,103</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18</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T6</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1,18,895</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3,90,309</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2,86,414</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28</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T7</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1,20,968</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4,09,609</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3,03,641</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39</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T8</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1,22,118</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4,38,660</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3,31,542</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59</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T9</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1,46,100</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3,13,444</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1,82,344</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15</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T10</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1,47,250</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3,18,280</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1,86,030</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16</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T11</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1,55,772</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3,47,061</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2,06,289</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23</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T12</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1,56,922</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3,51,019</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2,09,097</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24</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T13</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1,58,995</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4,03,124</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2,59,129</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54</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T14</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1,60,145</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4,10,609</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2,65,464</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56</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T15</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1,62,218</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4,24,106</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2,76,888</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61</w:t>
            </w:r>
          </w:p>
        </w:tc>
      </w:tr>
      <w:tr w:rsidR="00241B99" w:rsidRPr="00241B99" w:rsidTr="00241B99">
        <w:trPr>
          <w:trHeight w:val="315"/>
        </w:trPr>
        <w:tc>
          <w:tcPr>
            <w:tcW w:w="2093" w:type="dxa"/>
            <w:shd w:val="clear" w:color="auto" w:fill="auto"/>
            <w:vAlign w:val="center"/>
            <w:hideMark/>
          </w:tcPr>
          <w:p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T16</w:t>
            </w:r>
          </w:p>
        </w:tc>
        <w:tc>
          <w:tcPr>
            <w:tcW w:w="212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1,63,368</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4,55,348</w:t>
            </w:r>
          </w:p>
        </w:tc>
        <w:tc>
          <w:tcPr>
            <w:tcW w:w="1619"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3,06,980</w:t>
            </w:r>
          </w:p>
        </w:tc>
        <w:tc>
          <w:tcPr>
            <w:tcW w:w="1088" w:type="dxa"/>
            <w:shd w:val="clear" w:color="auto" w:fill="auto"/>
            <w:vAlign w:val="center"/>
            <w:hideMark/>
          </w:tcPr>
          <w:p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79</w:t>
            </w:r>
          </w:p>
        </w:tc>
      </w:tr>
    </w:tbl>
    <w:p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lastRenderedPageBreak/>
        <w:t>The economic analysis of FC₂ bivoltine seed crop under different nutrient management treatments is presented in Table</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results revealed notable variation in </w:t>
      </w:r>
      <w:r w:rsidRPr="00241B99">
        <w:rPr>
          <w:rFonts w:ascii="Times New Roman" w:eastAsia="Times New Roman" w:hAnsi="Times New Roman" w:cs="Times New Roman"/>
          <w:sz w:val="24"/>
          <w:szCs w:val="24"/>
          <w:lang w:eastAsia="en-IN" w:bidi="kn-IN"/>
        </w:rPr>
        <w:t>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cost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B</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ratio</w:t>
      </w:r>
      <w:r w:rsidRPr="00AC227D">
        <w:rPr>
          <w:rFonts w:ascii="Times New Roman" w:eastAsia="Times New Roman" w:hAnsi="Times New Roman" w:cs="Times New Roman"/>
          <w:sz w:val="24"/>
          <w:szCs w:val="24"/>
          <w:lang w:eastAsia="en-IN" w:bidi="kn-IN"/>
        </w:rPr>
        <w:t xml:space="preserve"> among the treatments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cost of cultivation</w:t>
      </w:r>
      <w:r w:rsidRPr="00AC227D">
        <w:rPr>
          <w:rFonts w:ascii="Times New Roman" w:eastAsia="Times New Roman" w:hAnsi="Times New Roman" w:cs="Times New Roman"/>
          <w:sz w:val="24"/>
          <w:szCs w:val="24"/>
          <w:lang w:eastAsia="en-IN" w:bidi="kn-IN"/>
        </w:rPr>
        <w:t xml:space="preserve"> ranged from ₹1,04,850 in T1 to ₹1,63,368 in T16</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increase in production cost from T1 to T16 was mainly due to higher expenditure incurred on additional quantities of farmyard manure, chemical fertilizers and micronutrient application in the higher nutrient level treatments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gross returns</w:t>
      </w:r>
      <w:r w:rsidRPr="00AC227D">
        <w:rPr>
          <w:rFonts w:ascii="Times New Roman" w:eastAsia="Times New Roman" w:hAnsi="Times New Roman" w:cs="Times New Roman"/>
          <w:sz w:val="24"/>
          <w:szCs w:val="24"/>
          <w:lang w:eastAsia="en-IN" w:bidi="kn-IN"/>
        </w:rPr>
        <w:t xml:space="preserve"> varied from ₹2,87,009 to ₹4,55,348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the highest gross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₹4,55,348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were recorded in T16, followed by T8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₹4,38,660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T15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₹4,24,106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gross returns in these treatments could be attributed to improved mulberry leaf yield and enhanced leaf nutritional quality resulting from better nutrient availability, which ultimately improved silkworm growth, cocoon production and seed crop productivity</w:t>
      </w:r>
      <w:r w:rsidRPr="00AC227D">
        <w:rPr>
          <w:rFonts w:ascii="Times New Roman" w:eastAsia="Times New Roman" w:hAnsi="Times New Roman" w:cs="Tunga"/>
          <w:sz w:val="24"/>
          <w:szCs w:val="24"/>
          <w:cs/>
          <w:lang w:eastAsia="en-IN" w:bidi="kn-IN"/>
        </w:rPr>
        <w:t>.</w:t>
      </w:r>
    </w:p>
    <w:p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net returns</w:t>
      </w:r>
      <w:r w:rsidRPr="00AC227D">
        <w:rPr>
          <w:rFonts w:ascii="Times New Roman" w:eastAsia="Times New Roman" w:hAnsi="Times New Roman" w:cs="Times New Roman"/>
          <w:sz w:val="24"/>
          <w:szCs w:val="24"/>
          <w:lang w:eastAsia="en-IN" w:bidi="kn-IN"/>
        </w:rPr>
        <w:t xml:space="preserve"> also showed considerable variation among the treatments</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maximum net returns of ₹3,31,542 ha</w:t>
      </w:r>
      <w:r w:rsidR="001D4222">
        <w:rPr>
          <w:rFonts w:ascii="Times New Roman" w:eastAsia="Times New Roman" w:hAnsi="Times New Roman" w:cs="Tunga"/>
          <w:sz w:val="24"/>
          <w:szCs w:val="24"/>
          <w:vertAlign w:val="superscript"/>
          <w:lang w:eastAsia="en-IN" w:bidi="kn-IN"/>
        </w:rPr>
        <w:t>-</w:t>
      </w:r>
      <w:r w:rsidRPr="00AC227D">
        <w:rPr>
          <w:rFonts w:ascii="Times New Roman" w:eastAsia="Times New Roman" w:hAnsi="Times New Roman" w:cs="Times New Roman"/>
          <w:sz w:val="24"/>
          <w:szCs w:val="24"/>
          <w:lang w:eastAsia="en-IN" w:bidi="kn-IN"/>
        </w:rPr>
        <w:t>¹ crop</w:t>
      </w:r>
      <w:r w:rsidR="001D4222">
        <w:rPr>
          <w:rFonts w:ascii="Times New Roman" w:eastAsia="Times New Roman" w:hAnsi="Times New Roman" w:cs="Tunga"/>
          <w:sz w:val="24"/>
          <w:szCs w:val="24"/>
          <w:vertAlign w:val="superscript"/>
          <w:lang w:eastAsia="en-IN" w:bidi="kn-IN"/>
        </w:rPr>
        <w:t>-</w:t>
      </w:r>
      <w:r w:rsidRPr="00AC227D">
        <w:rPr>
          <w:rFonts w:ascii="Times New Roman" w:eastAsia="Times New Roman" w:hAnsi="Times New Roman" w:cs="Times New Roman"/>
          <w:sz w:val="24"/>
          <w:szCs w:val="24"/>
          <w:lang w:eastAsia="en-IN" w:bidi="kn-IN"/>
        </w:rPr>
        <w:t xml:space="preserve">¹ were recorded in T8, followed by ₹3,06,980 </w:t>
      </w:r>
      <w:r w:rsidR="001D4222" w:rsidRPr="00AC227D">
        <w:rPr>
          <w:rFonts w:ascii="Times New Roman" w:eastAsia="Times New Roman" w:hAnsi="Times New Roman" w:cs="Times New Roman"/>
          <w:sz w:val="24"/>
          <w:szCs w:val="24"/>
          <w:lang w:eastAsia="en-IN" w:bidi="kn-IN"/>
        </w:rPr>
        <w:t>ha</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¹ crop</w:t>
      </w:r>
      <w:r w:rsidR="001D4222">
        <w:rPr>
          <w:rFonts w:ascii="Times New Roman" w:eastAsia="Times New Roman" w:hAnsi="Times New Roman" w:cs="Tunga"/>
          <w:sz w:val="24"/>
          <w:szCs w:val="24"/>
          <w:vertAlign w:val="superscript"/>
          <w:lang w:eastAsia="en-IN" w:bidi="kn-IN"/>
        </w:rPr>
        <w:t>-</w:t>
      </w:r>
      <w:proofErr w:type="gramStart"/>
      <w:r w:rsidR="001D4222" w:rsidRPr="00AC227D">
        <w:rPr>
          <w:rFonts w:ascii="Times New Roman" w:eastAsia="Times New Roman" w:hAnsi="Times New Roman" w:cs="Times New Roman"/>
          <w:sz w:val="24"/>
          <w:szCs w:val="24"/>
          <w:lang w:eastAsia="en-IN" w:bidi="kn-IN"/>
        </w:rPr>
        <w:t xml:space="preserve">¹ </w:t>
      </w:r>
      <w:r w:rsidRPr="00AC227D">
        <w:rPr>
          <w:rFonts w:ascii="Times New Roman" w:eastAsia="Times New Roman" w:hAnsi="Times New Roman" w:cs="Times New Roman"/>
          <w:sz w:val="24"/>
          <w:szCs w:val="24"/>
          <w:lang w:eastAsia="en-IN" w:bidi="kn-IN"/>
        </w:rPr>
        <w:t xml:space="preserve"> in</w:t>
      </w:r>
      <w:proofErr w:type="gramEnd"/>
      <w:r w:rsidRPr="00AC227D">
        <w:rPr>
          <w:rFonts w:ascii="Times New Roman" w:eastAsia="Times New Roman" w:hAnsi="Times New Roman" w:cs="Times New Roman"/>
          <w:sz w:val="24"/>
          <w:szCs w:val="24"/>
          <w:lang w:eastAsia="en-IN" w:bidi="kn-IN"/>
        </w:rPr>
        <w:t xml:space="preserve"> T16 and ₹3,03,641 </w:t>
      </w:r>
      <w:r w:rsidR="001D4222" w:rsidRPr="00AC227D">
        <w:rPr>
          <w:rFonts w:ascii="Times New Roman" w:eastAsia="Times New Roman" w:hAnsi="Times New Roman" w:cs="Times New Roman"/>
          <w:sz w:val="24"/>
          <w:szCs w:val="24"/>
          <w:lang w:eastAsia="en-IN" w:bidi="kn-IN"/>
        </w:rPr>
        <w:t>ha</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¹ crop</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 xml:space="preserve">¹ </w:t>
      </w:r>
      <w:r w:rsidRPr="00AC227D">
        <w:rPr>
          <w:rFonts w:ascii="Times New Roman" w:eastAsia="Times New Roman" w:hAnsi="Times New Roman" w:cs="Times New Roman"/>
          <w:sz w:val="24"/>
          <w:szCs w:val="24"/>
          <w:lang w:eastAsia="en-IN" w:bidi="kn-IN"/>
        </w:rPr>
        <w:t xml:space="preserve"> in T7</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In contrast, the lowest net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₹1,82,344 </w:t>
      </w:r>
      <w:r w:rsidR="001D4222" w:rsidRPr="00AC227D">
        <w:rPr>
          <w:rFonts w:ascii="Times New Roman" w:eastAsia="Times New Roman" w:hAnsi="Times New Roman" w:cs="Times New Roman"/>
          <w:sz w:val="24"/>
          <w:szCs w:val="24"/>
          <w:lang w:eastAsia="en-IN" w:bidi="kn-IN"/>
        </w:rPr>
        <w:t>ha</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¹ crop</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were recorded in T9</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net returns in T8 were mainly due to the combination of relatively moderate production cost and substantially higher gross returns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AC227D">
        <w:rPr>
          <w:rFonts w:ascii="Times New Roman" w:eastAsia="Times New Roman" w:hAnsi="Times New Roman" w:cs="Times New Roman"/>
          <w:sz w:val="24"/>
          <w:szCs w:val="24"/>
          <w:lang w:eastAsia="en-IN" w:bidi="kn-IN"/>
        </w:rPr>
        <w:t>, which indicates the economic efficiency of the production system, ranged from 2</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15 to 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59</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Among all treatments, the highest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of </w:t>
      </w: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59</w:t>
      </w:r>
      <w:r w:rsidRPr="00AC227D">
        <w:rPr>
          <w:rFonts w:ascii="Times New Roman" w:eastAsia="Times New Roman" w:hAnsi="Times New Roman" w:cs="Times New Roman"/>
          <w:sz w:val="24"/>
          <w:szCs w:val="24"/>
          <w:lang w:eastAsia="en-IN" w:bidi="kn-IN"/>
        </w:rPr>
        <w:t xml:space="preserve"> was recorded in T8, followed by </w:t>
      </w: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39 in T7</w:t>
      </w:r>
      <w:r w:rsidRPr="00AC227D">
        <w:rPr>
          <w:rFonts w:ascii="Times New Roman" w:eastAsia="Times New Roman" w:hAnsi="Times New Roman" w:cs="Times New Roman"/>
          <w:sz w:val="24"/>
          <w:szCs w:val="24"/>
          <w:lang w:eastAsia="en-IN" w:bidi="kn-IN"/>
        </w:rPr>
        <w:t xml:space="preserve"> and </w:t>
      </w: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28 in T6</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in these treatments indicates that balanced nutrient application resulted in improved productivity and profitability without proportionately increasing the cost of </w:t>
      </w:r>
      <w:proofErr w:type="gramStart"/>
      <w:r w:rsidRPr="00AC227D">
        <w:rPr>
          <w:rFonts w:ascii="Times New Roman" w:eastAsia="Times New Roman" w:hAnsi="Times New Roman" w:cs="Times New Roman"/>
          <w:sz w:val="24"/>
          <w:szCs w:val="24"/>
          <w:lang w:eastAsia="en-IN" w:bidi="kn-IN"/>
        </w:rPr>
        <w:t>cultivation</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Although</w:t>
      </w:r>
      <w:proofErr w:type="gramEnd"/>
      <w:r w:rsidRPr="00AC227D">
        <w:rPr>
          <w:rFonts w:ascii="Times New Roman" w:eastAsia="Times New Roman" w:hAnsi="Times New Roman" w:cs="Times New Roman"/>
          <w:sz w:val="24"/>
          <w:szCs w:val="24"/>
          <w:lang w:eastAsia="en-IN" w:bidi="kn-IN"/>
        </w:rPr>
        <w:t xml:space="preserve"> treatments with higher nutrient inputs such as T16 recorded the highest gross returns, their </w:t>
      </w:r>
      <w:r w:rsidRPr="00241B99">
        <w:rPr>
          <w:rFonts w:ascii="Times New Roman" w:eastAsia="Times New Roman" w:hAnsi="Times New Roman" w:cs="Times New Roman"/>
          <w:sz w:val="24"/>
          <w:szCs w:val="24"/>
          <w:lang w:eastAsia="en-IN" w:bidi="kn-IN"/>
        </w:rPr>
        <w:t>B</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 ratio was comparatively lower</w:t>
      </w:r>
      <w:r w:rsidRPr="00AC227D">
        <w:rPr>
          <w:rFonts w:ascii="Times New Roman" w:eastAsia="Times New Roman" w:hAnsi="Times New Roman" w:cs="Times New Roman"/>
          <w:sz w:val="24"/>
          <w:szCs w:val="24"/>
          <w:lang w:eastAsia="en-IN" w:bidi="kn-IN"/>
        </w:rPr>
        <w:t xml:space="preserve"> due to the higher cost of cultivation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This indicates that increased input levels do not always translate into proportionate economic gains</w:t>
      </w:r>
      <w:r w:rsidRPr="00AC227D">
        <w:rPr>
          <w:rFonts w:ascii="Times New Roman" w:eastAsia="Times New Roman" w:hAnsi="Times New Roman" w:cs="Tunga"/>
          <w:sz w:val="24"/>
          <w:szCs w:val="24"/>
          <w:cs/>
          <w:lang w:eastAsia="en-IN" w:bidi="kn-IN"/>
        </w:rPr>
        <w:t>.</w:t>
      </w:r>
    </w:p>
    <w:p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Overall, the results suggest that </w:t>
      </w:r>
      <w:r w:rsidRPr="00241B99">
        <w:rPr>
          <w:rFonts w:ascii="Times New Roman" w:eastAsia="Times New Roman" w:hAnsi="Times New Roman" w:cs="Times New Roman"/>
          <w:sz w:val="24"/>
          <w:szCs w:val="24"/>
          <w:lang w:eastAsia="en-IN" w:bidi="kn-IN"/>
        </w:rPr>
        <w:t>balanced nutrient management plays a significant role in improving the economic efficiency of bivoltine seed crop production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evaluated, </w:t>
      </w:r>
      <w:r w:rsidRPr="00241B99">
        <w:rPr>
          <w:rFonts w:ascii="Times New Roman" w:eastAsia="Times New Roman" w:hAnsi="Times New Roman" w:cs="Times New Roman"/>
          <w:sz w:val="24"/>
          <w:szCs w:val="24"/>
          <w:lang w:eastAsia="en-IN" w:bidi="kn-IN"/>
        </w:rPr>
        <w:t>T8 proved to be the most economically viable treatment</w:t>
      </w:r>
      <w:r w:rsidRPr="00AC227D">
        <w:rPr>
          <w:rFonts w:ascii="Times New Roman" w:eastAsia="Times New Roman" w:hAnsi="Times New Roman" w:cs="Times New Roman"/>
          <w:sz w:val="24"/>
          <w:szCs w:val="24"/>
          <w:lang w:eastAsia="en-IN" w:bidi="kn-IN"/>
        </w:rPr>
        <w:t>, as it recorded the highest net returns and benefit</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cost ratio, indicating its superiority in terms of profitability under tree mulberry cultivation</w:t>
      </w:r>
      <w:r w:rsidRPr="00AC227D">
        <w:rPr>
          <w:rFonts w:ascii="Times New Roman" w:eastAsia="Times New Roman" w:hAnsi="Times New Roman" w:cs="Tunga"/>
          <w:sz w:val="24"/>
          <w:szCs w:val="24"/>
          <w:cs/>
          <w:lang w:eastAsia="en-IN" w:bidi="kn-IN"/>
        </w:rPr>
        <w:t>.</w:t>
      </w:r>
    </w:p>
    <w:p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Conclusion</w:t>
      </w:r>
    </w:p>
    <w:p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The present study demonstrated that graded levels of nutrient management significantly influenced the economic performance of bivoltine silkworm seed crop production under tree mulberry cultivation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results clearly indicated that cost of cultivation increased with higher input levels of farmyard manure, chemical fertilizers and micronutrients</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Although treatments with higher nutrient inputs recorded relatively higher gross returns, the increased cost of </w:t>
      </w:r>
      <w:r w:rsidRPr="00AC227D">
        <w:rPr>
          <w:rFonts w:ascii="Times New Roman" w:eastAsia="Times New Roman" w:hAnsi="Times New Roman" w:cs="Times New Roman"/>
          <w:sz w:val="24"/>
          <w:szCs w:val="24"/>
          <w:lang w:eastAsia="en-IN" w:bidi="kn-IN"/>
        </w:rPr>
        <w:lastRenderedPageBreak/>
        <w:t>cultivation reduced their overall economic efficiency</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evaluated, </w:t>
      </w:r>
      <w:r w:rsidRPr="00241B99">
        <w:rPr>
          <w:rFonts w:ascii="Times New Roman" w:eastAsia="Times New Roman" w:hAnsi="Times New Roman" w:cs="Times New Roman"/>
          <w:sz w:val="24"/>
          <w:szCs w:val="24"/>
          <w:lang w:eastAsia="en-IN" w:bidi="kn-IN"/>
        </w:rPr>
        <w:t xml:space="preserve">T8 </w:t>
      </w:r>
      <w:r w:rsidRPr="00241B99">
        <w:rPr>
          <w:rFonts w:ascii="Times New Roman" w:eastAsia="Times New Roman" w:hAnsi="Times New Roman" w:cs="Tunga"/>
          <w:sz w:val="24"/>
          <w:szCs w:val="24"/>
          <w:cs/>
          <w:lang w:eastAsia="en-IN" w:bidi="kn-IN"/>
        </w:rPr>
        <w:t>(</w:t>
      </w:r>
      <w:r w:rsidR="00A43089">
        <w:rPr>
          <w:rFonts w:ascii="Times New Roman" w:eastAsia="Times New Roman" w:hAnsi="Times New Roman" w:cs="Times New Roman"/>
          <w:sz w:val="24"/>
          <w:szCs w:val="24"/>
          <w:lang w:eastAsia="en-IN" w:bidi="kn-IN"/>
        </w:rPr>
        <w:t>20 T</w:t>
      </w:r>
      <w:r w:rsidRPr="00241B99">
        <w:rPr>
          <w:rFonts w:ascii="Times New Roman" w:eastAsia="Times New Roman" w:hAnsi="Times New Roman" w:cs="Times New Roman"/>
          <w:sz w:val="24"/>
          <w:szCs w:val="24"/>
          <w:lang w:eastAsia="en-IN" w:bidi="kn-IN"/>
        </w:rPr>
        <w:t xml:space="preserve"> FYM ha</w:t>
      </w:r>
      <w:r w:rsidR="00A43089">
        <w:rPr>
          <w:rFonts w:ascii="Times New Roman" w:eastAsia="Times New Roman" w:hAnsi="Times New Roman" w:cs="Tunga"/>
          <w:sz w:val="24"/>
          <w:szCs w:val="24"/>
          <w:vertAlign w:val="superscript"/>
          <w:cs/>
          <w:lang w:eastAsia="en-IN" w:bidi="kn-IN"/>
        </w:rPr>
        <w:t>-</w:t>
      </w:r>
      <w:r w:rsidRPr="00241B99">
        <w:rPr>
          <w:rFonts w:ascii="Times New Roman" w:eastAsia="Times New Roman" w:hAnsi="Times New Roman" w:cs="Times New Roman"/>
          <w:sz w:val="24"/>
          <w:szCs w:val="24"/>
          <w:lang w:eastAsia="en-IN" w:bidi="kn-IN"/>
        </w:rPr>
        <w:t>¹ yr</w:t>
      </w:r>
      <w:r w:rsidR="00A43089">
        <w:rPr>
          <w:rFonts w:ascii="Times New Roman" w:eastAsia="Times New Roman" w:hAnsi="Times New Roman" w:cs="Tunga"/>
          <w:sz w:val="24"/>
          <w:szCs w:val="24"/>
          <w:vertAlign w:val="superscript"/>
          <w:cs/>
          <w:lang w:eastAsia="en-IN" w:bidi="kn-IN"/>
        </w:rPr>
        <w:t>-</w:t>
      </w:r>
      <w:r w:rsidRPr="00241B99">
        <w:rPr>
          <w:rFonts w:ascii="Times New Roman" w:eastAsia="Times New Roman" w:hAnsi="Times New Roman" w:cs="Times New Roman"/>
          <w:sz w:val="24"/>
          <w:szCs w:val="24"/>
          <w:lang w:eastAsia="en-IN" w:bidi="kn-IN"/>
        </w:rPr>
        <w:t xml:space="preserve">¹ </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125</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 xml:space="preserve">RDF </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foliar spray of POSHAN</w:t>
      </w:r>
      <w:r w:rsidRPr="00241B99">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 recorded the </w:t>
      </w:r>
      <w:r w:rsidRPr="00241B99">
        <w:rPr>
          <w:rFonts w:ascii="Times New Roman" w:eastAsia="Times New Roman" w:hAnsi="Times New Roman" w:cs="Times New Roman"/>
          <w:sz w:val="24"/>
          <w:szCs w:val="24"/>
          <w:lang w:eastAsia="en-IN" w:bidi="kn-IN"/>
        </w:rPr>
        <w:t>highest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 in both FC₁ and FC₂ seed crops</w:t>
      </w:r>
      <w:r w:rsidRPr="00AC227D">
        <w:rPr>
          <w:rFonts w:ascii="Times New Roman" w:eastAsia="Times New Roman" w:hAnsi="Times New Roman" w:cs="Times New Roman"/>
          <w:sz w:val="24"/>
          <w:szCs w:val="24"/>
          <w:lang w:eastAsia="en-IN" w:bidi="kn-IN"/>
        </w:rPr>
        <w:t>, indicating superior economic efficiency</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treatment provided an optimum balance between input cost and productivity, resulting in enhanced profitability compared to treatments receiving higher quantities of organic and inorganic inputs</w:t>
      </w:r>
      <w:r w:rsidRPr="00AC227D">
        <w:rPr>
          <w:rFonts w:ascii="Times New Roman" w:eastAsia="Times New Roman" w:hAnsi="Times New Roman" w:cs="Tunga"/>
          <w:sz w:val="24"/>
          <w:szCs w:val="24"/>
          <w:cs/>
          <w:lang w:eastAsia="en-IN" w:bidi="kn-IN"/>
        </w:rPr>
        <w:t>.</w:t>
      </w:r>
    </w:p>
    <w:p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Therefore, the results suggest that </w:t>
      </w:r>
      <w:r w:rsidRPr="00241B99">
        <w:rPr>
          <w:rFonts w:ascii="Times New Roman" w:eastAsia="Times New Roman" w:hAnsi="Times New Roman" w:cs="Times New Roman"/>
          <w:sz w:val="24"/>
          <w:szCs w:val="24"/>
          <w:lang w:eastAsia="en-IN" w:bidi="kn-IN"/>
        </w:rPr>
        <w:t>balanced nutrient management with moderate organic manure and slightly higher fertilizer dose combined with micronutrient supplementation can significantly improve the economic returns of bivoltine seed crop production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Adoption of this nutrient management practice can help farmers and seed producers achieve higher profitability while ensuring sustainable mulberry production under tree mulberry systems</w:t>
      </w:r>
      <w:r w:rsidRPr="00AC227D">
        <w:rPr>
          <w:rFonts w:ascii="Times New Roman" w:eastAsia="Times New Roman" w:hAnsi="Times New Roman" w:cs="Tunga"/>
          <w:sz w:val="24"/>
          <w:szCs w:val="24"/>
          <w:cs/>
          <w:lang w:eastAsia="en-IN" w:bidi="kn-IN"/>
        </w:rPr>
        <w:t>.</w:t>
      </w:r>
    </w:p>
    <w:p w:rsidR="00CE2634" w:rsidRDefault="00D47271" w:rsidP="00CE2634">
      <w:pPr>
        <w:rPr>
          <w:rFonts w:ascii="Times New Roman" w:hAnsi="Times New Roman" w:cs="Times New Roman"/>
          <w:b/>
          <w:bCs/>
          <w:sz w:val="24"/>
          <w:szCs w:val="24"/>
        </w:rPr>
      </w:pPr>
      <w:r>
        <w:rPr>
          <w:rFonts w:ascii="Times New Roman" w:hAnsi="Times New Roman" w:cs="Times New Roman"/>
          <w:b/>
          <w:bCs/>
          <w:sz w:val="24"/>
          <w:szCs w:val="24"/>
        </w:rPr>
        <w:t>References</w:t>
      </w:r>
    </w:p>
    <w:p w:rsidR="007F1E8B" w:rsidRPr="007F1E8B" w:rsidRDefault="007F1E8B"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7F1E8B">
        <w:rPr>
          <w:rFonts w:ascii="Times New Roman" w:eastAsia="Times New Roman" w:hAnsi="Times New Roman" w:cs="Times New Roman"/>
          <w:sz w:val="24"/>
          <w:szCs w:val="24"/>
          <w:lang w:eastAsia="en-IN" w:bidi="kn-IN"/>
        </w:rPr>
        <w:t>Central Silk Board. 2019. Annual Report 2018-19. Central Silk Board, Bengaluru, India.</w:t>
      </w:r>
    </w:p>
    <w:p w:rsidR="007F1E8B" w:rsidRPr="007F1E8B" w:rsidRDefault="007F1E8B"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sidRPr="007F1E8B">
        <w:rPr>
          <w:rFonts w:ascii="Times New Roman" w:eastAsia="Times New Roman" w:hAnsi="Times New Roman" w:cs="Times New Roman"/>
          <w:sz w:val="24"/>
          <w:szCs w:val="24"/>
          <w:lang w:eastAsia="en-IN" w:bidi="kn-IN"/>
        </w:rPr>
        <w:t>Hiriyanna</w:t>
      </w:r>
      <w:proofErr w:type="spellEnd"/>
      <w:r w:rsidRPr="007F1E8B">
        <w:rPr>
          <w:rFonts w:ascii="Times New Roman" w:eastAsia="Times New Roman" w:hAnsi="Times New Roman" w:cs="Times New Roman"/>
          <w:sz w:val="24"/>
          <w:szCs w:val="24"/>
          <w:lang w:eastAsia="en-IN" w:bidi="kn-IN"/>
        </w:rPr>
        <w:t xml:space="preserve">, </w:t>
      </w:r>
      <w:proofErr w:type="spellStart"/>
      <w:r w:rsidRPr="007F1E8B">
        <w:rPr>
          <w:rFonts w:ascii="Times New Roman" w:eastAsia="Times New Roman" w:hAnsi="Times New Roman" w:cs="Times New Roman"/>
          <w:sz w:val="24"/>
          <w:szCs w:val="24"/>
          <w:lang w:eastAsia="en-IN" w:bidi="kn-IN"/>
        </w:rPr>
        <w:t>Munikrishnappa</w:t>
      </w:r>
      <w:proofErr w:type="spellEnd"/>
      <w:r w:rsidRPr="007F1E8B">
        <w:rPr>
          <w:rFonts w:ascii="Times New Roman" w:eastAsia="Times New Roman" w:hAnsi="Times New Roman" w:cs="Times New Roman"/>
          <w:sz w:val="24"/>
          <w:szCs w:val="24"/>
          <w:lang w:eastAsia="en-IN" w:bidi="kn-IN"/>
        </w:rPr>
        <w:t xml:space="preserve">, </w:t>
      </w:r>
      <w:r w:rsidRPr="001B2CC4">
        <w:rPr>
          <w:rFonts w:ascii="Times New Roman" w:eastAsia="Times New Roman" w:hAnsi="Times New Roman" w:cs="Times New Roman"/>
          <w:i/>
          <w:iCs/>
          <w:sz w:val="24"/>
          <w:szCs w:val="24"/>
          <w:lang w:eastAsia="en-IN" w:bidi="kn-IN"/>
        </w:rPr>
        <w:t xml:space="preserve">et al. </w:t>
      </w:r>
      <w:r w:rsidRPr="007F1E8B">
        <w:rPr>
          <w:rFonts w:ascii="Times New Roman" w:eastAsia="Times New Roman" w:hAnsi="Times New Roman" w:cs="Times New Roman"/>
          <w:sz w:val="24"/>
          <w:szCs w:val="24"/>
          <w:lang w:eastAsia="en-IN" w:bidi="kn-IN"/>
        </w:rPr>
        <w:t>2007. Economic analysis of sericulture production systems</w:t>
      </w:r>
      <w:r w:rsidRPr="00274241">
        <w:rPr>
          <w:rFonts w:ascii="Times New Roman" w:eastAsia="Times New Roman" w:hAnsi="Times New Roman" w:cs="Times New Roman"/>
          <w:i/>
          <w:iCs/>
          <w:sz w:val="24"/>
          <w:szCs w:val="24"/>
          <w:lang w:eastAsia="en-IN" w:bidi="kn-IN"/>
        </w:rPr>
        <w:t>. Indian Journal of Sericulture</w:t>
      </w:r>
      <w:r w:rsidRPr="007F1E8B">
        <w:rPr>
          <w:rFonts w:ascii="Times New Roman" w:eastAsia="Times New Roman" w:hAnsi="Times New Roman" w:cs="Times New Roman"/>
          <w:sz w:val="24"/>
          <w:szCs w:val="24"/>
          <w:lang w:eastAsia="en-IN" w:bidi="kn-IN"/>
        </w:rPr>
        <w:t>, 46(1): 69-71.</w:t>
      </w:r>
    </w:p>
    <w:p w:rsidR="007F1E8B" w:rsidRPr="007F1E8B" w:rsidRDefault="007F1E8B"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7F1E8B">
        <w:rPr>
          <w:rFonts w:ascii="Times New Roman" w:eastAsia="Times New Roman" w:hAnsi="Times New Roman" w:cs="Times New Roman"/>
          <w:sz w:val="24"/>
          <w:szCs w:val="24"/>
          <w:lang w:eastAsia="en-IN" w:bidi="kn-IN"/>
        </w:rPr>
        <w:t>Lakshmanan S. 2006. Sericulture as a source of rural employment. Agriculture Today, 9(9): 12-15.</w:t>
      </w:r>
    </w:p>
    <w:p w:rsidR="007F1E8B" w:rsidRPr="007F1E8B" w:rsidRDefault="001B2CC4"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t>Lakshmanan S. and</w:t>
      </w:r>
      <w:r w:rsidR="007F1E8B" w:rsidRPr="007F1E8B">
        <w:rPr>
          <w:rFonts w:ascii="Times New Roman" w:eastAsia="Times New Roman" w:hAnsi="Times New Roman" w:cs="Times New Roman"/>
          <w:sz w:val="24"/>
          <w:szCs w:val="24"/>
          <w:lang w:eastAsia="en-IN" w:bidi="kn-IN"/>
        </w:rPr>
        <w:t xml:space="preserve"> </w:t>
      </w:r>
      <w:proofErr w:type="spellStart"/>
      <w:r w:rsidR="007F1E8B" w:rsidRPr="007F1E8B">
        <w:rPr>
          <w:rFonts w:ascii="Times New Roman" w:eastAsia="Times New Roman" w:hAnsi="Times New Roman" w:cs="Times New Roman"/>
          <w:sz w:val="24"/>
          <w:szCs w:val="24"/>
          <w:lang w:eastAsia="en-IN" w:bidi="kn-IN"/>
        </w:rPr>
        <w:t>Gethadevi</w:t>
      </w:r>
      <w:proofErr w:type="spellEnd"/>
      <w:r w:rsidR="007F1E8B" w:rsidRPr="007F1E8B">
        <w:rPr>
          <w:rFonts w:ascii="Times New Roman" w:eastAsia="Times New Roman" w:hAnsi="Times New Roman" w:cs="Times New Roman"/>
          <w:sz w:val="24"/>
          <w:szCs w:val="24"/>
          <w:lang w:eastAsia="en-IN" w:bidi="kn-IN"/>
        </w:rPr>
        <w:t xml:space="preserve"> R.G. 2007. Sericulture and rural development. </w:t>
      </w:r>
      <w:r w:rsidR="007F1E8B" w:rsidRPr="00274241">
        <w:rPr>
          <w:rFonts w:ascii="Times New Roman" w:eastAsia="Times New Roman" w:hAnsi="Times New Roman" w:cs="Times New Roman"/>
          <w:i/>
          <w:iCs/>
          <w:sz w:val="24"/>
          <w:szCs w:val="24"/>
          <w:lang w:eastAsia="en-IN" w:bidi="kn-IN"/>
        </w:rPr>
        <w:t>Manpower Journal</w:t>
      </w:r>
      <w:r w:rsidR="007F1E8B" w:rsidRPr="007F1E8B">
        <w:rPr>
          <w:rFonts w:ascii="Times New Roman" w:eastAsia="Times New Roman" w:hAnsi="Times New Roman" w:cs="Times New Roman"/>
          <w:sz w:val="24"/>
          <w:szCs w:val="24"/>
          <w:lang w:eastAsia="en-IN" w:bidi="kn-IN"/>
        </w:rPr>
        <w:t>, XLII: 181-198.</w:t>
      </w:r>
    </w:p>
    <w:p w:rsidR="007F1E8B" w:rsidRPr="007F1E8B" w:rsidRDefault="001B2CC4"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Pr>
          <w:rFonts w:ascii="Times New Roman" w:eastAsia="Times New Roman" w:hAnsi="Times New Roman" w:cs="Times New Roman"/>
          <w:sz w:val="24"/>
          <w:szCs w:val="24"/>
          <w:lang w:eastAsia="en-IN" w:bidi="kn-IN"/>
        </w:rPr>
        <w:t>Purushotham</w:t>
      </w:r>
      <w:proofErr w:type="spellEnd"/>
      <w:r>
        <w:rPr>
          <w:rFonts w:ascii="Times New Roman" w:eastAsia="Times New Roman" w:hAnsi="Times New Roman" w:cs="Times New Roman"/>
          <w:sz w:val="24"/>
          <w:szCs w:val="24"/>
          <w:lang w:eastAsia="en-IN" w:bidi="kn-IN"/>
        </w:rPr>
        <w:t xml:space="preserve"> S. and</w:t>
      </w:r>
      <w:r w:rsidR="007F1E8B" w:rsidRPr="007F1E8B">
        <w:rPr>
          <w:rFonts w:ascii="Times New Roman" w:eastAsia="Times New Roman" w:hAnsi="Times New Roman" w:cs="Times New Roman"/>
          <w:sz w:val="24"/>
          <w:szCs w:val="24"/>
          <w:lang w:eastAsia="en-IN" w:bidi="kn-IN"/>
        </w:rPr>
        <w:t xml:space="preserve"> Rama Mohan Rao P. 2009. Economics of cocoon production. </w:t>
      </w:r>
      <w:r w:rsidR="007F1E8B" w:rsidRPr="00274241">
        <w:rPr>
          <w:rFonts w:ascii="Times New Roman" w:eastAsia="Times New Roman" w:hAnsi="Times New Roman" w:cs="Times New Roman"/>
          <w:i/>
          <w:iCs/>
          <w:sz w:val="24"/>
          <w:szCs w:val="24"/>
          <w:lang w:eastAsia="en-IN" w:bidi="kn-IN"/>
        </w:rPr>
        <w:t>Agricultural Science Digest,</w:t>
      </w:r>
      <w:r w:rsidR="007F1E8B" w:rsidRPr="007F1E8B">
        <w:rPr>
          <w:rFonts w:ascii="Times New Roman" w:eastAsia="Times New Roman" w:hAnsi="Times New Roman" w:cs="Times New Roman"/>
          <w:sz w:val="24"/>
          <w:szCs w:val="24"/>
          <w:lang w:eastAsia="en-IN" w:bidi="kn-IN"/>
        </w:rPr>
        <w:t xml:space="preserve"> 29(2): 120-122.</w:t>
      </w:r>
    </w:p>
    <w:p w:rsidR="00D47271" w:rsidRPr="00256032" w:rsidRDefault="001B2CC4"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t>Reddy P.S., Kasi Reddy B. and</w:t>
      </w:r>
      <w:r w:rsidR="007F1E8B" w:rsidRPr="007F1E8B">
        <w:rPr>
          <w:rFonts w:ascii="Times New Roman" w:eastAsia="Times New Roman" w:hAnsi="Times New Roman" w:cs="Times New Roman"/>
          <w:sz w:val="24"/>
          <w:szCs w:val="24"/>
          <w:lang w:eastAsia="en-IN" w:bidi="kn-IN"/>
        </w:rPr>
        <w:t xml:space="preserve"> Satyanarayana Raju Ch. 2010. A comparative study on economics of mulberry with other commercial crops of Andhra Pradesh. </w:t>
      </w:r>
      <w:r w:rsidR="007F1E8B" w:rsidRPr="00274241">
        <w:rPr>
          <w:rFonts w:ascii="Times New Roman" w:eastAsia="Times New Roman" w:hAnsi="Times New Roman" w:cs="Times New Roman"/>
          <w:i/>
          <w:iCs/>
          <w:sz w:val="24"/>
          <w:szCs w:val="24"/>
          <w:lang w:eastAsia="en-IN" w:bidi="kn-IN"/>
        </w:rPr>
        <w:t>Agricultural Science Digest</w:t>
      </w:r>
      <w:r w:rsidR="007F1E8B" w:rsidRPr="007F1E8B">
        <w:rPr>
          <w:rFonts w:ascii="Times New Roman" w:eastAsia="Times New Roman" w:hAnsi="Times New Roman" w:cs="Times New Roman"/>
          <w:sz w:val="24"/>
          <w:szCs w:val="24"/>
          <w:lang w:eastAsia="en-IN" w:bidi="kn-IN"/>
        </w:rPr>
        <w:t>, 30(1): 37-41.</w:t>
      </w:r>
    </w:p>
    <w:sectPr w:rsidR="00D47271" w:rsidRPr="002560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0ED" w:rsidRDefault="004330ED" w:rsidP="00DC1D7E">
      <w:pPr>
        <w:spacing w:after="0" w:line="240" w:lineRule="auto"/>
      </w:pPr>
      <w:r>
        <w:separator/>
      </w:r>
    </w:p>
  </w:endnote>
  <w:endnote w:type="continuationSeparator" w:id="0">
    <w:p w:rsidR="004330ED" w:rsidRDefault="004330ED" w:rsidP="00DC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7E" w:rsidRDefault="00DC1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7E" w:rsidRDefault="00DC1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7E" w:rsidRDefault="00DC1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0ED" w:rsidRDefault="004330ED" w:rsidP="00DC1D7E">
      <w:pPr>
        <w:spacing w:after="0" w:line="240" w:lineRule="auto"/>
      </w:pPr>
      <w:r>
        <w:separator/>
      </w:r>
    </w:p>
  </w:footnote>
  <w:footnote w:type="continuationSeparator" w:id="0">
    <w:p w:rsidR="004330ED" w:rsidRDefault="004330ED" w:rsidP="00DC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7E" w:rsidRDefault="00DC1D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3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7E" w:rsidRDefault="00DC1D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3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7E" w:rsidRDefault="00DC1D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3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mso7ACF"/>
      </v:shape>
    </w:pict>
  </w:numPicBullet>
  <w:abstractNum w:abstractNumId="0" w15:restartNumberingAfterBreak="0">
    <w:nsid w:val="134A3158"/>
    <w:multiLevelType w:val="hybridMultilevel"/>
    <w:tmpl w:val="730C01E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F93EEC"/>
    <w:multiLevelType w:val="hybridMultilevel"/>
    <w:tmpl w:val="4210C480"/>
    <w:lvl w:ilvl="0" w:tplc="8918FCAE">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34"/>
    <w:rsid w:val="00062565"/>
    <w:rsid w:val="00090192"/>
    <w:rsid w:val="000958E4"/>
    <w:rsid w:val="000F4BD0"/>
    <w:rsid w:val="00106928"/>
    <w:rsid w:val="001805F9"/>
    <w:rsid w:val="001B2CC4"/>
    <w:rsid w:val="001D4222"/>
    <w:rsid w:val="00202817"/>
    <w:rsid w:val="00227D47"/>
    <w:rsid w:val="00241B99"/>
    <w:rsid w:val="00256032"/>
    <w:rsid w:val="00274241"/>
    <w:rsid w:val="002B2A35"/>
    <w:rsid w:val="003761B8"/>
    <w:rsid w:val="00381E79"/>
    <w:rsid w:val="004330ED"/>
    <w:rsid w:val="00497BF1"/>
    <w:rsid w:val="00532768"/>
    <w:rsid w:val="005E05D3"/>
    <w:rsid w:val="005E2E2C"/>
    <w:rsid w:val="0067298E"/>
    <w:rsid w:val="007837D6"/>
    <w:rsid w:val="007E5675"/>
    <w:rsid w:val="007E70F1"/>
    <w:rsid w:val="007E7FE4"/>
    <w:rsid w:val="007F1E8B"/>
    <w:rsid w:val="00807143"/>
    <w:rsid w:val="008A0719"/>
    <w:rsid w:val="008C09B9"/>
    <w:rsid w:val="00A13FFE"/>
    <w:rsid w:val="00A43089"/>
    <w:rsid w:val="00AC227D"/>
    <w:rsid w:val="00AC2B56"/>
    <w:rsid w:val="00B82729"/>
    <w:rsid w:val="00B90300"/>
    <w:rsid w:val="00C11292"/>
    <w:rsid w:val="00C97DB9"/>
    <w:rsid w:val="00CE2634"/>
    <w:rsid w:val="00D23C1D"/>
    <w:rsid w:val="00D47271"/>
    <w:rsid w:val="00DC1D7E"/>
    <w:rsid w:val="00DF6F1E"/>
    <w:rsid w:val="00E23556"/>
    <w:rsid w:val="00E354C0"/>
    <w:rsid w:val="00EA5E4A"/>
    <w:rsid w:val="00F401E8"/>
    <w:rsid w:val="00FA067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B41F6"/>
  <w15:chartTrackingRefBased/>
  <w15:docId w15:val="{C4ED5020-D050-432E-B08F-2A0F80A1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7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kn-IN"/>
    </w:rPr>
  </w:style>
  <w:style w:type="paragraph" w:styleId="Heading2">
    <w:name w:val="heading 2"/>
    <w:basedOn w:val="Normal"/>
    <w:link w:val="Heading2Char"/>
    <w:uiPriority w:val="9"/>
    <w:qFormat/>
    <w:rsid w:val="00497BF1"/>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F1"/>
    <w:rPr>
      <w:rFonts w:ascii="Times New Roman" w:eastAsia="Times New Roman" w:hAnsi="Times New Roman" w:cs="Times New Roman"/>
      <w:b/>
      <w:bCs/>
      <w:kern w:val="36"/>
      <w:sz w:val="48"/>
      <w:szCs w:val="48"/>
      <w:lang w:eastAsia="en-IN" w:bidi="kn-IN"/>
    </w:rPr>
  </w:style>
  <w:style w:type="character" w:customStyle="1" w:styleId="Heading2Char">
    <w:name w:val="Heading 2 Char"/>
    <w:basedOn w:val="DefaultParagraphFont"/>
    <w:link w:val="Heading2"/>
    <w:uiPriority w:val="9"/>
    <w:rsid w:val="00497BF1"/>
    <w:rPr>
      <w:rFonts w:ascii="Times New Roman" w:eastAsia="Times New Roman" w:hAnsi="Times New Roman" w:cs="Times New Roman"/>
      <w:b/>
      <w:bCs/>
      <w:sz w:val="36"/>
      <w:szCs w:val="36"/>
      <w:lang w:eastAsia="en-IN" w:bidi="kn-IN"/>
    </w:rPr>
  </w:style>
  <w:style w:type="paragraph" w:styleId="NormalWeb">
    <w:name w:val="Normal (Web)"/>
    <w:basedOn w:val="Normal"/>
    <w:uiPriority w:val="99"/>
    <w:semiHidden/>
    <w:unhideWhenUsed/>
    <w:rsid w:val="00497BF1"/>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Emphasis">
    <w:name w:val="Emphasis"/>
    <w:basedOn w:val="DefaultParagraphFont"/>
    <w:uiPriority w:val="20"/>
    <w:qFormat/>
    <w:rsid w:val="00497BF1"/>
    <w:rPr>
      <w:i/>
      <w:iCs/>
    </w:rPr>
  </w:style>
  <w:style w:type="character" w:styleId="Strong">
    <w:name w:val="Strong"/>
    <w:basedOn w:val="DefaultParagraphFont"/>
    <w:uiPriority w:val="22"/>
    <w:qFormat/>
    <w:rsid w:val="00497BF1"/>
    <w:rPr>
      <w:b/>
      <w:bCs/>
    </w:rPr>
  </w:style>
  <w:style w:type="paragraph" w:styleId="ListParagraph">
    <w:name w:val="List Paragraph"/>
    <w:basedOn w:val="Normal"/>
    <w:uiPriority w:val="34"/>
    <w:qFormat/>
    <w:rsid w:val="00256032"/>
    <w:pPr>
      <w:ind w:left="720"/>
      <w:contextualSpacing/>
    </w:pPr>
  </w:style>
  <w:style w:type="character" w:styleId="Hyperlink">
    <w:name w:val="Hyperlink"/>
    <w:basedOn w:val="DefaultParagraphFont"/>
    <w:uiPriority w:val="99"/>
    <w:unhideWhenUsed/>
    <w:rsid w:val="00202817"/>
    <w:rPr>
      <w:color w:val="0563C1" w:themeColor="hyperlink"/>
      <w:u w:val="single"/>
    </w:rPr>
  </w:style>
  <w:style w:type="character" w:styleId="UnresolvedMention">
    <w:name w:val="Unresolved Mention"/>
    <w:basedOn w:val="DefaultParagraphFont"/>
    <w:uiPriority w:val="99"/>
    <w:semiHidden/>
    <w:unhideWhenUsed/>
    <w:rsid w:val="00202817"/>
    <w:rPr>
      <w:color w:val="605E5C"/>
      <w:shd w:val="clear" w:color="auto" w:fill="E1DFDD"/>
    </w:rPr>
  </w:style>
  <w:style w:type="paragraph" w:styleId="Header">
    <w:name w:val="header"/>
    <w:basedOn w:val="Normal"/>
    <w:link w:val="HeaderChar"/>
    <w:uiPriority w:val="99"/>
    <w:unhideWhenUsed/>
    <w:rsid w:val="00DC1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D7E"/>
  </w:style>
  <w:style w:type="paragraph" w:styleId="Footer">
    <w:name w:val="footer"/>
    <w:basedOn w:val="Normal"/>
    <w:link w:val="FooterChar"/>
    <w:uiPriority w:val="99"/>
    <w:unhideWhenUsed/>
    <w:rsid w:val="00DC1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9689">
      <w:bodyDiv w:val="1"/>
      <w:marLeft w:val="0"/>
      <w:marRight w:val="0"/>
      <w:marTop w:val="0"/>
      <w:marBottom w:val="0"/>
      <w:divBdr>
        <w:top w:val="none" w:sz="0" w:space="0" w:color="auto"/>
        <w:left w:val="none" w:sz="0" w:space="0" w:color="auto"/>
        <w:bottom w:val="none" w:sz="0" w:space="0" w:color="auto"/>
        <w:right w:val="none" w:sz="0" w:space="0" w:color="auto"/>
      </w:divBdr>
    </w:div>
    <w:div w:id="355545730">
      <w:bodyDiv w:val="1"/>
      <w:marLeft w:val="0"/>
      <w:marRight w:val="0"/>
      <w:marTop w:val="0"/>
      <w:marBottom w:val="0"/>
      <w:divBdr>
        <w:top w:val="none" w:sz="0" w:space="0" w:color="auto"/>
        <w:left w:val="none" w:sz="0" w:space="0" w:color="auto"/>
        <w:bottom w:val="none" w:sz="0" w:space="0" w:color="auto"/>
        <w:right w:val="none" w:sz="0" w:space="0" w:color="auto"/>
      </w:divBdr>
    </w:div>
    <w:div w:id="660695779">
      <w:bodyDiv w:val="1"/>
      <w:marLeft w:val="0"/>
      <w:marRight w:val="0"/>
      <w:marTop w:val="0"/>
      <w:marBottom w:val="0"/>
      <w:divBdr>
        <w:top w:val="none" w:sz="0" w:space="0" w:color="auto"/>
        <w:left w:val="none" w:sz="0" w:space="0" w:color="auto"/>
        <w:bottom w:val="none" w:sz="0" w:space="0" w:color="auto"/>
        <w:right w:val="none" w:sz="0" w:space="0" w:color="auto"/>
      </w:divBdr>
    </w:div>
    <w:div w:id="854467813">
      <w:bodyDiv w:val="1"/>
      <w:marLeft w:val="0"/>
      <w:marRight w:val="0"/>
      <w:marTop w:val="0"/>
      <w:marBottom w:val="0"/>
      <w:divBdr>
        <w:top w:val="none" w:sz="0" w:space="0" w:color="auto"/>
        <w:left w:val="none" w:sz="0" w:space="0" w:color="auto"/>
        <w:bottom w:val="none" w:sz="0" w:space="0" w:color="auto"/>
        <w:right w:val="none" w:sz="0" w:space="0" w:color="auto"/>
      </w:divBdr>
    </w:div>
    <w:div w:id="1097747295">
      <w:bodyDiv w:val="1"/>
      <w:marLeft w:val="0"/>
      <w:marRight w:val="0"/>
      <w:marTop w:val="0"/>
      <w:marBottom w:val="0"/>
      <w:divBdr>
        <w:top w:val="none" w:sz="0" w:space="0" w:color="auto"/>
        <w:left w:val="none" w:sz="0" w:space="0" w:color="auto"/>
        <w:bottom w:val="none" w:sz="0" w:space="0" w:color="auto"/>
        <w:right w:val="none" w:sz="0" w:space="0" w:color="auto"/>
      </w:divBdr>
    </w:div>
    <w:div w:id="1356423807">
      <w:bodyDiv w:val="1"/>
      <w:marLeft w:val="0"/>
      <w:marRight w:val="0"/>
      <w:marTop w:val="0"/>
      <w:marBottom w:val="0"/>
      <w:divBdr>
        <w:top w:val="none" w:sz="0" w:space="0" w:color="auto"/>
        <w:left w:val="none" w:sz="0" w:space="0" w:color="auto"/>
        <w:bottom w:val="none" w:sz="0" w:space="0" w:color="auto"/>
        <w:right w:val="none" w:sz="0" w:space="0" w:color="auto"/>
      </w:divBdr>
    </w:div>
    <w:div w:id="1357652516">
      <w:bodyDiv w:val="1"/>
      <w:marLeft w:val="0"/>
      <w:marRight w:val="0"/>
      <w:marTop w:val="0"/>
      <w:marBottom w:val="0"/>
      <w:divBdr>
        <w:top w:val="none" w:sz="0" w:space="0" w:color="auto"/>
        <w:left w:val="none" w:sz="0" w:space="0" w:color="auto"/>
        <w:bottom w:val="none" w:sz="0" w:space="0" w:color="auto"/>
        <w:right w:val="none" w:sz="0" w:space="0" w:color="auto"/>
      </w:divBdr>
    </w:div>
    <w:div w:id="1622229106">
      <w:bodyDiv w:val="1"/>
      <w:marLeft w:val="0"/>
      <w:marRight w:val="0"/>
      <w:marTop w:val="0"/>
      <w:marBottom w:val="0"/>
      <w:divBdr>
        <w:top w:val="none" w:sz="0" w:space="0" w:color="auto"/>
        <w:left w:val="none" w:sz="0" w:space="0" w:color="auto"/>
        <w:bottom w:val="none" w:sz="0" w:space="0" w:color="auto"/>
        <w:right w:val="none" w:sz="0" w:space="0" w:color="auto"/>
      </w:divBdr>
    </w:div>
    <w:div w:id="2065836980">
      <w:bodyDiv w:val="1"/>
      <w:marLeft w:val="0"/>
      <w:marRight w:val="0"/>
      <w:marTop w:val="0"/>
      <w:marBottom w:val="0"/>
      <w:divBdr>
        <w:top w:val="none" w:sz="0" w:space="0" w:color="auto"/>
        <w:left w:val="none" w:sz="0" w:space="0" w:color="auto"/>
        <w:bottom w:val="none" w:sz="0" w:space="0" w:color="auto"/>
        <w:right w:val="none" w:sz="0" w:space="0" w:color="auto"/>
      </w:divBdr>
    </w:div>
    <w:div w:id="2129011884">
      <w:bodyDiv w:val="1"/>
      <w:marLeft w:val="0"/>
      <w:marRight w:val="0"/>
      <w:marTop w:val="0"/>
      <w:marBottom w:val="0"/>
      <w:divBdr>
        <w:top w:val="none" w:sz="0" w:space="0" w:color="auto"/>
        <w:left w:val="none" w:sz="0" w:space="0" w:color="auto"/>
        <w:bottom w:val="none" w:sz="0" w:space="0" w:color="auto"/>
        <w:right w:val="none" w:sz="0" w:space="0" w:color="auto"/>
      </w:divBdr>
      <w:divsChild>
        <w:div w:id="1003164085">
          <w:marLeft w:val="0"/>
          <w:marRight w:val="0"/>
          <w:marTop w:val="0"/>
          <w:marBottom w:val="0"/>
          <w:divBdr>
            <w:top w:val="none" w:sz="0" w:space="0" w:color="auto"/>
            <w:left w:val="none" w:sz="0" w:space="0" w:color="auto"/>
            <w:bottom w:val="none" w:sz="0" w:space="0" w:color="auto"/>
            <w:right w:val="none" w:sz="0" w:space="0" w:color="auto"/>
          </w:divBdr>
          <w:divsChild>
            <w:div w:id="430079790">
              <w:marLeft w:val="0"/>
              <w:marRight w:val="0"/>
              <w:marTop w:val="0"/>
              <w:marBottom w:val="0"/>
              <w:divBdr>
                <w:top w:val="none" w:sz="0" w:space="0" w:color="auto"/>
                <w:left w:val="none" w:sz="0" w:space="0" w:color="auto"/>
                <w:bottom w:val="none" w:sz="0" w:space="0" w:color="auto"/>
                <w:right w:val="none" w:sz="0" w:space="0" w:color="auto"/>
              </w:divBdr>
            </w:div>
          </w:divsChild>
        </w:div>
        <w:div w:id="1394160889">
          <w:marLeft w:val="0"/>
          <w:marRight w:val="0"/>
          <w:marTop w:val="0"/>
          <w:marBottom w:val="0"/>
          <w:divBdr>
            <w:top w:val="none" w:sz="0" w:space="0" w:color="auto"/>
            <w:left w:val="none" w:sz="0" w:space="0" w:color="auto"/>
            <w:bottom w:val="none" w:sz="0" w:space="0" w:color="auto"/>
            <w:right w:val="none" w:sz="0" w:space="0" w:color="auto"/>
          </w:divBdr>
          <w:divsChild>
            <w:div w:id="848060465">
              <w:marLeft w:val="0"/>
              <w:marRight w:val="0"/>
              <w:marTop w:val="0"/>
              <w:marBottom w:val="0"/>
              <w:divBdr>
                <w:top w:val="none" w:sz="0" w:space="0" w:color="auto"/>
                <w:left w:val="none" w:sz="0" w:space="0" w:color="auto"/>
                <w:bottom w:val="none" w:sz="0" w:space="0" w:color="auto"/>
                <w:right w:val="none" w:sz="0" w:space="0" w:color="auto"/>
              </w:divBdr>
            </w:div>
          </w:divsChild>
        </w:div>
        <w:div w:id="1736313966">
          <w:marLeft w:val="0"/>
          <w:marRight w:val="0"/>
          <w:marTop w:val="0"/>
          <w:marBottom w:val="0"/>
          <w:divBdr>
            <w:top w:val="none" w:sz="0" w:space="0" w:color="auto"/>
            <w:left w:val="none" w:sz="0" w:space="0" w:color="auto"/>
            <w:bottom w:val="none" w:sz="0" w:space="0" w:color="auto"/>
            <w:right w:val="none" w:sz="0" w:space="0" w:color="auto"/>
          </w:divBdr>
          <w:divsChild>
            <w:div w:id="166211994">
              <w:marLeft w:val="0"/>
              <w:marRight w:val="0"/>
              <w:marTop w:val="0"/>
              <w:marBottom w:val="0"/>
              <w:divBdr>
                <w:top w:val="none" w:sz="0" w:space="0" w:color="auto"/>
                <w:left w:val="none" w:sz="0" w:space="0" w:color="auto"/>
                <w:bottom w:val="none" w:sz="0" w:space="0" w:color="auto"/>
                <w:right w:val="none" w:sz="0" w:space="0" w:color="auto"/>
              </w:divBdr>
            </w:div>
          </w:divsChild>
        </w:div>
        <w:div w:id="1993951004">
          <w:marLeft w:val="0"/>
          <w:marRight w:val="0"/>
          <w:marTop w:val="0"/>
          <w:marBottom w:val="0"/>
          <w:divBdr>
            <w:top w:val="none" w:sz="0" w:space="0" w:color="auto"/>
            <w:left w:val="none" w:sz="0" w:space="0" w:color="auto"/>
            <w:bottom w:val="none" w:sz="0" w:space="0" w:color="auto"/>
            <w:right w:val="none" w:sz="0" w:space="0" w:color="auto"/>
          </w:divBdr>
          <w:divsChild>
            <w:div w:id="1064182502">
              <w:marLeft w:val="0"/>
              <w:marRight w:val="0"/>
              <w:marTop w:val="0"/>
              <w:marBottom w:val="0"/>
              <w:divBdr>
                <w:top w:val="none" w:sz="0" w:space="0" w:color="auto"/>
                <w:left w:val="none" w:sz="0" w:space="0" w:color="auto"/>
                <w:bottom w:val="none" w:sz="0" w:space="0" w:color="auto"/>
                <w:right w:val="none" w:sz="0" w:space="0" w:color="auto"/>
              </w:divBdr>
            </w:div>
          </w:divsChild>
        </w:div>
        <w:div w:id="1923951559">
          <w:marLeft w:val="0"/>
          <w:marRight w:val="0"/>
          <w:marTop w:val="0"/>
          <w:marBottom w:val="0"/>
          <w:divBdr>
            <w:top w:val="none" w:sz="0" w:space="0" w:color="auto"/>
            <w:left w:val="none" w:sz="0" w:space="0" w:color="auto"/>
            <w:bottom w:val="none" w:sz="0" w:space="0" w:color="auto"/>
            <w:right w:val="none" w:sz="0" w:space="0" w:color="auto"/>
          </w:divBdr>
          <w:divsChild>
            <w:div w:id="392236850">
              <w:marLeft w:val="0"/>
              <w:marRight w:val="0"/>
              <w:marTop w:val="0"/>
              <w:marBottom w:val="0"/>
              <w:divBdr>
                <w:top w:val="none" w:sz="0" w:space="0" w:color="auto"/>
                <w:left w:val="none" w:sz="0" w:space="0" w:color="auto"/>
                <w:bottom w:val="none" w:sz="0" w:space="0" w:color="auto"/>
                <w:right w:val="none" w:sz="0" w:space="0" w:color="auto"/>
              </w:divBdr>
            </w:div>
          </w:divsChild>
        </w:div>
        <w:div w:id="705763352">
          <w:marLeft w:val="0"/>
          <w:marRight w:val="0"/>
          <w:marTop w:val="0"/>
          <w:marBottom w:val="0"/>
          <w:divBdr>
            <w:top w:val="none" w:sz="0" w:space="0" w:color="auto"/>
            <w:left w:val="none" w:sz="0" w:space="0" w:color="auto"/>
            <w:bottom w:val="none" w:sz="0" w:space="0" w:color="auto"/>
            <w:right w:val="none" w:sz="0" w:space="0" w:color="auto"/>
          </w:divBdr>
          <w:divsChild>
            <w:div w:id="760174793">
              <w:marLeft w:val="0"/>
              <w:marRight w:val="0"/>
              <w:marTop w:val="0"/>
              <w:marBottom w:val="0"/>
              <w:divBdr>
                <w:top w:val="none" w:sz="0" w:space="0" w:color="auto"/>
                <w:left w:val="none" w:sz="0" w:space="0" w:color="auto"/>
                <w:bottom w:val="none" w:sz="0" w:space="0" w:color="auto"/>
                <w:right w:val="none" w:sz="0" w:space="0" w:color="auto"/>
              </w:divBdr>
            </w:div>
          </w:divsChild>
        </w:div>
        <w:div w:id="763768486">
          <w:marLeft w:val="0"/>
          <w:marRight w:val="0"/>
          <w:marTop w:val="0"/>
          <w:marBottom w:val="0"/>
          <w:divBdr>
            <w:top w:val="none" w:sz="0" w:space="0" w:color="auto"/>
            <w:left w:val="none" w:sz="0" w:space="0" w:color="auto"/>
            <w:bottom w:val="none" w:sz="0" w:space="0" w:color="auto"/>
            <w:right w:val="none" w:sz="0" w:space="0" w:color="auto"/>
          </w:divBdr>
          <w:divsChild>
            <w:div w:id="1185634144">
              <w:marLeft w:val="0"/>
              <w:marRight w:val="0"/>
              <w:marTop w:val="0"/>
              <w:marBottom w:val="0"/>
              <w:divBdr>
                <w:top w:val="none" w:sz="0" w:space="0" w:color="auto"/>
                <w:left w:val="none" w:sz="0" w:space="0" w:color="auto"/>
                <w:bottom w:val="none" w:sz="0" w:space="0" w:color="auto"/>
                <w:right w:val="none" w:sz="0" w:space="0" w:color="auto"/>
              </w:divBdr>
            </w:div>
          </w:divsChild>
        </w:div>
        <w:div w:id="1572306272">
          <w:marLeft w:val="0"/>
          <w:marRight w:val="0"/>
          <w:marTop w:val="0"/>
          <w:marBottom w:val="0"/>
          <w:divBdr>
            <w:top w:val="none" w:sz="0" w:space="0" w:color="auto"/>
            <w:left w:val="none" w:sz="0" w:space="0" w:color="auto"/>
            <w:bottom w:val="none" w:sz="0" w:space="0" w:color="auto"/>
            <w:right w:val="none" w:sz="0" w:space="0" w:color="auto"/>
          </w:divBdr>
          <w:divsChild>
            <w:div w:id="2289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9</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Narmada</dc:creator>
  <cp:keywords/>
  <dc:description/>
  <cp:lastModifiedBy>SDI 1084</cp:lastModifiedBy>
  <cp:revision>46</cp:revision>
  <dcterms:created xsi:type="dcterms:W3CDTF">2026-03-10T15:28:00Z</dcterms:created>
  <dcterms:modified xsi:type="dcterms:W3CDTF">2026-03-16T12:24:00Z</dcterms:modified>
</cp:coreProperties>
</file>