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BEC8" w14:textId="29E0D6AB" w:rsidR="009C3A9A" w:rsidRDefault="00915395" w:rsidP="009C3A9A">
      <w:pPr>
        <w:jc w:val="center"/>
        <w:rPr>
          <w:rFonts w:ascii="Times New Roman" w:hAnsi="Times New Roman" w:cs="Times New Roman"/>
          <w:b/>
          <w:sz w:val="28"/>
          <w:szCs w:val="28"/>
          <w:lang w:val="en-US"/>
        </w:rPr>
      </w:pPr>
      <w:r w:rsidRPr="00915395">
        <w:rPr>
          <w:rFonts w:ascii="Times New Roman" w:hAnsi="Times New Roman" w:cs="Times New Roman"/>
          <w:b/>
          <w:sz w:val="28"/>
          <w:szCs w:val="28"/>
          <w:lang w:val="en-US"/>
        </w:rPr>
        <w:t>Skill Trainings as a Catalyst for Entrepreneurship Development: A Study of Kerala Agricultural University</w:t>
      </w:r>
    </w:p>
    <w:p w14:paraId="5D869428" w14:textId="4EAB6657" w:rsidR="005F4EA1" w:rsidRDefault="005F4EA1" w:rsidP="00F418E7">
      <w:pPr>
        <w:rPr>
          <w:rFonts w:ascii="Times New Roman" w:hAnsi="Times New Roman" w:cs="Times New Roman"/>
          <w:bCs/>
          <w:sz w:val="24"/>
          <w:szCs w:val="24"/>
          <w:lang w:val="en-US"/>
        </w:rPr>
      </w:pPr>
    </w:p>
    <w:p w14:paraId="2081F126" w14:textId="77777777" w:rsidR="00BD0764" w:rsidRPr="00F418E7" w:rsidRDefault="00BD0764" w:rsidP="00F418E7">
      <w:pPr>
        <w:rPr>
          <w:rFonts w:ascii="Times New Roman" w:hAnsi="Times New Roman" w:cs="Times New Roman"/>
          <w:bCs/>
          <w:sz w:val="24"/>
          <w:szCs w:val="24"/>
          <w:lang w:val="en-US"/>
        </w:rPr>
      </w:pPr>
      <w:bookmarkStart w:id="0" w:name="_GoBack"/>
      <w:bookmarkEnd w:id="0"/>
    </w:p>
    <w:p w14:paraId="4F3671FE" w14:textId="69B6EE4C" w:rsidR="009C3A9A" w:rsidRPr="009C3A9A" w:rsidRDefault="009C3A9A" w:rsidP="009C3A9A">
      <w:pPr>
        <w:rPr>
          <w:rFonts w:ascii="Times New Roman" w:hAnsi="Times New Roman" w:cs="Times New Roman"/>
          <w:b/>
          <w:sz w:val="24"/>
          <w:szCs w:val="24"/>
          <w:lang w:val="en-US"/>
        </w:rPr>
      </w:pPr>
      <w:r w:rsidRPr="009C3A9A">
        <w:rPr>
          <w:rFonts w:ascii="Times New Roman" w:hAnsi="Times New Roman" w:cs="Times New Roman"/>
          <w:b/>
          <w:sz w:val="24"/>
          <w:szCs w:val="24"/>
          <w:lang w:val="en-US"/>
        </w:rPr>
        <w:t>Abstract</w:t>
      </w:r>
    </w:p>
    <w:p w14:paraId="40B3BFF6" w14:textId="2CEF2A75" w:rsidR="009C3A9A" w:rsidRPr="009C3A9A" w:rsidRDefault="009C3A9A" w:rsidP="009C3A9A">
      <w:pPr>
        <w:ind w:firstLine="720"/>
        <w:jc w:val="both"/>
        <w:rPr>
          <w:rFonts w:ascii="Times New Roman" w:hAnsi="Times New Roman" w:cs="Times New Roman"/>
          <w:bCs/>
          <w:sz w:val="24"/>
          <w:szCs w:val="24"/>
          <w:lang w:val="en-US"/>
        </w:rPr>
      </w:pPr>
      <w:r w:rsidRPr="009C3A9A">
        <w:rPr>
          <w:rFonts w:ascii="Times New Roman" w:hAnsi="Times New Roman" w:cs="Times New Roman"/>
          <w:bCs/>
          <w:sz w:val="24"/>
          <w:szCs w:val="24"/>
          <w:lang w:val="en-US"/>
        </w:rPr>
        <w:t xml:space="preserve">Entrepreneurship development through institutional skill training has emerged as a critical strategy for promoting rural livelihood diversification and agribusiness growth. The present study </w:t>
      </w:r>
      <w:r w:rsidR="00725F65" w:rsidRPr="00391DB2">
        <w:rPr>
          <w:rFonts w:ascii="Times New Roman" w:hAnsi="Times New Roman" w:cs="Times New Roman"/>
          <w:bCs/>
          <w:sz w:val="24"/>
          <w:szCs w:val="24"/>
        </w:rPr>
        <w:t>evaluated the impact of</w:t>
      </w:r>
      <w:r w:rsidR="00725F65">
        <w:rPr>
          <w:rFonts w:ascii="Times New Roman" w:hAnsi="Times New Roman" w:cs="Times New Roman"/>
          <w:bCs/>
          <w:sz w:val="24"/>
          <w:szCs w:val="24"/>
        </w:rPr>
        <w:t xml:space="preserve"> </w:t>
      </w:r>
      <w:r w:rsidRPr="009C3A9A">
        <w:rPr>
          <w:rFonts w:ascii="Times New Roman" w:hAnsi="Times New Roman" w:cs="Times New Roman"/>
          <w:bCs/>
          <w:sz w:val="24"/>
          <w:szCs w:val="24"/>
          <w:lang w:val="en-US"/>
        </w:rPr>
        <w:t xml:space="preserve">skill training </w:t>
      </w:r>
      <w:proofErr w:type="spellStart"/>
      <w:r w:rsidRPr="009C3A9A">
        <w:rPr>
          <w:rFonts w:ascii="Times New Roman" w:hAnsi="Times New Roman" w:cs="Times New Roman"/>
          <w:bCs/>
          <w:sz w:val="24"/>
          <w:szCs w:val="24"/>
          <w:lang w:val="en-US"/>
        </w:rPr>
        <w:t>programmes</w:t>
      </w:r>
      <w:proofErr w:type="spellEnd"/>
      <w:r w:rsidRPr="009C3A9A">
        <w:rPr>
          <w:rFonts w:ascii="Times New Roman" w:hAnsi="Times New Roman" w:cs="Times New Roman"/>
          <w:bCs/>
          <w:sz w:val="24"/>
          <w:szCs w:val="24"/>
          <w:lang w:val="en-US"/>
        </w:rPr>
        <w:t xml:space="preserve"> conducted by Communication Centre</w:t>
      </w:r>
      <w:r w:rsidR="00D6008F">
        <w:rPr>
          <w:rFonts w:ascii="Times New Roman" w:hAnsi="Times New Roman" w:cs="Times New Roman"/>
          <w:bCs/>
          <w:sz w:val="24"/>
          <w:szCs w:val="24"/>
          <w:lang w:val="en-US"/>
        </w:rPr>
        <w:t xml:space="preserve"> operating</w:t>
      </w:r>
      <w:r w:rsidRPr="009C3A9A">
        <w:rPr>
          <w:rFonts w:ascii="Times New Roman" w:hAnsi="Times New Roman" w:cs="Times New Roman"/>
          <w:bCs/>
          <w:sz w:val="24"/>
          <w:szCs w:val="24"/>
          <w:lang w:val="en-US"/>
        </w:rPr>
        <w:t xml:space="preserve"> under the Directorate of Extension, Kerala Agricultural University (KAU), during 2023</w:t>
      </w:r>
      <w:r w:rsidR="00C10E14">
        <w:rPr>
          <w:rFonts w:ascii="Times New Roman" w:hAnsi="Times New Roman" w:cs="Times New Roman"/>
          <w:bCs/>
          <w:sz w:val="24"/>
          <w:szCs w:val="24"/>
          <w:lang w:val="en-US"/>
        </w:rPr>
        <w:t>-2024</w:t>
      </w:r>
      <w:r w:rsidRPr="009C3A9A">
        <w:rPr>
          <w:rFonts w:ascii="Times New Roman" w:hAnsi="Times New Roman" w:cs="Times New Roman"/>
          <w:bCs/>
          <w:sz w:val="24"/>
          <w:szCs w:val="24"/>
          <w:lang w:val="en-US"/>
        </w:rPr>
        <w:t>. A total of 177 respondents were selected through random sampling from among 450 trainees and data were collected using a structured questionnaire. The study examined the socio-economic profile of trainees, their perceptions of training usefulness, attitudes towards KAU’s skill development efforts and their decision to initiate entrepreneurial ventures.</w:t>
      </w:r>
    </w:p>
    <w:p w14:paraId="5FC2B14E" w14:textId="28DD65A0" w:rsidR="009C3A9A" w:rsidRPr="009C3A9A" w:rsidRDefault="009C3A9A" w:rsidP="009C3A9A">
      <w:pPr>
        <w:ind w:firstLine="720"/>
        <w:jc w:val="both"/>
        <w:rPr>
          <w:rFonts w:ascii="Times New Roman" w:hAnsi="Times New Roman" w:cs="Times New Roman"/>
          <w:bCs/>
          <w:sz w:val="24"/>
          <w:szCs w:val="24"/>
          <w:lang w:val="en-US"/>
        </w:rPr>
      </w:pPr>
      <w:r w:rsidRPr="009C3A9A">
        <w:rPr>
          <w:rFonts w:ascii="Times New Roman" w:hAnsi="Times New Roman" w:cs="Times New Roman"/>
          <w:bCs/>
          <w:sz w:val="24"/>
          <w:szCs w:val="24"/>
          <w:lang w:val="en-US"/>
        </w:rPr>
        <w:t>Results indicated that the majority of trainees belonged to the economically active age group (35–60 years), with higher female participation (55.93%). A substantial proportion of respondents possessed graduate-level education or higher. About 61.58 per cent expressed</w:t>
      </w:r>
      <w:r w:rsidR="00725F65">
        <w:rPr>
          <w:rFonts w:ascii="Times New Roman" w:hAnsi="Times New Roman" w:cs="Times New Roman"/>
          <w:bCs/>
          <w:sz w:val="24"/>
          <w:szCs w:val="24"/>
          <w:lang w:val="en-US"/>
        </w:rPr>
        <w:t xml:space="preserve"> their</w:t>
      </w:r>
      <w:r w:rsidRPr="009C3A9A">
        <w:rPr>
          <w:rFonts w:ascii="Times New Roman" w:hAnsi="Times New Roman" w:cs="Times New Roman"/>
          <w:bCs/>
          <w:sz w:val="24"/>
          <w:szCs w:val="24"/>
          <w:lang w:val="en-US"/>
        </w:rPr>
        <w:t xml:space="preserve"> interest in starting an enterprise, while </w:t>
      </w:r>
      <w:r w:rsidR="00725F65">
        <w:rPr>
          <w:rFonts w:ascii="Times New Roman" w:hAnsi="Times New Roman" w:cs="Times New Roman"/>
          <w:bCs/>
          <w:sz w:val="24"/>
          <w:szCs w:val="24"/>
          <w:lang w:val="en-US"/>
        </w:rPr>
        <w:t>about</w:t>
      </w:r>
      <w:r w:rsidRPr="009C3A9A">
        <w:rPr>
          <w:rFonts w:ascii="Times New Roman" w:hAnsi="Times New Roman" w:cs="Times New Roman"/>
          <w:bCs/>
          <w:sz w:val="24"/>
          <w:szCs w:val="24"/>
          <w:lang w:val="en-US"/>
        </w:rPr>
        <w:t xml:space="preserve"> 68 per cent perceived the training </w:t>
      </w:r>
      <w:proofErr w:type="spellStart"/>
      <w:r w:rsidRPr="009C3A9A">
        <w:rPr>
          <w:rFonts w:ascii="Times New Roman" w:hAnsi="Times New Roman" w:cs="Times New Roman"/>
          <w:bCs/>
          <w:sz w:val="24"/>
          <w:szCs w:val="24"/>
          <w:lang w:val="en-US"/>
        </w:rPr>
        <w:t>programmes</w:t>
      </w:r>
      <w:proofErr w:type="spellEnd"/>
      <w:r w:rsidRPr="009C3A9A">
        <w:rPr>
          <w:rFonts w:ascii="Times New Roman" w:hAnsi="Times New Roman" w:cs="Times New Roman"/>
          <w:bCs/>
          <w:sz w:val="24"/>
          <w:szCs w:val="24"/>
          <w:lang w:val="en-US"/>
        </w:rPr>
        <w:t xml:space="preserve"> as highly useful and 65.54 per cent rated KAU’s efforts in skill enhancement as highly effective. Correlation analysis revealed a significant negative relationship between monthly income and entrepreneurial decision-making (r = −0.1971, p &lt; 0.01), indicating greater inclination toward entrepreneurship among lower</w:t>
      </w:r>
      <w:r w:rsidR="00725F65">
        <w:rPr>
          <w:rFonts w:ascii="Times New Roman" w:hAnsi="Times New Roman" w:cs="Times New Roman"/>
          <w:bCs/>
          <w:sz w:val="24"/>
          <w:szCs w:val="24"/>
          <w:lang w:val="en-US"/>
        </w:rPr>
        <w:t xml:space="preserve"> </w:t>
      </w:r>
      <w:r w:rsidRPr="009C3A9A">
        <w:rPr>
          <w:rFonts w:ascii="Times New Roman" w:hAnsi="Times New Roman" w:cs="Times New Roman"/>
          <w:bCs/>
          <w:sz w:val="24"/>
          <w:szCs w:val="24"/>
          <w:lang w:val="en-US"/>
        </w:rPr>
        <w:t>income respondents. Land ownership exhibited a positive and significant association with enterprise initiation (r = 0.1675, p &lt; 0.05). However, media use, education level, perceived usefulness of training and attitude towards KAU efforts showed positive but statistically non-significant relationships with entrepreneurial decisions.</w:t>
      </w:r>
    </w:p>
    <w:p w14:paraId="12E6EC51" w14:textId="0DA6D426" w:rsidR="009C3A9A" w:rsidRPr="009C3A9A" w:rsidRDefault="009C3A9A" w:rsidP="009C3A9A">
      <w:pPr>
        <w:ind w:firstLine="720"/>
        <w:jc w:val="both"/>
        <w:rPr>
          <w:rFonts w:ascii="Times New Roman" w:hAnsi="Times New Roman" w:cs="Times New Roman"/>
          <w:bCs/>
          <w:sz w:val="24"/>
          <w:szCs w:val="24"/>
          <w:lang w:val="en-US"/>
        </w:rPr>
      </w:pPr>
      <w:r w:rsidRPr="009C3A9A">
        <w:rPr>
          <w:rFonts w:ascii="Times New Roman" w:hAnsi="Times New Roman" w:cs="Times New Roman"/>
          <w:bCs/>
          <w:sz w:val="24"/>
          <w:szCs w:val="24"/>
          <w:lang w:val="en-US"/>
        </w:rPr>
        <w:t xml:space="preserve">The findings highlight the role of skill-oriented extension interventions in stimulating entrepreneurial intent while emphasizing the influence of socio-economic factors such as income and asset ownership on enterprise initiation. Strengthening post-training support and targeted interventions could further enhance the effectiveness of institutional skill training </w:t>
      </w:r>
      <w:proofErr w:type="spellStart"/>
      <w:r w:rsidRPr="009C3A9A">
        <w:rPr>
          <w:rFonts w:ascii="Times New Roman" w:hAnsi="Times New Roman" w:cs="Times New Roman"/>
          <w:bCs/>
          <w:sz w:val="24"/>
          <w:szCs w:val="24"/>
          <w:lang w:val="en-US"/>
        </w:rPr>
        <w:t>programmes</w:t>
      </w:r>
      <w:proofErr w:type="spellEnd"/>
      <w:r w:rsidRPr="009C3A9A">
        <w:rPr>
          <w:rFonts w:ascii="Times New Roman" w:hAnsi="Times New Roman" w:cs="Times New Roman"/>
          <w:bCs/>
          <w:sz w:val="24"/>
          <w:szCs w:val="24"/>
          <w:lang w:val="en-US"/>
        </w:rPr>
        <w:t xml:space="preserve"> in fostering sustainable </w:t>
      </w:r>
      <w:proofErr w:type="spellStart"/>
      <w:r w:rsidRPr="009C3A9A">
        <w:rPr>
          <w:rFonts w:ascii="Times New Roman" w:hAnsi="Times New Roman" w:cs="Times New Roman"/>
          <w:bCs/>
          <w:sz w:val="24"/>
          <w:szCs w:val="24"/>
          <w:lang w:val="en-US"/>
        </w:rPr>
        <w:t>agripreneurship</w:t>
      </w:r>
      <w:proofErr w:type="spellEnd"/>
      <w:r w:rsidRPr="009C3A9A">
        <w:rPr>
          <w:rFonts w:ascii="Times New Roman" w:hAnsi="Times New Roman" w:cs="Times New Roman"/>
          <w:bCs/>
          <w:sz w:val="24"/>
          <w:szCs w:val="24"/>
          <w:lang w:val="en-US"/>
        </w:rPr>
        <w:t>.</w:t>
      </w:r>
    </w:p>
    <w:p w14:paraId="0AE07574" w14:textId="67DFB743" w:rsidR="009C3A9A" w:rsidRPr="00B30B1C" w:rsidRDefault="009C3A9A" w:rsidP="00B30B1C">
      <w:pPr>
        <w:jc w:val="both"/>
        <w:rPr>
          <w:rFonts w:ascii="Times New Roman" w:hAnsi="Times New Roman" w:cs="Times New Roman"/>
          <w:bCs/>
          <w:i/>
          <w:iCs/>
          <w:sz w:val="24"/>
          <w:szCs w:val="24"/>
          <w:lang w:val="en-US"/>
        </w:rPr>
      </w:pPr>
      <w:r w:rsidRPr="009C3A9A">
        <w:rPr>
          <w:rFonts w:ascii="Times New Roman" w:hAnsi="Times New Roman" w:cs="Times New Roman"/>
          <w:b/>
          <w:i/>
          <w:iCs/>
          <w:sz w:val="24"/>
          <w:szCs w:val="24"/>
          <w:lang w:val="en-US"/>
        </w:rPr>
        <w:t>Keywords</w:t>
      </w:r>
      <w:r w:rsidRPr="009C3A9A">
        <w:rPr>
          <w:rFonts w:ascii="Times New Roman" w:hAnsi="Times New Roman" w:cs="Times New Roman"/>
          <w:bCs/>
          <w:i/>
          <w:iCs/>
          <w:sz w:val="24"/>
          <w:szCs w:val="24"/>
          <w:lang w:val="en-US"/>
        </w:rPr>
        <w:t xml:space="preserve">: </w:t>
      </w:r>
      <w:proofErr w:type="spellStart"/>
      <w:r w:rsidRPr="009C3A9A">
        <w:rPr>
          <w:rFonts w:ascii="Times New Roman" w:hAnsi="Times New Roman" w:cs="Times New Roman"/>
          <w:bCs/>
          <w:i/>
          <w:iCs/>
          <w:sz w:val="24"/>
          <w:szCs w:val="24"/>
          <w:lang w:val="en-US"/>
        </w:rPr>
        <w:t>Agripreneurship</w:t>
      </w:r>
      <w:proofErr w:type="spellEnd"/>
      <w:r w:rsidRPr="009C3A9A">
        <w:rPr>
          <w:rFonts w:ascii="Times New Roman" w:hAnsi="Times New Roman" w:cs="Times New Roman"/>
          <w:bCs/>
          <w:i/>
          <w:iCs/>
          <w:sz w:val="24"/>
          <w:szCs w:val="24"/>
          <w:lang w:val="en-US"/>
        </w:rPr>
        <w:t>, Skill training, Entrepreneurial intent, Extension education, Kerala Agricultural University, Socio-economic factors.</w:t>
      </w:r>
    </w:p>
    <w:p w14:paraId="64A10E3F" w14:textId="583FB77C" w:rsidR="000A757F" w:rsidRPr="00BD4B9D" w:rsidRDefault="000A757F" w:rsidP="00915395">
      <w:pPr>
        <w:rPr>
          <w:rFonts w:ascii="Times New Roman" w:hAnsi="Times New Roman" w:cs="Times New Roman"/>
          <w:b/>
          <w:sz w:val="24"/>
          <w:szCs w:val="24"/>
          <w:lang w:val="en-US"/>
        </w:rPr>
      </w:pPr>
      <w:r w:rsidRPr="00BD4B9D">
        <w:rPr>
          <w:rFonts w:ascii="Times New Roman" w:hAnsi="Times New Roman" w:cs="Times New Roman"/>
          <w:b/>
          <w:sz w:val="24"/>
          <w:szCs w:val="24"/>
          <w:lang w:val="en-US"/>
        </w:rPr>
        <w:t>Introduction</w:t>
      </w:r>
    </w:p>
    <w:p w14:paraId="7EE082BB" w14:textId="7B120CDB" w:rsidR="00AD69C0" w:rsidRDefault="00AD69C0" w:rsidP="00AD69C0">
      <w:pPr>
        <w:pStyle w:val="NormalWeb"/>
        <w:ind w:firstLine="720"/>
        <w:jc w:val="both"/>
      </w:pPr>
      <w:r>
        <w:t xml:space="preserve">Entrepreneurship plays a crucial role in driving the socio-economic growth of individuals and societies. Schumpeter (1934) viewed economic development as a positive change brought about by entrepreneurs through the creation of new combinations of production. In the context of post-2020 development discussions, </w:t>
      </w:r>
      <w:proofErr w:type="spellStart"/>
      <w:r>
        <w:t>agripreneurship</w:t>
      </w:r>
      <w:proofErr w:type="spellEnd"/>
      <w:r>
        <w:t xml:space="preserve"> is seen as a vital pathway </w:t>
      </w:r>
      <w:r w:rsidR="00A17821">
        <w:t>to diversify rural livelihoods, generate employment, and enhance</w:t>
      </w:r>
      <w:r>
        <w:t xml:space="preserve"> economic resilience, particularly in regions dominated by smallholder farmers (</w:t>
      </w:r>
      <w:r w:rsidR="00D92801">
        <w:t>Ramalho et al</w:t>
      </w:r>
      <w:r>
        <w:t>, 202</w:t>
      </w:r>
      <w:r w:rsidR="00D92801">
        <w:t>2</w:t>
      </w:r>
      <w:r>
        <w:t xml:space="preserve">; </w:t>
      </w:r>
      <w:proofErr w:type="spellStart"/>
      <w:r w:rsidR="006D2D29" w:rsidRPr="006D2492">
        <w:t>Onwusa</w:t>
      </w:r>
      <w:proofErr w:type="spellEnd"/>
      <w:r w:rsidR="006D2D29" w:rsidRPr="006D2492">
        <w:t>, 2021</w:t>
      </w:r>
      <w:r>
        <w:t>).</w:t>
      </w:r>
    </w:p>
    <w:p w14:paraId="023F80C2" w14:textId="1EC206D0" w:rsidR="00AD69C0" w:rsidRDefault="00AD69C0" w:rsidP="00AD69C0">
      <w:pPr>
        <w:pStyle w:val="NormalWeb"/>
        <w:ind w:firstLine="720"/>
        <w:jc w:val="both"/>
      </w:pPr>
      <w:r>
        <w:lastRenderedPageBreak/>
        <w:t xml:space="preserve">Skill training programs have emerged as essential tools for developing entrepreneurial capacities among individuals in agriculture and </w:t>
      </w:r>
      <w:r w:rsidR="00A17821">
        <w:t xml:space="preserve">its </w:t>
      </w:r>
      <w:r>
        <w:t xml:space="preserve">related sectors. Recent studies indicate that skill-based entrepreneurship training is </w:t>
      </w:r>
      <w:r w:rsidR="00A17821">
        <w:t xml:space="preserve">the </w:t>
      </w:r>
      <w:r>
        <w:t xml:space="preserve">key to bridging the gap between traditional farming practices and market-oriented agribusiness ventures. This training enhances trainees' technical competence, ability to recognize opportunities and </w:t>
      </w:r>
      <w:r w:rsidR="004445A3">
        <w:t xml:space="preserve">their </w:t>
      </w:r>
      <w:r>
        <w:t xml:space="preserve">willingness to take </w:t>
      </w:r>
      <w:r w:rsidR="004445A3">
        <w:t xml:space="preserve">calculated </w:t>
      </w:r>
      <w:r>
        <w:t>risks (</w:t>
      </w:r>
      <w:r w:rsidR="00D80D84">
        <w:rPr>
          <w:shd w:val="clear" w:color="auto" w:fill="FFFFFF"/>
        </w:rPr>
        <w:t>Motta and Galina</w:t>
      </w:r>
      <w:r w:rsidR="00D80D84" w:rsidRPr="00C7183C">
        <w:rPr>
          <w:shd w:val="clear" w:color="auto" w:fill="FFFFFF"/>
        </w:rPr>
        <w:t>, 202</w:t>
      </w:r>
      <w:r w:rsidR="00D80D84">
        <w:rPr>
          <w:shd w:val="clear" w:color="auto" w:fill="FFFFFF"/>
        </w:rPr>
        <w:t>3</w:t>
      </w:r>
      <w:r>
        <w:t xml:space="preserve">; </w:t>
      </w:r>
      <w:proofErr w:type="spellStart"/>
      <w:r w:rsidR="00E72FF2" w:rsidRPr="00B66948">
        <w:t>Pliakoura</w:t>
      </w:r>
      <w:proofErr w:type="spellEnd"/>
      <w:r>
        <w:t xml:space="preserve">, 2020). </w:t>
      </w:r>
    </w:p>
    <w:p w14:paraId="224F594B" w14:textId="1EFF4DC4" w:rsidR="00800FAE" w:rsidRPr="00550AB5" w:rsidRDefault="00AD69C0" w:rsidP="00550AB5">
      <w:pPr>
        <w:pStyle w:val="NormalWeb"/>
        <w:jc w:val="both"/>
      </w:pPr>
      <w:r>
        <w:t xml:space="preserve">Institutional interventions through agricultural universities and extension systems have gained renewed importance in strengthening </w:t>
      </w:r>
      <w:proofErr w:type="spellStart"/>
      <w:r>
        <w:t>agri</w:t>
      </w:r>
      <w:proofErr w:type="spellEnd"/>
      <w:r>
        <w:t>-entrepreneurial ecosystems. These institutions provide context-specific, experiential and practic</w:t>
      </w:r>
      <w:r w:rsidR="004445A3">
        <w:t>al</w:t>
      </w:r>
      <w:r>
        <w:t xml:space="preserve">-oriented skill development programs (OECD, 2021; Singh </w:t>
      </w:r>
      <w:r w:rsidR="0008746C">
        <w:t>et al.</w:t>
      </w:r>
      <w:r>
        <w:t>, 201</w:t>
      </w:r>
      <w:r w:rsidR="0008746C">
        <w:t>3</w:t>
      </w:r>
      <w:r>
        <w:t xml:space="preserve">). In India, State Agricultural Universities (SAUs) have emerged as key institutional players in promoting </w:t>
      </w:r>
      <w:proofErr w:type="spellStart"/>
      <w:r>
        <w:t>agripreneurship</w:t>
      </w:r>
      <w:proofErr w:type="spellEnd"/>
      <w:r>
        <w:t>. They integrate skill development, value addition and market orientation into their extension mandate,</w:t>
      </w:r>
      <w:r w:rsidR="004445A3">
        <w:t xml:space="preserve"> and </w:t>
      </w:r>
      <w:r>
        <w:t xml:space="preserve">thereby contributing to inclusive rural development </w:t>
      </w:r>
      <w:proofErr w:type="gramStart"/>
      <w:r>
        <w:t xml:space="preserve">( </w:t>
      </w:r>
      <w:r w:rsidR="00550AB5" w:rsidRPr="005E29F1">
        <w:t>Chandre</w:t>
      </w:r>
      <w:proofErr w:type="gramEnd"/>
      <w:r w:rsidR="00550AB5" w:rsidRPr="005E29F1">
        <w:t xml:space="preserve"> Gowda, </w:t>
      </w:r>
      <w:r w:rsidR="00550AB5" w:rsidRPr="00550AB5">
        <w:rPr>
          <w:i/>
          <w:iCs/>
        </w:rPr>
        <w:t>et al</w:t>
      </w:r>
      <w:r w:rsidR="00550AB5" w:rsidRPr="005E29F1">
        <w:t>.,</w:t>
      </w:r>
      <w:r w:rsidR="00550AB5">
        <w:t xml:space="preserve"> 2023</w:t>
      </w:r>
      <w:r>
        <w:t>).</w:t>
      </w:r>
    </w:p>
    <w:p w14:paraId="75F5734C" w14:textId="2D700519" w:rsidR="00AD69C0" w:rsidRDefault="00AD69C0" w:rsidP="00AD69C0">
      <w:pPr>
        <w:pStyle w:val="NormalWeb"/>
        <w:ind w:firstLine="720"/>
        <w:jc w:val="both"/>
      </w:pPr>
      <w:r>
        <w:t xml:space="preserve">This research article explores the transformative potential of skill enhancement initiatives led by Kerala Agricultural University (KAU). The Communication Centre, </w:t>
      </w:r>
      <w:r w:rsidR="00F4470F">
        <w:t xml:space="preserve">a </w:t>
      </w:r>
      <w:r>
        <w:t>part of the Directorate of Extension at KAU, focuses on various extension activities. These include organizing national and regional exhibitions, offering farm advisory services both on-farm and off-farm, disseminating technologies through skill training sessions, promoting technologies via print and visual media, conducting research projects and providing value-added services to the general public.</w:t>
      </w:r>
    </w:p>
    <w:p w14:paraId="17D97B8E" w14:textId="5397E56F" w:rsidR="00AD69C0" w:rsidRDefault="00AD69C0" w:rsidP="00AD69C0">
      <w:pPr>
        <w:pStyle w:val="NormalWeb"/>
        <w:ind w:firstLine="720"/>
        <w:jc w:val="both"/>
      </w:pPr>
      <w:r>
        <w:t>The study investigates the entrepreneurial tendencies of trainees participating in various training sessions conducted in 2023</w:t>
      </w:r>
      <w:r w:rsidR="00F4470F">
        <w:t>-2024</w:t>
      </w:r>
      <w:r>
        <w:t>. It highlights the trainees' perceptions regarding the University's efforts to bridge knowledge gaps, equip individuals with relevant skills and foster innovation within the agricultural sector. By emphasizing practical, hands-on training tailored to local contexts, these programs aim to empower farmers and interested individuals, including women, to transition from traditional subsistence practices to entrepreneurial ventures.</w:t>
      </w:r>
    </w:p>
    <w:p w14:paraId="33C96B5E" w14:textId="27AB1627" w:rsidR="00AD69C0" w:rsidRDefault="00AD69C0" w:rsidP="00BD4B9D">
      <w:pPr>
        <w:pStyle w:val="NormalWeb"/>
        <w:ind w:firstLine="720"/>
        <w:jc w:val="both"/>
      </w:pPr>
      <w:r>
        <w:t>Additionally, the study examines the profile characteristics of the trainees and how their socio-economic status influences their decision to start</w:t>
      </w:r>
      <w:r w:rsidR="006C5413">
        <w:t xml:space="preserve"> into</w:t>
      </w:r>
      <w:r>
        <w:t xml:space="preserve"> new ventures. A related study by </w:t>
      </w:r>
      <w:proofErr w:type="spellStart"/>
      <w:r w:rsidR="00891783" w:rsidRPr="00891783">
        <w:t>Malani</w:t>
      </w:r>
      <w:proofErr w:type="spellEnd"/>
      <w:r w:rsidR="00891783" w:rsidRPr="00891783">
        <w:t xml:space="preserve"> and </w:t>
      </w:r>
      <w:proofErr w:type="spellStart"/>
      <w:r w:rsidR="00891783" w:rsidRPr="00891783">
        <w:t>Mehasare</w:t>
      </w:r>
      <w:proofErr w:type="spellEnd"/>
      <w:r w:rsidR="00891783" w:rsidRPr="00891783">
        <w:t xml:space="preserve"> (2026) </w:t>
      </w:r>
      <w:r>
        <w:t xml:space="preserve">discusses how skill development initiatives targeting rural areas empower individuals, enhance entrepreneurial </w:t>
      </w:r>
      <w:r w:rsidR="00F4470F">
        <w:t>behaviour</w:t>
      </w:r>
      <w:r>
        <w:t xml:space="preserve"> and </w:t>
      </w:r>
      <w:r w:rsidR="006C5413">
        <w:t xml:space="preserve">also </w:t>
      </w:r>
      <w:r>
        <w:t xml:space="preserve">promote innovation in agriculture, particularly through value-added activities. Maheshwari and Arya (2019) emphasize that structured training interventions focused on modern farming techniques, value addition and market linkages are crucial for developing entrepreneurial capabilities among farmers and driving economic growth in rural sectors. By </w:t>
      </w:r>
      <w:r w:rsidR="006C5413">
        <w:t>promoting</w:t>
      </w:r>
      <w:r>
        <w:t xml:space="preserve"> skill development, individuals can improve their prospects of securing productive and profitable employment,</w:t>
      </w:r>
      <w:r w:rsidR="006C5413">
        <w:t xml:space="preserve"> and</w:t>
      </w:r>
      <w:r>
        <w:t xml:space="preserve"> thereby sustainably increasing their income and access to a better quality of life (</w:t>
      </w:r>
      <w:proofErr w:type="spellStart"/>
      <w:r>
        <w:t>Umunadi</w:t>
      </w:r>
      <w:proofErr w:type="spellEnd"/>
      <w:r>
        <w:t>, 2010).</w:t>
      </w:r>
    </w:p>
    <w:p w14:paraId="20B666D3" w14:textId="6DEDF78D" w:rsidR="003F5093" w:rsidRPr="00BD4B9D" w:rsidRDefault="003F5093" w:rsidP="00965A58">
      <w:pPr>
        <w:pStyle w:val="NormalWeb"/>
        <w:jc w:val="both"/>
        <w:rPr>
          <w:b/>
          <w:bCs/>
          <w:color w:val="000000" w:themeColor="text1"/>
        </w:rPr>
      </w:pPr>
      <w:r w:rsidRPr="00BD4B9D">
        <w:rPr>
          <w:b/>
          <w:bCs/>
          <w:color w:val="000000" w:themeColor="text1"/>
        </w:rPr>
        <w:t xml:space="preserve">Materials and </w:t>
      </w:r>
      <w:r w:rsidR="007A5F19" w:rsidRPr="00BD4B9D">
        <w:rPr>
          <w:b/>
          <w:bCs/>
          <w:color w:val="000000" w:themeColor="text1"/>
        </w:rPr>
        <w:t>M</w:t>
      </w:r>
      <w:r w:rsidRPr="00BD4B9D">
        <w:rPr>
          <w:b/>
          <w:bCs/>
          <w:color w:val="000000" w:themeColor="text1"/>
        </w:rPr>
        <w:t>ethods</w:t>
      </w:r>
    </w:p>
    <w:p w14:paraId="5FBE36CC" w14:textId="641E4D4E"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Communication Centre, part of the Directorate of Extension, conducts various skill training programs on a wide range of topics. These </w:t>
      </w:r>
      <w:r w:rsidR="006C5413">
        <w:rPr>
          <w:rFonts w:ascii="Times New Roman" w:hAnsi="Times New Roman" w:cs="Times New Roman"/>
          <w:sz w:val="24"/>
          <w:szCs w:val="24"/>
        </w:rPr>
        <w:t xml:space="preserve">mostly </w:t>
      </w:r>
      <w:r>
        <w:rPr>
          <w:rFonts w:ascii="Times New Roman" w:hAnsi="Times New Roman" w:cs="Times New Roman"/>
          <w:sz w:val="24"/>
          <w:szCs w:val="24"/>
        </w:rPr>
        <w:t xml:space="preserve">include plant propagation techniques, freshwater fish cultivation, ornamental fish culture, mushroom cultivation, goat farming, composting techniques, value addition of fruits and vegetables, value addition of farmyard manure, beekeeping, terrarium making, cake designing, and poultry farming, among others. </w:t>
      </w:r>
    </w:p>
    <w:p w14:paraId="0216EFA7" w14:textId="3BF80985"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short-term training sessions typically last one or two days and are designed to be largely practical, tailored to meet the specific requirements of each subject. Theory sessions are led by expert scientists in their respective fields, while practical sessions are conducted by professionals actively working in those areas.</w:t>
      </w:r>
    </w:p>
    <w:p w14:paraId="5AE7DF25" w14:textId="1861ED51"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A study by Gayathri and Bonny (202</w:t>
      </w:r>
      <w:r w:rsidR="00F412CE">
        <w:rPr>
          <w:rFonts w:ascii="Times New Roman" w:hAnsi="Times New Roman" w:cs="Times New Roman"/>
          <w:sz w:val="24"/>
          <w:szCs w:val="24"/>
        </w:rPr>
        <w:t>0</w:t>
      </w:r>
      <w:r>
        <w:rPr>
          <w:rFonts w:ascii="Times New Roman" w:hAnsi="Times New Roman" w:cs="Times New Roman"/>
          <w:sz w:val="24"/>
          <w:szCs w:val="24"/>
        </w:rPr>
        <w:t xml:space="preserve">) explored the training needs for entrepreneurship development programs at Krishi Vigyan </w:t>
      </w:r>
      <w:proofErr w:type="spellStart"/>
      <w:r>
        <w:rPr>
          <w:rFonts w:ascii="Times New Roman" w:hAnsi="Times New Roman" w:cs="Times New Roman"/>
          <w:sz w:val="24"/>
          <w:szCs w:val="24"/>
        </w:rPr>
        <w:t>Kendras</w:t>
      </w:r>
      <w:proofErr w:type="spellEnd"/>
      <w:r>
        <w:rPr>
          <w:rFonts w:ascii="Times New Roman" w:hAnsi="Times New Roman" w:cs="Times New Roman"/>
          <w:sz w:val="24"/>
          <w:szCs w:val="24"/>
        </w:rPr>
        <w:t xml:space="preserve"> in Kerala, specifically focusing on topics such as packaging and marketing in mushroom production and value addition in fruits and vegetables. Additionally, research by Kumar and Goyal (2021) emphasizes the importance of regular training programs to cultivate entrepreneurial mindsets, enhance risk-taking abilities, and improve the adoption of agribusiness innovations among rural farmers.</w:t>
      </w:r>
    </w:p>
    <w:p w14:paraId="70BECF2D" w14:textId="2E24D489"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 xml:space="preserve">Skill training programs that prioritize experiential learning, hands-on practice, and real-time problem-solving are widely recognized as being more effective </w:t>
      </w:r>
      <w:r w:rsidR="005206EE">
        <w:rPr>
          <w:rFonts w:ascii="Times New Roman" w:hAnsi="Times New Roman" w:cs="Times New Roman"/>
          <w:sz w:val="24"/>
          <w:szCs w:val="24"/>
        </w:rPr>
        <w:t>for</w:t>
      </w:r>
      <w:r>
        <w:rPr>
          <w:rFonts w:ascii="Times New Roman" w:hAnsi="Times New Roman" w:cs="Times New Roman"/>
          <w:sz w:val="24"/>
          <w:szCs w:val="24"/>
        </w:rPr>
        <w:t xml:space="preserve"> fostering entrepreneurial competencies compared to purely classroom-based approaches (</w:t>
      </w:r>
      <w:r w:rsidR="00D92801">
        <w:rPr>
          <w:rFonts w:ascii="Times New Roman" w:hAnsi="Times New Roman" w:cs="Times New Roman"/>
          <w:sz w:val="24"/>
          <w:szCs w:val="24"/>
        </w:rPr>
        <w:t>FAO</w:t>
      </w:r>
      <w:r>
        <w:rPr>
          <w:rFonts w:ascii="Times New Roman" w:hAnsi="Times New Roman" w:cs="Times New Roman"/>
          <w:sz w:val="24"/>
          <w:szCs w:val="24"/>
        </w:rPr>
        <w:t>, 202</w:t>
      </w:r>
      <w:r w:rsidR="00D92801">
        <w:rPr>
          <w:rFonts w:ascii="Times New Roman" w:hAnsi="Times New Roman" w:cs="Times New Roman"/>
          <w:sz w:val="24"/>
          <w:szCs w:val="24"/>
        </w:rPr>
        <w:t>3</w:t>
      </w:r>
      <w:r>
        <w:rPr>
          <w:rFonts w:ascii="Times New Roman" w:hAnsi="Times New Roman" w:cs="Times New Roman"/>
          <w:sz w:val="24"/>
          <w:szCs w:val="24"/>
        </w:rPr>
        <w:t>; Sharma et al., 202</w:t>
      </w:r>
      <w:r w:rsidR="000E2002">
        <w:rPr>
          <w:rFonts w:ascii="Times New Roman" w:hAnsi="Times New Roman" w:cs="Times New Roman"/>
          <w:sz w:val="24"/>
          <w:szCs w:val="24"/>
        </w:rPr>
        <w:t>1</w:t>
      </w:r>
      <w:r>
        <w:rPr>
          <w:rFonts w:ascii="Times New Roman" w:hAnsi="Times New Roman" w:cs="Times New Roman"/>
          <w:sz w:val="24"/>
          <w:szCs w:val="24"/>
        </w:rPr>
        <w:t>).</w:t>
      </w:r>
    </w:p>
    <w:p w14:paraId="074E79D3" w14:textId="3AC04416" w:rsidR="00AD69C0" w:rsidRDefault="00AD69C0" w:rsidP="00A17821">
      <w:pPr>
        <w:ind w:firstLine="720"/>
        <w:jc w:val="both"/>
        <w:rPr>
          <w:rFonts w:ascii="Times New Roman" w:hAnsi="Times New Roman" w:cs="Times New Roman"/>
          <w:sz w:val="24"/>
          <w:szCs w:val="24"/>
        </w:rPr>
      </w:pPr>
      <w:r>
        <w:rPr>
          <w:rFonts w:ascii="Times New Roman" w:hAnsi="Times New Roman" w:cs="Times New Roman"/>
          <w:sz w:val="24"/>
          <w:szCs w:val="24"/>
        </w:rPr>
        <w:t>For this study, approximately 200 trainees were randomly selected from a total of 450 individuals who participated in these training programs. After accounting for complete responses to all questionnaire items, the final sample size was reduced to 177. Data were collected using a structured questionnaire.</w:t>
      </w:r>
    </w:p>
    <w:p w14:paraId="52147348" w14:textId="2B7184BB" w:rsidR="00CE75D1" w:rsidRPr="00CE75D1" w:rsidRDefault="00AD69C0" w:rsidP="00B20B9F">
      <w:pPr>
        <w:ind w:firstLine="720"/>
        <w:jc w:val="both"/>
        <w:rPr>
          <w:rFonts w:ascii="Times New Roman" w:eastAsia="Times New Roman" w:hAnsi="Times New Roman" w:cs="Times New Roman"/>
          <w:color w:val="EE0000"/>
          <w:sz w:val="24"/>
          <w:szCs w:val="24"/>
          <w:lang w:eastAsia="en-IN"/>
        </w:rPr>
      </w:pPr>
      <w:r>
        <w:rPr>
          <w:rFonts w:ascii="Times New Roman" w:hAnsi="Times New Roman" w:cs="Times New Roman"/>
          <w:sz w:val="24"/>
          <w:szCs w:val="24"/>
        </w:rPr>
        <w:t>Similar methodologies, which involve structured questionnaires and trainee perception analysis, have been effectively utilized in recent entrepreneurship impact studies to evaluate the outcomes of institutional training interventions in agriculture (Meena et al., 202</w:t>
      </w:r>
      <w:r w:rsidR="005C2EE6">
        <w:rPr>
          <w:rFonts w:ascii="Times New Roman" w:hAnsi="Times New Roman" w:cs="Times New Roman"/>
          <w:sz w:val="24"/>
          <w:szCs w:val="24"/>
        </w:rPr>
        <w:t>3</w:t>
      </w:r>
      <w:r>
        <w:rPr>
          <w:rFonts w:ascii="Times New Roman" w:hAnsi="Times New Roman" w:cs="Times New Roman"/>
          <w:sz w:val="24"/>
          <w:szCs w:val="24"/>
        </w:rPr>
        <w:t>; Kumar and Goyal, 2021).</w:t>
      </w:r>
    </w:p>
    <w:p w14:paraId="4B4E0D94" w14:textId="77777777" w:rsidR="000A757F" w:rsidRPr="00BD4B9D" w:rsidRDefault="0061752E" w:rsidP="00965A58">
      <w:pPr>
        <w:jc w:val="both"/>
        <w:rPr>
          <w:rFonts w:ascii="Times New Roman" w:hAnsi="Times New Roman" w:cs="Times New Roman"/>
          <w:b/>
          <w:sz w:val="24"/>
          <w:szCs w:val="24"/>
          <w:lang w:val="en-US"/>
        </w:rPr>
      </w:pPr>
      <w:r w:rsidRPr="00BD4B9D">
        <w:rPr>
          <w:rFonts w:ascii="Times New Roman" w:hAnsi="Times New Roman" w:cs="Times New Roman"/>
          <w:b/>
          <w:sz w:val="24"/>
          <w:szCs w:val="24"/>
          <w:lang w:val="en-US"/>
        </w:rPr>
        <w:t>Results and discussions</w:t>
      </w:r>
    </w:p>
    <w:p w14:paraId="66906D74" w14:textId="677EEA27" w:rsidR="00107673" w:rsidRPr="00BD4B9D" w:rsidRDefault="00107673" w:rsidP="00965A58">
      <w:pPr>
        <w:jc w:val="both"/>
        <w:rPr>
          <w:rFonts w:ascii="Times New Roman" w:hAnsi="Times New Roman" w:cs="Times New Roman"/>
          <w:b/>
          <w:sz w:val="24"/>
          <w:szCs w:val="24"/>
          <w:lang w:val="en-US"/>
        </w:rPr>
      </w:pPr>
      <w:r w:rsidRPr="00BD4B9D">
        <w:rPr>
          <w:rFonts w:ascii="Times New Roman" w:hAnsi="Times New Roman" w:cs="Times New Roman"/>
          <w:b/>
          <w:sz w:val="24"/>
          <w:szCs w:val="24"/>
          <w:lang w:val="en-US"/>
        </w:rPr>
        <w:t xml:space="preserve">Table 1: </w:t>
      </w:r>
      <w:r w:rsidR="00D635F5">
        <w:rPr>
          <w:rFonts w:ascii="Times New Roman" w:hAnsi="Times New Roman" w:cs="Times New Roman"/>
          <w:b/>
          <w:sz w:val="24"/>
          <w:szCs w:val="24"/>
          <w:lang w:val="en-US"/>
        </w:rPr>
        <w:t>General profile</w:t>
      </w:r>
      <w:r w:rsidRPr="00BD4B9D">
        <w:rPr>
          <w:rFonts w:ascii="Times New Roman" w:hAnsi="Times New Roman" w:cs="Times New Roman"/>
          <w:b/>
          <w:sz w:val="24"/>
          <w:szCs w:val="24"/>
          <w:lang w:val="en-US"/>
        </w:rPr>
        <w:t xml:space="preserve"> of trainees</w:t>
      </w:r>
      <w:r w:rsidR="00D635F5">
        <w:rPr>
          <w:rFonts w:ascii="Times New Roman" w:hAnsi="Times New Roman" w:cs="Times New Roman"/>
          <w:b/>
          <w:sz w:val="24"/>
          <w:szCs w:val="24"/>
          <w:lang w:val="en-US"/>
        </w:rPr>
        <w:t xml:space="preserve"> (n=177)</w:t>
      </w:r>
    </w:p>
    <w:tbl>
      <w:tblPr>
        <w:tblStyle w:val="TableGrid"/>
        <w:tblW w:w="8793" w:type="dxa"/>
        <w:tblLook w:val="04A0" w:firstRow="1" w:lastRow="0" w:firstColumn="1" w:lastColumn="0" w:noHBand="0" w:noVBand="1"/>
      </w:tblPr>
      <w:tblGrid>
        <w:gridCol w:w="2281"/>
        <w:gridCol w:w="2676"/>
        <w:gridCol w:w="1310"/>
        <w:gridCol w:w="1349"/>
        <w:gridCol w:w="1177"/>
      </w:tblGrid>
      <w:tr w:rsidR="00165B57" w:rsidRPr="00BD4B9D" w14:paraId="53593FBE" w14:textId="77777777" w:rsidTr="00227036">
        <w:trPr>
          <w:trHeight w:val="536"/>
        </w:trPr>
        <w:tc>
          <w:tcPr>
            <w:tcW w:w="2281" w:type="dxa"/>
          </w:tcPr>
          <w:p w14:paraId="0C6BD284" w14:textId="77777777" w:rsidR="00165B57" w:rsidRPr="00BD4B9D" w:rsidRDefault="00165B57">
            <w:pPr>
              <w:rPr>
                <w:rFonts w:ascii="Times New Roman" w:hAnsi="Times New Roman" w:cs="Times New Roman"/>
                <w:b/>
                <w:sz w:val="24"/>
                <w:szCs w:val="24"/>
              </w:rPr>
            </w:pPr>
            <w:r w:rsidRPr="00BD4B9D">
              <w:rPr>
                <w:rFonts w:ascii="Times New Roman" w:hAnsi="Times New Roman" w:cs="Times New Roman"/>
                <w:b/>
                <w:sz w:val="24"/>
                <w:szCs w:val="24"/>
              </w:rPr>
              <w:t>Characteristics</w:t>
            </w:r>
          </w:p>
        </w:tc>
        <w:tc>
          <w:tcPr>
            <w:tcW w:w="2676" w:type="dxa"/>
            <w:vAlign w:val="bottom"/>
          </w:tcPr>
          <w:p w14:paraId="1F77CD13"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Class/Division</w:t>
            </w:r>
          </w:p>
          <w:p w14:paraId="52031171"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p>
        </w:tc>
        <w:tc>
          <w:tcPr>
            <w:tcW w:w="1310" w:type="dxa"/>
            <w:vAlign w:val="bottom"/>
          </w:tcPr>
          <w:p w14:paraId="5AC0F716"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Frequency</w:t>
            </w:r>
          </w:p>
          <w:p w14:paraId="37D3FB6E"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N= 177</w:t>
            </w:r>
          </w:p>
        </w:tc>
        <w:tc>
          <w:tcPr>
            <w:tcW w:w="1349" w:type="dxa"/>
            <w:vAlign w:val="center"/>
          </w:tcPr>
          <w:p w14:paraId="5A618F24" w14:textId="77777777" w:rsidR="00165B57" w:rsidRPr="00BD4B9D" w:rsidRDefault="00165B57">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Percentage</w:t>
            </w:r>
          </w:p>
        </w:tc>
        <w:tc>
          <w:tcPr>
            <w:tcW w:w="1177" w:type="dxa"/>
          </w:tcPr>
          <w:p w14:paraId="6BBD2C4C" w14:textId="77777777" w:rsidR="00165B57" w:rsidRPr="00BD4B9D" w:rsidRDefault="00165B57">
            <w:pPr>
              <w:rPr>
                <w:rFonts w:ascii="Times New Roman" w:hAnsi="Times New Roman" w:cs="Times New Roman"/>
                <w:b/>
                <w:sz w:val="24"/>
                <w:szCs w:val="24"/>
              </w:rPr>
            </w:pPr>
            <w:r w:rsidRPr="00BD4B9D">
              <w:rPr>
                <w:rFonts w:ascii="Times New Roman" w:hAnsi="Times New Roman" w:cs="Times New Roman"/>
                <w:b/>
                <w:sz w:val="24"/>
                <w:szCs w:val="24"/>
              </w:rPr>
              <w:t>Standard deviation</w:t>
            </w:r>
          </w:p>
        </w:tc>
      </w:tr>
      <w:tr w:rsidR="00165B57" w:rsidRPr="00BD4B9D" w14:paraId="6474AE31" w14:textId="77777777" w:rsidTr="00227036">
        <w:tc>
          <w:tcPr>
            <w:tcW w:w="2281" w:type="dxa"/>
            <w:vMerge w:val="restart"/>
          </w:tcPr>
          <w:p w14:paraId="21EF37AA"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Age</w:t>
            </w:r>
          </w:p>
        </w:tc>
        <w:tc>
          <w:tcPr>
            <w:tcW w:w="2676" w:type="dxa"/>
            <w:vAlign w:val="bottom"/>
          </w:tcPr>
          <w:p w14:paraId="71372DDA"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Less than 35</w:t>
            </w:r>
          </w:p>
        </w:tc>
        <w:tc>
          <w:tcPr>
            <w:tcW w:w="1310" w:type="dxa"/>
            <w:vAlign w:val="bottom"/>
          </w:tcPr>
          <w:p w14:paraId="6CE6EDC4"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w:t>
            </w:r>
          </w:p>
        </w:tc>
        <w:tc>
          <w:tcPr>
            <w:tcW w:w="1349" w:type="dxa"/>
            <w:vAlign w:val="center"/>
          </w:tcPr>
          <w:p w14:paraId="723C75DB"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6.78</w:t>
            </w:r>
          </w:p>
        </w:tc>
        <w:tc>
          <w:tcPr>
            <w:tcW w:w="1177" w:type="dxa"/>
            <w:vMerge w:val="restart"/>
          </w:tcPr>
          <w:p w14:paraId="148243EE"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11.43</w:t>
            </w:r>
          </w:p>
        </w:tc>
      </w:tr>
      <w:tr w:rsidR="00165B57" w:rsidRPr="00BD4B9D" w14:paraId="4CEC75FC" w14:textId="77777777" w:rsidTr="00227036">
        <w:tc>
          <w:tcPr>
            <w:tcW w:w="2281" w:type="dxa"/>
            <w:vMerge/>
          </w:tcPr>
          <w:p w14:paraId="6B4B787F" w14:textId="77777777" w:rsidR="00165B57" w:rsidRPr="00BD4B9D" w:rsidRDefault="00165B57">
            <w:pPr>
              <w:rPr>
                <w:rFonts w:ascii="Times New Roman" w:hAnsi="Times New Roman" w:cs="Times New Roman"/>
                <w:sz w:val="24"/>
                <w:szCs w:val="24"/>
              </w:rPr>
            </w:pPr>
          </w:p>
        </w:tc>
        <w:tc>
          <w:tcPr>
            <w:tcW w:w="2676" w:type="dxa"/>
            <w:vAlign w:val="bottom"/>
          </w:tcPr>
          <w:p w14:paraId="495A9327" w14:textId="5400B6F8"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 xml:space="preserve">35 </w:t>
            </w:r>
            <w:r w:rsidR="00D635F5">
              <w:rPr>
                <w:rFonts w:ascii="Times New Roman" w:eastAsia="Times New Roman" w:hAnsi="Times New Roman" w:cs="Times New Roman"/>
                <w:color w:val="000000"/>
                <w:kern w:val="0"/>
                <w:sz w:val="24"/>
                <w:szCs w:val="24"/>
                <w:lang w:eastAsia="en-IN"/>
                <w14:ligatures w14:val="none"/>
              </w:rPr>
              <w:t>–</w:t>
            </w:r>
            <w:r w:rsidRPr="00BD4B9D">
              <w:rPr>
                <w:rFonts w:ascii="Times New Roman" w:eastAsia="Times New Roman" w:hAnsi="Times New Roman" w:cs="Times New Roman"/>
                <w:color w:val="000000"/>
                <w:kern w:val="0"/>
                <w:sz w:val="24"/>
                <w:szCs w:val="24"/>
                <w:lang w:eastAsia="en-IN"/>
                <w14:ligatures w14:val="none"/>
              </w:rPr>
              <w:t xml:space="preserve"> 60</w:t>
            </w:r>
            <w:r w:rsidR="00D635F5">
              <w:rPr>
                <w:rFonts w:ascii="Times New Roman" w:eastAsia="Times New Roman" w:hAnsi="Times New Roman" w:cs="Times New Roman"/>
                <w:color w:val="000000"/>
                <w:kern w:val="0"/>
                <w:sz w:val="24"/>
                <w:szCs w:val="24"/>
                <w:lang w:eastAsia="en-IN"/>
                <w14:ligatures w14:val="none"/>
              </w:rPr>
              <w:t xml:space="preserve"> </w:t>
            </w:r>
          </w:p>
        </w:tc>
        <w:tc>
          <w:tcPr>
            <w:tcW w:w="1310" w:type="dxa"/>
            <w:vAlign w:val="bottom"/>
          </w:tcPr>
          <w:p w14:paraId="32CC121D"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138</w:t>
            </w:r>
          </w:p>
        </w:tc>
        <w:tc>
          <w:tcPr>
            <w:tcW w:w="1349" w:type="dxa"/>
            <w:vAlign w:val="center"/>
          </w:tcPr>
          <w:p w14:paraId="59DFBF4C"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77.97</w:t>
            </w:r>
          </w:p>
        </w:tc>
        <w:tc>
          <w:tcPr>
            <w:tcW w:w="1177" w:type="dxa"/>
            <w:vMerge/>
          </w:tcPr>
          <w:p w14:paraId="77BA9B80" w14:textId="77777777" w:rsidR="00165B57" w:rsidRPr="00BD4B9D" w:rsidRDefault="00165B57">
            <w:pPr>
              <w:rPr>
                <w:rFonts w:ascii="Times New Roman" w:hAnsi="Times New Roman" w:cs="Times New Roman"/>
                <w:sz w:val="24"/>
                <w:szCs w:val="24"/>
              </w:rPr>
            </w:pPr>
          </w:p>
        </w:tc>
      </w:tr>
      <w:tr w:rsidR="00165B57" w:rsidRPr="00BD4B9D" w14:paraId="0E383EEB" w14:textId="77777777" w:rsidTr="00227036">
        <w:tc>
          <w:tcPr>
            <w:tcW w:w="2281" w:type="dxa"/>
            <w:vMerge/>
          </w:tcPr>
          <w:p w14:paraId="26772163" w14:textId="77777777" w:rsidR="00165B57" w:rsidRPr="00BD4B9D" w:rsidRDefault="00165B57">
            <w:pPr>
              <w:rPr>
                <w:rFonts w:ascii="Times New Roman" w:hAnsi="Times New Roman" w:cs="Times New Roman"/>
                <w:sz w:val="24"/>
                <w:szCs w:val="24"/>
              </w:rPr>
            </w:pPr>
          </w:p>
        </w:tc>
        <w:tc>
          <w:tcPr>
            <w:tcW w:w="2676" w:type="dxa"/>
            <w:vAlign w:val="bottom"/>
          </w:tcPr>
          <w:p w14:paraId="4348887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Greater than 60</w:t>
            </w:r>
          </w:p>
        </w:tc>
        <w:tc>
          <w:tcPr>
            <w:tcW w:w="1310" w:type="dxa"/>
            <w:vAlign w:val="bottom"/>
          </w:tcPr>
          <w:p w14:paraId="50A80B3B"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27</w:t>
            </w:r>
          </w:p>
        </w:tc>
        <w:tc>
          <w:tcPr>
            <w:tcW w:w="1349" w:type="dxa"/>
            <w:vAlign w:val="center"/>
          </w:tcPr>
          <w:p w14:paraId="59C3B3A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15.25</w:t>
            </w:r>
          </w:p>
        </w:tc>
        <w:tc>
          <w:tcPr>
            <w:tcW w:w="1177" w:type="dxa"/>
            <w:vMerge/>
          </w:tcPr>
          <w:p w14:paraId="43CF9948" w14:textId="77777777" w:rsidR="00165B57" w:rsidRPr="00BD4B9D" w:rsidRDefault="00165B57">
            <w:pPr>
              <w:rPr>
                <w:rFonts w:ascii="Times New Roman" w:hAnsi="Times New Roman" w:cs="Times New Roman"/>
                <w:sz w:val="24"/>
                <w:szCs w:val="24"/>
              </w:rPr>
            </w:pPr>
          </w:p>
        </w:tc>
      </w:tr>
      <w:tr w:rsidR="00165B57" w:rsidRPr="00BD4B9D" w14:paraId="0987D52C" w14:textId="77777777" w:rsidTr="00227036">
        <w:tc>
          <w:tcPr>
            <w:tcW w:w="2281" w:type="dxa"/>
            <w:vMerge w:val="restart"/>
          </w:tcPr>
          <w:p w14:paraId="1ED27618"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Gender</w:t>
            </w:r>
          </w:p>
        </w:tc>
        <w:tc>
          <w:tcPr>
            <w:tcW w:w="2676" w:type="dxa"/>
            <w:vAlign w:val="bottom"/>
          </w:tcPr>
          <w:p w14:paraId="0B093D74"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Male</w:t>
            </w:r>
          </w:p>
        </w:tc>
        <w:tc>
          <w:tcPr>
            <w:tcW w:w="1310" w:type="dxa"/>
            <w:vAlign w:val="bottom"/>
          </w:tcPr>
          <w:p w14:paraId="7C875099"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78</w:t>
            </w:r>
          </w:p>
        </w:tc>
        <w:tc>
          <w:tcPr>
            <w:tcW w:w="1349" w:type="dxa"/>
            <w:vAlign w:val="center"/>
          </w:tcPr>
          <w:p w14:paraId="6E2BE608"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44.07</w:t>
            </w:r>
          </w:p>
        </w:tc>
        <w:tc>
          <w:tcPr>
            <w:tcW w:w="1177" w:type="dxa"/>
            <w:vMerge w:val="restart"/>
          </w:tcPr>
          <w:p w14:paraId="2524A2D7" w14:textId="370C44A7" w:rsidR="00165B57" w:rsidRPr="00BD4B9D" w:rsidRDefault="00165B57">
            <w:pPr>
              <w:rPr>
                <w:rFonts w:ascii="Times New Roman" w:hAnsi="Times New Roman" w:cs="Times New Roman"/>
                <w:sz w:val="24"/>
                <w:szCs w:val="24"/>
              </w:rPr>
            </w:pPr>
          </w:p>
        </w:tc>
      </w:tr>
      <w:tr w:rsidR="00165B57" w:rsidRPr="00BD4B9D" w14:paraId="4DE383EC" w14:textId="77777777" w:rsidTr="00227036">
        <w:tc>
          <w:tcPr>
            <w:tcW w:w="2281" w:type="dxa"/>
            <w:vMerge/>
          </w:tcPr>
          <w:p w14:paraId="3B099BE7" w14:textId="77777777" w:rsidR="00165B57" w:rsidRPr="00BD4B9D" w:rsidRDefault="00165B57">
            <w:pPr>
              <w:rPr>
                <w:rFonts w:ascii="Times New Roman" w:hAnsi="Times New Roman" w:cs="Times New Roman"/>
                <w:sz w:val="24"/>
                <w:szCs w:val="24"/>
              </w:rPr>
            </w:pPr>
          </w:p>
        </w:tc>
        <w:tc>
          <w:tcPr>
            <w:tcW w:w="2676" w:type="dxa"/>
            <w:vAlign w:val="bottom"/>
          </w:tcPr>
          <w:p w14:paraId="7AAEB91E"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Female</w:t>
            </w:r>
          </w:p>
        </w:tc>
        <w:tc>
          <w:tcPr>
            <w:tcW w:w="1310" w:type="dxa"/>
            <w:vAlign w:val="bottom"/>
          </w:tcPr>
          <w:p w14:paraId="1C00A9B0"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99</w:t>
            </w:r>
          </w:p>
        </w:tc>
        <w:tc>
          <w:tcPr>
            <w:tcW w:w="1349" w:type="dxa"/>
            <w:vAlign w:val="center"/>
          </w:tcPr>
          <w:p w14:paraId="607A8D1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55.93</w:t>
            </w:r>
          </w:p>
        </w:tc>
        <w:tc>
          <w:tcPr>
            <w:tcW w:w="1177" w:type="dxa"/>
            <w:vMerge/>
          </w:tcPr>
          <w:p w14:paraId="5883A87C" w14:textId="77777777" w:rsidR="00165B57" w:rsidRPr="00BD4B9D" w:rsidRDefault="00165B57">
            <w:pPr>
              <w:rPr>
                <w:rFonts w:ascii="Times New Roman" w:hAnsi="Times New Roman" w:cs="Times New Roman"/>
                <w:sz w:val="24"/>
                <w:szCs w:val="24"/>
              </w:rPr>
            </w:pPr>
          </w:p>
        </w:tc>
      </w:tr>
      <w:tr w:rsidR="00165B57" w:rsidRPr="00BD4B9D" w14:paraId="6B1E2795" w14:textId="77777777" w:rsidTr="00227036">
        <w:tc>
          <w:tcPr>
            <w:tcW w:w="2281" w:type="dxa"/>
            <w:vMerge w:val="restart"/>
          </w:tcPr>
          <w:p w14:paraId="2C48DDA3"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Education </w:t>
            </w:r>
          </w:p>
        </w:tc>
        <w:tc>
          <w:tcPr>
            <w:tcW w:w="2676" w:type="dxa"/>
            <w:vAlign w:val="bottom"/>
          </w:tcPr>
          <w:p w14:paraId="026B7515" w14:textId="77777777" w:rsidR="00165B57" w:rsidRPr="00BD4B9D" w:rsidRDefault="00165B57">
            <w:pPr>
              <w:rPr>
                <w:rFonts w:ascii="Times New Roman" w:hAnsi="Times New Roman" w:cs="Times New Roman"/>
                <w:sz w:val="24"/>
                <w:szCs w:val="24"/>
              </w:rPr>
            </w:pPr>
            <w:proofErr w:type="spellStart"/>
            <w:r w:rsidRPr="00BD4B9D">
              <w:rPr>
                <w:rFonts w:ascii="Times New Roman" w:eastAsia="Times New Roman" w:hAnsi="Times New Roman" w:cs="Times New Roman"/>
                <w:color w:val="000000"/>
                <w:kern w:val="0"/>
                <w:sz w:val="24"/>
                <w:szCs w:val="24"/>
                <w:lang w:eastAsia="en-IN"/>
                <w14:ligatures w14:val="none"/>
              </w:rPr>
              <w:t>Upto</w:t>
            </w:r>
            <w:proofErr w:type="spellEnd"/>
            <w:r w:rsidRPr="00BD4B9D">
              <w:rPr>
                <w:rFonts w:ascii="Times New Roman" w:eastAsia="Times New Roman" w:hAnsi="Times New Roman" w:cs="Times New Roman"/>
                <w:color w:val="000000"/>
                <w:kern w:val="0"/>
                <w:sz w:val="24"/>
                <w:szCs w:val="24"/>
                <w:lang w:eastAsia="en-IN"/>
                <w14:ligatures w14:val="none"/>
              </w:rPr>
              <w:t xml:space="preserve"> 9</w:t>
            </w:r>
            <w:r w:rsidRPr="00BD4B9D">
              <w:rPr>
                <w:rFonts w:ascii="Times New Roman" w:eastAsia="Times New Roman" w:hAnsi="Times New Roman" w:cs="Times New Roman"/>
                <w:color w:val="000000"/>
                <w:kern w:val="0"/>
                <w:sz w:val="24"/>
                <w:szCs w:val="24"/>
                <w:vertAlign w:val="superscript"/>
                <w:lang w:eastAsia="en-IN"/>
                <w14:ligatures w14:val="none"/>
              </w:rPr>
              <w:t>th</w:t>
            </w:r>
            <w:r w:rsidRPr="00BD4B9D">
              <w:rPr>
                <w:rFonts w:ascii="Times New Roman" w:eastAsia="Times New Roman" w:hAnsi="Times New Roman" w:cs="Times New Roman"/>
                <w:color w:val="000000"/>
                <w:kern w:val="0"/>
                <w:sz w:val="24"/>
                <w:szCs w:val="24"/>
                <w:lang w:eastAsia="en-IN"/>
                <w14:ligatures w14:val="none"/>
              </w:rPr>
              <w:t xml:space="preserve"> grade</w:t>
            </w:r>
          </w:p>
        </w:tc>
        <w:tc>
          <w:tcPr>
            <w:tcW w:w="1310" w:type="dxa"/>
            <w:vAlign w:val="bottom"/>
          </w:tcPr>
          <w:p w14:paraId="6F776950"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w:t>
            </w:r>
          </w:p>
        </w:tc>
        <w:tc>
          <w:tcPr>
            <w:tcW w:w="1349" w:type="dxa"/>
            <w:vAlign w:val="center"/>
          </w:tcPr>
          <w:p w14:paraId="5310153B"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1.69</w:t>
            </w:r>
          </w:p>
        </w:tc>
        <w:tc>
          <w:tcPr>
            <w:tcW w:w="1177" w:type="dxa"/>
            <w:vMerge w:val="restart"/>
          </w:tcPr>
          <w:p w14:paraId="2B0B49E2" w14:textId="6CB28D89" w:rsidR="00165B57" w:rsidRPr="00BD4B9D" w:rsidRDefault="00165B57">
            <w:pPr>
              <w:rPr>
                <w:rFonts w:ascii="Times New Roman" w:hAnsi="Times New Roman" w:cs="Times New Roman"/>
                <w:sz w:val="24"/>
                <w:szCs w:val="24"/>
              </w:rPr>
            </w:pPr>
          </w:p>
        </w:tc>
      </w:tr>
      <w:tr w:rsidR="00165B57" w:rsidRPr="00BD4B9D" w14:paraId="6C530768" w14:textId="77777777" w:rsidTr="00227036">
        <w:tc>
          <w:tcPr>
            <w:tcW w:w="2281" w:type="dxa"/>
            <w:vMerge/>
          </w:tcPr>
          <w:p w14:paraId="7EE18014" w14:textId="77777777" w:rsidR="00165B57" w:rsidRPr="00BD4B9D" w:rsidRDefault="00165B57">
            <w:pPr>
              <w:rPr>
                <w:rFonts w:ascii="Times New Roman" w:hAnsi="Times New Roman" w:cs="Times New Roman"/>
                <w:sz w:val="24"/>
                <w:szCs w:val="24"/>
              </w:rPr>
            </w:pPr>
          </w:p>
        </w:tc>
        <w:tc>
          <w:tcPr>
            <w:tcW w:w="2676" w:type="dxa"/>
            <w:vAlign w:val="bottom"/>
          </w:tcPr>
          <w:p w14:paraId="2BFB705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w:t>
            </w:r>
            <w:r w:rsidRPr="00BD4B9D">
              <w:rPr>
                <w:rFonts w:ascii="Times New Roman" w:eastAsia="Times New Roman" w:hAnsi="Times New Roman" w:cs="Times New Roman"/>
                <w:color w:val="000000"/>
                <w:kern w:val="0"/>
                <w:sz w:val="24"/>
                <w:szCs w:val="24"/>
                <w:vertAlign w:val="superscript"/>
                <w:lang w:eastAsia="en-IN"/>
                <w14:ligatures w14:val="none"/>
              </w:rPr>
              <w:t>th</w:t>
            </w:r>
            <w:r w:rsidRPr="00BD4B9D">
              <w:rPr>
                <w:rFonts w:ascii="Times New Roman" w:eastAsia="Times New Roman" w:hAnsi="Times New Roman" w:cs="Times New Roman"/>
                <w:color w:val="000000"/>
                <w:kern w:val="0"/>
                <w:sz w:val="24"/>
                <w:szCs w:val="24"/>
                <w:lang w:eastAsia="en-IN"/>
                <w14:ligatures w14:val="none"/>
              </w:rPr>
              <w:t xml:space="preserve"> Pass</w:t>
            </w:r>
          </w:p>
        </w:tc>
        <w:tc>
          <w:tcPr>
            <w:tcW w:w="1310" w:type="dxa"/>
            <w:vAlign w:val="bottom"/>
          </w:tcPr>
          <w:p w14:paraId="68114A76"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36</w:t>
            </w:r>
          </w:p>
        </w:tc>
        <w:tc>
          <w:tcPr>
            <w:tcW w:w="1349" w:type="dxa"/>
            <w:vAlign w:val="center"/>
          </w:tcPr>
          <w:p w14:paraId="7A628C0C"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20.34</w:t>
            </w:r>
          </w:p>
        </w:tc>
        <w:tc>
          <w:tcPr>
            <w:tcW w:w="1177" w:type="dxa"/>
            <w:vMerge/>
          </w:tcPr>
          <w:p w14:paraId="31A399E0" w14:textId="77777777" w:rsidR="00165B57" w:rsidRPr="00BD4B9D" w:rsidRDefault="00165B57">
            <w:pPr>
              <w:rPr>
                <w:rFonts w:ascii="Times New Roman" w:hAnsi="Times New Roman" w:cs="Times New Roman"/>
                <w:sz w:val="24"/>
                <w:szCs w:val="24"/>
              </w:rPr>
            </w:pPr>
          </w:p>
        </w:tc>
      </w:tr>
      <w:tr w:rsidR="00165B57" w:rsidRPr="00BD4B9D" w14:paraId="55B77B2E" w14:textId="77777777" w:rsidTr="00227036">
        <w:tc>
          <w:tcPr>
            <w:tcW w:w="2281" w:type="dxa"/>
            <w:vMerge/>
          </w:tcPr>
          <w:p w14:paraId="4850033D" w14:textId="77777777" w:rsidR="00165B57" w:rsidRPr="00BD4B9D" w:rsidRDefault="00165B57">
            <w:pPr>
              <w:rPr>
                <w:rFonts w:ascii="Times New Roman" w:hAnsi="Times New Roman" w:cs="Times New Roman"/>
                <w:sz w:val="24"/>
                <w:szCs w:val="24"/>
              </w:rPr>
            </w:pPr>
          </w:p>
        </w:tc>
        <w:tc>
          <w:tcPr>
            <w:tcW w:w="2676" w:type="dxa"/>
            <w:vAlign w:val="bottom"/>
          </w:tcPr>
          <w:p w14:paraId="409908B6"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Higher Secondary</w:t>
            </w:r>
          </w:p>
        </w:tc>
        <w:tc>
          <w:tcPr>
            <w:tcW w:w="1310" w:type="dxa"/>
            <w:vAlign w:val="bottom"/>
          </w:tcPr>
          <w:p w14:paraId="49F007E2"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27</w:t>
            </w:r>
          </w:p>
        </w:tc>
        <w:tc>
          <w:tcPr>
            <w:tcW w:w="1349" w:type="dxa"/>
            <w:vAlign w:val="center"/>
          </w:tcPr>
          <w:p w14:paraId="186B33CF"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15.25</w:t>
            </w:r>
          </w:p>
        </w:tc>
        <w:tc>
          <w:tcPr>
            <w:tcW w:w="1177" w:type="dxa"/>
            <w:vMerge/>
          </w:tcPr>
          <w:p w14:paraId="63AF4358" w14:textId="77777777" w:rsidR="00165B57" w:rsidRPr="00BD4B9D" w:rsidRDefault="00165B57">
            <w:pPr>
              <w:rPr>
                <w:rFonts w:ascii="Times New Roman" w:hAnsi="Times New Roman" w:cs="Times New Roman"/>
                <w:sz w:val="24"/>
                <w:szCs w:val="24"/>
              </w:rPr>
            </w:pPr>
          </w:p>
        </w:tc>
      </w:tr>
      <w:tr w:rsidR="00165B57" w:rsidRPr="00BD4B9D" w14:paraId="77099CEB" w14:textId="77777777" w:rsidTr="00227036">
        <w:tc>
          <w:tcPr>
            <w:tcW w:w="2281" w:type="dxa"/>
            <w:vMerge/>
          </w:tcPr>
          <w:p w14:paraId="7AFD8958" w14:textId="77777777" w:rsidR="00165B57" w:rsidRPr="00BD4B9D" w:rsidRDefault="00165B57">
            <w:pPr>
              <w:rPr>
                <w:rFonts w:ascii="Times New Roman" w:hAnsi="Times New Roman" w:cs="Times New Roman"/>
                <w:sz w:val="24"/>
                <w:szCs w:val="24"/>
              </w:rPr>
            </w:pPr>
          </w:p>
        </w:tc>
        <w:tc>
          <w:tcPr>
            <w:tcW w:w="2676" w:type="dxa"/>
            <w:vAlign w:val="bottom"/>
          </w:tcPr>
          <w:p w14:paraId="6B8AFBEA"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Graduate</w:t>
            </w:r>
          </w:p>
        </w:tc>
        <w:tc>
          <w:tcPr>
            <w:tcW w:w="1310" w:type="dxa"/>
            <w:vAlign w:val="bottom"/>
          </w:tcPr>
          <w:p w14:paraId="4DEF1F1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78</w:t>
            </w:r>
          </w:p>
        </w:tc>
        <w:tc>
          <w:tcPr>
            <w:tcW w:w="1349" w:type="dxa"/>
            <w:vAlign w:val="center"/>
          </w:tcPr>
          <w:p w14:paraId="6988A286"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44.07</w:t>
            </w:r>
          </w:p>
        </w:tc>
        <w:tc>
          <w:tcPr>
            <w:tcW w:w="1177" w:type="dxa"/>
            <w:vMerge/>
          </w:tcPr>
          <w:p w14:paraId="39CFE178" w14:textId="77777777" w:rsidR="00165B57" w:rsidRPr="00BD4B9D" w:rsidRDefault="00165B57">
            <w:pPr>
              <w:rPr>
                <w:rFonts w:ascii="Times New Roman" w:hAnsi="Times New Roman" w:cs="Times New Roman"/>
                <w:sz w:val="24"/>
                <w:szCs w:val="24"/>
              </w:rPr>
            </w:pPr>
          </w:p>
        </w:tc>
      </w:tr>
      <w:tr w:rsidR="00165B57" w:rsidRPr="00BD4B9D" w14:paraId="77024972" w14:textId="77777777" w:rsidTr="00227036">
        <w:tc>
          <w:tcPr>
            <w:tcW w:w="2281" w:type="dxa"/>
            <w:vMerge/>
          </w:tcPr>
          <w:p w14:paraId="46D5EBE4" w14:textId="77777777" w:rsidR="00165B57" w:rsidRPr="00BD4B9D" w:rsidRDefault="00165B57">
            <w:pPr>
              <w:rPr>
                <w:rFonts w:ascii="Times New Roman" w:hAnsi="Times New Roman" w:cs="Times New Roman"/>
                <w:sz w:val="24"/>
                <w:szCs w:val="24"/>
              </w:rPr>
            </w:pPr>
          </w:p>
        </w:tc>
        <w:tc>
          <w:tcPr>
            <w:tcW w:w="2676" w:type="dxa"/>
            <w:vAlign w:val="bottom"/>
          </w:tcPr>
          <w:p w14:paraId="17C761DF" w14:textId="6C88949C"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Post-graduation</w:t>
            </w:r>
            <w:r w:rsidR="00165B57" w:rsidRPr="00BD4B9D">
              <w:rPr>
                <w:rFonts w:ascii="Times New Roman" w:eastAsia="Times New Roman" w:hAnsi="Times New Roman" w:cs="Times New Roman"/>
                <w:color w:val="000000"/>
                <w:kern w:val="0"/>
                <w:sz w:val="24"/>
                <w:szCs w:val="24"/>
                <w:lang w:eastAsia="en-IN"/>
                <w14:ligatures w14:val="none"/>
              </w:rPr>
              <w:t xml:space="preserve"> and above</w:t>
            </w:r>
          </w:p>
        </w:tc>
        <w:tc>
          <w:tcPr>
            <w:tcW w:w="1310" w:type="dxa"/>
            <w:vAlign w:val="bottom"/>
          </w:tcPr>
          <w:p w14:paraId="57026BE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33</w:t>
            </w:r>
          </w:p>
        </w:tc>
        <w:tc>
          <w:tcPr>
            <w:tcW w:w="1349" w:type="dxa"/>
            <w:vAlign w:val="center"/>
          </w:tcPr>
          <w:p w14:paraId="12F21FC3"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18.64</w:t>
            </w:r>
          </w:p>
        </w:tc>
        <w:tc>
          <w:tcPr>
            <w:tcW w:w="1177" w:type="dxa"/>
            <w:vMerge/>
          </w:tcPr>
          <w:p w14:paraId="6DB94112" w14:textId="77777777" w:rsidR="00165B57" w:rsidRPr="00BD4B9D" w:rsidRDefault="00165B57">
            <w:pPr>
              <w:rPr>
                <w:rFonts w:ascii="Times New Roman" w:hAnsi="Times New Roman" w:cs="Times New Roman"/>
                <w:sz w:val="24"/>
                <w:szCs w:val="24"/>
              </w:rPr>
            </w:pPr>
          </w:p>
        </w:tc>
      </w:tr>
      <w:tr w:rsidR="00165B57" w:rsidRPr="00BD4B9D" w14:paraId="6F82CB0E" w14:textId="77777777" w:rsidTr="00227036">
        <w:tc>
          <w:tcPr>
            <w:tcW w:w="2281" w:type="dxa"/>
            <w:vMerge w:val="restart"/>
          </w:tcPr>
          <w:p w14:paraId="2DC888A3"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Employment status</w:t>
            </w:r>
          </w:p>
        </w:tc>
        <w:tc>
          <w:tcPr>
            <w:tcW w:w="2676" w:type="dxa"/>
            <w:vAlign w:val="bottom"/>
          </w:tcPr>
          <w:p w14:paraId="012E9030" w14:textId="78B3F390"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U</w:t>
            </w:r>
            <w:r w:rsidR="00165B57" w:rsidRPr="00BD4B9D">
              <w:rPr>
                <w:rFonts w:ascii="Times New Roman" w:eastAsia="Times New Roman" w:hAnsi="Times New Roman" w:cs="Times New Roman"/>
                <w:color w:val="000000"/>
                <w:kern w:val="0"/>
                <w:sz w:val="24"/>
                <w:szCs w:val="24"/>
                <w:lang w:eastAsia="en-IN"/>
                <w14:ligatures w14:val="none"/>
              </w:rPr>
              <w:t>nemployed</w:t>
            </w:r>
          </w:p>
        </w:tc>
        <w:tc>
          <w:tcPr>
            <w:tcW w:w="1310" w:type="dxa"/>
            <w:vAlign w:val="bottom"/>
          </w:tcPr>
          <w:p w14:paraId="725E330A" w14:textId="77777777" w:rsidR="00165B57" w:rsidRPr="00BD4B9D" w:rsidRDefault="003D7FC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66</w:t>
            </w:r>
          </w:p>
        </w:tc>
        <w:tc>
          <w:tcPr>
            <w:tcW w:w="1349" w:type="dxa"/>
            <w:vAlign w:val="center"/>
          </w:tcPr>
          <w:p w14:paraId="22D8E9EB" w14:textId="77777777" w:rsidR="00165B57" w:rsidRPr="00BD4B9D" w:rsidRDefault="003D7FC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37.29</w:t>
            </w:r>
          </w:p>
        </w:tc>
        <w:tc>
          <w:tcPr>
            <w:tcW w:w="1177" w:type="dxa"/>
            <w:vMerge w:val="restart"/>
          </w:tcPr>
          <w:p w14:paraId="76928EF2" w14:textId="18ECBCEE" w:rsidR="00165B57" w:rsidRPr="00BD4B9D" w:rsidRDefault="00165B57">
            <w:pPr>
              <w:rPr>
                <w:rFonts w:ascii="Times New Roman" w:hAnsi="Times New Roman" w:cs="Times New Roman"/>
                <w:sz w:val="24"/>
                <w:szCs w:val="24"/>
              </w:rPr>
            </w:pPr>
          </w:p>
        </w:tc>
      </w:tr>
      <w:tr w:rsidR="00165B57" w:rsidRPr="00BD4B9D" w14:paraId="0E8B3351" w14:textId="77777777" w:rsidTr="00227036">
        <w:tc>
          <w:tcPr>
            <w:tcW w:w="2281" w:type="dxa"/>
            <w:vMerge/>
          </w:tcPr>
          <w:p w14:paraId="07B4BCB8" w14:textId="77777777" w:rsidR="00165B57" w:rsidRPr="00BD4B9D" w:rsidRDefault="00165B57">
            <w:pPr>
              <w:rPr>
                <w:rFonts w:ascii="Times New Roman" w:hAnsi="Times New Roman" w:cs="Times New Roman"/>
                <w:sz w:val="24"/>
                <w:szCs w:val="24"/>
              </w:rPr>
            </w:pPr>
          </w:p>
        </w:tc>
        <w:tc>
          <w:tcPr>
            <w:tcW w:w="2676" w:type="dxa"/>
            <w:vAlign w:val="bottom"/>
          </w:tcPr>
          <w:p w14:paraId="3BB89039" w14:textId="6A2246B9"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F</w:t>
            </w:r>
            <w:r w:rsidR="00165B57" w:rsidRPr="00BD4B9D">
              <w:rPr>
                <w:rFonts w:ascii="Times New Roman" w:eastAsia="Times New Roman" w:hAnsi="Times New Roman" w:cs="Times New Roman"/>
                <w:color w:val="000000"/>
                <w:kern w:val="0"/>
                <w:sz w:val="24"/>
                <w:szCs w:val="24"/>
                <w:lang w:eastAsia="en-IN"/>
                <w14:ligatures w14:val="none"/>
              </w:rPr>
              <w:t>arming</w:t>
            </w:r>
          </w:p>
        </w:tc>
        <w:tc>
          <w:tcPr>
            <w:tcW w:w="1310" w:type="dxa"/>
            <w:vAlign w:val="bottom"/>
          </w:tcPr>
          <w:p w14:paraId="3281A915"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21</w:t>
            </w:r>
          </w:p>
        </w:tc>
        <w:tc>
          <w:tcPr>
            <w:tcW w:w="1349" w:type="dxa"/>
            <w:vAlign w:val="center"/>
          </w:tcPr>
          <w:p w14:paraId="33406452"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11.86</w:t>
            </w:r>
          </w:p>
        </w:tc>
        <w:tc>
          <w:tcPr>
            <w:tcW w:w="1177" w:type="dxa"/>
            <w:vMerge/>
          </w:tcPr>
          <w:p w14:paraId="48556186" w14:textId="77777777" w:rsidR="00165B57" w:rsidRPr="00BD4B9D" w:rsidRDefault="00165B57">
            <w:pPr>
              <w:rPr>
                <w:rFonts w:ascii="Times New Roman" w:hAnsi="Times New Roman" w:cs="Times New Roman"/>
                <w:sz w:val="24"/>
                <w:szCs w:val="24"/>
              </w:rPr>
            </w:pPr>
          </w:p>
        </w:tc>
      </w:tr>
      <w:tr w:rsidR="00165B57" w:rsidRPr="00BD4B9D" w14:paraId="181D7164" w14:textId="77777777" w:rsidTr="00227036">
        <w:tc>
          <w:tcPr>
            <w:tcW w:w="2281" w:type="dxa"/>
            <w:vMerge/>
          </w:tcPr>
          <w:p w14:paraId="0BA70A52" w14:textId="77777777" w:rsidR="00165B57" w:rsidRPr="00BD4B9D" w:rsidRDefault="00165B57">
            <w:pPr>
              <w:rPr>
                <w:rFonts w:ascii="Times New Roman" w:hAnsi="Times New Roman" w:cs="Times New Roman"/>
                <w:sz w:val="24"/>
                <w:szCs w:val="24"/>
              </w:rPr>
            </w:pPr>
          </w:p>
        </w:tc>
        <w:tc>
          <w:tcPr>
            <w:tcW w:w="2676" w:type="dxa"/>
            <w:vAlign w:val="bottom"/>
          </w:tcPr>
          <w:p w14:paraId="2243B60C" w14:textId="6F420404"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B</w:t>
            </w:r>
            <w:r w:rsidR="00165B57" w:rsidRPr="00BD4B9D">
              <w:rPr>
                <w:rFonts w:ascii="Times New Roman" w:eastAsia="Times New Roman" w:hAnsi="Times New Roman" w:cs="Times New Roman"/>
                <w:color w:val="000000"/>
                <w:kern w:val="0"/>
                <w:sz w:val="24"/>
                <w:szCs w:val="24"/>
                <w:lang w:eastAsia="en-IN"/>
                <w14:ligatures w14:val="none"/>
              </w:rPr>
              <w:t>usiness,</w:t>
            </w:r>
            <w:r w:rsidR="003D7FC5" w:rsidRPr="00BD4B9D">
              <w:rPr>
                <w:rFonts w:ascii="Times New Roman" w:eastAsia="Times New Roman" w:hAnsi="Times New Roman" w:cs="Times New Roman"/>
                <w:color w:val="000000"/>
                <w:kern w:val="0"/>
                <w:sz w:val="24"/>
                <w:szCs w:val="24"/>
                <w:lang w:eastAsia="en-IN"/>
                <w14:ligatures w14:val="none"/>
              </w:rPr>
              <w:t xml:space="preserve"> </w:t>
            </w:r>
            <w:r w:rsidRPr="00BD4B9D">
              <w:rPr>
                <w:rFonts w:ascii="Times New Roman" w:eastAsia="Times New Roman" w:hAnsi="Times New Roman" w:cs="Times New Roman"/>
                <w:color w:val="000000"/>
                <w:kern w:val="0"/>
                <w:sz w:val="24"/>
                <w:szCs w:val="24"/>
                <w:lang w:eastAsia="en-IN"/>
                <w14:ligatures w14:val="none"/>
              </w:rPr>
              <w:t>self-employed</w:t>
            </w:r>
          </w:p>
        </w:tc>
        <w:tc>
          <w:tcPr>
            <w:tcW w:w="1310" w:type="dxa"/>
            <w:vAlign w:val="bottom"/>
          </w:tcPr>
          <w:p w14:paraId="1AAB9E10"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35</w:t>
            </w:r>
          </w:p>
        </w:tc>
        <w:tc>
          <w:tcPr>
            <w:tcW w:w="1349" w:type="dxa"/>
            <w:vAlign w:val="center"/>
          </w:tcPr>
          <w:p w14:paraId="44DB8C07"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19.77</w:t>
            </w:r>
          </w:p>
        </w:tc>
        <w:tc>
          <w:tcPr>
            <w:tcW w:w="1177" w:type="dxa"/>
            <w:vMerge/>
          </w:tcPr>
          <w:p w14:paraId="3597B592" w14:textId="77777777" w:rsidR="00165B57" w:rsidRPr="00BD4B9D" w:rsidRDefault="00165B57">
            <w:pPr>
              <w:rPr>
                <w:rFonts w:ascii="Times New Roman" w:hAnsi="Times New Roman" w:cs="Times New Roman"/>
                <w:sz w:val="24"/>
                <w:szCs w:val="24"/>
              </w:rPr>
            </w:pPr>
          </w:p>
        </w:tc>
      </w:tr>
      <w:tr w:rsidR="00165B57" w:rsidRPr="00BD4B9D" w14:paraId="53E6DB98" w14:textId="77777777" w:rsidTr="00227036">
        <w:tc>
          <w:tcPr>
            <w:tcW w:w="2281" w:type="dxa"/>
            <w:vMerge/>
          </w:tcPr>
          <w:p w14:paraId="3C93CA84" w14:textId="77777777" w:rsidR="00165B57" w:rsidRPr="00BD4B9D" w:rsidRDefault="00165B57">
            <w:pPr>
              <w:rPr>
                <w:rFonts w:ascii="Times New Roman" w:hAnsi="Times New Roman" w:cs="Times New Roman"/>
                <w:sz w:val="24"/>
                <w:szCs w:val="24"/>
              </w:rPr>
            </w:pPr>
          </w:p>
        </w:tc>
        <w:tc>
          <w:tcPr>
            <w:tcW w:w="2676" w:type="dxa"/>
            <w:vAlign w:val="bottom"/>
          </w:tcPr>
          <w:p w14:paraId="0CCD04D8" w14:textId="2FB19855" w:rsidR="00165B57" w:rsidRPr="00BD4B9D" w:rsidRDefault="009721D2">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A</w:t>
            </w:r>
            <w:r w:rsidR="00165B57" w:rsidRPr="00BD4B9D">
              <w:rPr>
                <w:rFonts w:ascii="Times New Roman" w:eastAsia="Times New Roman" w:hAnsi="Times New Roman" w:cs="Times New Roman"/>
                <w:color w:val="000000"/>
                <w:kern w:val="0"/>
                <w:sz w:val="24"/>
                <w:szCs w:val="24"/>
                <w:lang w:eastAsia="en-IN"/>
                <w14:ligatures w14:val="none"/>
              </w:rPr>
              <w:t>yur</w:t>
            </w:r>
            <w:r w:rsidR="00227036">
              <w:rPr>
                <w:rFonts w:ascii="Times New Roman" w:eastAsia="Times New Roman" w:hAnsi="Times New Roman" w:cs="Times New Roman"/>
                <w:color w:val="000000"/>
                <w:kern w:val="0"/>
                <w:sz w:val="24"/>
                <w:szCs w:val="24"/>
                <w:lang w:eastAsia="en-IN"/>
                <w14:ligatures w14:val="none"/>
              </w:rPr>
              <w:t>vedic</w:t>
            </w:r>
            <w:r w:rsidR="00165B57" w:rsidRPr="00BD4B9D">
              <w:rPr>
                <w:rFonts w:ascii="Times New Roman" w:eastAsia="Times New Roman" w:hAnsi="Times New Roman" w:cs="Times New Roman"/>
                <w:color w:val="000000"/>
                <w:kern w:val="0"/>
                <w:sz w:val="24"/>
                <w:szCs w:val="24"/>
                <w:lang w:eastAsia="en-IN"/>
                <w14:ligatures w14:val="none"/>
              </w:rPr>
              <w:t xml:space="preserve"> doctor,</w:t>
            </w:r>
            <w:r w:rsidR="003D7FC5" w:rsidRPr="00BD4B9D">
              <w:rPr>
                <w:rFonts w:ascii="Times New Roman" w:eastAsia="Times New Roman" w:hAnsi="Times New Roman" w:cs="Times New Roman"/>
                <w:color w:val="000000"/>
                <w:kern w:val="0"/>
                <w:sz w:val="24"/>
                <w:szCs w:val="24"/>
                <w:lang w:eastAsia="en-IN"/>
                <w14:ligatures w14:val="none"/>
              </w:rPr>
              <w:t xml:space="preserve"> </w:t>
            </w:r>
            <w:r w:rsidR="00227036">
              <w:rPr>
                <w:rFonts w:ascii="Times New Roman" w:eastAsia="Times New Roman" w:hAnsi="Times New Roman" w:cs="Times New Roman"/>
                <w:color w:val="000000"/>
                <w:kern w:val="0"/>
                <w:sz w:val="24"/>
                <w:szCs w:val="24"/>
                <w:lang w:eastAsia="en-IN"/>
                <w14:ligatures w14:val="none"/>
              </w:rPr>
              <w:t>high-paying</w:t>
            </w:r>
            <w:r w:rsidR="00165B57" w:rsidRPr="00BD4B9D">
              <w:rPr>
                <w:rFonts w:ascii="Times New Roman" w:eastAsia="Times New Roman" w:hAnsi="Times New Roman" w:cs="Times New Roman"/>
                <w:color w:val="000000"/>
                <w:kern w:val="0"/>
                <w:sz w:val="24"/>
                <w:szCs w:val="24"/>
                <w:lang w:eastAsia="en-IN"/>
                <w14:ligatures w14:val="none"/>
              </w:rPr>
              <w:t xml:space="preserve"> job</w:t>
            </w:r>
            <w:r w:rsidR="00F53B07" w:rsidRPr="00BD4B9D">
              <w:rPr>
                <w:rFonts w:ascii="Times New Roman" w:eastAsia="Times New Roman" w:hAnsi="Times New Roman" w:cs="Times New Roman"/>
                <w:color w:val="000000"/>
                <w:kern w:val="0"/>
                <w:sz w:val="24"/>
                <w:szCs w:val="24"/>
                <w:lang w:eastAsia="en-IN"/>
                <w14:ligatures w14:val="none"/>
              </w:rPr>
              <w:t>, teacher</w:t>
            </w:r>
          </w:p>
        </w:tc>
        <w:tc>
          <w:tcPr>
            <w:tcW w:w="1310" w:type="dxa"/>
            <w:vAlign w:val="bottom"/>
          </w:tcPr>
          <w:p w14:paraId="303F929C" w14:textId="4AB0C103" w:rsidR="00165B57" w:rsidRPr="00BD4B9D" w:rsidRDefault="009721D2">
            <w:pPr>
              <w:rPr>
                <w:rFonts w:ascii="Times New Roman" w:hAnsi="Times New Roman" w:cs="Times New Roman"/>
                <w:sz w:val="24"/>
                <w:szCs w:val="24"/>
              </w:rPr>
            </w:pPr>
            <w:r w:rsidRPr="00BD4B9D">
              <w:rPr>
                <w:rFonts w:ascii="Times New Roman" w:hAnsi="Times New Roman" w:cs="Times New Roman"/>
                <w:sz w:val="24"/>
                <w:szCs w:val="24"/>
              </w:rPr>
              <w:t>34</w:t>
            </w:r>
          </w:p>
        </w:tc>
        <w:tc>
          <w:tcPr>
            <w:tcW w:w="1349" w:type="dxa"/>
            <w:vAlign w:val="center"/>
          </w:tcPr>
          <w:p w14:paraId="11E830BC" w14:textId="7B289142"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w:t>
            </w:r>
            <w:r w:rsidR="009721D2" w:rsidRPr="00BD4B9D">
              <w:rPr>
                <w:rFonts w:ascii="Times New Roman" w:eastAsia="Times New Roman" w:hAnsi="Times New Roman" w:cs="Times New Roman"/>
                <w:color w:val="000000"/>
                <w:kern w:val="0"/>
                <w:sz w:val="24"/>
                <w:szCs w:val="24"/>
                <w:lang w:eastAsia="en-IN"/>
                <w14:ligatures w14:val="none"/>
              </w:rPr>
              <w:t>9.2</w:t>
            </w:r>
          </w:p>
        </w:tc>
        <w:tc>
          <w:tcPr>
            <w:tcW w:w="1177" w:type="dxa"/>
            <w:vMerge/>
          </w:tcPr>
          <w:p w14:paraId="13A24968" w14:textId="77777777" w:rsidR="00165B57" w:rsidRPr="00BD4B9D" w:rsidRDefault="00165B57">
            <w:pPr>
              <w:rPr>
                <w:rFonts w:ascii="Times New Roman" w:hAnsi="Times New Roman" w:cs="Times New Roman"/>
                <w:sz w:val="24"/>
                <w:szCs w:val="24"/>
              </w:rPr>
            </w:pPr>
          </w:p>
        </w:tc>
      </w:tr>
      <w:tr w:rsidR="00165B57" w:rsidRPr="00BD4B9D" w14:paraId="5FCA4E07" w14:textId="77777777" w:rsidTr="00227036">
        <w:tc>
          <w:tcPr>
            <w:tcW w:w="2281" w:type="dxa"/>
            <w:vMerge/>
          </w:tcPr>
          <w:p w14:paraId="4F1F5AC2" w14:textId="77777777" w:rsidR="00165B57" w:rsidRPr="00BD4B9D" w:rsidRDefault="00165B57">
            <w:pPr>
              <w:rPr>
                <w:rFonts w:ascii="Times New Roman" w:hAnsi="Times New Roman" w:cs="Times New Roman"/>
                <w:sz w:val="24"/>
                <w:szCs w:val="24"/>
              </w:rPr>
            </w:pPr>
          </w:p>
        </w:tc>
        <w:tc>
          <w:tcPr>
            <w:tcW w:w="2676" w:type="dxa"/>
            <w:vAlign w:val="bottom"/>
          </w:tcPr>
          <w:p w14:paraId="00E9A570" w14:textId="0A9A767D" w:rsidR="00165B57" w:rsidRPr="00BD4B9D" w:rsidRDefault="009721D2" w:rsidP="00F53B0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O</w:t>
            </w:r>
            <w:r w:rsidR="00165B57" w:rsidRPr="00BD4B9D">
              <w:rPr>
                <w:rFonts w:ascii="Times New Roman" w:eastAsia="Times New Roman" w:hAnsi="Times New Roman" w:cs="Times New Roman"/>
                <w:color w:val="000000"/>
                <w:kern w:val="0"/>
                <w:sz w:val="24"/>
                <w:szCs w:val="24"/>
                <w:lang w:eastAsia="en-IN"/>
                <w14:ligatures w14:val="none"/>
              </w:rPr>
              <w:t>thers</w:t>
            </w:r>
            <w:r w:rsidR="00227036">
              <w:rPr>
                <w:rFonts w:ascii="Times New Roman" w:eastAsia="Times New Roman" w:hAnsi="Times New Roman" w:cs="Times New Roman"/>
                <w:color w:val="000000"/>
                <w:kern w:val="0"/>
                <w:sz w:val="24"/>
                <w:szCs w:val="24"/>
                <w:lang w:eastAsia="en-IN"/>
                <w14:ligatures w14:val="none"/>
              </w:rPr>
              <w:t>:</w:t>
            </w:r>
            <w:r w:rsidR="00165B57" w:rsidRPr="00BD4B9D">
              <w:rPr>
                <w:rFonts w:ascii="Times New Roman" w:eastAsia="Times New Roman" w:hAnsi="Times New Roman" w:cs="Times New Roman"/>
                <w:color w:val="000000"/>
                <w:kern w:val="0"/>
                <w:sz w:val="24"/>
                <w:szCs w:val="24"/>
                <w:lang w:eastAsia="en-IN"/>
                <w14:ligatures w14:val="none"/>
              </w:rPr>
              <w:t xml:space="preserve"> </w:t>
            </w:r>
            <w:r w:rsidR="00F53B07" w:rsidRPr="00BD4B9D">
              <w:rPr>
                <w:rFonts w:ascii="Times New Roman" w:eastAsia="Times New Roman" w:hAnsi="Times New Roman" w:cs="Times New Roman"/>
                <w:color w:val="000000"/>
                <w:kern w:val="0"/>
                <w:sz w:val="24"/>
                <w:szCs w:val="24"/>
                <w:lang w:eastAsia="en-IN"/>
                <w14:ligatures w14:val="none"/>
              </w:rPr>
              <w:t>tailor</w:t>
            </w:r>
            <w:r w:rsidRPr="00BD4B9D">
              <w:rPr>
                <w:rFonts w:ascii="Times New Roman" w:eastAsia="Times New Roman" w:hAnsi="Times New Roman" w:cs="Times New Roman"/>
                <w:color w:val="000000"/>
                <w:kern w:val="0"/>
                <w:sz w:val="24"/>
                <w:szCs w:val="24"/>
                <w:lang w:eastAsia="en-IN"/>
                <w14:ligatures w14:val="none"/>
              </w:rPr>
              <w:t>,</w:t>
            </w:r>
            <w:r w:rsidR="00F53B07" w:rsidRPr="00BD4B9D">
              <w:rPr>
                <w:rFonts w:ascii="Times New Roman" w:eastAsia="Times New Roman" w:hAnsi="Times New Roman" w:cs="Times New Roman"/>
                <w:color w:val="000000"/>
                <w:kern w:val="0"/>
                <w:sz w:val="24"/>
                <w:szCs w:val="24"/>
                <w:lang w:eastAsia="en-IN"/>
                <w14:ligatures w14:val="none"/>
              </w:rPr>
              <w:t xml:space="preserve"> </w:t>
            </w:r>
            <w:r w:rsidR="00227036">
              <w:rPr>
                <w:rFonts w:ascii="Times New Roman" w:eastAsia="Times New Roman" w:hAnsi="Times New Roman" w:cs="Times New Roman"/>
                <w:color w:val="000000"/>
                <w:kern w:val="0"/>
                <w:sz w:val="24"/>
                <w:szCs w:val="24"/>
                <w:lang w:eastAsia="en-IN"/>
                <w14:ligatures w14:val="none"/>
              </w:rPr>
              <w:t>salesman</w:t>
            </w:r>
            <w:r w:rsidR="00165B57" w:rsidRPr="00BD4B9D">
              <w:rPr>
                <w:rFonts w:ascii="Times New Roman" w:eastAsia="Times New Roman" w:hAnsi="Times New Roman" w:cs="Times New Roman"/>
                <w:color w:val="000000"/>
                <w:kern w:val="0"/>
                <w:sz w:val="24"/>
                <w:szCs w:val="24"/>
                <w:lang w:eastAsia="en-IN"/>
                <w14:ligatures w14:val="none"/>
              </w:rPr>
              <w:t xml:space="preserve">, office </w:t>
            </w:r>
            <w:r w:rsidR="00F53B07" w:rsidRPr="00BD4B9D">
              <w:rPr>
                <w:rFonts w:ascii="Times New Roman" w:eastAsia="Times New Roman" w:hAnsi="Times New Roman" w:cs="Times New Roman"/>
                <w:color w:val="000000"/>
                <w:kern w:val="0"/>
                <w:sz w:val="24"/>
                <w:szCs w:val="24"/>
                <w:lang w:eastAsia="en-IN"/>
                <w14:ligatures w14:val="none"/>
              </w:rPr>
              <w:t>a</w:t>
            </w:r>
            <w:r w:rsidR="00165B57" w:rsidRPr="00BD4B9D">
              <w:rPr>
                <w:rFonts w:ascii="Times New Roman" w:eastAsia="Times New Roman" w:hAnsi="Times New Roman" w:cs="Times New Roman"/>
                <w:color w:val="000000"/>
                <w:kern w:val="0"/>
                <w:sz w:val="24"/>
                <w:szCs w:val="24"/>
                <w:lang w:eastAsia="en-IN"/>
                <w14:ligatures w14:val="none"/>
              </w:rPr>
              <w:t>ssistant,</w:t>
            </w:r>
            <w:r w:rsidRPr="00BD4B9D">
              <w:rPr>
                <w:rFonts w:ascii="Times New Roman" w:eastAsia="Times New Roman" w:hAnsi="Times New Roman" w:cs="Times New Roman"/>
                <w:color w:val="000000"/>
                <w:kern w:val="0"/>
                <w:sz w:val="24"/>
                <w:szCs w:val="24"/>
                <w:lang w:eastAsia="en-IN"/>
                <w14:ligatures w14:val="none"/>
              </w:rPr>
              <w:t xml:space="preserve"> </w:t>
            </w:r>
            <w:r w:rsidR="00165B57" w:rsidRPr="00BD4B9D">
              <w:rPr>
                <w:rFonts w:ascii="Times New Roman" w:eastAsia="Times New Roman" w:hAnsi="Times New Roman" w:cs="Times New Roman"/>
                <w:color w:val="000000"/>
                <w:kern w:val="0"/>
                <w:sz w:val="24"/>
                <w:szCs w:val="24"/>
                <w:lang w:eastAsia="en-IN"/>
                <w14:ligatures w14:val="none"/>
              </w:rPr>
              <w:t>cook, operator, private job</w:t>
            </w:r>
            <w:r w:rsidRPr="00BD4B9D">
              <w:rPr>
                <w:rFonts w:ascii="Times New Roman" w:eastAsia="Times New Roman" w:hAnsi="Times New Roman" w:cs="Times New Roman"/>
                <w:color w:val="000000"/>
                <w:kern w:val="0"/>
                <w:sz w:val="24"/>
                <w:szCs w:val="24"/>
                <w:lang w:eastAsia="en-IN"/>
                <w14:ligatures w14:val="none"/>
              </w:rPr>
              <w:t>s</w:t>
            </w:r>
            <w:r w:rsidR="00227036">
              <w:rPr>
                <w:rFonts w:ascii="Times New Roman" w:eastAsia="Times New Roman" w:hAnsi="Times New Roman" w:cs="Times New Roman"/>
                <w:color w:val="000000"/>
                <w:kern w:val="0"/>
                <w:sz w:val="24"/>
                <w:szCs w:val="24"/>
                <w:lang w:eastAsia="en-IN"/>
                <w14:ligatures w14:val="none"/>
              </w:rPr>
              <w:t xml:space="preserve"> etc</w:t>
            </w:r>
          </w:p>
        </w:tc>
        <w:tc>
          <w:tcPr>
            <w:tcW w:w="1310" w:type="dxa"/>
            <w:vAlign w:val="bottom"/>
          </w:tcPr>
          <w:p w14:paraId="1E7C6ED0" w14:textId="77777777" w:rsidR="00165B57" w:rsidRPr="00BD4B9D" w:rsidRDefault="00F53B0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21</w:t>
            </w:r>
          </w:p>
        </w:tc>
        <w:tc>
          <w:tcPr>
            <w:tcW w:w="1349" w:type="dxa"/>
            <w:vAlign w:val="center"/>
          </w:tcPr>
          <w:p w14:paraId="26B3F316" w14:textId="77777777" w:rsidR="00165B57" w:rsidRPr="00BD4B9D" w:rsidRDefault="00F53B0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11.86</w:t>
            </w:r>
          </w:p>
        </w:tc>
        <w:tc>
          <w:tcPr>
            <w:tcW w:w="1177" w:type="dxa"/>
            <w:vMerge/>
          </w:tcPr>
          <w:p w14:paraId="608169F2" w14:textId="77777777" w:rsidR="00165B57" w:rsidRPr="00BD4B9D" w:rsidRDefault="00165B57">
            <w:pPr>
              <w:rPr>
                <w:rFonts w:ascii="Times New Roman" w:hAnsi="Times New Roman" w:cs="Times New Roman"/>
                <w:sz w:val="24"/>
                <w:szCs w:val="24"/>
              </w:rPr>
            </w:pPr>
          </w:p>
        </w:tc>
      </w:tr>
      <w:tr w:rsidR="00165B57" w:rsidRPr="00BD4B9D" w14:paraId="11E18317" w14:textId="77777777" w:rsidTr="00227036">
        <w:tc>
          <w:tcPr>
            <w:tcW w:w="2281" w:type="dxa"/>
            <w:vMerge w:val="restart"/>
          </w:tcPr>
          <w:p w14:paraId="6F205448"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Retirement </w:t>
            </w:r>
          </w:p>
        </w:tc>
        <w:tc>
          <w:tcPr>
            <w:tcW w:w="2676" w:type="dxa"/>
          </w:tcPr>
          <w:p w14:paraId="464E4405"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Yes </w:t>
            </w:r>
          </w:p>
        </w:tc>
        <w:tc>
          <w:tcPr>
            <w:tcW w:w="1310" w:type="dxa"/>
            <w:vAlign w:val="bottom"/>
          </w:tcPr>
          <w:p w14:paraId="43944304"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51</w:t>
            </w:r>
          </w:p>
        </w:tc>
        <w:tc>
          <w:tcPr>
            <w:tcW w:w="1349" w:type="dxa"/>
            <w:vAlign w:val="center"/>
          </w:tcPr>
          <w:p w14:paraId="29DBCA12"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28.81</w:t>
            </w:r>
          </w:p>
        </w:tc>
        <w:tc>
          <w:tcPr>
            <w:tcW w:w="1177" w:type="dxa"/>
            <w:vMerge w:val="restart"/>
          </w:tcPr>
          <w:p w14:paraId="6FE3D14E"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0.05</w:t>
            </w:r>
          </w:p>
        </w:tc>
      </w:tr>
      <w:tr w:rsidR="00165B57" w:rsidRPr="00BD4B9D" w14:paraId="64BD1A02" w14:textId="77777777" w:rsidTr="00227036">
        <w:tc>
          <w:tcPr>
            <w:tcW w:w="2281" w:type="dxa"/>
            <w:vMerge/>
          </w:tcPr>
          <w:p w14:paraId="136ED69C" w14:textId="77777777" w:rsidR="00165B57" w:rsidRPr="00BD4B9D" w:rsidRDefault="00165B57">
            <w:pPr>
              <w:rPr>
                <w:rFonts w:ascii="Times New Roman" w:hAnsi="Times New Roman" w:cs="Times New Roman"/>
                <w:sz w:val="24"/>
                <w:szCs w:val="24"/>
              </w:rPr>
            </w:pPr>
          </w:p>
        </w:tc>
        <w:tc>
          <w:tcPr>
            <w:tcW w:w="2676" w:type="dxa"/>
          </w:tcPr>
          <w:p w14:paraId="1E2BDC91" w14:textId="77777777" w:rsidR="00165B57" w:rsidRPr="00BD4B9D" w:rsidRDefault="00165B57">
            <w:pPr>
              <w:rPr>
                <w:rFonts w:ascii="Times New Roman" w:hAnsi="Times New Roman" w:cs="Times New Roman"/>
                <w:sz w:val="24"/>
                <w:szCs w:val="24"/>
              </w:rPr>
            </w:pPr>
            <w:r w:rsidRPr="00BD4B9D">
              <w:rPr>
                <w:rFonts w:ascii="Times New Roman" w:hAnsi="Times New Roman" w:cs="Times New Roman"/>
                <w:sz w:val="24"/>
                <w:szCs w:val="24"/>
              </w:rPr>
              <w:t xml:space="preserve">No </w:t>
            </w:r>
          </w:p>
        </w:tc>
        <w:tc>
          <w:tcPr>
            <w:tcW w:w="1310" w:type="dxa"/>
            <w:vAlign w:val="bottom"/>
          </w:tcPr>
          <w:p w14:paraId="13B95B81"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126</w:t>
            </w:r>
          </w:p>
        </w:tc>
        <w:tc>
          <w:tcPr>
            <w:tcW w:w="1349" w:type="dxa"/>
            <w:vAlign w:val="center"/>
          </w:tcPr>
          <w:p w14:paraId="48F81983" w14:textId="77777777" w:rsidR="00165B57" w:rsidRPr="00BD4B9D" w:rsidRDefault="00165B57">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71.19</w:t>
            </w:r>
          </w:p>
        </w:tc>
        <w:tc>
          <w:tcPr>
            <w:tcW w:w="1177" w:type="dxa"/>
            <w:vMerge/>
          </w:tcPr>
          <w:p w14:paraId="70F79286" w14:textId="77777777" w:rsidR="00165B57" w:rsidRPr="00BD4B9D" w:rsidRDefault="00165B57">
            <w:pPr>
              <w:rPr>
                <w:rFonts w:ascii="Times New Roman" w:hAnsi="Times New Roman" w:cs="Times New Roman"/>
                <w:sz w:val="24"/>
                <w:szCs w:val="24"/>
              </w:rPr>
            </w:pPr>
          </w:p>
        </w:tc>
      </w:tr>
      <w:tr w:rsidR="00D635F5" w:rsidRPr="00BD4B9D" w14:paraId="4288D608" w14:textId="77777777" w:rsidTr="00227036">
        <w:tc>
          <w:tcPr>
            <w:tcW w:w="2281" w:type="dxa"/>
            <w:vMerge w:val="restart"/>
          </w:tcPr>
          <w:p w14:paraId="393D3750" w14:textId="2CDA0E03"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Media use</w:t>
            </w:r>
          </w:p>
        </w:tc>
        <w:tc>
          <w:tcPr>
            <w:tcW w:w="2676" w:type="dxa"/>
          </w:tcPr>
          <w:p w14:paraId="7C7FC5E9" w14:textId="0E6C1D68"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Low (&lt;</w:t>
            </w:r>
            <w:proofErr w:type="gramStart"/>
            <w:r w:rsidRPr="00BD4B9D">
              <w:rPr>
                <w:rFonts w:ascii="Times New Roman" w:hAnsi="Times New Roman" w:cs="Times New Roman"/>
                <w:sz w:val="24"/>
                <w:szCs w:val="24"/>
              </w:rPr>
              <w:t>4.63)</w:t>
            </w:r>
            <w:r w:rsidR="0020202E">
              <w:rPr>
                <w:rFonts w:ascii="Times New Roman" w:hAnsi="Times New Roman" w:cs="Times New Roman"/>
                <w:sz w:val="24"/>
                <w:szCs w:val="24"/>
              </w:rPr>
              <w:t>*</w:t>
            </w:r>
            <w:proofErr w:type="gramEnd"/>
          </w:p>
        </w:tc>
        <w:tc>
          <w:tcPr>
            <w:tcW w:w="1310" w:type="dxa"/>
          </w:tcPr>
          <w:p w14:paraId="4CD87148" w14:textId="0C066B16"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hAnsi="Times New Roman" w:cs="Times New Roman"/>
                <w:sz w:val="24"/>
                <w:szCs w:val="24"/>
              </w:rPr>
              <w:t>120</w:t>
            </w:r>
          </w:p>
        </w:tc>
        <w:tc>
          <w:tcPr>
            <w:tcW w:w="1349" w:type="dxa"/>
            <w:vAlign w:val="bottom"/>
          </w:tcPr>
          <w:p w14:paraId="267EB7E4" w14:textId="6D46ED73"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67.80</w:t>
            </w:r>
          </w:p>
        </w:tc>
        <w:tc>
          <w:tcPr>
            <w:tcW w:w="1177" w:type="dxa"/>
            <w:vMerge w:val="restart"/>
          </w:tcPr>
          <w:p w14:paraId="66616C69" w14:textId="5A7E8F30"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3.17</w:t>
            </w:r>
          </w:p>
        </w:tc>
      </w:tr>
      <w:tr w:rsidR="00D635F5" w:rsidRPr="00BD4B9D" w14:paraId="546ED8FD" w14:textId="77777777" w:rsidTr="00227036">
        <w:tc>
          <w:tcPr>
            <w:tcW w:w="2281" w:type="dxa"/>
            <w:vMerge/>
          </w:tcPr>
          <w:p w14:paraId="10A5A5FB" w14:textId="77777777" w:rsidR="00D635F5" w:rsidRPr="00BD4B9D" w:rsidRDefault="00D635F5" w:rsidP="00D635F5">
            <w:pPr>
              <w:rPr>
                <w:rFonts w:ascii="Times New Roman" w:hAnsi="Times New Roman" w:cs="Times New Roman"/>
                <w:sz w:val="24"/>
                <w:szCs w:val="24"/>
              </w:rPr>
            </w:pPr>
          </w:p>
        </w:tc>
        <w:tc>
          <w:tcPr>
            <w:tcW w:w="2676" w:type="dxa"/>
          </w:tcPr>
          <w:p w14:paraId="3DDD4568" w14:textId="64B0C4EB"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High (&gt;4.</w:t>
            </w:r>
            <w:proofErr w:type="gramStart"/>
            <w:r w:rsidRPr="00BD4B9D">
              <w:rPr>
                <w:rFonts w:ascii="Times New Roman" w:hAnsi="Times New Roman" w:cs="Times New Roman"/>
                <w:sz w:val="24"/>
                <w:szCs w:val="24"/>
              </w:rPr>
              <w:t>63)</w:t>
            </w:r>
            <w:r w:rsidR="0020202E">
              <w:rPr>
                <w:rFonts w:ascii="Times New Roman" w:hAnsi="Times New Roman" w:cs="Times New Roman"/>
                <w:sz w:val="24"/>
                <w:szCs w:val="24"/>
              </w:rPr>
              <w:t>*</w:t>
            </w:r>
            <w:proofErr w:type="gramEnd"/>
          </w:p>
        </w:tc>
        <w:tc>
          <w:tcPr>
            <w:tcW w:w="1310" w:type="dxa"/>
          </w:tcPr>
          <w:p w14:paraId="6CBC7B99" w14:textId="6F428B5F"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hAnsi="Times New Roman" w:cs="Times New Roman"/>
                <w:sz w:val="24"/>
                <w:szCs w:val="24"/>
              </w:rPr>
              <w:t>57</w:t>
            </w:r>
          </w:p>
        </w:tc>
        <w:tc>
          <w:tcPr>
            <w:tcW w:w="1349" w:type="dxa"/>
            <w:vAlign w:val="bottom"/>
          </w:tcPr>
          <w:p w14:paraId="15DE8E1A" w14:textId="66E9BC3D" w:rsidR="00D635F5" w:rsidRPr="00BD4B9D" w:rsidRDefault="00D635F5"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32.20</w:t>
            </w:r>
          </w:p>
        </w:tc>
        <w:tc>
          <w:tcPr>
            <w:tcW w:w="1177" w:type="dxa"/>
            <w:vMerge/>
          </w:tcPr>
          <w:p w14:paraId="15FE361E" w14:textId="77777777" w:rsidR="00D635F5" w:rsidRPr="00BD4B9D" w:rsidRDefault="00D635F5" w:rsidP="00D635F5">
            <w:pPr>
              <w:rPr>
                <w:rFonts w:ascii="Times New Roman" w:hAnsi="Times New Roman" w:cs="Times New Roman"/>
                <w:sz w:val="24"/>
                <w:szCs w:val="24"/>
              </w:rPr>
            </w:pPr>
          </w:p>
        </w:tc>
      </w:tr>
      <w:tr w:rsidR="00D635F5" w:rsidRPr="00BD4B9D" w14:paraId="22C6E063" w14:textId="77777777" w:rsidTr="00227036">
        <w:tc>
          <w:tcPr>
            <w:tcW w:w="2281" w:type="dxa"/>
            <w:vMerge w:val="restart"/>
          </w:tcPr>
          <w:p w14:paraId="459BBE54"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Per month Income</w:t>
            </w:r>
          </w:p>
        </w:tc>
        <w:tc>
          <w:tcPr>
            <w:tcW w:w="2676" w:type="dxa"/>
            <w:vAlign w:val="bottom"/>
          </w:tcPr>
          <w:p w14:paraId="02E1832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&lt;10000</w:t>
            </w:r>
          </w:p>
        </w:tc>
        <w:tc>
          <w:tcPr>
            <w:tcW w:w="1310" w:type="dxa"/>
            <w:vAlign w:val="bottom"/>
          </w:tcPr>
          <w:p w14:paraId="2071DC9E"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14</w:t>
            </w:r>
          </w:p>
        </w:tc>
        <w:tc>
          <w:tcPr>
            <w:tcW w:w="1349" w:type="dxa"/>
            <w:vAlign w:val="center"/>
          </w:tcPr>
          <w:p w14:paraId="4B2964A1"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7.91</w:t>
            </w:r>
          </w:p>
        </w:tc>
        <w:tc>
          <w:tcPr>
            <w:tcW w:w="1177" w:type="dxa"/>
            <w:vMerge w:val="restart"/>
          </w:tcPr>
          <w:p w14:paraId="0E064D0F"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1.16</w:t>
            </w:r>
          </w:p>
        </w:tc>
      </w:tr>
      <w:tr w:rsidR="00D635F5" w:rsidRPr="00BD4B9D" w14:paraId="14961612" w14:textId="77777777" w:rsidTr="00227036">
        <w:tc>
          <w:tcPr>
            <w:tcW w:w="2281" w:type="dxa"/>
            <w:vMerge/>
          </w:tcPr>
          <w:p w14:paraId="429B08B0" w14:textId="77777777" w:rsidR="00D635F5" w:rsidRPr="00BD4B9D" w:rsidRDefault="00D635F5" w:rsidP="00D635F5">
            <w:pPr>
              <w:rPr>
                <w:rFonts w:ascii="Times New Roman" w:hAnsi="Times New Roman" w:cs="Times New Roman"/>
                <w:sz w:val="24"/>
                <w:szCs w:val="24"/>
              </w:rPr>
            </w:pPr>
          </w:p>
        </w:tc>
        <w:tc>
          <w:tcPr>
            <w:tcW w:w="2676" w:type="dxa"/>
            <w:vAlign w:val="bottom"/>
          </w:tcPr>
          <w:p w14:paraId="50A90FCB"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10000-30000</w:t>
            </w:r>
          </w:p>
        </w:tc>
        <w:tc>
          <w:tcPr>
            <w:tcW w:w="1310" w:type="dxa"/>
            <w:vAlign w:val="bottom"/>
          </w:tcPr>
          <w:p w14:paraId="00CFC002"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46</w:t>
            </w:r>
          </w:p>
        </w:tc>
        <w:tc>
          <w:tcPr>
            <w:tcW w:w="1349" w:type="dxa"/>
            <w:vAlign w:val="center"/>
          </w:tcPr>
          <w:p w14:paraId="3D05B75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25.99</w:t>
            </w:r>
          </w:p>
        </w:tc>
        <w:tc>
          <w:tcPr>
            <w:tcW w:w="1177" w:type="dxa"/>
            <w:vMerge/>
          </w:tcPr>
          <w:p w14:paraId="1F582BD4" w14:textId="77777777" w:rsidR="00D635F5" w:rsidRPr="00BD4B9D" w:rsidRDefault="00D635F5" w:rsidP="00D635F5">
            <w:pPr>
              <w:rPr>
                <w:rFonts w:ascii="Times New Roman" w:hAnsi="Times New Roman" w:cs="Times New Roman"/>
                <w:sz w:val="24"/>
                <w:szCs w:val="24"/>
              </w:rPr>
            </w:pPr>
          </w:p>
        </w:tc>
      </w:tr>
      <w:tr w:rsidR="00D635F5" w:rsidRPr="00BD4B9D" w14:paraId="1B7D709E" w14:textId="77777777" w:rsidTr="00227036">
        <w:tc>
          <w:tcPr>
            <w:tcW w:w="2281" w:type="dxa"/>
            <w:vMerge/>
          </w:tcPr>
          <w:p w14:paraId="5CD970E7" w14:textId="77777777" w:rsidR="00D635F5" w:rsidRPr="00BD4B9D" w:rsidRDefault="00D635F5" w:rsidP="00D635F5">
            <w:pPr>
              <w:rPr>
                <w:rFonts w:ascii="Times New Roman" w:hAnsi="Times New Roman" w:cs="Times New Roman"/>
                <w:sz w:val="24"/>
                <w:szCs w:val="24"/>
              </w:rPr>
            </w:pPr>
          </w:p>
        </w:tc>
        <w:tc>
          <w:tcPr>
            <w:tcW w:w="2676" w:type="dxa"/>
            <w:vAlign w:val="bottom"/>
          </w:tcPr>
          <w:p w14:paraId="1CCD28E2"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30000-60000</w:t>
            </w:r>
          </w:p>
        </w:tc>
        <w:tc>
          <w:tcPr>
            <w:tcW w:w="1310" w:type="dxa"/>
            <w:vAlign w:val="bottom"/>
          </w:tcPr>
          <w:p w14:paraId="05A62D36"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44</w:t>
            </w:r>
          </w:p>
        </w:tc>
        <w:tc>
          <w:tcPr>
            <w:tcW w:w="1349" w:type="dxa"/>
            <w:vAlign w:val="center"/>
          </w:tcPr>
          <w:p w14:paraId="5321328E"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24.86</w:t>
            </w:r>
          </w:p>
        </w:tc>
        <w:tc>
          <w:tcPr>
            <w:tcW w:w="1177" w:type="dxa"/>
            <w:vMerge/>
          </w:tcPr>
          <w:p w14:paraId="3B9D456E" w14:textId="77777777" w:rsidR="00D635F5" w:rsidRPr="00BD4B9D" w:rsidRDefault="00D635F5" w:rsidP="00D635F5">
            <w:pPr>
              <w:rPr>
                <w:rFonts w:ascii="Times New Roman" w:hAnsi="Times New Roman" w:cs="Times New Roman"/>
                <w:sz w:val="24"/>
                <w:szCs w:val="24"/>
              </w:rPr>
            </w:pPr>
          </w:p>
        </w:tc>
      </w:tr>
      <w:tr w:rsidR="00D635F5" w:rsidRPr="00BD4B9D" w14:paraId="7EB7F67F" w14:textId="77777777" w:rsidTr="00227036">
        <w:tc>
          <w:tcPr>
            <w:tcW w:w="2281" w:type="dxa"/>
            <w:vMerge/>
          </w:tcPr>
          <w:p w14:paraId="36562734" w14:textId="77777777" w:rsidR="00D635F5" w:rsidRPr="00BD4B9D" w:rsidRDefault="00D635F5" w:rsidP="00D635F5">
            <w:pPr>
              <w:rPr>
                <w:rFonts w:ascii="Times New Roman" w:hAnsi="Times New Roman" w:cs="Times New Roman"/>
                <w:sz w:val="24"/>
                <w:szCs w:val="24"/>
              </w:rPr>
            </w:pPr>
          </w:p>
        </w:tc>
        <w:tc>
          <w:tcPr>
            <w:tcW w:w="2676" w:type="dxa"/>
            <w:vAlign w:val="bottom"/>
          </w:tcPr>
          <w:p w14:paraId="222ACC83"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60000-120000</w:t>
            </w:r>
          </w:p>
        </w:tc>
        <w:tc>
          <w:tcPr>
            <w:tcW w:w="1310" w:type="dxa"/>
            <w:vAlign w:val="bottom"/>
          </w:tcPr>
          <w:p w14:paraId="5EF4702A"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51</w:t>
            </w:r>
          </w:p>
        </w:tc>
        <w:tc>
          <w:tcPr>
            <w:tcW w:w="1349" w:type="dxa"/>
            <w:vAlign w:val="center"/>
          </w:tcPr>
          <w:p w14:paraId="627FEC66"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28.81</w:t>
            </w:r>
          </w:p>
        </w:tc>
        <w:tc>
          <w:tcPr>
            <w:tcW w:w="1177" w:type="dxa"/>
            <w:vMerge/>
          </w:tcPr>
          <w:p w14:paraId="609CE988" w14:textId="77777777" w:rsidR="00D635F5" w:rsidRPr="00BD4B9D" w:rsidRDefault="00D635F5" w:rsidP="00D635F5">
            <w:pPr>
              <w:rPr>
                <w:rFonts w:ascii="Times New Roman" w:hAnsi="Times New Roman" w:cs="Times New Roman"/>
                <w:sz w:val="24"/>
                <w:szCs w:val="24"/>
              </w:rPr>
            </w:pPr>
          </w:p>
        </w:tc>
      </w:tr>
      <w:tr w:rsidR="00D635F5" w:rsidRPr="00BD4B9D" w14:paraId="7BB633D7" w14:textId="77777777" w:rsidTr="00227036">
        <w:tc>
          <w:tcPr>
            <w:tcW w:w="2281" w:type="dxa"/>
            <w:vMerge/>
          </w:tcPr>
          <w:p w14:paraId="72785C25" w14:textId="77777777" w:rsidR="00D635F5" w:rsidRPr="00BD4B9D" w:rsidRDefault="00D635F5" w:rsidP="00D635F5">
            <w:pPr>
              <w:rPr>
                <w:rFonts w:ascii="Times New Roman" w:hAnsi="Times New Roman" w:cs="Times New Roman"/>
                <w:sz w:val="24"/>
                <w:szCs w:val="24"/>
              </w:rPr>
            </w:pPr>
          </w:p>
        </w:tc>
        <w:tc>
          <w:tcPr>
            <w:tcW w:w="2676" w:type="dxa"/>
            <w:vAlign w:val="bottom"/>
          </w:tcPr>
          <w:p w14:paraId="0E73FAF2"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&gt;120000</w:t>
            </w:r>
          </w:p>
        </w:tc>
        <w:tc>
          <w:tcPr>
            <w:tcW w:w="1310" w:type="dxa"/>
            <w:vAlign w:val="bottom"/>
          </w:tcPr>
          <w:p w14:paraId="126EC100"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22</w:t>
            </w:r>
          </w:p>
        </w:tc>
        <w:tc>
          <w:tcPr>
            <w:tcW w:w="1349" w:type="dxa"/>
            <w:vAlign w:val="center"/>
          </w:tcPr>
          <w:p w14:paraId="3DEEE17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12.43</w:t>
            </w:r>
          </w:p>
        </w:tc>
        <w:tc>
          <w:tcPr>
            <w:tcW w:w="1177" w:type="dxa"/>
            <w:vMerge/>
          </w:tcPr>
          <w:p w14:paraId="104D2CA3" w14:textId="77777777" w:rsidR="00D635F5" w:rsidRPr="00BD4B9D" w:rsidRDefault="00D635F5" w:rsidP="00D635F5">
            <w:pPr>
              <w:rPr>
                <w:rFonts w:ascii="Times New Roman" w:hAnsi="Times New Roman" w:cs="Times New Roman"/>
                <w:sz w:val="24"/>
                <w:szCs w:val="24"/>
              </w:rPr>
            </w:pPr>
          </w:p>
        </w:tc>
      </w:tr>
      <w:tr w:rsidR="00D635F5" w:rsidRPr="00BD4B9D" w14:paraId="42904C7F" w14:textId="77777777" w:rsidTr="00227036">
        <w:tc>
          <w:tcPr>
            <w:tcW w:w="2281" w:type="dxa"/>
            <w:vMerge w:val="restart"/>
          </w:tcPr>
          <w:p w14:paraId="17EFBC04"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Land area owned</w:t>
            </w:r>
          </w:p>
        </w:tc>
        <w:tc>
          <w:tcPr>
            <w:tcW w:w="2676" w:type="dxa"/>
          </w:tcPr>
          <w:p w14:paraId="630C9122"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Nil</w:t>
            </w:r>
          </w:p>
        </w:tc>
        <w:tc>
          <w:tcPr>
            <w:tcW w:w="1310" w:type="dxa"/>
          </w:tcPr>
          <w:p w14:paraId="7428C194"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27</w:t>
            </w:r>
          </w:p>
        </w:tc>
        <w:tc>
          <w:tcPr>
            <w:tcW w:w="1349" w:type="dxa"/>
            <w:vAlign w:val="center"/>
          </w:tcPr>
          <w:p w14:paraId="5A97511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15.25</w:t>
            </w:r>
          </w:p>
        </w:tc>
        <w:tc>
          <w:tcPr>
            <w:tcW w:w="1177" w:type="dxa"/>
            <w:vMerge w:val="restart"/>
          </w:tcPr>
          <w:p w14:paraId="7A0F933C" w14:textId="3EC10867" w:rsidR="00D635F5" w:rsidRPr="00BD4B9D" w:rsidRDefault="00D635F5" w:rsidP="00D635F5">
            <w:pPr>
              <w:rPr>
                <w:rFonts w:ascii="Times New Roman" w:hAnsi="Times New Roman" w:cs="Times New Roman"/>
                <w:sz w:val="24"/>
                <w:szCs w:val="24"/>
              </w:rPr>
            </w:pPr>
          </w:p>
        </w:tc>
      </w:tr>
      <w:tr w:rsidR="00D635F5" w:rsidRPr="00BD4B9D" w14:paraId="3F7B72BD" w14:textId="77777777" w:rsidTr="00227036">
        <w:tc>
          <w:tcPr>
            <w:tcW w:w="2281" w:type="dxa"/>
            <w:vMerge/>
          </w:tcPr>
          <w:p w14:paraId="34D38CF6" w14:textId="77777777" w:rsidR="00D635F5" w:rsidRPr="00BD4B9D" w:rsidRDefault="00D635F5" w:rsidP="00D635F5">
            <w:pPr>
              <w:rPr>
                <w:rFonts w:ascii="Times New Roman" w:hAnsi="Times New Roman" w:cs="Times New Roman"/>
                <w:sz w:val="24"/>
                <w:szCs w:val="24"/>
              </w:rPr>
            </w:pPr>
          </w:p>
        </w:tc>
        <w:tc>
          <w:tcPr>
            <w:tcW w:w="2676" w:type="dxa"/>
            <w:vAlign w:val="bottom"/>
          </w:tcPr>
          <w:p w14:paraId="32D397A1"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1-50 cents</w:t>
            </w:r>
          </w:p>
        </w:tc>
        <w:tc>
          <w:tcPr>
            <w:tcW w:w="1310" w:type="dxa"/>
            <w:vAlign w:val="bottom"/>
          </w:tcPr>
          <w:p w14:paraId="7A6CC24B" w14:textId="77777777" w:rsidR="00D635F5" w:rsidRPr="00BD4B9D" w:rsidRDefault="00D635F5" w:rsidP="00D635F5">
            <w:pPr>
              <w:rPr>
                <w:rFonts w:ascii="Times New Roman" w:hAnsi="Times New Roman" w:cs="Times New Roman"/>
                <w:sz w:val="24"/>
                <w:szCs w:val="24"/>
              </w:rPr>
            </w:pPr>
            <w:r w:rsidRPr="00BD4B9D">
              <w:rPr>
                <w:rFonts w:ascii="Times New Roman" w:hAnsi="Times New Roman" w:cs="Times New Roman"/>
                <w:sz w:val="24"/>
                <w:szCs w:val="24"/>
              </w:rPr>
              <w:t>93</w:t>
            </w:r>
          </w:p>
        </w:tc>
        <w:tc>
          <w:tcPr>
            <w:tcW w:w="1349" w:type="dxa"/>
            <w:vAlign w:val="center"/>
          </w:tcPr>
          <w:p w14:paraId="3966AA09"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52.54</w:t>
            </w:r>
          </w:p>
        </w:tc>
        <w:tc>
          <w:tcPr>
            <w:tcW w:w="1177" w:type="dxa"/>
            <w:vMerge/>
          </w:tcPr>
          <w:p w14:paraId="3295FF9A" w14:textId="77777777" w:rsidR="00D635F5" w:rsidRPr="00BD4B9D" w:rsidRDefault="00D635F5" w:rsidP="00D635F5">
            <w:pPr>
              <w:rPr>
                <w:rFonts w:ascii="Times New Roman" w:hAnsi="Times New Roman" w:cs="Times New Roman"/>
                <w:sz w:val="24"/>
                <w:szCs w:val="24"/>
              </w:rPr>
            </w:pPr>
          </w:p>
        </w:tc>
      </w:tr>
      <w:tr w:rsidR="00D635F5" w:rsidRPr="00BD4B9D" w14:paraId="5D737DF0" w14:textId="77777777" w:rsidTr="00227036">
        <w:tc>
          <w:tcPr>
            <w:tcW w:w="2281" w:type="dxa"/>
            <w:vMerge/>
          </w:tcPr>
          <w:p w14:paraId="7DED948C" w14:textId="77777777" w:rsidR="00D635F5" w:rsidRPr="00BD4B9D" w:rsidRDefault="00D635F5" w:rsidP="00D635F5">
            <w:pPr>
              <w:rPr>
                <w:rFonts w:ascii="Times New Roman" w:hAnsi="Times New Roman" w:cs="Times New Roman"/>
                <w:sz w:val="24"/>
                <w:szCs w:val="24"/>
              </w:rPr>
            </w:pPr>
          </w:p>
        </w:tc>
        <w:tc>
          <w:tcPr>
            <w:tcW w:w="2676" w:type="dxa"/>
            <w:vAlign w:val="bottom"/>
          </w:tcPr>
          <w:p w14:paraId="1E68C189"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50-100 cents</w:t>
            </w:r>
          </w:p>
        </w:tc>
        <w:tc>
          <w:tcPr>
            <w:tcW w:w="1310" w:type="dxa"/>
            <w:vAlign w:val="bottom"/>
          </w:tcPr>
          <w:p w14:paraId="33D57638"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39</w:t>
            </w:r>
          </w:p>
        </w:tc>
        <w:tc>
          <w:tcPr>
            <w:tcW w:w="1349" w:type="dxa"/>
            <w:vAlign w:val="center"/>
          </w:tcPr>
          <w:p w14:paraId="1F2506D5"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22.03</w:t>
            </w:r>
          </w:p>
        </w:tc>
        <w:tc>
          <w:tcPr>
            <w:tcW w:w="1177" w:type="dxa"/>
            <w:vMerge/>
          </w:tcPr>
          <w:p w14:paraId="6A83CD9A" w14:textId="77777777" w:rsidR="00D635F5" w:rsidRPr="00BD4B9D" w:rsidRDefault="00D635F5" w:rsidP="00D635F5">
            <w:pPr>
              <w:rPr>
                <w:rFonts w:ascii="Times New Roman" w:hAnsi="Times New Roman" w:cs="Times New Roman"/>
                <w:sz w:val="24"/>
                <w:szCs w:val="24"/>
              </w:rPr>
            </w:pPr>
          </w:p>
        </w:tc>
      </w:tr>
      <w:tr w:rsidR="00D635F5" w:rsidRPr="00BD4B9D" w14:paraId="321451AE" w14:textId="77777777" w:rsidTr="00227036">
        <w:tc>
          <w:tcPr>
            <w:tcW w:w="2281" w:type="dxa"/>
            <w:vMerge/>
          </w:tcPr>
          <w:p w14:paraId="32B336BB" w14:textId="77777777" w:rsidR="00D635F5" w:rsidRPr="00BD4B9D" w:rsidRDefault="00D635F5" w:rsidP="00D635F5">
            <w:pPr>
              <w:rPr>
                <w:rFonts w:ascii="Times New Roman" w:hAnsi="Times New Roman" w:cs="Times New Roman"/>
                <w:sz w:val="24"/>
                <w:szCs w:val="24"/>
              </w:rPr>
            </w:pPr>
          </w:p>
        </w:tc>
        <w:tc>
          <w:tcPr>
            <w:tcW w:w="2676" w:type="dxa"/>
            <w:vAlign w:val="bottom"/>
          </w:tcPr>
          <w:p w14:paraId="204775E8"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101-200 cents</w:t>
            </w:r>
          </w:p>
        </w:tc>
        <w:tc>
          <w:tcPr>
            <w:tcW w:w="1310" w:type="dxa"/>
            <w:vAlign w:val="bottom"/>
          </w:tcPr>
          <w:p w14:paraId="7083142E"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w:t>
            </w:r>
          </w:p>
        </w:tc>
        <w:tc>
          <w:tcPr>
            <w:tcW w:w="1349" w:type="dxa"/>
            <w:vAlign w:val="center"/>
          </w:tcPr>
          <w:p w14:paraId="6FAA0CD0"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3.39</w:t>
            </w:r>
          </w:p>
        </w:tc>
        <w:tc>
          <w:tcPr>
            <w:tcW w:w="1177" w:type="dxa"/>
            <w:vMerge/>
          </w:tcPr>
          <w:p w14:paraId="69BA7B2D" w14:textId="77777777" w:rsidR="00D635F5" w:rsidRPr="00BD4B9D" w:rsidRDefault="00D635F5" w:rsidP="00D635F5">
            <w:pPr>
              <w:rPr>
                <w:rFonts w:ascii="Times New Roman" w:hAnsi="Times New Roman" w:cs="Times New Roman"/>
                <w:sz w:val="24"/>
                <w:szCs w:val="24"/>
              </w:rPr>
            </w:pPr>
          </w:p>
        </w:tc>
      </w:tr>
      <w:tr w:rsidR="00D635F5" w:rsidRPr="00BD4B9D" w14:paraId="14EE118F" w14:textId="77777777" w:rsidTr="00227036">
        <w:tc>
          <w:tcPr>
            <w:tcW w:w="2281" w:type="dxa"/>
            <w:vMerge/>
          </w:tcPr>
          <w:p w14:paraId="508E3C01" w14:textId="77777777" w:rsidR="00D635F5" w:rsidRPr="00BD4B9D" w:rsidRDefault="00D635F5" w:rsidP="00D635F5">
            <w:pPr>
              <w:rPr>
                <w:rFonts w:ascii="Times New Roman" w:hAnsi="Times New Roman" w:cs="Times New Roman"/>
                <w:sz w:val="24"/>
                <w:szCs w:val="24"/>
              </w:rPr>
            </w:pPr>
          </w:p>
        </w:tc>
        <w:tc>
          <w:tcPr>
            <w:tcW w:w="2676" w:type="dxa"/>
            <w:vAlign w:val="bottom"/>
          </w:tcPr>
          <w:p w14:paraId="7BA0CA40"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&gt;200 cents</w:t>
            </w:r>
          </w:p>
        </w:tc>
        <w:tc>
          <w:tcPr>
            <w:tcW w:w="1310" w:type="dxa"/>
            <w:vAlign w:val="bottom"/>
          </w:tcPr>
          <w:p w14:paraId="627BFBEC"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12</w:t>
            </w:r>
          </w:p>
        </w:tc>
        <w:tc>
          <w:tcPr>
            <w:tcW w:w="1349" w:type="dxa"/>
            <w:vAlign w:val="center"/>
          </w:tcPr>
          <w:p w14:paraId="497C848B" w14:textId="77777777" w:rsidR="00D635F5" w:rsidRPr="00BD4B9D" w:rsidRDefault="00D635F5"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6.78</w:t>
            </w:r>
          </w:p>
        </w:tc>
        <w:tc>
          <w:tcPr>
            <w:tcW w:w="1177" w:type="dxa"/>
            <w:vMerge/>
          </w:tcPr>
          <w:p w14:paraId="48F5B358" w14:textId="77777777" w:rsidR="00D635F5" w:rsidRPr="00BD4B9D" w:rsidRDefault="00D635F5" w:rsidP="00D635F5">
            <w:pPr>
              <w:rPr>
                <w:rFonts w:ascii="Times New Roman" w:hAnsi="Times New Roman" w:cs="Times New Roman"/>
                <w:sz w:val="24"/>
                <w:szCs w:val="24"/>
              </w:rPr>
            </w:pPr>
          </w:p>
        </w:tc>
      </w:tr>
    </w:tbl>
    <w:p w14:paraId="691F6120" w14:textId="740C292F" w:rsidR="0020202E" w:rsidRDefault="0020202E" w:rsidP="007777B4">
      <w:pPr>
        <w:spacing w:before="240"/>
        <w:ind w:firstLine="720"/>
        <w:jc w:val="both"/>
        <w:rPr>
          <w:rFonts w:ascii="Times New Roman" w:hAnsi="Times New Roman" w:cs="Times New Roman"/>
          <w:sz w:val="24"/>
          <w:szCs w:val="24"/>
        </w:rPr>
      </w:pPr>
      <w:r w:rsidRPr="0020202E">
        <w:rPr>
          <w:rFonts w:ascii="Times New Roman" w:hAnsi="Times New Roman" w:cs="Times New Roman"/>
        </w:rPr>
        <w:t>*Media use index was computed using a summated score of media exposure items; respondents were classified based on mean score</w:t>
      </w:r>
      <w:r w:rsidRPr="0020202E">
        <w:rPr>
          <w:rFonts w:ascii="Times New Roman" w:hAnsi="Times New Roman" w:cs="Times New Roman"/>
          <w:sz w:val="24"/>
          <w:szCs w:val="24"/>
        </w:rPr>
        <w:t>.</w:t>
      </w:r>
    </w:p>
    <w:p w14:paraId="27236E03" w14:textId="77777777" w:rsidR="0020202E" w:rsidRDefault="0020202E" w:rsidP="0020202E">
      <w:pPr>
        <w:spacing w:before="240"/>
        <w:ind w:firstLine="720"/>
        <w:jc w:val="both"/>
        <w:rPr>
          <w:rFonts w:ascii="Times New Roman" w:hAnsi="Times New Roman" w:cs="Times New Roman"/>
          <w:sz w:val="24"/>
          <w:szCs w:val="24"/>
          <w:lang w:val="en-US"/>
        </w:rPr>
      </w:pPr>
      <w:r>
        <w:rPr>
          <w:noProof/>
        </w:rPr>
        <w:drawing>
          <wp:inline distT="0" distB="0" distL="0" distR="0" wp14:anchorId="5C6BA09B" wp14:editId="507AB94C">
            <wp:extent cx="4572000" cy="2556315"/>
            <wp:effectExtent l="0" t="0" r="0" b="15875"/>
            <wp:docPr id="192679880" name="Chart 1">
              <a:extLst xmlns:a="http://schemas.openxmlformats.org/drawingml/2006/main">
                <a:ext uri="{FF2B5EF4-FFF2-40B4-BE49-F238E27FC236}">
                  <a16:creationId xmlns:a16="http://schemas.microsoft.com/office/drawing/2014/main" id="{A7B32DB6-A9B3-B57E-245D-C56C54D0A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403CDD" w14:textId="77777777" w:rsidR="0020202E" w:rsidRDefault="0020202E" w:rsidP="0020202E">
      <w:pPr>
        <w:spacing w:before="240"/>
        <w:ind w:firstLine="720"/>
        <w:jc w:val="both"/>
        <w:rPr>
          <w:rFonts w:ascii="Times New Roman" w:hAnsi="Times New Roman" w:cs="Times New Roman"/>
          <w:sz w:val="24"/>
          <w:szCs w:val="24"/>
        </w:rPr>
      </w:pPr>
      <w:r w:rsidRPr="0029527D">
        <w:rPr>
          <w:rFonts w:ascii="Times New Roman" w:hAnsi="Times New Roman" w:cs="Times New Roman"/>
          <w:sz w:val="24"/>
          <w:szCs w:val="24"/>
        </w:rPr>
        <w:t>Graph 1: Age Distribution of Trainees</w:t>
      </w:r>
    </w:p>
    <w:p w14:paraId="4E2865C9" w14:textId="77777777" w:rsidR="0020202E" w:rsidRDefault="0020202E" w:rsidP="007777B4">
      <w:pPr>
        <w:spacing w:before="240"/>
        <w:ind w:firstLine="720"/>
        <w:jc w:val="both"/>
        <w:rPr>
          <w:rFonts w:ascii="Times New Roman" w:hAnsi="Times New Roman" w:cs="Times New Roman"/>
          <w:sz w:val="24"/>
          <w:szCs w:val="24"/>
          <w:lang w:val="en-US"/>
        </w:rPr>
      </w:pPr>
    </w:p>
    <w:p w14:paraId="52B87338" w14:textId="2E24B8EA" w:rsidR="00FD6CA4" w:rsidRDefault="00FD6CA4" w:rsidP="00A17821">
      <w:pPr>
        <w:ind w:firstLine="720"/>
        <w:jc w:val="both"/>
        <w:rPr>
          <w:rFonts w:ascii="Times New Roman" w:hAnsi="Times New Roman" w:cs="Times New Roman"/>
          <w:sz w:val="24"/>
          <w:szCs w:val="24"/>
          <w:lang w:val="en-US"/>
        </w:rPr>
      </w:pPr>
      <w:r w:rsidRPr="00FD6CA4">
        <w:rPr>
          <w:rFonts w:ascii="Times New Roman" w:hAnsi="Times New Roman" w:cs="Times New Roman"/>
          <w:sz w:val="24"/>
          <w:szCs w:val="24"/>
          <w:lang w:val="en-US"/>
        </w:rPr>
        <w:t xml:space="preserve">To examine the socio-economic profile of the respondents, variables such as age, gender, educational qualification, employment status, media use, monthly income and land area owned were considered. Data were also collected </w:t>
      </w:r>
      <w:r>
        <w:rPr>
          <w:rFonts w:ascii="Times New Roman" w:hAnsi="Times New Roman" w:cs="Times New Roman"/>
          <w:sz w:val="24"/>
          <w:szCs w:val="24"/>
          <w:lang w:val="en-US"/>
        </w:rPr>
        <w:t xml:space="preserve">based </w:t>
      </w:r>
      <w:r w:rsidRPr="00FD6CA4">
        <w:rPr>
          <w:rFonts w:ascii="Times New Roman" w:hAnsi="Times New Roman" w:cs="Times New Roman"/>
          <w:sz w:val="24"/>
          <w:szCs w:val="24"/>
          <w:lang w:val="en-US"/>
        </w:rPr>
        <w:t xml:space="preserve">on respondents’ perceptions regarding the usefulness of the training </w:t>
      </w:r>
      <w:proofErr w:type="spellStart"/>
      <w:r w:rsidRPr="00FD6CA4">
        <w:rPr>
          <w:rFonts w:ascii="Times New Roman" w:hAnsi="Times New Roman" w:cs="Times New Roman"/>
          <w:sz w:val="24"/>
          <w:szCs w:val="24"/>
          <w:lang w:val="en-US"/>
        </w:rPr>
        <w:t>programme</w:t>
      </w:r>
      <w:proofErr w:type="spellEnd"/>
      <w:r w:rsidRPr="00FD6CA4">
        <w:rPr>
          <w:rFonts w:ascii="Times New Roman" w:hAnsi="Times New Roman" w:cs="Times New Roman"/>
          <w:sz w:val="24"/>
          <w:szCs w:val="24"/>
          <w:lang w:val="en-US"/>
        </w:rPr>
        <w:t xml:space="preserve"> for initiating an enterprise, their attitudes towards the efforts of Kerala Agricultural University (KAU) in enhancing entrepreneurial skill sets and their decisions to start new ventures after participating in the training</w:t>
      </w:r>
      <w:r>
        <w:rPr>
          <w:rFonts w:ascii="Times New Roman" w:hAnsi="Times New Roman" w:cs="Times New Roman"/>
          <w:sz w:val="24"/>
          <w:szCs w:val="24"/>
          <w:lang w:val="en-US"/>
        </w:rPr>
        <w:t>s</w:t>
      </w:r>
      <w:r w:rsidRPr="00FD6CA4">
        <w:rPr>
          <w:rFonts w:ascii="Times New Roman" w:hAnsi="Times New Roman" w:cs="Times New Roman"/>
          <w:sz w:val="24"/>
          <w:szCs w:val="24"/>
          <w:lang w:val="en-US"/>
        </w:rPr>
        <w:t>.</w:t>
      </w:r>
    </w:p>
    <w:p w14:paraId="72C0C192" w14:textId="388C3221" w:rsidR="00AD69C0" w:rsidRDefault="00AD69C0" w:rsidP="00A1782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analysis of the age distribution revealed that approximately 78% of respondents were between 35 and 60 years old, 27% were over 60 years old, and only 12% were below 35 </w:t>
      </w:r>
      <w:r>
        <w:rPr>
          <w:rFonts w:ascii="Times New Roman" w:hAnsi="Times New Roman" w:cs="Times New Roman"/>
          <w:sz w:val="24"/>
          <w:szCs w:val="24"/>
          <w:lang w:val="en-US"/>
        </w:rPr>
        <w:lastRenderedPageBreak/>
        <w:t xml:space="preserve">years old. The fact that a higher percentage (84.75%) of trainees were under 60 is a positive indicator for the entrepreneurial climate of the state. The participation of individuals within the economically active age group </w:t>
      </w:r>
      <w:r w:rsidR="00FD6CA4">
        <w:rPr>
          <w:rFonts w:ascii="Times New Roman" w:hAnsi="Times New Roman" w:cs="Times New Roman"/>
          <w:sz w:val="24"/>
          <w:szCs w:val="24"/>
          <w:lang w:val="en-US"/>
        </w:rPr>
        <w:t>can reflect</w:t>
      </w:r>
      <w:r>
        <w:rPr>
          <w:rFonts w:ascii="Times New Roman" w:hAnsi="Times New Roman" w:cs="Times New Roman"/>
          <w:sz w:val="24"/>
          <w:szCs w:val="24"/>
          <w:lang w:val="en-US"/>
        </w:rPr>
        <w:t xml:space="preserve"> an encouraging demographic trend for entrepreneurial development. Younger and middle-aged individuals tend to be more receptive to innovation, skill acquisition, and enterprise formation (</w:t>
      </w:r>
      <w:r w:rsidR="000878AF">
        <w:rPr>
          <w:rFonts w:ascii="Times New Roman" w:hAnsi="Times New Roman" w:cs="Times New Roman"/>
          <w:sz w:val="24"/>
          <w:szCs w:val="24"/>
          <w:lang w:val="en-US"/>
        </w:rPr>
        <w:t>Afroz,</w:t>
      </w:r>
      <w:r>
        <w:rPr>
          <w:rFonts w:ascii="Times New Roman" w:hAnsi="Times New Roman" w:cs="Times New Roman"/>
          <w:sz w:val="24"/>
          <w:szCs w:val="24"/>
          <w:lang w:val="en-US"/>
        </w:rPr>
        <w:t xml:space="preserve"> et al., 2020; </w:t>
      </w:r>
      <w:proofErr w:type="spellStart"/>
      <w:r w:rsidR="00AA4B91">
        <w:rPr>
          <w:rFonts w:ascii="Times New Roman" w:hAnsi="Times New Roman" w:cs="Times New Roman"/>
          <w:sz w:val="24"/>
          <w:szCs w:val="24"/>
          <w:lang w:val="en-US"/>
        </w:rPr>
        <w:t>Haldhar</w:t>
      </w:r>
      <w:proofErr w:type="spellEnd"/>
      <w:r>
        <w:rPr>
          <w:rFonts w:ascii="Times New Roman" w:hAnsi="Times New Roman" w:cs="Times New Roman"/>
          <w:sz w:val="24"/>
          <w:szCs w:val="24"/>
          <w:lang w:val="en-US"/>
        </w:rPr>
        <w:t xml:space="preserve"> et al., 2023).</w:t>
      </w:r>
    </w:p>
    <w:p w14:paraId="483B544C" w14:textId="16399660" w:rsidR="00DD69C3" w:rsidRPr="00DD69C3" w:rsidRDefault="00AD69C0" w:rsidP="00A70684">
      <w:pPr>
        <w:ind w:firstLine="720"/>
        <w:jc w:val="both"/>
        <w:rPr>
          <w:rFonts w:ascii="Times New Roman" w:hAnsi="Times New Roman" w:cs="Times New Roman"/>
          <w:color w:val="EE0000"/>
          <w:sz w:val="24"/>
          <w:szCs w:val="24"/>
          <w:shd w:val="clear" w:color="auto" w:fill="FFFFFF"/>
        </w:rPr>
      </w:pPr>
      <w:r>
        <w:rPr>
          <w:rFonts w:ascii="Times New Roman" w:hAnsi="Times New Roman" w:cs="Times New Roman"/>
          <w:sz w:val="24"/>
          <w:szCs w:val="24"/>
          <w:lang w:val="en-US"/>
        </w:rPr>
        <w:t>Female trainees constituted about 56% of the participants, while males made up 44%. According to the 2011 Census of India, 52% of Kerala's population is female, indicating that trainee participation aligns with this demographic trend. The higher participation of women in skill training programs corresponds with recent evidence suggesting that targeted capacity-building initiatives significantly enhance women's engagement in agricultural enterprises, contributing to income diversification and household economic security (</w:t>
      </w:r>
      <w:r w:rsidR="004F4680">
        <w:rPr>
          <w:rFonts w:ascii="Times New Roman" w:hAnsi="Times New Roman" w:cs="Times New Roman"/>
          <w:sz w:val="24"/>
          <w:szCs w:val="24"/>
          <w:lang w:val="en-US"/>
        </w:rPr>
        <w:t>Tufa</w:t>
      </w:r>
      <w:r>
        <w:rPr>
          <w:rFonts w:ascii="Times New Roman" w:hAnsi="Times New Roman" w:cs="Times New Roman"/>
          <w:sz w:val="24"/>
          <w:szCs w:val="24"/>
          <w:lang w:val="en-US"/>
        </w:rPr>
        <w:t xml:space="preserve"> et al., 202</w:t>
      </w:r>
      <w:r w:rsidR="004F4680">
        <w:rPr>
          <w:rFonts w:ascii="Times New Roman" w:hAnsi="Times New Roman" w:cs="Times New Roman"/>
          <w:sz w:val="24"/>
          <w:szCs w:val="24"/>
          <w:lang w:val="en-US"/>
        </w:rPr>
        <w:t>2</w:t>
      </w:r>
      <w:r>
        <w:rPr>
          <w:rFonts w:ascii="Times New Roman" w:hAnsi="Times New Roman" w:cs="Times New Roman"/>
          <w:sz w:val="24"/>
          <w:szCs w:val="24"/>
          <w:lang w:val="en-US"/>
        </w:rPr>
        <w:t>; FAO, 2023).</w:t>
      </w:r>
    </w:p>
    <w:p w14:paraId="20E3AB44" w14:textId="325DD4CA" w:rsidR="00865B42" w:rsidRDefault="00865B42" w:rsidP="00A70684">
      <w:pPr>
        <w:ind w:firstLine="720"/>
        <w:jc w:val="both"/>
        <w:rPr>
          <w:rFonts w:ascii="Times New Roman" w:hAnsi="Times New Roman" w:cs="Times New Roman"/>
          <w:color w:val="001D35"/>
          <w:sz w:val="24"/>
          <w:szCs w:val="24"/>
          <w:shd w:val="clear" w:color="auto" w:fill="FFFFFF"/>
        </w:rPr>
      </w:pPr>
      <w:r>
        <w:rPr>
          <w:noProof/>
        </w:rPr>
        <w:drawing>
          <wp:inline distT="0" distB="0" distL="0" distR="0" wp14:anchorId="54B9276B" wp14:editId="5E2A0C23">
            <wp:extent cx="3289300" cy="1758950"/>
            <wp:effectExtent l="0" t="0" r="6350" b="12700"/>
            <wp:docPr id="1884946354" name="Chart 1">
              <a:extLst xmlns:a="http://schemas.openxmlformats.org/drawingml/2006/main">
                <a:ext uri="{FF2B5EF4-FFF2-40B4-BE49-F238E27FC236}">
                  <a16:creationId xmlns:a16="http://schemas.microsoft.com/office/drawing/2014/main" id="{9F9B0744-14FC-A414-E6B0-72F52BA72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5A33FE" w14:textId="6024E2D0" w:rsidR="00865B42" w:rsidRDefault="00865B42" w:rsidP="00A70684">
      <w:pPr>
        <w:ind w:firstLine="720"/>
        <w:jc w:val="both"/>
        <w:rPr>
          <w:rFonts w:ascii="Times New Roman" w:hAnsi="Times New Roman" w:cs="Times New Roman"/>
          <w:color w:val="001D35"/>
          <w:sz w:val="24"/>
          <w:szCs w:val="24"/>
          <w:shd w:val="clear" w:color="auto" w:fill="FFFFFF"/>
        </w:rPr>
      </w:pPr>
      <w:r w:rsidRPr="00865B42">
        <w:rPr>
          <w:rFonts w:ascii="Times New Roman" w:hAnsi="Times New Roman" w:cs="Times New Roman"/>
          <w:color w:val="001D35"/>
          <w:sz w:val="24"/>
          <w:szCs w:val="24"/>
          <w:shd w:val="clear" w:color="auto" w:fill="FFFFFF"/>
        </w:rPr>
        <w:t xml:space="preserve">Graph 2: Gender-wise </w:t>
      </w:r>
      <w:r>
        <w:rPr>
          <w:rFonts w:ascii="Times New Roman" w:hAnsi="Times New Roman" w:cs="Times New Roman"/>
          <w:color w:val="001D35"/>
          <w:sz w:val="24"/>
          <w:szCs w:val="24"/>
          <w:shd w:val="clear" w:color="auto" w:fill="FFFFFF"/>
        </w:rPr>
        <w:t>p</w:t>
      </w:r>
      <w:r w:rsidRPr="00865B42">
        <w:rPr>
          <w:rFonts w:ascii="Times New Roman" w:hAnsi="Times New Roman" w:cs="Times New Roman"/>
          <w:color w:val="001D35"/>
          <w:sz w:val="24"/>
          <w:szCs w:val="24"/>
          <w:shd w:val="clear" w:color="auto" w:fill="FFFFFF"/>
        </w:rPr>
        <w:t>articipation in Skill Trainings</w:t>
      </w:r>
    </w:p>
    <w:p w14:paraId="3DBAF9EA" w14:textId="77777777" w:rsidR="00865B42" w:rsidRDefault="00865B42" w:rsidP="00A70684">
      <w:pPr>
        <w:ind w:firstLine="720"/>
        <w:jc w:val="both"/>
        <w:rPr>
          <w:rFonts w:ascii="Times New Roman" w:hAnsi="Times New Roman" w:cs="Times New Roman"/>
          <w:color w:val="001D35"/>
          <w:sz w:val="24"/>
          <w:szCs w:val="24"/>
          <w:shd w:val="clear" w:color="auto" w:fill="FFFFFF"/>
        </w:rPr>
      </w:pPr>
    </w:p>
    <w:p w14:paraId="07D821DD" w14:textId="67A4A2CB" w:rsidR="00A70684" w:rsidRDefault="00A70684" w:rsidP="00A70684">
      <w:pPr>
        <w:ind w:firstLine="720"/>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On analysing the educational status of trainees, it was found that 44.07 per cent were having graduation, and 18.64 per cent postgraduation and above. Respondents below graduation amounted to 37.28 per cent only. This shows that educated people who are aspiring for starting entrepreneurial ventures are really interested in skill trainings.</w:t>
      </w:r>
    </w:p>
    <w:p w14:paraId="36212E6C" w14:textId="0EE2793D" w:rsidR="005D3B23" w:rsidRPr="00C7183C" w:rsidRDefault="005D3B23" w:rsidP="00A70684">
      <w:pPr>
        <w:ind w:firstLine="720"/>
        <w:jc w:val="both"/>
        <w:rPr>
          <w:rFonts w:ascii="Times New Roman" w:hAnsi="Times New Roman" w:cs="Times New Roman"/>
          <w:sz w:val="24"/>
          <w:szCs w:val="24"/>
          <w:shd w:val="clear" w:color="auto" w:fill="FFFFFF"/>
        </w:rPr>
      </w:pPr>
      <w:r w:rsidRPr="00C7183C">
        <w:rPr>
          <w:rFonts w:ascii="Times New Roman" w:hAnsi="Times New Roman" w:cs="Times New Roman"/>
          <w:sz w:val="24"/>
          <w:szCs w:val="24"/>
          <w:shd w:val="clear" w:color="auto" w:fill="FFFFFF"/>
        </w:rPr>
        <w:t>Educational attainment has been positively associated with entrepreneurial preparedness, as educated individuals</w:t>
      </w:r>
      <w:r w:rsidR="00C7183C">
        <w:rPr>
          <w:rFonts w:ascii="Times New Roman" w:hAnsi="Times New Roman" w:cs="Times New Roman"/>
          <w:sz w:val="24"/>
          <w:szCs w:val="24"/>
          <w:shd w:val="clear" w:color="auto" w:fill="FFFFFF"/>
        </w:rPr>
        <w:t xml:space="preserve"> mostly tend</w:t>
      </w:r>
      <w:r w:rsidRPr="00C7183C">
        <w:rPr>
          <w:rFonts w:ascii="Times New Roman" w:hAnsi="Times New Roman" w:cs="Times New Roman"/>
          <w:sz w:val="24"/>
          <w:szCs w:val="24"/>
          <w:shd w:val="clear" w:color="auto" w:fill="FFFFFF"/>
        </w:rPr>
        <w:t xml:space="preserve"> to exhibit greater information-seeking behaviour, confidence in enterprise management, and openness to adopting value-added activities </w:t>
      </w:r>
      <w:r w:rsidR="00C7183C">
        <w:rPr>
          <w:rFonts w:ascii="Times New Roman" w:hAnsi="Times New Roman" w:cs="Times New Roman"/>
          <w:sz w:val="24"/>
          <w:szCs w:val="24"/>
          <w:shd w:val="clear" w:color="auto" w:fill="FFFFFF"/>
        </w:rPr>
        <w:t xml:space="preserve">in agriculture </w:t>
      </w:r>
      <w:r w:rsidRPr="00C7183C">
        <w:rPr>
          <w:rFonts w:ascii="Times New Roman" w:hAnsi="Times New Roman" w:cs="Times New Roman"/>
          <w:sz w:val="24"/>
          <w:szCs w:val="24"/>
          <w:shd w:val="clear" w:color="auto" w:fill="FFFFFF"/>
        </w:rPr>
        <w:t>(</w:t>
      </w:r>
      <w:proofErr w:type="spellStart"/>
      <w:r w:rsidR="00E72FF2">
        <w:rPr>
          <w:rFonts w:ascii="Times New Roman" w:hAnsi="Times New Roman" w:cs="Times New Roman"/>
          <w:sz w:val="24"/>
          <w:szCs w:val="24"/>
          <w:shd w:val="clear" w:color="auto" w:fill="FFFFFF"/>
        </w:rPr>
        <w:t>Pliakoura</w:t>
      </w:r>
      <w:proofErr w:type="spellEnd"/>
      <w:r w:rsidR="00E72FF2">
        <w:rPr>
          <w:rFonts w:ascii="Times New Roman" w:hAnsi="Times New Roman" w:cs="Times New Roman"/>
          <w:sz w:val="24"/>
          <w:szCs w:val="24"/>
          <w:shd w:val="clear" w:color="auto" w:fill="FFFFFF"/>
        </w:rPr>
        <w:t xml:space="preserve"> et al.</w:t>
      </w:r>
      <w:r w:rsidRPr="00C7183C">
        <w:rPr>
          <w:rFonts w:ascii="Times New Roman" w:hAnsi="Times New Roman" w:cs="Times New Roman"/>
          <w:sz w:val="24"/>
          <w:szCs w:val="24"/>
          <w:shd w:val="clear" w:color="auto" w:fill="FFFFFF"/>
        </w:rPr>
        <w:t xml:space="preserve">, 2020; </w:t>
      </w:r>
      <w:r w:rsidR="00D80D84">
        <w:rPr>
          <w:rFonts w:ascii="Times New Roman" w:hAnsi="Times New Roman" w:cs="Times New Roman"/>
          <w:sz w:val="24"/>
          <w:szCs w:val="24"/>
          <w:shd w:val="clear" w:color="auto" w:fill="FFFFFF"/>
        </w:rPr>
        <w:t>Motta and Galina</w:t>
      </w:r>
      <w:r w:rsidRPr="00C7183C">
        <w:rPr>
          <w:rFonts w:ascii="Times New Roman" w:hAnsi="Times New Roman" w:cs="Times New Roman"/>
          <w:sz w:val="24"/>
          <w:szCs w:val="24"/>
          <w:shd w:val="clear" w:color="auto" w:fill="FFFFFF"/>
        </w:rPr>
        <w:t>, 202</w:t>
      </w:r>
      <w:r w:rsidR="00D80D84">
        <w:rPr>
          <w:rFonts w:ascii="Times New Roman" w:hAnsi="Times New Roman" w:cs="Times New Roman"/>
          <w:sz w:val="24"/>
          <w:szCs w:val="24"/>
          <w:shd w:val="clear" w:color="auto" w:fill="FFFFFF"/>
        </w:rPr>
        <w:t>3</w:t>
      </w:r>
      <w:r w:rsidRPr="00C7183C">
        <w:rPr>
          <w:rFonts w:ascii="Times New Roman" w:hAnsi="Times New Roman" w:cs="Times New Roman"/>
          <w:sz w:val="24"/>
          <w:szCs w:val="24"/>
          <w:shd w:val="clear" w:color="auto" w:fill="FFFFFF"/>
        </w:rPr>
        <w:t>).</w:t>
      </w:r>
    </w:p>
    <w:p w14:paraId="5CCF143D" w14:textId="3BE0D3BF" w:rsidR="00865B42" w:rsidRDefault="00865B42" w:rsidP="00A70684">
      <w:pPr>
        <w:ind w:firstLine="720"/>
        <w:jc w:val="both"/>
        <w:rPr>
          <w:rFonts w:ascii="Times New Roman" w:hAnsi="Times New Roman" w:cs="Times New Roman"/>
          <w:color w:val="001D35"/>
          <w:sz w:val="24"/>
          <w:szCs w:val="24"/>
          <w:shd w:val="clear" w:color="auto" w:fill="FFFFFF"/>
        </w:rPr>
      </w:pPr>
      <w:r>
        <w:rPr>
          <w:noProof/>
        </w:rPr>
        <w:lastRenderedPageBreak/>
        <w:drawing>
          <wp:inline distT="0" distB="0" distL="0" distR="0" wp14:anchorId="3B280DA5" wp14:editId="0AA042D2">
            <wp:extent cx="4572000" cy="2743200"/>
            <wp:effectExtent l="0" t="0" r="0" b="0"/>
            <wp:docPr id="2087743019" name="Chart 1">
              <a:extLst xmlns:a="http://schemas.openxmlformats.org/drawingml/2006/main">
                <a:ext uri="{FF2B5EF4-FFF2-40B4-BE49-F238E27FC236}">
                  <a16:creationId xmlns:a16="http://schemas.microsoft.com/office/drawing/2014/main" id="{63A07702-CB81-3E9C-F962-6C6CA9B9B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A05043" w14:textId="4AA58F7C" w:rsidR="00F53B07" w:rsidRDefault="00F53B07" w:rsidP="009D4F8D">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About 37 per cent of the trainees were unemployed and 20 per cent were running </w:t>
      </w:r>
      <w:r w:rsidR="00843155">
        <w:rPr>
          <w:rFonts w:ascii="Times New Roman" w:hAnsi="Times New Roman" w:cs="Times New Roman"/>
          <w:color w:val="001D35"/>
          <w:sz w:val="24"/>
          <w:szCs w:val="24"/>
          <w:shd w:val="clear" w:color="auto" w:fill="FFFFFF"/>
        </w:rPr>
        <w:t>businesses</w:t>
      </w:r>
      <w:r w:rsidRPr="00BD4B9D">
        <w:rPr>
          <w:rFonts w:ascii="Times New Roman" w:hAnsi="Times New Roman" w:cs="Times New Roman"/>
          <w:color w:val="001D35"/>
          <w:sz w:val="24"/>
          <w:szCs w:val="24"/>
          <w:shd w:val="clear" w:color="auto" w:fill="FFFFFF"/>
        </w:rPr>
        <w:t xml:space="preserve"> or some </w:t>
      </w:r>
      <w:r w:rsidR="00843155">
        <w:rPr>
          <w:rFonts w:ascii="Times New Roman" w:hAnsi="Times New Roman" w:cs="Times New Roman"/>
          <w:color w:val="001D35"/>
          <w:sz w:val="24"/>
          <w:szCs w:val="24"/>
          <w:shd w:val="clear" w:color="auto" w:fill="FFFFFF"/>
        </w:rPr>
        <w:t>self-employment</w:t>
      </w:r>
      <w:r w:rsidRPr="00BD4B9D">
        <w:rPr>
          <w:rFonts w:ascii="Times New Roman" w:hAnsi="Times New Roman" w:cs="Times New Roman"/>
          <w:color w:val="001D35"/>
          <w:sz w:val="24"/>
          <w:szCs w:val="24"/>
          <w:shd w:val="clear" w:color="auto" w:fill="FFFFFF"/>
        </w:rPr>
        <w:t xml:space="preserve"> avenues. Twelve per cent were in farming with another 12 per cent in some </w:t>
      </w:r>
      <w:r w:rsidR="00843155">
        <w:rPr>
          <w:rFonts w:ascii="Times New Roman" w:hAnsi="Times New Roman" w:cs="Times New Roman"/>
          <w:color w:val="001D35"/>
          <w:sz w:val="24"/>
          <w:szCs w:val="24"/>
          <w:shd w:val="clear" w:color="auto" w:fill="FFFFFF"/>
        </w:rPr>
        <w:t>low-paying</w:t>
      </w:r>
      <w:r w:rsidRPr="00BD4B9D">
        <w:rPr>
          <w:rFonts w:ascii="Times New Roman" w:hAnsi="Times New Roman" w:cs="Times New Roman"/>
          <w:color w:val="001D35"/>
          <w:sz w:val="24"/>
          <w:szCs w:val="24"/>
          <w:shd w:val="clear" w:color="auto" w:fill="FFFFFF"/>
        </w:rPr>
        <w:t xml:space="preserve"> jobs. About 19 per cent </w:t>
      </w:r>
      <w:r w:rsidR="00843155">
        <w:rPr>
          <w:rFonts w:ascii="Times New Roman" w:hAnsi="Times New Roman" w:cs="Times New Roman"/>
          <w:color w:val="001D35"/>
          <w:sz w:val="24"/>
          <w:szCs w:val="24"/>
          <w:shd w:val="clear" w:color="auto" w:fill="FFFFFF"/>
        </w:rPr>
        <w:t>had</w:t>
      </w:r>
      <w:r w:rsidRPr="00BD4B9D">
        <w:rPr>
          <w:rFonts w:ascii="Times New Roman" w:hAnsi="Times New Roman" w:cs="Times New Roman"/>
          <w:color w:val="001D35"/>
          <w:sz w:val="24"/>
          <w:szCs w:val="24"/>
          <w:shd w:val="clear" w:color="auto" w:fill="FFFFFF"/>
        </w:rPr>
        <w:t xml:space="preserve"> regular </w:t>
      </w:r>
      <w:r w:rsidR="00843155">
        <w:rPr>
          <w:rFonts w:ascii="Times New Roman" w:hAnsi="Times New Roman" w:cs="Times New Roman"/>
          <w:color w:val="001D35"/>
          <w:sz w:val="24"/>
          <w:szCs w:val="24"/>
          <w:shd w:val="clear" w:color="auto" w:fill="FFFFFF"/>
        </w:rPr>
        <w:t>high-income</w:t>
      </w:r>
      <w:r w:rsidRPr="00BD4B9D">
        <w:rPr>
          <w:rFonts w:ascii="Times New Roman" w:hAnsi="Times New Roman" w:cs="Times New Roman"/>
          <w:color w:val="001D35"/>
          <w:sz w:val="24"/>
          <w:szCs w:val="24"/>
          <w:shd w:val="clear" w:color="auto" w:fill="FFFFFF"/>
        </w:rPr>
        <w:t xml:space="preserve"> jobs. Altogether 81 per cent of the trainees are potential entrepreneurs. Only 28.81 per cent of the trainees belonged to </w:t>
      </w:r>
      <w:r w:rsidR="00843155">
        <w:rPr>
          <w:rFonts w:ascii="Times New Roman" w:hAnsi="Times New Roman" w:cs="Times New Roman"/>
          <w:color w:val="001D35"/>
          <w:sz w:val="24"/>
          <w:szCs w:val="24"/>
          <w:shd w:val="clear" w:color="auto" w:fill="FFFFFF"/>
        </w:rPr>
        <w:t xml:space="preserve">the </w:t>
      </w:r>
      <w:r w:rsidRPr="00BD4B9D">
        <w:rPr>
          <w:rFonts w:ascii="Times New Roman" w:hAnsi="Times New Roman" w:cs="Times New Roman"/>
          <w:color w:val="001D35"/>
          <w:sz w:val="24"/>
          <w:szCs w:val="24"/>
          <w:shd w:val="clear" w:color="auto" w:fill="FFFFFF"/>
        </w:rPr>
        <w:t>retired category.</w:t>
      </w:r>
    </w:p>
    <w:p w14:paraId="6297E4A2" w14:textId="0C65C7DA" w:rsidR="00843155" w:rsidRPr="00BD4B9D" w:rsidRDefault="00843155" w:rsidP="009D4F8D">
      <w:pPr>
        <w:ind w:firstLine="720"/>
        <w:jc w:val="both"/>
        <w:rPr>
          <w:rFonts w:ascii="Times New Roman" w:hAnsi="Times New Roman" w:cs="Times New Roman"/>
          <w:color w:val="001D35"/>
          <w:sz w:val="24"/>
          <w:szCs w:val="24"/>
          <w:shd w:val="clear" w:color="auto" w:fill="FFFFFF"/>
        </w:rPr>
      </w:pPr>
      <w:r w:rsidRPr="00843155">
        <w:rPr>
          <w:rFonts w:ascii="Times New Roman" w:hAnsi="Times New Roman" w:cs="Times New Roman"/>
          <w:color w:val="001D35"/>
          <w:sz w:val="24"/>
          <w:szCs w:val="24"/>
          <w:shd w:val="clear" w:color="auto" w:fill="FFFFFF"/>
        </w:rPr>
        <w:t>The analysis of media use among respondents revealed that a majority (67.80%) exhibited low media use, characterized by scores below 4.63. Conversely, a smaller proportion (32.20%) demonstrated high media use, with scores exceeding 4.63. This distribution highlights a significant variance in media utilization patterns, indicating that most respondents engage with media at lower levels. These findings could be indicative of limited access, awareness, or perceived relevance of media in the context of their activities or information needs. The disparity underscores the potential for targeted interventions to enhance media engagement, especially among those with lower usage levels, to foster more inclusive communication and information dissemination.</w:t>
      </w:r>
    </w:p>
    <w:p w14:paraId="51341047" w14:textId="77777777" w:rsidR="00F53B07" w:rsidRPr="00BD4B9D" w:rsidRDefault="00F53B07" w:rsidP="009D4F8D">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The income level of respondents showed that about 53.67 per cent were having a monthly income between Rs. 10,000 to 60,000</w:t>
      </w:r>
      <w:r w:rsidR="00093D0F" w:rsidRPr="00BD4B9D">
        <w:rPr>
          <w:rFonts w:ascii="Times New Roman" w:hAnsi="Times New Roman" w:cs="Times New Roman"/>
          <w:color w:val="001D35"/>
          <w:sz w:val="24"/>
          <w:szCs w:val="24"/>
          <w:shd w:val="clear" w:color="auto" w:fill="FFFFFF"/>
        </w:rPr>
        <w:t xml:space="preserve">. About 41.24 per cent were having more than Rs. 60,000. About 8 per cent were below income of Rs. 10,000 per month. </w:t>
      </w:r>
    </w:p>
    <w:p w14:paraId="6B629768" w14:textId="209349C0" w:rsidR="00107673" w:rsidRDefault="00093D0F" w:rsidP="00D635F5">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More than half (52.54 %) of the respondents </w:t>
      </w:r>
      <w:r w:rsidR="005C556C" w:rsidRPr="00BD4B9D">
        <w:rPr>
          <w:rFonts w:ascii="Times New Roman" w:hAnsi="Times New Roman" w:cs="Times New Roman"/>
          <w:color w:val="001D35"/>
          <w:sz w:val="24"/>
          <w:szCs w:val="24"/>
          <w:shd w:val="clear" w:color="auto" w:fill="FFFFFF"/>
        </w:rPr>
        <w:t>had</w:t>
      </w:r>
      <w:r w:rsidRPr="00BD4B9D">
        <w:rPr>
          <w:rFonts w:ascii="Times New Roman" w:hAnsi="Times New Roman" w:cs="Times New Roman"/>
          <w:color w:val="001D35"/>
          <w:sz w:val="24"/>
          <w:szCs w:val="24"/>
          <w:shd w:val="clear" w:color="auto" w:fill="FFFFFF"/>
        </w:rPr>
        <w:t xml:space="preserve"> a land area of less than 50 cents, </w:t>
      </w:r>
      <w:r w:rsidR="005C556C" w:rsidRPr="00BD4B9D">
        <w:rPr>
          <w:rFonts w:ascii="Times New Roman" w:hAnsi="Times New Roman" w:cs="Times New Roman"/>
          <w:color w:val="001D35"/>
          <w:sz w:val="24"/>
          <w:szCs w:val="24"/>
          <w:shd w:val="clear" w:color="auto" w:fill="FFFFFF"/>
        </w:rPr>
        <w:t xml:space="preserve">and </w:t>
      </w:r>
      <w:r w:rsidRPr="00BD4B9D">
        <w:rPr>
          <w:rFonts w:ascii="Times New Roman" w:hAnsi="Times New Roman" w:cs="Times New Roman"/>
          <w:color w:val="001D35"/>
          <w:sz w:val="24"/>
          <w:szCs w:val="24"/>
          <w:shd w:val="clear" w:color="auto" w:fill="FFFFFF"/>
        </w:rPr>
        <w:t xml:space="preserve">15 per cent of them </w:t>
      </w:r>
      <w:r w:rsidR="005C556C" w:rsidRPr="00BD4B9D">
        <w:rPr>
          <w:rFonts w:ascii="Times New Roman" w:hAnsi="Times New Roman" w:cs="Times New Roman"/>
          <w:color w:val="001D35"/>
          <w:sz w:val="24"/>
          <w:szCs w:val="24"/>
          <w:shd w:val="clear" w:color="auto" w:fill="FFFFFF"/>
        </w:rPr>
        <w:t>did not have their</w:t>
      </w:r>
      <w:r w:rsidRPr="00BD4B9D">
        <w:rPr>
          <w:rFonts w:ascii="Times New Roman" w:hAnsi="Times New Roman" w:cs="Times New Roman"/>
          <w:color w:val="001D35"/>
          <w:sz w:val="24"/>
          <w:szCs w:val="24"/>
          <w:shd w:val="clear" w:color="auto" w:fill="FFFFFF"/>
        </w:rPr>
        <w:t xml:space="preserve"> own land. About 32.2 per cent </w:t>
      </w:r>
      <w:r w:rsidR="005C556C" w:rsidRPr="00BD4B9D">
        <w:rPr>
          <w:rFonts w:ascii="Times New Roman" w:hAnsi="Times New Roman" w:cs="Times New Roman"/>
          <w:color w:val="001D35"/>
          <w:sz w:val="24"/>
          <w:szCs w:val="24"/>
          <w:shd w:val="clear" w:color="auto" w:fill="FFFFFF"/>
        </w:rPr>
        <w:t>owned</w:t>
      </w:r>
      <w:r w:rsidRPr="00BD4B9D">
        <w:rPr>
          <w:rFonts w:ascii="Times New Roman" w:hAnsi="Times New Roman" w:cs="Times New Roman"/>
          <w:color w:val="001D35"/>
          <w:sz w:val="24"/>
          <w:szCs w:val="24"/>
          <w:shd w:val="clear" w:color="auto" w:fill="FFFFFF"/>
        </w:rPr>
        <w:t xml:space="preserve"> more than 100 cents of land.</w:t>
      </w:r>
      <w:r w:rsidR="00C26A03" w:rsidRPr="00BD4B9D">
        <w:rPr>
          <w:rFonts w:ascii="Times New Roman" w:hAnsi="Times New Roman" w:cs="Times New Roman"/>
          <w:color w:val="001D35"/>
          <w:sz w:val="24"/>
          <w:szCs w:val="24"/>
          <w:shd w:val="clear" w:color="auto" w:fill="FFFFFF"/>
        </w:rPr>
        <w:t xml:space="preserve"> The media use behaviour of respondents showed that 68 per cent of them </w:t>
      </w:r>
      <w:r w:rsidR="005C556C" w:rsidRPr="00BD4B9D">
        <w:rPr>
          <w:rFonts w:ascii="Times New Roman" w:hAnsi="Times New Roman" w:cs="Times New Roman"/>
          <w:color w:val="001D35"/>
          <w:sz w:val="24"/>
          <w:szCs w:val="24"/>
          <w:shd w:val="clear" w:color="auto" w:fill="FFFFFF"/>
        </w:rPr>
        <w:t>had</w:t>
      </w:r>
      <w:r w:rsidR="00C26A03" w:rsidRPr="00BD4B9D">
        <w:rPr>
          <w:rFonts w:ascii="Times New Roman" w:hAnsi="Times New Roman" w:cs="Times New Roman"/>
          <w:color w:val="001D35"/>
          <w:sz w:val="24"/>
          <w:szCs w:val="24"/>
          <w:shd w:val="clear" w:color="auto" w:fill="FFFFFF"/>
        </w:rPr>
        <w:t xml:space="preserve"> low media use and 32 per cent </w:t>
      </w:r>
      <w:r w:rsidR="005C556C" w:rsidRPr="00BD4B9D">
        <w:rPr>
          <w:rFonts w:ascii="Times New Roman" w:hAnsi="Times New Roman" w:cs="Times New Roman"/>
          <w:color w:val="001D35"/>
          <w:sz w:val="24"/>
          <w:szCs w:val="24"/>
          <w:shd w:val="clear" w:color="auto" w:fill="FFFFFF"/>
        </w:rPr>
        <w:t>had</w:t>
      </w:r>
      <w:r w:rsidR="00C26A03" w:rsidRPr="00BD4B9D">
        <w:rPr>
          <w:rFonts w:ascii="Times New Roman" w:hAnsi="Times New Roman" w:cs="Times New Roman"/>
          <w:color w:val="001D35"/>
          <w:sz w:val="24"/>
          <w:szCs w:val="24"/>
          <w:shd w:val="clear" w:color="auto" w:fill="FFFFFF"/>
        </w:rPr>
        <w:t xml:space="preserve"> high media use.</w:t>
      </w:r>
    </w:p>
    <w:p w14:paraId="2F794D00" w14:textId="648510EC" w:rsidR="00843155" w:rsidRPr="00843155" w:rsidRDefault="00843155" w:rsidP="00843155">
      <w:pPr>
        <w:jc w:val="both"/>
        <w:rPr>
          <w:rFonts w:ascii="Times New Roman" w:hAnsi="Times New Roman" w:cs="Times New Roman"/>
          <w:b/>
          <w:bCs/>
          <w:color w:val="001D35"/>
          <w:sz w:val="24"/>
          <w:szCs w:val="24"/>
          <w:shd w:val="clear" w:color="auto" w:fill="FFFFFF"/>
        </w:rPr>
      </w:pPr>
      <w:r w:rsidRPr="00843155">
        <w:rPr>
          <w:rFonts w:ascii="Times New Roman" w:hAnsi="Times New Roman" w:cs="Times New Roman"/>
          <w:b/>
          <w:bCs/>
          <w:color w:val="001D35"/>
          <w:sz w:val="24"/>
          <w:szCs w:val="24"/>
          <w:shd w:val="clear" w:color="auto" w:fill="FFFFFF"/>
        </w:rPr>
        <w:t>Table 2: Interest</w:t>
      </w:r>
      <w:r w:rsidR="0022551F">
        <w:rPr>
          <w:rFonts w:ascii="Times New Roman" w:hAnsi="Times New Roman" w:cs="Times New Roman"/>
          <w:b/>
          <w:bCs/>
          <w:color w:val="001D35"/>
          <w:sz w:val="24"/>
          <w:szCs w:val="24"/>
          <w:shd w:val="clear" w:color="auto" w:fill="FFFFFF"/>
        </w:rPr>
        <w:t>,</w:t>
      </w:r>
      <w:r w:rsidRPr="00843155">
        <w:rPr>
          <w:rFonts w:ascii="Times New Roman" w:hAnsi="Times New Roman" w:cs="Times New Roman"/>
          <w:b/>
          <w:bCs/>
          <w:color w:val="001D35"/>
          <w:sz w:val="24"/>
          <w:szCs w:val="24"/>
          <w:shd w:val="clear" w:color="auto" w:fill="FFFFFF"/>
        </w:rPr>
        <w:t xml:space="preserve"> perception </w:t>
      </w:r>
      <w:r w:rsidR="0022551F">
        <w:rPr>
          <w:rFonts w:ascii="Times New Roman" w:hAnsi="Times New Roman" w:cs="Times New Roman"/>
          <w:b/>
          <w:bCs/>
          <w:color w:val="001D35"/>
          <w:sz w:val="24"/>
          <w:szCs w:val="24"/>
          <w:shd w:val="clear" w:color="auto" w:fill="FFFFFF"/>
        </w:rPr>
        <w:t xml:space="preserve">and attitude </w:t>
      </w:r>
      <w:r w:rsidRPr="00843155">
        <w:rPr>
          <w:rFonts w:ascii="Times New Roman" w:hAnsi="Times New Roman" w:cs="Times New Roman"/>
          <w:b/>
          <w:bCs/>
          <w:color w:val="001D35"/>
          <w:sz w:val="24"/>
          <w:szCs w:val="24"/>
          <w:shd w:val="clear" w:color="auto" w:fill="FFFFFF"/>
        </w:rPr>
        <w:t>of trainees (n=177)</w:t>
      </w:r>
    </w:p>
    <w:tbl>
      <w:tblPr>
        <w:tblStyle w:val="TableGrid"/>
        <w:tblW w:w="8506" w:type="dxa"/>
        <w:tblLook w:val="04A0" w:firstRow="1" w:lastRow="0" w:firstColumn="1" w:lastColumn="0" w:noHBand="0" w:noVBand="1"/>
      </w:tblPr>
      <w:tblGrid>
        <w:gridCol w:w="2642"/>
        <w:gridCol w:w="2785"/>
        <w:gridCol w:w="1517"/>
        <w:gridCol w:w="1562"/>
      </w:tblGrid>
      <w:tr w:rsidR="0020202E" w:rsidRPr="00BD4B9D" w14:paraId="14F70474" w14:textId="77777777" w:rsidTr="0020202E">
        <w:trPr>
          <w:trHeight w:val="541"/>
        </w:trPr>
        <w:tc>
          <w:tcPr>
            <w:tcW w:w="2642" w:type="dxa"/>
          </w:tcPr>
          <w:p w14:paraId="42481106" w14:textId="1AA67464"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b/>
                <w:sz w:val="24"/>
                <w:szCs w:val="24"/>
              </w:rPr>
              <w:t>Characteristics</w:t>
            </w:r>
          </w:p>
        </w:tc>
        <w:tc>
          <w:tcPr>
            <w:tcW w:w="2785" w:type="dxa"/>
            <w:vAlign w:val="bottom"/>
          </w:tcPr>
          <w:p w14:paraId="7ECBEAE1" w14:textId="77777777" w:rsidR="0020202E" w:rsidRPr="00BD4B9D" w:rsidRDefault="0020202E" w:rsidP="00D635F5">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Class/Division</w:t>
            </w:r>
          </w:p>
          <w:p w14:paraId="61C1FCFA" w14:textId="77777777" w:rsidR="0020202E" w:rsidRPr="00BD4B9D" w:rsidRDefault="0020202E" w:rsidP="00D635F5">
            <w:pPr>
              <w:rPr>
                <w:rFonts w:ascii="Times New Roman" w:eastAsia="Times New Roman" w:hAnsi="Times New Roman" w:cs="Times New Roman"/>
                <w:color w:val="000000"/>
                <w:sz w:val="24"/>
                <w:szCs w:val="24"/>
                <w:lang w:eastAsia="en-IN"/>
              </w:rPr>
            </w:pPr>
          </w:p>
        </w:tc>
        <w:tc>
          <w:tcPr>
            <w:tcW w:w="1517" w:type="dxa"/>
            <w:vAlign w:val="bottom"/>
          </w:tcPr>
          <w:p w14:paraId="6FFEAFAC" w14:textId="77777777" w:rsidR="0020202E" w:rsidRPr="00BD4B9D" w:rsidRDefault="0020202E" w:rsidP="00D635F5">
            <w:pPr>
              <w:rPr>
                <w:rFonts w:ascii="Times New Roman" w:eastAsia="Times New Roman" w:hAnsi="Times New Roman" w:cs="Times New Roman"/>
                <w:b/>
                <w:color w:val="000000"/>
                <w:kern w:val="0"/>
                <w:sz w:val="24"/>
                <w:szCs w:val="24"/>
                <w:lang w:eastAsia="en-IN"/>
                <w14:ligatures w14:val="none"/>
              </w:rPr>
            </w:pPr>
            <w:r w:rsidRPr="00BD4B9D">
              <w:rPr>
                <w:rFonts w:ascii="Times New Roman" w:eastAsia="Times New Roman" w:hAnsi="Times New Roman" w:cs="Times New Roman"/>
                <w:b/>
                <w:color w:val="000000"/>
                <w:kern w:val="0"/>
                <w:sz w:val="24"/>
                <w:szCs w:val="24"/>
                <w:lang w:eastAsia="en-IN"/>
                <w14:ligatures w14:val="none"/>
              </w:rPr>
              <w:t>Frequency</w:t>
            </w:r>
          </w:p>
          <w:p w14:paraId="6A12EEF1" w14:textId="18A65618" w:rsidR="0020202E" w:rsidRPr="00BD4B9D" w:rsidRDefault="0020202E"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b/>
                <w:color w:val="000000"/>
                <w:kern w:val="0"/>
                <w:sz w:val="24"/>
                <w:szCs w:val="24"/>
                <w:lang w:eastAsia="en-IN"/>
                <w14:ligatures w14:val="none"/>
              </w:rPr>
              <w:t>N= 177</w:t>
            </w:r>
          </w:p>
        </w:tc>
        <w:tc>
          <w:tcPr>
            <w:tcW w:w="1562" w:type="dxa"/>
            <w:vAlign w:val="center"/>
          </w:tcPr>
          <w:p w14:paraId="73657182" w14:textId="40418CE4" w:rsidR="0020202E" w:rsidRPr="00BD4B9D" w:rsidRDefault="0020202E"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b/>
                <w:color w:val="000000"/>
                <w:kern w:val="0"/>
                <w:sz w:val="24"/>
                <w:szCs w:val="24"/>
                <w:lang w:eastAsia="en-IN"/>
                <w14:ligatures w14:val="none"/>
              </w:rPr>
              <w:t>Percentage</w:t>
            </w:r>
          </w:p>
        </w:tc>
      </w:tr>
      <w:tr w:rsidR="0020202E" w:rsidRPr="00BD4B9D" w14:paraId="126D1611" w14:textId="77777777" w:rsidTr="0020202E">
        <w:trPr>
          <w:trHeight w:val="270"/>
        </w:trPr>
        <w:tc>
          <w:tcPr>
            <w:tcW w:w="2642" w:type="dxa"/>
            <w:vMerge w:val="restart"/>
          </w:tcPr>
          <w:p w14:paraId="3D0304C8" w14:textId="5D3244AD"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 xml:space="preserve">Interest </w:t>
            </w:r>
            <w:r>
              <w:rPr>
                <w:rFonts w:ascii="Times New Roman" w:hAnsi="Times New Roman" w:cs="Times New Roman"/>
                <w:sz w:val="24"/>
                <w:szCs w:val="24"/>
              </w:rPr>
              <w:t>in starting</w:t>
            </w:r>
            <w:r w:rsidRPr="00BD4B9D">
              <w:rPr>
                <w:rFonts w:ascii="Times New Roman" w:hAnsi="Times New Roman" w:cs="Times New Roman"/>
                <w:sz w:val="24"/>
                <w:szCs w:val="24"/>
              </w:rPr>
              <w:t xml:space="preserve"> an enterprise</w:t>
            </w:r>
          </w:p>
        </w:tc>
        <w:tc>
          <w:tcPr>
            <w:tcW w:w="2785" w:type="dxa"/>
            <w:vAlign w:val="bottom"/>
          </w:tcPr>
          <w:p w14:paraId="37DB429A"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No</w:t>
            </w:r>
          </w:p>
        </w:tc>
        <w:tc>
          <w:tcPr>
            <w:tcW w:w="1517" w:type="dxa"/>
            <w:vAlign w:val="bottom"/>
          </w:tcPr>
          <w:p w14:paraId="7196CE88"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17</w:t>
            </w:r>
          </w:p>
        </w:tc>
        <w:tc>
          <w:tcPr>
            <w:tcW w:w="1562" w:type="dxa"/>
            <w:vAlign w:val="center"/>
          </w:tcPr>
          <w:p w14:paraId="417E2746"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9.60</w:t>
            </w:r>
          </w:p>
        </w:tc>
      </w:tr>
      <w:tr w:rsidR="0020202E" w:rsidRPr="00BD4B9D" w14:paraId="6925BAAD" w14:textId="77777777" w:rsidTr="0020202E">
        <w:trPr>
          <w:trHeight w:val="141"/>
        </w:trPr>
        <w:tc>
          <w:tcPr>
            <w:tcW w:w="2642" w:type="dxa"/>
            <w:vMerge/>
          </w:tcPr>
          <w:p w14:paraId="7DF44F55" w14:textId="77777777" w:rsidR="0020202E" w:rsidRPr="00BD4B9D" w:rsidRDefault="0020202E" w:rsidP="00D635F5">
            <w:pPr>
              <w:rPr>
                <w:rFonts w:ascii="Times New Roman" w:hAnsi="Times New Roman" w:cs="Times New Roman"/>
                <w:sz w:val="24"/>
                <w:szCs w:val="24"/>
              </w:rPr>
            </w:pPr>
          </w:p>
        </w:tc>
        <w:tc>
          <w:tcPr>
            <w:tcW w:w="2785" w:type="dxa"/>
            <w:vAlign w:val="bottom"/>
          </w:tcPr>
          <w:p w14:paraId="209462D2"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Not decided</w:t>
            </w:r>
          </w:p>
        </w:tc>
        <w:tc>
          <w:tcPr>
            <w:tcW w:w="1517" w:type="dxa"/>
            <w:vAlign w:val="bottom"/>
          </w:tcPr>
          <w:p w14:paraId="779FDE57"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51</w:t>
            </w:r>
          </w:p>
        </w:tc>
        <w:tc>
          <w:tcPr>
            <w:tcW w:w="1562" w:type="dxa"/>
            <w:vAlign w:val="center"/>
          </w:tcPr>
          <w:p w14:paraId="4B219775"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28.81</w:t>
            </w:r>
          </w:p>
        </w:tc>
      </w:tr>
      <w:tr w:rsidR="0020202E" w:rsidRPr="00BD4B9D" w14:paraId="72B79B3B" w14:textId="77777777" w:rsidTr="0020202E">
        <w:trPr>
          <w:trHeight w:val="141"/>
        </w:trPr>
        <w:tc>
          <w:tcPr>
            <w:tcW w:w="2642" w:type="dxa"/>
            <w:vMerge/>
          </w:tcPr>
          <w:p w14:paraId="67776486" w14:textId="77777777" w:rsidR="0020202E" w:rsidRPr="00BD4B9D" w:rsidRDefault="0020202E" w:rsidP="00D635F5">
            <w:pPr>
              <w:rPr>
                <w:rFonts w:ascii="Times New Roman" w:hAnsi="Times New Roman" w:cs="Times New Roman"/>
                <w:sz w:val="24"/>
                <w:szCs w:val="24"/>
              </w:rPr>
            </w:pPr>
          </w:p>
        </w:tc>
        <w:tc>
          <w:tcPr>
            <w:tcW w:w="2785" w:type="dxa"/>
            <w:vAlign w:val="bottom"/>
          </w:tcPr>
          <w:p w14:paraId="6A58552C"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Yes</w:t>
            </w:r>
          </w:p>
        </w:tc>
        <w:tc>
          <w:tcPr>
            <w:tcW w:w="1517" w:type="dxa"/>
            <w:vAlign w:val="bottom"/>
          </w:tcPr>
          <w:p w14:paraId="59C879C9"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109</w:t>
            </w:r>
          </w:p>
        </w:tc>
        <w:tc>
          <w:tcPr>
            <w:tcW w:w="1562" w:type="dxa"/>
            <w:vAlign w:val="center"/>
          </w:tcPr>
          <w:p w14:paraId="7AF4F712" w14:textId="77777777" w:rsidR="0020202E" w:rsidRPr="00BD4B9D" w:rsidRDefault="0020202E" w:rsidP="00D635F5">
            <w:pPr>
              <w:rPr>
                <w:rFonts w:ascii="Times New Roman" w:hAnsi="Times New Roman" w:cs="Times New Roman"/>
                <w:sz w:val="24"/>
                <w:szCs w:val="24"/>
              </w:rPr>
            </w:pPr>
            <w:r w:rsidRPr="00BD4B9D">
              <w:rPr>
                <w:rFonts w:ascii="Times New Roman" w:eastAsia="Times New Roman" w:hAnsi="Times New Roman" w:cs="Times New Roman"/>
                <w:color w:val="000000"/>
                <w:kern w:val="0"/>
                <w:sz w:val="24"/>
                <w:szCs w:val="24"/>
                <w:lang w:eastAsia="en-IN"/>
                <w14:ligatures w14:val="none"/>
              </w:rPr>
              <w:t>61.58</w:t>
            </w:r>
          </w:p>
        </w:tc>
      </w:tr>
      <w:tr w:rsidR="0020202E" w:rsidRPr="00BD4B9D" w14:paraId="5CDB5FB1" w14:textId="77777777" w:rsidTr="0020202E">
        <w:trPr>
          <w:trHeight w:val="265"/>
        </w:trPr>
        <w:tc>
          <w:tcPr>
            <w:tcW w:w="2642" w:type="dxa"/>
            <w:vMerge w:val="restart"/>
          </w:tcPr>
          <w:p w14:paraId="3683F6A4" w14:textId="77777777"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Perception on the usefulness of training programme for starting enterprise</w:t>
            </w:r>
          </w:p>
        </w:tc>
        <w:tc>
          <w:tcPr>
            <w:tcW w:w="2785" w:type="dxa"/>
          </w:tcPr>
          <w:p w14:paraId="6EDC7E58" w14:textId="4D31B8D6"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Highly useful</w:t>
            </w:r>
          </w:p>
        </w:tc>
        <w:tc>
          <w:tcPr>
            <w:tcW w:w="1517" w:type="dxa"/>
          </w:tcPr>
          <w:p w14:paraId="69A85CE2" w14:textId="7EAA2222"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120</w:t>
            </w:r>
          </w:p>
        </w:tc>
        <w:tc>
          <w:tcPr>
            <w:tcW w:w="1562" w:type="dxa"/>
          </w:tcPr>
          <w:p w14:paraId="042F6312" w14:textId="777D8316" w:rsidR="0020202E" w:rsidRPr="00BD4B9D" w:rsidRDefault="0020202E" w:rsidP="00D635F5">
            <w:pPr>
              <w:rPr>
                <w:rFonts w:ascii="Times New Roman" w:eastAsia="Times New Roman" w:hAnsi="Times New Roman" w:cs="Times New Roman"/>
                <w:color w:val="000000"/>
                <w:kern w:val="0"/>
                <w:sz w:val="24"/>
                <w:szCs w:val="24"/>
                <w:lang w:eastAsia="en-IN"/>
                <w14:ligatures w14:val="none"/>
              </w:rPr>
            </w:pPr>
            <w:r w:rsidRPr="00BD4B9D">
              <w:rPr>
                <w:rFonts w:ascii="Times New Roman" w:eastAsia="Times New Roman" w:hAnsi="Times New Roman" w:cs="Times New Roman"/>
                <w:color w:val="000000"/>
                <w:kern w:val="0"/>
                <w:sz w:val="24"/>
                <w:szCs w:val="24"/>
                <w:lang w:eastAsia="en-IN"/>
                <w14:ligatures w14:val="none"/>
              </w:rPr>
              <w:t>67.8</w:t>
            </w:r>
          </w:p>
        </w:tc>
      </w:tr>
      <w:tr w:rsidR="0020202E" w:rsidRPr="00BD4B9D" w14:paraId="6166F6F1" w14:textId="77777777" w:rsidTr="0020202E">
        <w:trPr>
          <w:trHeight w:val="422"/>
        </w:trPr>
        <w:tc>
          <w:tcPr>
            <w:tcW w:w="2642" w:type="dxa"/>
            <w:vMerge/>
          </w:tcPr>
          <w:p w14:paraId="70344445" w14:textId="77777777" w:rsidR="0020202E" w:rsidRPr="00BD4B9D" w:rsidRDefault="0020202E" w:rsidP="00D635F5">
            <w:pPr>
              <w:rPr>
                <w:rFonts w:ascii="Times New Roman" w:hAnsi="Times New Roman" w:cs="Times New Roman"/>
                <w:sz w:val="24"/>
                <w:szCs w:val="24"/>
              </w:rPr>
            </w:pPr>
          </w:p>
        </w:tc>
        <w:tc>
          <w:tcPr>
            <w:tcW w:w="2785" w:type="dxa"/>
          </w:tcPr>
          <w:p w14:paraId="202C0EDE" w14:textId="2F6C2498"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Useful</w:t>
            </w:r>
          </w:p>
        </w:tc>
        <w:tc>
          <w:tcPr>
            <w:tcW w:w="1517" w:type="dxa"/>
          </w:tcPr>
          <w:p w14:paraId="5543219B" w14:textId="7E3E19AE"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52</w:t>
            </w:r>
          </w:p>
        </w:tc>
        <w:tc>
          <w:tcPr>
            <w:tcW w:w="1562" w:type="dxa"/>
          </w:tcPr>
          <w:p w14:paraId="0B6D11AD" w14:textId="0E9827DE" w:rsidR="0020202E" w:rsidRPr="003D1229" w:rsidRDefault="0020202E" w:rsidP="003D1229">
            <w:pPr>
              <w:rPr>
                <w:rFonts w:ascii="Times New Roman" w:eastAsia="Times New Roman" w:hAnsi="Times New Roman" w:cs="Times New Roman"/>
                <w:color w:val="000000"/>
                <w:kern w:val="0"/>
                <w:sz w:val="24"/>
                <w:szCs w:val="24"/>
                <w:lang w:eastAsia="en-IN"/>
                <w14:ligatures w14:val="none"/>
              </w:rPr>
            </w:pPr>
            <w:r w:rsidRPr="00BD4B9D">
              <w:rPr>
                <w:rFonts w:ascii="Times New Roman" w:eastAsia="Times New Roman" w:hAnsi="Times New Roman" w:cs="Times New Roman"/>
                <w:color w:val="000000"/>
                <w:kern w:val="0"/>
                <w:sz w:val="24"/>
                <w:szCs w:val="24"/>
                <w:lang w:eastAsia="en-IN"/>
                <w14:ligatures w14:val="none"/>
              </w:rPr>
              <w:t>29.38</w:t>
            </w:r>
          </w:p>
        </w:tc>
      </w:tr>
      <w:tr w:rsidR="0020202E" w:rsidRPr="00BD4B9D" w14:paraId="109B12E6" w14:textId="77777777" w:rsidTr="0020202E">
        <w:trPr>
          <w:trHeight w:val="383"/>
        </w:trPr>
        <w:tc>
          <w:tcPr>
            <w:tcW w:w="2642" w:type="dxa"/>
            <w:vMerge/>
          </w:tcPr>
          <w:p w14:paraId="35A7375C" w14:textId="77777777" w:rsidR="0020202E" w:rsidRPr="00BD4B9D" w:rsidRDefault="0020202E" w:rsidP="00D635F5">
            <w:pPr>
              <w:rPr>
                <w:rFonts w:ascii="Times New Roman" w:hAnsi="Times New Roman" w:cs="Times New Roman"/>
                <w:sz w:val="24"/>
                <w:szCs w:val="24"/>
              </w:rPr>
            </w:pPr>
          </w:p>
        </w:tc>
        <w:tc>
          <w:tcPr>
            <w:tcW w:w="2785" w:type="dxa"/>
          </w:tcPr>
          <w:p w14:paraId="6B039B56" w14:textId="77777777" w:rsidR="0020202E" w:rsidRPr="00BD4B9D" w:rsidRDefault="0020202E" w:rsidP="003D1229">
            <w:pPr>
              <w:ind w:left="178" w:hanging="141"/>
              <w:rPr>
                <w:rFonts w:ascii="Times New Roman" w:hAnsi="Times New Roman" w:cs="Times New Roman"/>
                <w:sz w:val="24"/>
                <w:szCs w:val="24"/>
              </w:rPr>
            </w:pPr>
            <w:r w:rsidRPr="00BD4B9D">
              <w:rPr>
                <w:rFonts w:ascii="Times New Roman" w:hAnsi="Times New Roman" w:cs="Times New Roman"/>
                <w:sz w:val="24"/>
                <w:szCs w:val="24"/>
              </w:rPr>
              <w:t>Not useful</w:t>
            </w:r>
          </w:p>
        </w:tc>
        <w:tc>
          <w:tcPr>
            <w:tcW w:w="1517" w:type="dxa"/>
          </w:tcPr>
          <w:p w14:paraId="046B270F" w14:textId="093AD788"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5</w:t>
            </w:r>
          </w:p>
        </w:tc>
        <w:tc>
          <w:tcPr>
            <w:tcW w:w="1562" w:type="dxa"/>
          </w:tcPr>
          <w:p w14:paraId="1DC624D2" w14:textId="0629D9E0" w:rsidR="0020202E" w:rsidRPr="00BD4B9D" w:rsidRDefault="0020202E" w:rsidP="003D1229">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2.82</w:t>
            </w:r>
          </w:p>
        </w:tc>
      </w:tr>
      <w:tr w:rsidR="0020202E" w:rsidRPr="00BD4B9D" w14:paraId="32430AB9" w14:textId="77777777" w:rsidTr="0020202E">
        <w:trPr>
          <w:trHeight w:val="247"/>
        </w:trPr>
        <w:tc>
          <w:tcPr>
            <w:tcW w:w="2642" w:type="dxa"/>
            <w:vMerge w:val="restart"/>
          </w:tcPr>
          <w:p w14:paraId="631F39EE" w14:textId="41411A50" w:rsidR="0020202E" w:rsidRPr="003D1229" w:rsidRDefault="0020202E" w:rsidP="003D1229">
            <w:pPr>
              <w:jc w:val="both"/>
              <w:rPr>
                <w:rFonts w:ascii="Times New Roman" w:hAnsi="Times New Roman" w:cs="Times New Roman"/>
                <w:bCs/>
                <w:color w:val="001D35"/>
                <w:sz w:val="24"/>
                <w:szCs w:val="24"/>
                <w:shd w:val="clear" w:color="auto" w:fill="FFFFFF"/>
              </w:rPr>
            </w:pPr>
            <w:r w:rsidRPr="00306382">
              <w:rPr>
                <w:rFonts w:ascii="Times New Roman" w:hAnsi="Times New Roman" w:cs="Times New Roman"/>
                <w:bCs/>
                <w:sz w:val="24"/>
                <w:szCs w:val="24"/>
              </w:rPr>
              <w:t>Attitude towards KAUs efforts on improving skillset to start an enterprise</w:t>
            </w:r>
          </w:p>
        </w:tc>
        <w:tc>
          <w:tcPr>
            <w:tcW w:w="2785" w:type="dxa"/>
          </w:tcPr>
          <w:p w14:paraId="3FFE4F08" w14:textId="595BE2F2"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Highly effective</w:t>
            </w:r>
          </w:p>
        </w:tc>
        <w:tc>
          <w:tcPr>
            <w:tcW w:w="1517" w:type="dxa"/>
          </w:tcPr>
          <w:p w14:paraId="1A2AAB25" w14:textId="7421CBAB" w:rsidR="0020202E" w:rsidRPr="00BD4B9D" w:rsidRDefault="0020202E" w:rsidP="00D635F5">
            <w:pPr>
              <w:rPr>
                <w:rFonts w:ascii="Times New Roman" w:hAnsi="Times New Roman" w:cs="Times New Roman"/>
                <w:sz w:val="24"/>
                <w:szCs w:val="24"/>
              </w:rPr>
            </w:pPr>
            <w:r w:rsidRPr="00BD4B9D">
              <w:rPr>
                <w:rFonts w:ascii="Times New Roman" w:hAnsi="Times New Roman" w:cs="Times New Roman"/>
                <w:sz w:val="24"/>
                <w:szCs w:val="24"/>
              </w:rPr>
              <w:t>116</w:t>
            </w:r>
          </w:p>
        </w:tc>
        <w:tc>
          <w:tcPr>
            <w:tcW w:w="1562" w:type="dxa"/>
          </w:tcPr>
          <w:p w14:paraId="71F4579F" w14:textId="27AD1F3F" w:rsidR="0020202E" w:rsidRPr="00BD4B9D" w:rsidRDefault="0020202E" w:rsidP="00D635F5">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65.54</w:t>
            </w:r>
          </w:p>
        </w:tc>
      </w:tr>
      <w:tr w:rsidR="0020202E" w:rsidRPr="00BD4B9D" w14:paraId="404D7D5B" w14:textId="77777777" w:rsidTr="0020202E">
        <w:trPr>
          <w:trHeight w:val="284"/>
        </w:trPr>
        <w:tc>
          <w:tcPr>
            <w:tcW w:w="2642" w:type="dxa"/>
            <w:vMerge/>
          </w:tcPr>
          <w:p w14:paraId="6B314EB9" w14:textId="77777777" w:rsidR="0020202E" w:rsidRPr="00306382" w:rsidRDefault="0020202E" w:rsidP="00306382">
            <w:pPr>
              <w:jc w:val="both"/>
              <w:rPr>
                <w:rFonts w:ascii="Times New Roman" w:hAnsi="Times New Roman" w:cs="Times New Roman"/>
                <w:bCs/>
                <w:sz w:val="24"/>
                <w:szCs w:val="24"/>
              </w:rPr>
            </w:pPr>
          </w:p>
        </w:tc>
        <w:tc>
          <w:tcPr>
            <w:tcW w:w="2785" w:type="dxa"/>
          </w:tcPr>
          <w:p w14:paraId="5DA5F389" w14:textId="77777777"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Effective</w:t>
            </w:r>
          </w:p>
        </w:tc>
        <w:tc>
          <w:tcPr>
            <w:tcW w:w="1517" w:type="dxa"/>
          </w:tcPr>
          <w:p w14:paraId="427CB100" w14:textId="77777777" w:rsidR="0020202E" w:rsidRPr="00BD4B9D" w:rsidRDefault="0020202E" w:rsidP="003D1229">
            <w:pPr>
              <w:rPr>
                <w:rFonts w:ascii="Times New Roman" w:hAnsi="Times New Roman" w:cs="Times New Roman"/>
                <w:sz w:val="24"/>
                <w:szCs w:val="24"/>
              </w:rPr>
            </w:pPr>
            <w:r>
              <w:rPr>
                <w:rFonts w:ascii="Times New Roman" w:hAnsi="Times New Roman" w:cs="Times New Roman"/>
                <w:sz w:val="24"/>
                <w:szCs w:val="24"/>
              </w:rPr>
              <w:t>56</w:t>
            </w:r>
          </w:p>
        </w:tc>
        <w:tc>
          <w:tcPr>
            <w:tcW w:w="1562" w:type="dxa"/>
          </w:tcPr>
          <w:p w14:paraId="449F2BDC" w14:textId="77777777" w:rsidR="0020202E" w:rsidRPr="00BD4B9D" w:rsidRDefault="0020202E" w:rsidP="003D1229">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31.64</w:t>
            </w:r>
          </w:p>
        </w:tc>
      </w:tr>
      <w:tr w:rsidR="0020202E" w:rsidRPr="00BD4B9D" w14:paraId="7425F57D" w14:textId="77777777" w:rsidTr="0020202E">
        <w:trPr>
          <w:trHeight w:val="411"/>
        </w:trPr>
        <w:tc>
          <w:tcPr>
            <w:tcW w:w="2642" w:type="dxa"/>
            <w:vMerge/>
          </w:tcPr>
          <w:p w14:paraId="2028D2B9" w14:textId="77777777" w:rsidR="0020202E" w:rsidRPr="00306382" w:rsidRDefault="0020202E" w:rsidP="00306382">
            <w:pPr>
              <w:jc w:val="both"/>
              <w:rPr>
                <w:rFonts w:ascii="Times New Roman" w:hAnsi="Times New Roman" w:cs="Times New Roman"/>
                <w:bCs/>
                <w:sz w:val="24"/>
                <w:szCs w:val="24"/>
              </w:rPr>
            </w:pPr>
          </w:p>
        </w:tc>
        <w:tc>
          <w:tcPr>
            <w:tcW w:w="2785" w:type="dxa"/>
          </w:tcPr>
          <w:p w14:paraId="5928C106" w14:textId="77777777" w:rsidR="0020202E" w:rsidRPr="00BD4B9D" w:rsidRDefault="0020202E" w:rsidP="003D1229">
            <w:pPr>
              <w:rPr>
                <w:rFonts w:ascii="Times New Roman" w:hAnsi="Times New Roman" w:cs="Times New Roman"/>
                <w:sz w:val="24"/>
                <w:szCs w:val="24"/>
              </w:rPr>
            </w:pPr>
            <w:r w:rsidRPr="00BD4B9D">
              <w:rPr>
                <w:rFonts w:ascii="Times New Roman" w:hAnsi="Times New Roman" w:cs="Times New Roman"/>
                <w:sz w:val="24"/>
                <w:szCs w:val="24"/>
              </w:rPr>
              <w:t>Not effective</w:t>
            </w:r>
          </w:p>
        </w:tc>
        <w:tc>
          <w:tcPr>
            <w:tcW w:w="1517" w:type="dxa"/>
          </w:tcPr>
          <w:p w14:paraId="0B81D767" w14:textId="77777777" w:rsidR="0020202E" w:rsidRPr="00BD4B9D" w:rsidRDefault="0020202E" w:rsidP="003D1229">
            <w:pPr>
              <w:rPr>
                <w:rFonts w:ascii="Times New Roman" w:hAnsi="Times New Roman" w:cs="Times New Roman"/>
                <w:sz w:val="24"/>
                <w:szCs w:val="24"/>
              </w:rPr>
            </w:pPr>
            <w:r>
              <w:rPr>
                <w:rFonts w:ascii="Times New Roman" w:hAnsi="Times New Roman" w:cs="Times New Roman"/>
                <w:sz w:val="24"/>
                <w:szCs w:val="24"/>
              </w:rPr>
              <w:t>5</w:t>
            </w:r>
          </w:p>
        </w:tc>
        <w:tc>
          <w:tcPr>
            <w:tcW w:w="1562" w:type="dxa"/>
          </w:tcPr>
          <w:p w14:paraId="0F314431" w14:textId="77777777" w:rsidR="0020202E" w:rsidRPr="00BD4B9D" w:rsidRDefault="0020202E" w:rsidP="003D1229">
            <w:pPr>
              <w:rPr>
                <w:rFonts w:ascii="Times New Roman" w:eastAsia="Times New Roman" w:hAnsi="Times New Roman" w:cs="Times New Roman"/>
                <w:color w:val="000000"/>
                <w:sz w:val="24"/>
                <w:szCs w:val="24"/>
                <w:lang w:eastAsia="en-IN"/>
              </w:rPr>
            </w:pPr>
            <w:r w:rsidRPr="00BD4B9D">
              <w:rPr>
                <w:rFonts w:ascii="Times New Roman" w:eastAsia="Times New Roman" w:hAnsi="Times New Roman" w:cs="Times New Roman"/>
                <w:color w:val="000000"/>
                <w:kern w:val="0"/>
                <w:sz w:val="24"/>
                <w:szCs w:val="24"/>
                <w:lang w:eastAsia="en-IN"/>
                <w14:ligatures w14:val="none"/>
              </w:rPr>
              <w:t>2.82</w:t>
            </w:r>
          </w:p>
        </w:tc>
      </w:tr>
    </w:tbl>
    <w:p w14:paraId="4BE069E5" w14:textId="3754BCDB" w:rsidR="006A7F57" w:rsidRDefault="006A7F57" w:rsidP="007777B4">
      <w:pPr>
        <w:spacing w:before="240"/>
        <w:ind w:firstLine="720"/>
        <w:jc w:val="both"/>
        <w:rPr>
          <w:rFonts w:ascii="Times New Roman" w:hAnsi="Times New Roman" w:cs="Times New Roman"/>
          <w:color w:val="001D35"/>
          <w:sz w:val="24"/>
          <w:szCs w:val="24"/>
          <w:shd w:val="clear" w:color="auto" w:fill="FFFFFF"/>
        </w:rPr>
      </w:pPr>
      <w:r>
        <w:rPr>
          <w:noProof/>
        </w:rPr>
        <w:drawing>
          <wp:inline distT="0" distB="0" distL="0" distR="0" wp14:anchorId="48DDEC9C" wp14:editId="04CAE85A">
            <wp:extent cx="4572000" cy="2743200"/>
            <wp:effectExtent l="0" t="0" r="0" b="0"/>
            <wp:docPr id="1310421691" name="Chart 1">
              <a:extLst xmlns:a="http://schemas.openxmlformats.org/drawingml/2006/main">
                <a:ext uri="{FF2B5EF4-FFF2-40B4-BE49-F238E27FC236}">
                  <a16:creationId xmlns:a16="http://schemas.microsoft.com/office/drawing/2014/main" id="{1A8A2CC5-3166-261E-49EF-089F9329C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9A1459" w14:textId="11F732EB" w:rsidR="006A7F57" w:rsidRDefault="006A7F57" w:rsidP="007777B4">
      <w:pPr>
        <w:spacing w:before="240"/>
        <w:ind w:firstLine="720"/>
        <w:jc w:val="both"/>
        <w:rPr>
          <w:rFonts w:ascii="Times New Roman" w:hAnsi="Times New Roman" w:cs="Times New Roman"/>
          <w:color w:val="001D35"/>
          <w:sz w:val="24"/>
          <w:szCs w:val="24"/>
          <w:shd w:val="clear" w:color="auto" w:fill="FFFFFF"/>
        </w:rPr>
      </w:pPr>
      <w:r w:rsidRPr="006A7F57">
        <w:rPr>
          <w:rFonts w:ascii="Times New Roman" w:hAnsi="Times New Roman" w:cs="Times New Roman"/>
          <w:color w:val="001D35"/>
          <w:sz w:val="24"/>
          <w:szCs w:val="24"/>
          <w:shd w:val="clear" w:color="auto" w:fill="FFFFFF"/>
        </w:rPr>
        <w:t xml:space="preserve">Graph </w:t>
      </w:r>
      <w:r w:rsidR="005F4EA1">
        <w:rPr>
          <w:rFonts w:ascii="Times New Roman" w:hAnsi="Times New Roman" w:cs="Times New Roman"/>
          <w:color w:val="001D35"/>
          <w:sz w:val="24"/>
          <w:szCs w:val="24"/>
          <w:shd w:val="clear" w:color="auto" w:fill="FFFFFF"/>
        </w:rPr>
        <w:t>3</w:t>
      </w:r>
      <w:r w:rsidRPr="006A7F57">
        <w:rPr>
          <w:rFonts w:ascii="Times New Roman" w:hAnsi="Times New Roman" w:cs="Times New Roman"/>
          <w:color w:val="001D35"/>
          <w:sz w:val="24"/>
          <w:szCs w:val="24"/>
          <w:shd w:val="clear" w:color="auto" w:fill="FFFFFF"/>
        </w:rPr>
        <w:t>: Interest in Starting an Enterprise</w:t>
      </w:r>
    </w:p>
    <w:p w14:paraId="106217BC" w14:textId="28BB415F" w:rsidR="00093D0F" w:rsidRDefault="00093D0F" w:rsidP="007777B4">
      <w:pPr>
        <w:spacing w:before="240"/>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A perusal of </w:t>
      </w:r>
      <w:r w:rsidR="00843155">
        <w:rPr>
          <w:rFonts w:ascii="Times New Roman" w:hAnsi="Times New Roman" w:cs="Times New Roman"/>
          <w:color w:val="001D35"/>
          <w:sz w:val="24"/>
          <w:szCs w:val="24"/>
          <w:shd w:val="clear" w:color="auto" w:fill="FFFFFF"/>
        </w:rPr>
        <w:t>Table</w:t>
      </w:r>
      <w:r w:rsidRPr="00BD4B9D">
        <w:rPr>
          <w:rFonts w:ascii="Times New Roman" w:hAnsi="Times New Roman" w:cs="Times New Roman"/>
          <w:color w:val="001D35"/>
          <w:sz w:val="24"/>
          <w:szCs w:val="24"/>
          <w:shd w:val="clear" w:color="auto" w:fill="FFFFFF"/>
        </w:rPr>
        <w:t xml:space="preserve"> </w:t>
      </w:r>
      <w:r w:rsidR="00843155">
        <w:rPr>
          <w:rFonts w:ascii="Times New Roman" w:hAnsi="Times New Roman" w:cs="Times New Roman"/>
          <w:color w:val="001D35"/>
          <w:sz w:val="24"/>
          <w:szCs w:val="24"/>
          <w:shd w:val="clear" w:color="auto" w:fill="FFFFFF"/>
        </w:rPr>
        <w:t xml:space="preserve">2 </w:t>
      </w:r>
      <w:r w:rsidR="00A70684">
        <w:rPr>
          <w:rFonts w:ascii="Times New Roman" w:hAnsi="Times New Roman" w:cs="Times New Roman"/>
          <w:color w:val="001D35"/>
          <w:sz w:val="24"/>
          <w:szCs w:val="24"/>
          <w:shd w:val="clear" w:color="auto" w:fill="FFFFFF"/>
        </w:rPr>
        <w:t xml:space="preserve">on starting a </w:t>
      </w:r>
      <w:r w:rsidRPr="00BD4B9D">
        <w:rPr>
          <w:rFonts w:ascii="Times New Roman" w:hAnsi="Times New Roman" w:cs="Times New Roman"/>
          <w:color w:val="001D35"/>
          <w:sz w:val="24"/>
          <w:szCs w:val="24"/>
          <w:shd w:val="clear" w:color="auto" w:fill="FFFFFF"/>
        </w:rPr>
        <w:t xml:space="preserve">venture showed that 61.58 per cent of the trainees were interested in starting an enterprise in contrast to 9.6 per cent </w:t>
      </w:r>
      <w:r w:rsidR="00843155">
        <w:rPr>
          <w:rFonts w:ascii="Times New Roman" w:hAnsi="Times New Roman" w:cs="Times New Roman"/>
          <w:color w:val="001D35"/>
          <w:sz w:val="24"/>
          <w:szCs w:val="24"/>
          <w:shd w:val="clear" w:color="auto" w:fill="FFFFFF"/>
        </w:rPr>
        <w:t>who did</w:t>
      </w:r>
      <w:r w:rsidRPr="00BD4B9D">
        <w:rPr>
          <w:rFonts w:ascii="Times New Roman" w:hAnsi="Times New Roman" w:cs="Times New Roman"/>
          <w:color w:val="001D35"/>
          <w:sz w:val="24"/>
          <w:szCs w:val="24"/>
          <w:shd w:val="clear" w:color="auto" w:fill="FFFFFF"/>
        </w:rPr>
        <w:t xml:space="preserve"> not </w:t>
      </w:r>
      <w:r w:rsidR="00843155">
        <w:rPr>
          <w:rFonts w:ascii="Times New Roman" w:hAnsi="Times New Roman" w:cs="Times New Roman"/>
          <w:color w:val="001D35"/>
          <w:sz w:val="24"/>
          <w:szCs w:val="24"/>
          <w:shd w:val="clear" w:color="auto" w:fill="FFFFFF"/>
        </w:rPr>
        <w:t>have</w:t>
      </w:r>
      <w:r w:rsidRPr="00BD4B9D">
        <w:rPr>
          <w:rFonts w:ascii="Times New Roman" w:hAnsi="Times New Roman" w:cs="Times New Roman"/>
          <w:color w:val="001D35"/>
          <w:sz w:val="24"/>
          <w:szCs w:val="24"/>
          <w:shd w:val="clear" w:color="auto" w:fill="FFFFFF"/>
        </w:rPr>
        <w:t xml:space="preserve"> that idea. About 28.8 per cent have not </w:t>
      </w:r>
      <w:r w:rsidR="00843155">
        <w:rPr>
          <w:rFonts w:ascii="Times New Roman" w:hAnsi="Times New Roman" w:cs="Times New Roman"/>
          <w:color w:val="001D35"/>
          <w:sz w:val="24"/>
          <w:szCs w:val="24"/>
          <w:shd w:val="clear" w:color="auto" w:fill="FFFFFF"/>
        </w:rPr>
        <w:t>decided</w:t>
      </w:r>
      <w:r w:rsidRPr="00BD4B9D">
        <w:rPr>
          <w:rFonts w:ascii="Times New Roman" w:hAnsi="Times New Roman" w:cs="Times New Roman"/>
          <w:color w:val="001D35"/>
          <w:sz w:val="24"/>
          <w:szCs w:val="24"/>
          <w:shd w:val="clear" w:color="auto" w:fill="FFFFFF"/>
        </w:rPr>
        <w:t xml:space="preserve"> to start it or not. These figures are highly encouraging for an institution as </w:t>
      </w:r>
      <w:r w:rsidR="00843155">
        <w:rPr>
          <w:rFonts w:ascii="Times New Roman" w:hAnsi="Times New Roman" w:cs="Times New Roman"/>
          <w:color w:val="001D35"/>
          <w:sz w:val="24"/>
          <w:szCs w:val="24"/>
          <w:shd w:val="clear" w:color="auto" w:fill="FFFFFF"/>
        </w:rPr>
        <w:t xml:space="preserve">the </w:t>
      </w:r>
      <w:r w:rsidRPr="00BD4B9D">
        <w:rPr>
          <w:rFonts w:ascii="Times New Roman" w:hAnsi="Times New Roman" w:cs="Times New Roman"/>
          <w:color w:val="001D35"/>
          <w:sz w:val="24"/>
          <w:szCs w:val="24"/>
          <w:shd w:val="clear" w:color="auto" w:fill="FFFFFF"/>
        </w:rPr>
        <w:t xml:space="preserve">majority of the trainees are interested in </w:t>
      </w:r>
      <w:r w:rsidR="00C26A03" w:rsidRPr="00BD4B9D">
        <w:rPr>
          <w:rFonts w:ascii="Times New Roman" w:hAnsi="Times New Roman" w:cs="Times New Roman"/>
          <w:color w:val="001D35"/>
          <w:sz w:val="24"/>
          <w:szCs w:val="24"/>
          <w:shd w:val="clear" w:color="auto" w:fill="FFFFFF"/>
        </w:rPr>
        <w:t xml:space="preserve">learning the skills and </w:t>
      </w:r>
      <w:r w:rsidR="0050415E">
        <w:rPr>
          <w:rFonts w:ascii="Times New Roman" w:hAnsi="Times New Roman" w:cs="Times New Roman"/>
          <w:color w:val="001D35"/>
          <w:sz w:val="24"/>
          <w:szCs w:val="24"/>
          <w:shd w:val="clear" w:color="auto" w:fill="FFFFFF"/>
        </w:rPr>
        <w:t>willing to</w:t>
      </w:r>
      <w:r w:rsidR="00843155">
        <w:rPr>
          <w:rFonts w:ascii="Times New Roman" w:hAnsi="Times New Roman" w:cs="Times New Roman"/>
          <w:color w:val="001D35"/>
          <w:sz w:val="24"/>
          <w:szCs w:val="24"/>
          <w:shd w:val="clear" w:color="auto" w:fill="FFFFFF"/>
        </w:rPr>
        <w:t xml:space="preserve"> </w:t>
      </w:r>
      <w:r w:rsidR="0050415E">
        <w:rPr>
          <w:rFonts w:ascii="Times New Roman" w:hAnsi="Times New Roman" w:cs="Times New Roman"/>
          <w:color w:val="001D35"/>
          <w:sz w:val="24"/>
          <w:szCs w:val="24"/>
          <w:shd w:val="clear" w:color="auto" w:fill="FFFFFF"/>
        </w:rPr>
        <w:t>start</w:t>
      </w:r>
      <w:r w:rsidR="00C26A03" w:rsidRPr="00BD4B9D">
        <w:rPr>
          <w:rFonts w:ascii="Times New Roman" w:hAnsi="Times New Roman" w:cs="Times New Roman"/>
          <w:color w:val="001D35"/>
          <w:sz w:val="24"/>
          <w:szCs w:val="24"/>
          <w:shd w:val="clear" w:color="auto" w:fill="FFFFFF"/>
        </w:rPr>
        <w:t xml:space="preserve"> their ventures.</w:t>
      </w:r>
    </w:p>
    <w:p w14:paraId="795F3460" w14:textId="32713272" w:rsidR="00070492" w:rsidRPr="00070492" w:rsidRDefault="00070492" w:rsidP="009D4F8D">
      <w:pPr>
        <w:ind w:firstLine="720"/>
        <w:jc w:val="both"/>
        <w:rPr>
          <w:rFonts w:ascii="Times New Roman" w:hAnsi="Times New Roman" w:cs="Times New Roman"/>
          <w:sz w:val="24"/>
          <w:szCs w:val="24"/>
          <w:shd w:val="clear" w:color="auto" w:fill="FFFFFF"/>
        </w:rPr>
      </w:pPr>
      <w:r w:rsidRPr="00070492">
        <w:rPr>
          <w:rFonts w:ascii="Times New Roman" w:hAnsi="Times New Roman" w:cs="Times New Roman"/>
          <w:sz w:val="24"/>
          <w:szCs w:val="24"/>
          <w:shd w:val="clear" w:color="auto" w:fill="FFFFFF"/>
        </w:rPr>
        <w:t>The high levels of entrepreneurial interest among trainees suggest that skill training programs are effective in fostering aspirations for entrepreneurship. This finding aligns with recent studies emphasizing the motivational impact of structured training interventions in the agriculture and allied sectors (Sharma et al., 202</w:t>
      </w:r>
      <w:r w:rsidR="000E2002">
        <w:rPr>
          <w:rFonts w:ascii="Times New Roman" w:hAnsi="Times New Roman" w:cs="Times New Roman"/>
          <w:sz w:val="24"/>
          <w:szCs w:val="24"/>
          <w:shd w:val="clear" w:color="auto" w:fill="FFFFFF"/>
        </w:rPr>
        <w:t>1</w:t>
      </w:r>
      <w:r w:rsidRPr="00070492">
        <w:rPr>
          <w:rFonts w:ascii="Times New Roman" w:hAnsi="Times New Roman" w:cs="Times New Roman"/>
          <w:sz w:val="24"/>
          <w:szCs w:val="24"/>
          <w:shd w:val="clear" w:color="auto" w:fill="FFFFFF"/>
        </w:rPr>
        <w:t xml:space="preserve">; Singh </w:t>
      </w:r>
      <w:r w:rsidR="0008746C">
        <w:rPr>
          <w:rFonts w:ascii="Times New Roman" w:hAnsi="Times New Roman" w:cs="Times New Roman"/>
          <w:sz w:val="24"/>
          <w:szCs w:val="24"/>
          <w:shd w:val="clear" w:color="auto" w:fill="FFFFFF"/>
        </w:rPr>
        <w:t>et al</w:t>
      </w:r>
      <w:r w:rsidRPr="00070492">
        <w:rPr>
          <w:rFonts w:ascii="Times New Roman" w:hAnsi="Times New Roman" w:cs="Times New Roman"/>
          <w:sz w:val="24"/>
          <w:szCs w:val="24"/>
          <w:shd w:val="clear" w:color="auto" w:fill="FFFFFF"/>
        </w:rPr>
        <w:t>, 201</w:t>
      </w:r>
      <w:r w:rsidR="0008746C">
        <w:rPr>
          <w:rFonts w:ascii="Times New Roman" w:hAnsi="Times New Roman" w:cs="Times New Roman"/>
          <w:sz w:val="24"/>
          <w:szCs w:val="24"/>
          <w:shd w:val="clear" w:color="auto" w:fill="FFFFFF"/>
        </w:rPr>
        <w:t>3</w:t>
      </w:r>
      <w:r w:rsidRPr="00070492">
        <w:rPr>
          <w:rFonts w:ascii="Times New Roman" w:hAnsi="Times New Roman" w:cs="Times New Roman"/>
          <w:sz w:val="24"/>
          <w:szCs w:val="24"/>
          <w:shd w:val="clear" w:color="auto" w:fill="FFFFFF"/>
        </w:rPr>
        <w:t>).</w:t>
      </w:r>
    </w:p>
    <w:p w14:paraId="36F7A469" w14:textId="6DB866DF" w:rsidR="00070492" w:rsidRDefault="00C26A03" w:rsidP="00070492">
      <w:pPr>
        <w:ind w:firstLine="720"/>
        <w:jc w:val="both"/>
        <w:rPr>
          <w:rFonts w:ascii="Times New Roman" w:hAnsi="Times New Roman" w:cs="Times New Roman"/>
          <w:color w:val="001D35"/>
          <w:sz w:val="24"/>
          <w:szCs w:val="24"/>
          <w:shd w:val="clear" w:color="auto" w:fill="FFFFFF"/>
        </w:rPr>
      </w:pPr>
      <w:r w:rsidRPr="00BD4B9D">
        <w:rPr>
          <w:rFonts w:ascii="Times New Roman" w:hAnsi="Times New Roman" w:cs="Times New Roman"/>
          <w:color w:val="001D35"/>
          <w:sz w:val="24"/>
          <w:szCs w:val="24"/>
          <w:shd w:val="clear" w:color="auto" w:fill="FFFFFF"/>
        </w:rPr>
        <w:t xml:space="preserve">The perception of trainees on the usefulness of training </w:t>
      </w:r>
      <w:r w:rsidR="00843155">
        <w:rPr>
          <w:rFonts w:ascii="Times New Roman" w:hAnsi="Times New Roman" w:cs="Times New Roman"/>
          <w:color w:val="001D35"/>
          <w:sz w:val="24"/>
          <w:szCs w:val="24"/>
          <w:shd w:val="clear" w:color="auto" w:fill="FFFFFF"/>
        </w:rPr>
        <w:t>programmes</w:t>
      </w:r>
      <w:r w:rsidRPr="00BD4B9D">
        <w:rPr>
          <w:rFonts w:ascii="Times New Roman" w:hAnsi="Times New Roman" w:cs="Times New Roman"/>
          <w:color w:val="001D35"/>
          <w:sz w:val="24"/>
          <w:szCs w:val="24"/>
          <w:shd w:val="clear" w:color="auto" w:fill="FFFFFF"/>
        </w:rPr>
        <w:t xml:space="preserve"> for starting </w:t>
      </w:r>
      <w:r w:rsidR="00843155">
        <w:rPr>
          <w:rFonts w:ascii="Times New Roman" w:hAnsi="Times New Roman" w:cs="Times New Roman"/>
          <w:color w:val="001D35"/>
          <w:sz w:val="24"/>
          <w:szCs w:val="24"/>
          <w:shd w:val="clear" w:color="auto" w:fill="FFFFFF"/>
        </w:rPr>
        <w:t xml:space="preserve">an </w:t>
      </w:r>
      <w:r w:rsidRPr="00BD4B9D">
        <w:rPr>
          <w:rFonts w:ascii="Times New Roman" w:hAnsi="Times New Roman" w:cs="Times New Roman"/>
          <w:color w:val="001D35"/>
          <w:sz w:val="24"/>
          <w:szCs w:val="24"/>
          <w:shd w:val="clear" w:color="auto" w:fill="FFFFFF"/>
        </w:rPr>
        <w:t xml:space="preserve">enterprise was collected and found that about 68 per cent perceived it as highly useful, 30 per cent as useful and 3 per cent as not useful. </w:t>
      </w:r>
      <w:r w:rsidR="00070492" w:rsidRPr="00070492">
        <w:rPr>
          <w:rFonts w:ascii="Times New Roman" w:hAnsi="Times New Roman" w:cs="Times New Roman"/>
          <w:color w:val="001D35"/>
          <w:sz w:val="24"/>
          <w:szCs w:val="24"/>
          <w:shd w:val="clear" w:color="auto" w:fill="FFFFFF"/>
        </w:rPr>
        <w:t>These positive perceptions highlight that relevance, practical orientation and contextual suitability are essential factors contributing to the effectiveness of training in entrepreneurship development (OECD, 2021; Meena et al., 202</w:t>
      </w:r>
      <w:r w:rsidR="005C2EE6">
        <w:rPr>
          <w:rFonts w:ascii="Times New Roman" w:hAnsi="Times New Roman" w:cs="Times New Roman"/>
          <w:color w:val="001D35"/>
          <w:sz w:val="24"/>
          <w:szCs w:val="24"/>
          <w:shd w:val="clear" w:color="auto" w:fill="FFFFFF"/>
        </w:rPr>
        <w:t>3</w:t>
      </w:r>
      <w:r w:rsidR="00070492" w:rsidRPr="00070492">
        <w:rPr>
          <w:rFonts w:ascii="Times New Roman" w:hAnsi="Times New Roman" w:cs="Times New Roman"/>
          <w:color w:val="001D35"/>
          <w:sz w:val="24"/>
          <w:szCs w:val="24"/>
          <w:shd w:val="clear" w:color="auto" w:fill="FFFFFF"/>
        </w:rPr>
        <w:t>).</w:t>
      </w:r>
    </w:p>
    <w:p w14:paraId="55F2A99B" w14:textId="153EDADC" w:rsidR="00843155" w:rsidRDefault="00843155" w:rsidP="00070492">
      <w:pPr>
        <w:ind w:firstLine="720"/>
        <w:jc w:val="both"/>
        <w:rPr>
          <w:rFonts w:ascii="Times New Roman" w:hAnsi="Times New Roman" w:cs="Times New Roman"/>
          <w:color w:val="001D35"/>
          <w:sz w:val="24"/>
          <w:szCs w:val="24"/>
          <w:shd w:val="clear" w:color="auto" w:fill="FFFFFF"/>
        </w:rPr>
      </w:pPr>
      <w:r w:rsidRPr="00843155">
        <w:rPr>
          <w:rFonts w:ascii="Times New Roman" w:hAnsi="Times New Roman" w:cs="Times New Roman"/>
          <w:color w:val="001D35"/>
          <w:sz w:val="24"/>
          <w:szCs w:val="24"/>
          <w:shd w:val="clear" w:color="auto" w:fill="FFFFFF"/>
        </w:rPr>
        <w:t xml:space="preserve">The attitude of respondents toward Kerala Agricultural University's (KAU) efforts in enhancing skillsets for starting an enterprise was </w:t>
      </w:r>
      <w:r w:rsidR="00C10E14">
        <w:rPr>
          <w:rFonts w:ascii="Times New Roman" w:hAnsi="Times New Roman" w:cs="Times New Roman"/>
          <w:color w:val="001D35"/>
          <w:sz w:val="24"/>
          <w:szCs w:val="24"/>
          <w:shd w:val="clear" w:color="auto" w:fill="FFFFFF"/>
        </w:rPr>
        <w:t>overall</w:t>
      </w:r>
      <w:r w:rsidRPr="00843155">
        <w:rPr>
          <w:rFonts w:ascii="Times New Roman" w:hAnsi="Times New Roman" w:cs="Times New Roman"/>
          <w:color w:val="001D35"/>
          <w:sz w:val="24"/>
          <w:szCs w:val="24"/>
          <w:shd w:val="clear" w:color="auto" w:fill="FFFFFF"/>
        </w:rPr>
        <w:t xml:space="preserve"> positive. Approximately 65.54% of the respondents perceived the initiatives as highly effective, demonstrating a strong alignment between KAU's efforts and the needs of aspiring entrepreneurs. Another 31.64% found the efforts to be effective, suggesting that while the majority acknowledged the utility of these </w:t>
      </w:r>
      <w:r w:rsidRPr="00843155">
        <w:rPr>
          <w:rFonts w:ascii="Times New Roman" w:hAnsi="Times New Roman" w:cs="Times New Roman"/>
          <w:color w:val="001D35"/>
          <w:sz w:val="24"/>
          <w:szCs w:val="24"/>
          <w:shd w:val="clear" w:color="auto" w:fill="FFFFFF"/>
        </w:rPr>
        <w:lastRenderedPageBreak/>
        <w:t xml:space="preserve">initiatives, there is still room for refinement to achieve even broader impact. Only a small minority, 2.82%, deemed the efforts as not effective, indicating isolated challenges or unmet expectations. The standard deviation of 0.54 reflects a relatively consistent agreement among respondents about the effectiveness of KAU's interventions. </w:t>
      </w:r>
    </w:p>
    <w:p w14:paraId="70BA8E85" w14:textId="08C3CB4D" w:rsidR="002A29EA" w:rsidRDefault="002A29EA" w:rsidP="0080359C">
      <w:pPr>
        <w:ind w:firstLine="720"/>
        <w:jc w:val="both"/>
        <w:rPr>
          <w:rFonts w:ascii="Times New Roman" w:hAnsi="Times New Roman" w:cs="Times New Roman"/>
          <w:color w:val="001D35"/>
          <w:sz w:val="24"/>
          <w:szCs w:val="24"/>
          <w:shd w:val="clear" w:color="auto" w:fill="FFFFFF"/>
        </w:rPr>
      </w:pPr>
      <w:r>
        <w:rPr>
          <w:noProof/>
        </w:rPr>
        <w:drawing>
          <wp:inline distT="0" distB="0" distL="0" distR="0" wp14:anchorId="5A5AF627" wp14:editId="6EA2244F">
            <wp:extent cx="4572000" cy="2743200"/>
            <wp:effectExtent l="0" t="0" r="0" b="0"/>
            <wp:docPr id="1529842360" name="Chart 1">
              <a:extLst xmlns:a="http://schemas.openxmlformats.org/drawingml/2006/main">
                <a:ext uri="{FF2B5EF4-FFF2-40B4-BE49-F238E27FC236}">
                  <a16:creationId xmlns:a16="http://schemas.microsoft.com/office/drawing/2014/main" id="{EB7105BE-F2C8-594B-A957-67168F4E6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F39F14" w14:textId="048D7543" w:rsidR="002A29EA" w:rsidRPr="0080359C" w:rsidRDefault="002A29EA" w:rsidP="0080359C">
      <w:pPr>
        <w:ind w:firstLine="720"/>
        <w:jc w:val="both"/>
        <w:rPr>
          <w:rFonts w:ascii="Times New Roman" w:hAnsi="Times New Roman" w:cs="Times New Roman"/>
          <w:color w:val="001D35"/>
          <w:sz w:val="24"/>
          <w:szCs w:val="24"/>
          <w:shd w:val="clear" w:color="auto" w:fill="FFFFFF"/>
        </w:rPr>
      </w:pPr>
      <w:r w:rsidRPr="002A29EA">
        <w:rPr>
          <w:rFonts w:ascii="Times New Roman" w:hAnsi="Times New Roman" w:cs="Times New Roman"/>
          <w:color w:val="001D35"/>
          <w:sz w:val="24"/>
          <w:szCs w:val="24"/>
          <w:shd w:val="clear" w:color="auto" w:fill="FFFFFF"/>
        </w:rPr>
        <w:t xml:space="preserve">Graph </w:t>
      </w:r>
      <w:r w:rsidR="005F4EA1">
        <w:rPr>
          <w:rFonts w:ascii="Times New Roman" w:hAnsi="Times New Roman" w:cs="Times New Roman"/>
          <w:color w:val="001D35"/>
          <w:sz w:val="24"/>
          <w:szCs w:val="24"/>
          <w:shd w:val="clear" w:color="auto" w:fill="FFFFFF"/>
        </w:rPr>
        <w:t>4</w:t>
      </w:r>
      <w:r w:rsidRPr="002A29EA">
        <w:rPr>
          <w:rFonts w:ascii="Times New Roman" w:hAnsi="Times New Roman" w:cs="Times New Roman"/>
          <w:color w:val="001D35"/>
          <w:sz w:val="24"/>
          <w:szCs w:val="24"/>
          <w:shd w:val="clear" w:color="auto" w:fill="FFFFFF"/>
        </w:rPr>
        <w:t>: Perceived Effectiveness of KAU Skill Trainings</w:t>
      </w:r>
    </w:p>
    <w:p w14:paraId="70E4CDAF" w14:textId="455D4088" w:rsidR="0080359C" w:rsidRDefault="00843155" w:rsidP="0080359C">
      <w:pPr>
        <w:ind w:firstLine="720"/>
        <w:jc w:val="both"/>
        <w:rPr>
          <w:rFonts w:ascii="Times New Roman" w:hAnsi="Times New Roman" w:cs="Times New Roman"/>
          <w:sz w:val="24"/>
          <w:szCs w:val="24"/>
        </w:rPr>
      </w:pPr>
      <w:r w:rsidRPr="00843155">
        <w:rPr>
          <w:rFonts w:ascii="Times New Roman" w:hAnsi="Times New Roman" w:cs="Times New Roman"/>
          <w:sz w:val="24"/>
          <w:szCs w:val="24"/>
        </w:rPr>
        <w:t xml:space="preserve">These findings align with Yang </w:t>
      </w:r>
      <w:r w:rsidRPr="0080359C">
        <w:rPr>
          <w:rFonts w:ascii="Times New Roman" w:hAnsi="Times New Roman" w:cs="Times New Roman"/>
          <w:i/>
          <w:iCs/>
          <w:sz w:val="24"/>
          <w:szCs w:val="24"/>
        </w:rPr>
        <w:t>et al.</w:t>
      </w:r>
      <w:r w:rsidRPr="00843155">
        <w:rPr>
          <w:rFonts w:ascii="Times New Roman" w:hAnsi="Times New Roman" w:cs="Times New Roman"/>
          <w:sz w:val="24"/>
          <w:szCs w:val="24"/>
        </w:rPr>
        <w:t xml:space="preserve"> (2023), who emphasize the critical role of training systems in improving entrepreneurial learning and abilities among farmers. Such training systems not only enhance individual performance but also contribute to the sustainability of agricultural enterprises</w:t>
      </w:r>
      <w:r w:rsidR="00C10E14">
        <w:rPr>
          <w:rFonts w:ascii="Times New Roman" w:hAnsi="Times New Roman" w:cs="Times New Roman"/>
          <w:sz w:val="24"/>
          <w:szCs w:val="24"/>
        </w:rPr>
        <w:t xml:space="preserve"> (</w:t>
      </w:r>
      <w:r w:rsidR="00C10E14" w:rsidRPr="00C10E14">
        <w:rPr>
          <w:rFonts w:ascii="Times New Roman" w:hAnsi="Times New Roman" w:cs="Times New Roman"/>
          <w:sz w:val="24"/>
          <w:szCs w:val="24"/>
        </w:rPr>
        <w:t xml:space="preserve">Davis </w:t>
      </w:r>
      <w:r w:rsidR="00C10E14" w:rsidRPr="00B55ABF">
        <w:rPr>
          <w:rFonts w:ascii="Times New Roman" w:hAnsi="Times New Roman" w:cs="Times New Roman"/>
          <w:i/>
          <w:iCs/>
          <w:sz w:val="24"/>
          <w:szCs w:val="24"/>
        </w:rPr>
        <w:t>et al</w:t>
      </w:r>
      <w:r w:rsidR="00C10E14" w:rsidRPr="00C10E14">
        <w:rPr>
          <w:rFonts w:ascii="Times New Roman" w:hAnsi="Times New Roman" w:cs="Times New Roman"/>
          <w:sz w:val="24"/>
          <w:szCs w:val="24"/>
        </w:rPr>
        <w:t>., 2020)</w:t>
      </w:r>
      <w:r w:rsidRPr="00C10E14">
        <w:rPr>
          <w:rFonts w:ascii="Times New Roman" w:hAnsi="Times New Roman" w:cs="Times New Roman"/>
          <w:sz w:val="24"/>
          <w:szCs w:val="24"/>
        </w:rPr>
        <w:t xml:space="preserve">. </w:t>
      </w:r>
      <w:r w:rsidRPr="00843155">
        <w:rPr>
          <w:rFonts w:ascii="Times New Roman" w:hAnsi="Times New Roman" w:cs="Times New Roman"/>
          <w:sz w:val="24"/>
          <w:szCs w:val="24"/>
        </w:rPr>
        <w:t>This underscores the importance of initiatives like those of KAU in equipping aspiring entrepreneurs with the necessary skills and knowledge to succeed in dynamic agricultural environments.</w:t>
      </w:r>
    </w:p>
    <w:p w14:paraId="4604E8EA" w14:textId="20A85570" w:rsidR="0022551F" w:rsidRDefault="0022551F" w:rsidP="0022551F">
      <w:pPr>
        <w:jc w:val="both"/>
        <w:rPr>
          <w:rFonts w:ascii="Times New Roman" w:hAnsi="Times New Roman" w:cs="Times New Roman"/>
          <w:b/>
          <w:sz w:val="24"/>
          <w:szCs w:val="24"/>
        </w:rPr>
      </w:pPr>
      <w:r w:rsidRPr="0022551F">
        <w:rPr>
          <w:rFonts w:ascii="Times New Roman" w:hAnsi="Times New Roman" w:cs="Times New Roman"/>
          <w:b/>
          <w:sz w:val="24"/>
          <w:szCs w:val="24"/>
        </w:rPr>
        <w:t>Relationship between Independent Variables and the Decision to Start a Venture</w:t>
      </w:r>
    </w:p>
    <w:p w14:paraId="719024F9" w14:textId="2F5F1513" w:rsidR="0020202E" w:rsidRDefault="0020202E" w:rsidP="0022551F">
      <w:pPr>
        <w:jc w:val="both"/>
        <w:rPr>
          <w:rFonts w:ascii="Times New Roman" w:hAnsi="Times New Roman" w:cs="Times New Roman"/>
          <w:b/>
          <w:sz w:val="24"/>
          <w:szCs w:val="24"/>
        </w:rPr>
      </w:pPr>
      <w:r w:rsidRPr="0020202E">
        <w:rPr>
          <w:rFonts w:ascii="Times New Roman" w:hAnsi="Times New Roman" w:cs="Times New Roman"/>
          <w:b/>
          <w:sz w:val="24"/>
          <w:szCs w:val="24"/>
        </w:rPr>
        <w:t>Table 3: Correlation between Independent Variables and Decision to Start Enterprise</w:t>
      </w:r>
    </w:p>
    <w:tbl>
      <w:tblPr>
        <w:tblStyle w:val="TableGrid"/>
        <w:tblW w:w="8744" w:type="dxa"/>
        <w:tblLook w:val="04A0" w:firstRow="1" w:lastRow="0" w:firstColumn="1" w:lastColumn="0" w:noHBand="0" w:noVBand="1"/>
      </w:tblPr>
      <w:tblGrid>
        <w:gridCol w:w="2206"/>
        <w:gridCol w:w="1952"/>
        <w:gridCol w:w="2116"/>
        <w:gridCol w:w="914"/>
        <w:gridCol w:w="1556"/>
      </w:tblGrid>
      <w:tr w:rsidR="00E56C5B" w:rsidRPr="0020202E" w14:paraId="195352B6" w14:textId="77777777" w:rsidTr="00B30B1C">
        <w:trPr>
          <w:trHeight w:val="312"/>
        </w:trPr>
        <w:tc>
          <w:tcPr>
            <w:tcW w:w="2206" w:type="dxa"/>
            <w:vAlign w:val="center"/>
            <w:hideMark/>
          </w:tcPr>
          <w:p w14:paraId="53E90B15" w14:textId="464F6452" w:rsidR="00E56C5B" w:rsidRPr="0020202E" w:rsidRDefault="00E56C5B" w:rsidP="00B30B1C">
            <w:pPr>
              <w:spacing w:line="259" w:lineRule="auto"/>
              <w:jc w:val="both"/>
              <w:rPr>
                <w:rFonts w:ascii="Times New Roman" w:hAnsi="Times New Roman" w:cs="Times New Roman"/>
                <w:b/>
                <w:bCs/>
                <w:sz w:val="24"/>
                <w:szCs w:val="24"/>
                <w:lang w:bidi="ar-SA"/>
              </w:rPr>
            </w:pPr>
            <w:r w:rsidRPr="00071739">
              <w:rPr>
                <w:rFonts w:ascii="Times New Roman" w:hAnsi="Times New Roman" w:cs="Times New Roman"/>
                <w:b/>
                <w:bCs/>
                <w:sz w:val="24"/>
                <w:szCs w:val="24"/>
                <w:lang w:bidi="ar-SA"/>
              </w:rPr>
              <w:t>Independent variable</w:t>
            </w:r>
          </w:p>
        </w:tc>
        <w:tc>
          <w:tcPr>
            <w:tcW w:w="0" w:type="auto"/>
            <w:vAlign w:val="center"/>
            <w:hideMark/>
          </w:tcPr>
          <w:p w14:paraId="2E5AF81A" w14:textId="19046B4C" w:rsidR="00E56C5B" w:rsidRPr="0020202E" w:rsidRDefault="00E56C5B" w:rsidP="00B30B1C">
            <w:pPr>
              <w:spacing w:line="259" w:lineRule="auto"/>
              <w:jc w:val="both"/>
              <w:rPr>
                <w:rFonts w:ascii="Times New Roman" w:hAnsi="Times New Roman" w:cs="Times New Roman"/>
                <w:b/>
                <w:bCs/>
                <w:sz w:val="24"/>
                <w:szCs w:val="24"/>
                <w:lang w:bidi="ar-SA"/>
              </w:rPr>
            </w:pPr>
            <w:r w:rsidRPr="00071739">
              <w:rPr>
                <w:rFonts w:ascii="Times New Roman" w:hAnsi="Times New Roman" w:cs="Times New Roman"/>
                <w:b/>
                <w:bCs/>
                <w:sz w:val="24"/>
                <w:szCs w:val="24"/>
                <w:lang w:bidi="ar-SA"/>
              </w:rPr>
              <w:t>Correlation coefficient (r)</w:t>
            </w:r>
          </w:p>
        </w:tc>
        <w:tc>
          <w:tcPr>
            <w:tcW w:w="2116" w:type="dxa"/>
            <w:vAlign w:val="center"/>
          </w:tcPr>
          <w:p w14:paraId="5380A0C1" w14:textId="2936DA4F" w:rsidR="00E56C5B" w:rsidRPr="0020202E" w:rsidRDefault="00E56C5B" w:rsidP="00B30B1C">
            <w:pPr>
              <w:jc w:val="both"/>
              <w:rPr>
                <w:rFonts w:ascii="Times New Roman" w:hAnsi="Times New Roman" w:cs="Times New Roman"/>
                <w:b/>
                <w:bCs/>
                <w:sz w:val="24"/>
                <w:szCs w:val="24"/>
              </w:rPr>
            </w:pPr>
            <w:r w:rsidRPr="00E56C5B">
              <w:rPr>
                <w:rFonts w:ascii="Times New Roman" w:hAnsi="Times New Roman" w:cs="Times New Roman"/>
                <w:b/>
                <w:bCs/>
                <w:sz w:val="24"/>
                <w:szCs w:val="24"/>
                <w:lang w:bidi="ar-SA"/>
              </w:rPr>
              <w:t>Coefficient of determination (R²)</w:t>
            </w:r>
          </w:p>
        </w:tc>
        <w:tc>
          <w:tcPr>
            <w:tcW w:w="0" w:type="auto"/>
            <w:hideMark/>
          </w:tcPr>
          <w:p w14:paraId="72ECBE41" w14:textId="6E379756" w:rsidR="00E56C5B" w:rsidRPr="0020202E" w:rsidRDefault="00E56C5B" w:rsidP="00B30B1C">
            <w:pPr>
              <w:spacing w:line="259" w:lineRule="auto"/>
              <w:jc w:val="both"/>
              <w:rPr>
                <w:rFonts w:ascii="Times New Roman" w:hAnsi="Times New Roman" w:cs="Times New Roman"/>
                <w:b/>
                <w:bCs/>
                <w:sz w:val="24"/>
                <w:szCs w:val="24"/>
                <w:lang w:bidi="ar-SA"/>
              </w:rPr>
            </w:pPr>
            <w:r w:rsidRPr="0020202E">
              <w:rPr>
                <w:rFonts w:ascii="Times New Roman" w:hAnsi="Times New Roman" w:cs="Times New Roman"/>
                <w:b/>
                <w:bCs/>
                <w:sz w:val="24"/>
                <w:szCs w:val="24"/>
                <w:lang w:bidi="ar-SA"/>
              </w:rPr>
              <w:t>p</w:t>
            </w:r>
            <w:r>
              <w:rPr>
                <w:rFonts w:ascii="Times New Roman" w:hAnsi="Times New Roman" w:cs="Times New Roman"/>
                <w:b/>
                <w:bCs/>
                <w:sz w:val="24"/>
                <w:szCs w:val="24"/>
                <w:lang w:bidi="ar-SA"/>
              </w:rPr>
              <w:t>-</w:t>
            </w:r>
            <w:r w:rsidRPr="0020202E">
              <w:rPr>
                <w:rFonts w:ascii="Times New Roman" w:hAnsi="Times New Roman" w:cs="Times New Roman"/>
                <w:b/>
                <w:bCs/>
                <w:sz w:val="24"/>
                <w:szCs w:val="24"/>
                <w:lang w:bidi="ar-SA"/>
              </w:rPr>
              <w:t>value</w:t>
            </w:r>
          </w:p>
        </w:tc>
        <w:tc>
          <w:tcPr>
            <w:tcW w:w="0" w:type="auto"/>
            <w:hideMark/>
          </w:tcPr>
          <w:p w14:paraId="7F4BC862" w14:textId="77777777" w:rsidR="00E56C5B" w:rsidRPr="0020202E" w:rsidRDefault="00E56C5B" w:rsidP="00B30B1C">
            <w:pPr>
              <w:spacing w:line="259" w:lineRule="auto"/>
              <w:jc w:val="both"/>
              <w:rPr>
                <w:rFonts w:ascii="Times New Roman" w:hAnsi="Times New Roman" w:cs="Times New Roman"/>
                <w:b/>
                <w:bCs/>
                <w:sz w:val="24"/>
                <w:szCs w:val="24"/>
                <w:lang w:bidi="ar-SA"/>
              </w:rPr>
            </w:pPr>
            <w:r w:rsidRPr="0020202E">
              <w:rPr>
                <w:rFonts w:ascii="Times New Roman" w:hAnsi="Times New Roman" w:cs="Times New Roman"/>
                <w:b/>
                <w:bCs/>
                <w:sz w:val="24"/>
                <w:szCs w:val="24"/>
                <w:lang w:bidi="ar-SA"/>
              </w:rPr>
              <w:t>Significance</w:t>
            </w:r>
          </w:p>
        </w:tc>
      </w:tr>
      <w:tr w:rsidR="00E56C5B" w:rsidRPr="0020202E" w14:paraId="75C7C08A" w14:textId="77777777" w:rsidTr="00B30B1C">
        <w:trPr>
          <w:trHeight w:val="312"/>
        </w:trPr>
        <w:tc>
          <w:tcPr>
            <w:tcW w:w="2206" w:type="dxa"/>
            <w:vAlign w:val="center"/>
            <w:hideMark/>
          </w:tcPr>
          <w:p w14:paraId="277D9DA9" w14:textId="024EDFDC"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Media use</w:t>
            </w:r>
          </w:p>
        </w:tc>
        <w:tc>
          <w:tcPr>
            <w:tcW w:w="0" w:type="auto"/>
            <w:vAlign w:val="center"/>
            <w:hideMark/>
          </w:tcPr>
          <w:p w14:paraId="191614E5" w14:textId="249A4938"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0.0653</w:t>
            </w:r>
          </w:p>
        </w:tc>
        <w:tc>
          <w:tcPr>
            <w:tcW w:w="2116" w:type="dxa"/>
            <w:vAlign w:val="center"/>
          </w:tcPr>
          <w:p w14:paraId="14999DB8" w14:textId="3861DECB"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0.0043</w:t>
            </w:r>
          </w:p>
        </w:tc>
        <w:tc>
          <w:tcPr>
            <w:tcW w:w="0" w:type="auto"/>
            <w:vAlign w:val="center"/>
            <w:hideMark/>
          </w:tcPr>
          <w:p w14:paraId="7F2C4704" w14:textId="0812F045"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0.0653</w:t>
            </w:r>
          </w:p>
        </w:tc>
        <w:tc>
          <w:tcPr>
            <w:tcW w:w="0" w:type="auto"/>
            <w:vAlign w:val="center"/>
          </w:tcPr>
          <w:p w14:paraId="60AD5CA3" w14:textId="583C627F" w:rsidR="00E56C5B" w:rsidRPr="0020202E"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Non-significant</w:t>
            </w:r>
          </w:p>
        </w:tc>
      </w:tr>
      <w:tr w:rsidR="00E56C5B" w:rsidRPr="0020202E" w14:paraId="3EBEAC88" w14:textId="77777777" w:rsidTr="00B30B1C">
        <w:trPr>
          <w:trHeight w:val="312"/>
        </w:trPr>
        <w:tc>
          <w:tcPr>
            <w:tcW w:w="2206" w:type="dxa"/>
            <w:vAlign w:val="center"/>
            <w:hideMark/>
          </w:tcPr>
          <w:p w14:paraId="0B325A7C" w14:textId="301514AB"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Monthly income</w:t>
            </w:r>
          </w:p>
        </w:tc>
        <w:tc>
          <w:tcPr>
            <w:tcW w:w="0" w:type="auto"/>
            <w:vAlign w:val="center"/>
            <w:hideMark/>
          </w:tcPr>
          <w:p w14:paraId="25C5ED56" w14:textId="4DF7B5A8"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-0.1971</w:t>
            </w:r>
          </w:p>
        </w:tc>
        <w:tc>
          <w:tcPr>
            <w:tcW w:w="2116" w:type="dxa"/>
            <w:vAlign w:val="center"/>
          </w:tcPr>
          <w:p w14:paraId="2BEBAB3B" w14:textId="1DACE046"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0.0388</w:t>
            </w:r>
          </w:p>
        </w:tc>
        <w:tc>
          <w:tcPr>
            <w:tcW w:w="0" w:type="auto"/>
            <w:vAlign w:val="center"/>
            <w:hideMark/>
          </w:tcPr>
          <w:p w14:paraId="352ECF1D" w14:textId="3E97E8DA"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-0.1971</w:t>
            </w:r>
          </w:p>
        </w:tc>
        <w:tc>
          <w:tcPr>
            <w:tcW w:w="0" w:type="auto"/>
            <w:vAlign w:val="center"/>
          </w:tcPr>
          <w:p w14:paraId="5FCC6154" w14:textId="679D9CAD"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p &lt; 0.01</w:t>
            </w:r>
          </w:p>
        </w:tc>
      </w:tr>
      <w:tr w:rsidR="00E56C5B" w:rsidRPr="0020202E" w14:paraId="4DA66648" w14:textId="77777777" w:rsidTr="00B30B1C">
        <w:trPr>
          <w:trHeight w:val="321"/>
        </w:trPr>
        <w:tc>
          <w:tcPr>
            <w:tcW w:w="2206" w:type="dxa"/>
            <w:vAlign w:val="center"/>
            <w:hideMark/>
          </w:tcPr>
          <w:p w14:paraId="33EDAF27" w14:textId="664AC7E3"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Education</w:t>
            </w:r>
          </w:p>
        </w:tc>
        <w:tc>
          <w:tcPr>
            <w:tcW w:w="0" w:type="auto"/>
            <w:vAlign w:val="center"/>
            <w:hideMark/>
          </w:tcPr>
          <w:p w14:paraId="40654B87" w14:textId="42E1D679"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-0.0723</w:t>
            </w:r>
          </w:p>
        </w:tc>
        <w:tc>
          <w:tcPr>
            <w:tcW w:w="2116" w:type="dxa"/>
            <w:vAlign w:val="center"/>
          </w:tcPr>
          <w:p w14:paraId="3484AD46" w14:textId="0C249EB2"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0.0052</w:t>
            </w:r>
          </w:p>
        </w:tc>
        <w:tc>
          <w:tcPr>
            <w:tcW w:w="0" w:type="auto"/>
            <w:vAlign w:val="center"/>
            <w:hideMark/>
          </w:tcPr>
          <w:p w14:paraId="090F4427" w14:textId="1EFF8E29"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-0.0723</w:t>
            </w:r>
          </w:p>
        </w:tc>
        <w:tc>
          <w:tcPr>
            <w:tcW w:w="0" w:type="auto"/>
            <w:vAlign w:val="center"/>
          </w:tcPr>
          <w:p w14:paraId="29B631EF" w14:textId="0EE541F6"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Non-significant</w:t>
            </w:r>
          </w:p>
        </w:tc>
      </w:tr>
      <w:tr w:rsidR="00E56C5B" w:rsidRPr="0020202E" w14:paraId="6338F317" w14:textId="77777777" w:rsidTr="00B30B1C">
        <w:trPr>
          <w:trHeight w:val="312"/>
        </w:trPr>
        <w:tc>
          <w:tcPr>
            <w:tcW w:w="2206" w:type="dxa"/>
            <w:vAlign w:val="center"/>
            <w:hideMark/>
          </w:tcPr>
          <w:p w14:paraId="03AEA470" w14:textId="72ED3661"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Land area owned</w:t>
            </w:r>
          </w:p>
        </w:tc>
        <w:tc>
          <w:tcPr>
            <w:tcW w:w="0" w:type="auto"/>
            <w:vAlign w:val="center"/>
            <w:hideMark/>
          </w:tcPr>
          <w:p w14:paraId="5DE70CB7" w14:textId="6CEDC6FB"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0.1675</w:t>
            </w:r>
          </w:p>
        </w:tc>
        <w:tc>
          <w:tcPr>
            <w:tcW w:w="2116" w:type="dxa"/>
            <w:vAlign w:val="center"/>
          </w:tcPr>
          <w:p w14:paraId="28922495" w14:textId="73E8CE27"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0.0281</w:t>
            </w:r>
          </w:p>
        </w:tc>
        <w:tc>
          <w:tcPr>
            <w:tcW w:w="0" w:type="auto"/>
            <w:vAlign w:val="center"/>
            <w:hideMark/>
          </w:tcPr>
          <w:p w14:paraId="03DFB2E2" w14:textId="343A84C2"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0.1675</w:t>
            </w:r>
          </w:p>
        </w:tc>
        <w:tc>
          <w:tcPr>
            <w:tcW w:w="0" w:type="auto"/>
            <w:vAlign w:val="center"/>
          </w:tcPr>
          <w:p w14:paraId="37DE38E1" w14:textId="10EDD9B7"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p &lt; 0.05</w:t>
            </w:r>
          </w:p>
        </w:tc>
      </w:tr>
      <w:tr w:rsidR="00E56C5B" w:rsidRPr="0020202E" w14:paraId="45E81423" w14:textId="77777777" w:rsidTr="00B30B1C">
        <w:trPr>
          <w:trHeight w:val="312"/>
        </w:trPr>
        <w:tc>
          <w:tcPr>
            <w:tcW w:w="2206" w:type="dxa"/>
            <w:vAlign w:val="center"/>
            <w:hideMark/>
          </w:tcPr>
          <w:p w14:paraId="1AD2B404" w14:textId="2F41C671" w:rsidR="00E56C5B" w:rsidRPr="00071739" w:rsidRDefault="00E56C5B" w:rsidP="00B30B1C">
            <w:pPr>
              <w:spacing w:line="259" w:lineRule="auto"/>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Perceived usefulness of training</w:t>
            </w:r>
          </w:p>
        </w:tc>
        <w:tc>
          <w:tcPr>
            <w:tcW w:w="0" w:type="auto"/>
            <w:vAlign w:val="center"/>
            <w:hideMark/>
          </w:tcPr>
          <w:p w14:paraId="2050BE32" w14:textId="78F78204"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0.0674</w:t>
            </w:r>
          </w:p>
        </w:tc>
        <w:tc>
          <w:tcPr>
            <w:tcW w:w="2116" w:type="dxa"/>
            <w:vAlign w:val="center"/>
          </w:tcPr>
          <w:p w14:paraId="478CE036" w14:textId="4539B6EA"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0.0045</w:t>
            </w:r>
          </w:p>
        </w:tc>
        <w:tc>
          <w:tcPr>
            <w:tcW w:w="0" w:type="auto"/>
            <w:vAlign w:val="center"/>
            <w:hideMark/>
          </w:tcPr>
          <w:p w14:paraId="549D353E" w14:textId="6317BCBA"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0.0674</w:t>
            </w:r>
          </w:p>
        </w:tc>
        <w:tc>
          <w:tcPr>
            <w:tcW w:w="0" w:type="auto"/>
            <w:vAlign w:val="center"/>
          </w:tcPr>
          <w:p w14:paraId="2E106464" w14:textId="396E1385" w:rsidR="00E56C5B" w:rsidRPr="00071739" w:rsidRDefault="00E56C5B" w:rsidP="00B30B1C">
            <w:pPr>
              <w:spacing w:line="259" w:lineRule="auto"/>
              <w:jc w:val="both"/>
              <w:rPr>
                <w:rFonts w:ascii="Times New Roman" w:hAnsi="Times New Roman" w:cs="Times New Roman"/>
                <w:bCs/>
                <w:sz w:val="24"/>
                <w:szCs w:val="24"/>
                <w:lang w:bidi="ar-SA"/>
              </w:rPr>
            </w:pPr>
            <w:r w:rsidRPr="00071739">
              <w:rPr>
                <w:rFonts w:ascii="Times New Roman" w:hAnsi="Times New Roman" w:cs="Times New Roman"/>
                <w:bCs/>
                <w:sz w:val="24"/>
                <w:szCs w:val="24"/>
                <w:lang w:bidi="ar-SA"/>
              </w:rPr>
              <w:t>Non-significant</w:t>
            </w:r>
          </w:p>
        </w:tc>
      </w:tr>
      <w:tr w:rsidR="00E56C5B" w:rsidRPr="0020202E" w14:paraId="06D90E65" w14:textId="77777777" w:rsidTr="00B30B1C">
        <w:trPr>
          <w:trHeight w:val="312"/>
        </w:trPr>
        <w:tc>
          <w:tcPr>
            <w:tcW w:w="2206" w:type="dxa"/>
            <w:vAlign w:val="center"/>
          </w:tcPr>
          <w:p w14:paraId="28AF5B58" w14:textId="09669BFF"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Attitude towards KAU efforts</w:t>
            </w:r>
          </w:p>
        </w:tc>
        <w:tc>
          <w:tcPr>
            <w:tcW w:w="0" w:type="auto"/>
            <w:vAlign w:val="center"/>
          </w:tcPr>
          <w:p w14:paraId="6A500C84" w14:textId="4A43D6F4"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0.0679</w:t>
            </w:r>
          </w:p>
        </w:tc>
        <w:tc>
          <w:tcPr>
            <w:tcW w:w="2116" w:type="dxa"/>
            <w:vAlign w:val="center"/>
          </w:tcPr>
          <w:p w14:paraId="5B0EB799" w14:textId="522AF584" w:rsidR="00E56C5B" w:rsidRPr="00071739" w:rsidRDefault="00E56C5B" w:rsidP="00B30B1C">
            <w:pPr>
              <w:jc w:val="both"/>
              <w:rPr>
                <w:rFonts w:ascii="Times New Roman" w:hAnsi="Times New Roman" w:cs="Times New Roman"/>
                <w:bCs/>
                <w:sz w:val="24"/>
                <w:szCs w:val="24"/>
              </w:rPr>
            </w:pPr>
            <w:r w:rsidRPr="00E56C5B">
              <w:rPr>
                <w:rFonts w:ascii="Times New Roman" w:hAnsi="Times New Roman" w:cs="Times New Roman"/>
                <w:bCs/>
                <w:sz w:val="24"/>
                <w:szCs w:val="24"/>
                <w:lang w:bidi="ar-SA"/>
              </w:rPr>
              <w:t>0.0046</w:t>
            </w:r>
          </w:p>
        </w:tc>
        <w:tc>
          <w:tcPr>
            <w:tcW w:w="0" w:type="auto"/>
            <w:vAlign w:val="center"/>
          </w:tcPr>
          <w:p w14:paraId="1BFD2415" w14:textId="1DAC6939"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0.0679</w:t>
            </w:r>
          </w:p>
        </w:tc>
        <w:tc>
          <w:tcPr>
            <w:tcW w:w="0" w:type="auto"/>
            <w:vAlign w:val="center"/>
          </w:tcPr>
          <w:p w14:paraId="595E0455" w14:textId="70FE1A29" w:rsidR="00E56C5B" w:rsidRPr="00071739" w:rsidRDefault="00E56C5B" w:rsidP="00B30B1C">
            <w:pPr>
              <w:jc w:val="both"/>
              <w:rPr>
                <w:rFonts w:ascii="Times New Roman" w:hAnsi="Times New Roman" w:cs="Times New Roman"/>
                <w:bCs/>
                <w:sz w:val="24"/>
                <w:szCs w:val="24"/>
              </w:rPr>
            </w:pPr>
            <w:r w:rsidRPr="00071739">
              <w:rPr>
                <w:rFonts w:ascii="Times New Roman" w:hAnsi="Times New Roman" w:cs="Times New Roman"/>
                <w:bCs/>
                <w:sz w:val="24"/>
                <w:szCs w:val="24"/>
                <w:lang w:bidi="ar-SA"/>
              </w:rPr>
              <w:t>Non-significant</w:t>
            </w:r>
          </w:p>
        </w:tc>
      </w:tr>
    </w:tbl>
    <w:p w14:paraId="3D3F0B6F" w14:textId="77777777" w:rsidR="00E56C5B" w:rsidRDefault="00E56C5B" w:rsidP="00E56C5B">
      <w:pPr>
        <w:jc w:val="both"/>
        <w:rPr>
          <w:rFonts w:ascii="Times New Roman" w:hAnsi="Times New Roman" w:cs="Times New Roman"/>
          <w:bCs/>
          <w:sz w:val="24"/>
          <w:szCs w:val="24"/>
        </w:rPr>
      </w:pPr>
    </w:p>
    <w:p w14:paraId="7FE4359B" w14:textId="228B1BAD" w:rsidR="00176BB5" w:rsidRDefault="0022551F" w:rsidP="00C10E14">
      <w:pPr>
        <w:ind w:firstLine="720"/>
        <w:jc w:val="both"/>
        <w:rPr>
          <w:rFonts w:ascii="Times New Roman" w:hAnsi="Times New Roman" w:cs="Times New Roman"/>
          <w:bCs/>
          <w:sz w:val="24"/>
          <w:szCs w:val="24"/>
        </w:rPr>
      </w:pPr>
      <w:r w:rsidRPr="0022551F">
        <w:rPr>
          <w:rFonts w:ascii="Times New Roman" w:hAnsi="Times New Roman" w:cs="Times New Roman"/>
          <w:bCs/>
          <w:sz w:val="24"/>
          <w:szCs w:val="24"/>
        </w:rPr>
        <w:lastRenderedPageBreak/>
        <w:t xml:space="preserve">The study </w:t>
      </w:r>
      <w:r>
        <w:rPr>
          <w:rFonts w:ascii="Times New Roman" w:hAnsi="Times New Roman" w:cs="Times New Roman"/>
          <w:bCs/>
          <w:sz w:val="24"/>
          <w:szCs w:val="24"/>
        </w:rPr>
        <w:t xml:space="preserve">analysed the relationship between various independent variables and the decision of trainees to start an enterprise, revealing interesting patterns. </w:t>
      </w:r>
      <w:r w:rsidR="00C10E14">
        <w:rPr>
          <w:rFonts w:ascii="Times New Roman" w:hAnsi="Times New Roman" w:cs="Times New Roman"/>
          <w:bCs/>
          <w:sz w:val="24"/>
          <w:szCs w:val="24"/>
        </w:rPr>
        <w:t>C</w:t>
      </w:r>
      <w:r w:rsidRPr="0022551F">
        <w:rPr>
          <w:rFonts w:ascii="Times New Roman" w:hAnsi="Times New Roman" w:cs="Times New Roman"/>
          <w:bCs/>
          <w:sz w:val="24"/>
          <w:szCs w:val="24"/>
        </w:rPr>
        <w:t xml:space="preserve">orrelation analysis between media use and the decision to start a new venture was </w:t>
      </w:r>
      <w:r w:rsidR="00176BB5">
        <w:rPr>
          <w:rFonts w:ascii="Times New Roman" w:hAnsi="Times New Roman" w:cs="Times New Roman"/>
          <w:bCs/>
          <w:sz w:val="24"/>
          <w:szCs w:val="24"/>
        </w:rPr>
        <w:t xml:space="preserve">found to be </w:t>
      </w:r>
      <w:r w:rsidRPr="0022551F">
        <w:rPr>
          <w:rFonts w:ascii="Times New Roman" w:hAnsi="Times New Roman" w:cs="Times New Roman"/>
          <w:bCs/>
          <w:sz w:val="24"/>
          <w:szCs w:val="24"/>
        </w:rPr>
        <w:t xml:space="preserve">positive but not statistically significant. </w:t>
      </w:r>
      <w:r w:rsidR="00176BB5" w:rsidRPr="00176BB5">
        <w:rPr>
          <w:rFonts w:ascii="Times New Roman" w:hAnsi="Times New Roman" w:cs="Times New Roman"/>
          <w:bCs/>
          <w:sz w:val="24"/>
          <w:szCs w:val="24"/>
        </w:rPr>
        <w:t>Although higher media engagement may expose individuals to entrepreneurial ideas, market information, and success stories, it does not independently translate into enterprise initiation.</w:t>
      </w:r>
      <w:r w:rsidR="00176BB5">
        <w:rPr>
          <w:rFonts w:ascii="Times New Roman" w:hAnsi="Times New Roman" w:cs="Times New Roman"/>
          <w:bCs/>
          <w:sz w:val="24"/>
          <w:szCs w:val="24"/>
        </w:rPr>
        <w:t xml:space="preserve"> T</w:t>
      </w:r>
      <w:r w:rsidR="00176BB5" w:rsidRPr="00176BB5">
        <w:rPr>
          <w:rFonts w:ascii="Times New Roman" w:hAnsi="Times New Roman" w:cs="Times New Roman"/>
          <w:bCs/>
          <w:sz w:val="24"/>
          <w:szCs w:val="24"/>
        </w:rPr>
        <w:t>his suggests that media functions more as a supportive or enabling factor rather than a direct determinant of entrepreneurial action. Previous studies similarly emphasize</w:t>
      </w:r>
      <w:r w:rsidR="00176BB5">
        <w:rPr>
          <w:rFonts w:ascii="Times New Roman" w:hAnsi="Times New Roman" w:cs="Times New Roman"/>
          <w:bCs/>
          <w:sz w:val="24"/>
          <w:szCs w:val="24"/>
        </w:rPr>
        <w:t>d</w:t>
      </w:r>
      <w:r w:rsidR="00176BB5" w:rsidRPr="00176BB5">
        <w:rPr>
          <w:rFonts w:ascii="Times New Roman" w:hAnsi="Times New Roman" w:cs="Times New Roman"/>
          <w:bCs/>
          <w:sz w:val="24"/>
          <w:szCs w:val="24"/>
        </w:rPr>
        <w:t xml:space="preserve"> that media exposure plays a complementary role by enhancing awareness, opportunity recognition, and access to information, particularly when integrated with practical training and structured follow-up support (</w:t>
      </w:r>
      <w:proofErr w:type="spellStart"/>
      <w:r w:rsidR="006D2D29" w:rsidRPr="006D2492">
        <w:rPr>
          <w:rFonts w:ascii="Times New Roman" w:eastAsia="Times New Roman" w:hAnsi="Times New Roman" w:cs="Times New Roman"/>
          <w:sz w:val="24"/>
          <w:szCs w:val="24"/>
          <w:lang w:eastAsia="en-IN"/>
        </w:rPr>
        <w:t>Onwusa</w:t>
      </w:r>
      <w:proofErr w:type="spellEnd"/>
      <w:r w:rsidR="006D2D29" w:rsidRPr="006D2492">
        <w:rPr>
          <w:rFonts w:ascii="Times New Roman" w:eastAsia="Times New Roman" w:hAnsi="Times New Roman" w:cs="Times New Roman"/>
          <w:sz w:val="24"/>
          <w:szCs w:val="24"/>
          <w:lang w:eastAsia="en-IN"/>
        </w:rPr>
        <w:t xml:space="preserve">, </w:t>
      </w:r>
      <w:proofErr w:type="gramStart"/>
      <w:r w:rsidR="006D2D29" w:rsidRPr="006D2492">
        <w:rPr>
          <w:rFonts w:ascii="Times New Roman" w:eastAsia="Times New Roman" w:hAnsi="Times New Roman" w:cs="Times New Roman"/>
          <w:sz w:val="24"/>
          <w:szCs w:val="24"/>
          <w:lang w:eastAsia="en-IN"/>
        </w:rPr>
        <w:t xml:space="preserve">2021 </w:t>
      </w:r>
      <w:r w:rsidR="00176BB5" w:rsidRPr="00176BB5">
        <w:rPr>
          <w:rFonts w:ascii="Times New Roman" w:hAnsi="Times New Roman" w:cs="Times New Roman"/>
          <w:bCs/>
          <w:sz w:val="24"/>
          <w:szCs w:val="24"/>
        </w:rPr>
        <w:t>;</w:t>
      </w:r>
      <w:proofErr w:type="gramEnd"/>
      <w:r w:rsidR="00176BB5" w:rsidRPr="00176BB5">
        <w:rPr>
          <w:rFonts w:ascii="Times New Roman" w:hAnsi="Times New Roman" w:cs="Times New Roman"/>
          <w:bCs/>
          <w:sz w:val="24"/>
          <w:szCs w:val="24"/>
        </w:rPr>
        <w:t xml:space="preserve"> Davis et al., 2020).</w:t>
      </w:r>
    </w:p>
    <w:p w14:paraId="21D32D62" w14:textId="3CA7E320" w:rsidR="00176BB5" w:rsidRDefault="00176BB5" w:rsidP="0022551F">
      <w:pPr>
        <w:ind w:firstLine="720"/>
        <w:jc w:val="both"/>
        <w:rPr>
          <w:rFonts w:ascii="Times New Roman" w:hAnsi="Times New Roman" w:cs="Times New Roman"/>
          <w:bCs/>
          <w:sz w:val="24"/>
          <w:szCs w:val="24"/>
        </w:rPr>
      </w:pPr>
      <w:r w:rsidRPr="00176BB5">
        <w:rPr>
          <w:rFonts w:ascii="Times New Roman" w:hAnsi="Times New Roman" w:cs="Times New Roman"/>
          <w:bCs/>
          <w:sz w:val="24"/>
          <w:szCs w:val="24"/>
        </w:rPr>
        <w:t xml:space="preserve">In contrast, a </w:t>
      </w:r>
      <w:r w:rsidR="0022551F" w:rsidRPr="0022551F">
        <w:rPr>
          <w:rFonts w:ascii="Times New Roman" w:hAnsi="Times New Roman" w:cs="Times New Roman"/>
          <w:bCs/>
          <w:sz w:val="24"/>
          <w:szCs w:val="24"/>
        </w:rPr>
        <w:t xml:space="preserve">significant negative correlation was observed between the income levels of trainees and their decision to start an enterprise. </w:t>
      </w:r>
      <w:r w:rsidRPr="00176BB5">
        <w:rPr>
          <w:rFonts w:ascii="Times New Roman" w:hAnsi="Times New Roman" w:cs="Times New Roman"/>
          <w:bCs/>
          <w:sz w:val="24"/>
          <w:szCs w:val="24"/>
        </w:rPr>
        <w:t>This finding suggests that trainees with lower income levels were more inclined toward entrepreneurial activities. The result aligns with earlier findings that individuals with limited income opportunities are more likely to pursue small-scale enterprises as a necessity-driven strategy for financial improvement (Rao &amp; Chandra, 2018). Empirical evidence further indicates that lower-income individuals often perceive entrepreneurship as a pathway for economic advancement, whereas higher-income individuals may exhibit greater risk aversion due to higher opportunity costs associated with potential enterprise failure (Mishra, 202</w:t>
      </w:r>
      <w:r w:rsidR="005C2EE6">
        <w:rPr>
          <w:rFonts w:ascii="Times New Roman" w:hAnsi="Times New Roman" w:cs="Times New Roman"/>
          <w:bCs/>
          <w:sz w:val="24"/>
          <w:szCs w:val="24"/>
        </w:rPr>
        <w:t>4</w:t>
      </w:r>
      <w:r w:rsidRPr="00176BB5">
        <w:rPr>
          <w:rFonts w:ascii="Times New Roman" w:hAnsi="Times New Roman" w:cs="Times New Roman"/>
          <w:bCs/>
          <w:sz w:val="24"/>
          <w:szCs w:val="24"/>
        </w:rPr>
        <w:t xml:space="preserve">; </w:t>
      </w:r>
      <w:r w:rsidR="00891783">
        <w:rPr>
          <w:rFonts w:ascii="Times New Roman" w:hAnsi="Times New Roman" w:cs="Times New Roman"/>
          <w:bCs/>
          <w:sz w:val="24"/>
          <w:szCs w:val="24"/>
        </w:rPr>
        <w:t>Adam, 2024</w:t>
      </w:r>
      <w:r w:rsidRPr="00176BB5">
        <w:rPr>
          <w:rFonts w:ascii="Times New Roman" w:hAnsi="Times New Roman" w:cs="Times New Roman"/>
          <w:bCs/>
          <w:sz w:val="24"/>
          <w:szCs w:val="24"/>
        </w:rPr>
        <w:t>). Thus, economic necessity appears to be a strong motivating factor influencing entrepreneurial decisions among the respondents.</w:t>
      </w:r>
    </w:p>
    <w:p w14:paraId="12A38A6A" w14:textId="179F8BF8" w:rsidR="00F37B5C" w:rsidRDefault="001220EF" w:rsidP="00653A37">
      <w:pPr>
        <w:ind w:firstLine="720"/>
        <w:jc w:val="both"/>
        <w:rPr>
          <w:rFonts w:ascii="Times New Roman" w:hAnsi="Times New Roman" w:cs="Times New Roman"/>
          <w:bCs/>
          <w:sz w:val="24"/>
          <w:szCs w:val="24"/>
        </w:rPr>
      </w:pPr>
      <w:r w:rsidRPr="001220EF">
        <w:rPr>
          <w:rFonts w:ascii="Times New Roman" w:hAnsi="Times New Roman" w:cs="Times New Roman"/>
          <w:bCs/>
          <w:sz w:val="24"/>
          <w:szCs w:val="24"/>
        </w:rPr>
        <w:t xml:space="preserve">The correlation between land area owned and the decision to start an enterprise was positively significant at the 5% level, suggesting that larger landholdings increase the likelihood of entrepreneurial activities. While the correlation between land area and interest in starting an enterprise was weak (R = 0.1675, R² = 0.0281), it remained statistically significant (p = 0.025852), highlighting the modest yet meaningful influence of land ownership on entrepreneurial aspirations. </w:t>
      </w:r>
      <w:r w:rsidR="00F37B5C">
        <w:rPr>
          <w:rFonts w:ascii="Times New Roman" w:hAnsi="Times New Roman" w:cs="Times New Roman"/>
          <w:bCs/>
          <w:sz w:val="24"/>
          <w:szCs w:val="24"/>
        </w:rPr>
        <w:t xml:space="preserve">Larger land areas can offer extra resources and a sense of security, creating opportunities for ventures such as farming-related businesses or value-added production. A study by Nikaido </w:t>
      </w:r>
      <w:r w:rsidR="00F37B5C" w:rsidRPr="00F37B5C">
        <w:rPr>
          <w:rFonts w:ascii="Times New Roman" w:hAnsi="Times New Roman" w:cs="Times New Roman"/>
          <w:bCs/>
          <w:i/>
          <w:iCs/>
          <w:sz w:val="24"/>
          <w:szCs w:val="24"/>
        </w:rPr>
        <w:t>et al</w:t>
      </w:r>
      <w:r w:rsidR="00F37B5C">
        <w:rPr>
          <w:rFonts w:ascii="Times New Roman" w:hAnsi="Times New Roman" w:cs="Times New Roman"/>
          <w:bCs/>
          <w:sz w:val="24"/>
          <w:szCs w:val="24"/>
        </w:rPr>
        <w:t>. (2015) showed that land ownership significantly influenced individuals' participation in non-farm entrepreneurship. Owning land provided economic security and collateral for obtaining credit, which encouraged the pursuit of entrepreneurial initiatives.</w:t>
      </w:r>
      <w:r w:rsidR="00653A37">
        <w:rPr>
          <w:rFonts w:ascii="Times New Roman" w:hAnsi="Times New Roman" w:cs="Times New Roman"/>
          <w:bCs/>
          <w:sz w:val="24"/>
          <w:szCs w:val="24"/>
        </w:rPr>
        <w:t xml:space="preserve"> </w:t>
      </w:r>
      <w:r w:rsidR="00653A37" w:rsidRPr="00653A37">
        <w:rPr>
          <w:rFonts w:ascii="Times New Roman" w:hAnsi="Times New Roman" w:cs="Times New Roman"/>
          <w:bCs/>
          <w:sz w:val="24"/>
          <w:szCs w:val="24"/>
        </w:rPr>
        <w:t>Additionally, land ownership provides not only physical resources but also psychological and financial security. This can facilitate access to credit and inspire investment in entrepreneurial activities, particularly in agriculture-related enterprises (</w:t>
      </w:r>
      <w:proofErr w:type="spellStart"/>
      <w:r w:rsidR="00913DAE">
        <w:rPr>
          <w:rFonts w:ascii="Times New Roman" w:hAnsi="Times New Roman" w:cs="Times New Roman"/>
          <w:bCs/>
          <w:sz w:val="24"/>
          <w:szCs w:val="24"/>
        </w:rPr>
        <w:t>Efobi</w:t>
      </w:r>
      <w:proofErr w:type="spellEnd"/>
      <w:r w:rsidR="00653A37" w:rsidRPr="00653A37">
        <w:rPr>
          <w:rFonts w:ascii="Times New Roman" w:hAnsi="Times New Roman" w:cs="Times New Roman"/>
          <w:bCs/>
          <w:sz w:val="24"/>
          <w:szCs w:val="24"/>
        </w:rPr>
        <w:t xml:space="preserve"> et al., 20</w:t>
      </w:r>
      <w:r w:rsidR="00913DAE">
        <w:rPr>
          <w:rFonts w:ascii="Times New Roman" w:hAnsi="Times New Roman" w:cs="Times New Roman"/>
          <w:bCs/>
          <w:sz w:val="24"/>
          <w:szCs w:val="24"/>
        </w:rPr>
        <w:t>19</w:t>
      </w:r>
      <w:r w:rsidR="00653A37" w:rsidRPr="00653A37">
        <w:rPr>
          <w:rFonts w:ascii="Times New Roman" w:hAnsi="Times New Roman" w:cs="Times New Roman"/>
          <w:bCs/>
          <w:sz w:val="24"/>
          <w:szCs w:val="24"/>
        </w:rPr>
        <w:t xml:space="preserve">; </w:t>
      </w:r>
      <w:r w:rsidR="00D92801">
        <w:rPr>
          <w:rFonts w:ascii="Times New Roman" w:hAnsi="Times New Roman" w:cs="Times New Roman"/>
          <w:bCs/>
          <w:sz w:val="24"/>
          <w:szCs w:val="24"/>
        </w:rPr>
        <w:t>Ramalho et al</w:t>
      </w:r>
      <w:r w:rsidR="00653A37" w:rsidRPr="00653A37">
        <w:rPr>
          <w:rFonts w:ascii="Times New Roman" w:hAnsi="Times New Roman" w:cs="Times New Roman"/>
          <w:bCs/>
          <w:sz w:val="24"/>
          <w:szCs w:val="24"/>
        </w:rPr>
        <w:t>, 202</w:t>
      </w:r>
      <w:r w:rsidR="00D92801">
        <w:rPr>
          <w:rFonts w:ascii="Times New Roman" w:hAnsi="Times New Roman" w:cs="Times New Roman"/>
          <w:bCs/>
          <w:sz w:val="24"/>
          <w:szCs w:val="24"/>
        </w:rPr>
        <w:t>2</w:t>
      </w:r>
      <w:r w:rsidR="00653A37" w:rsidRPr="00653A37">
        <w:rPr>
          <w:rFonts w:ascii="Times New Roman" w:hAnsi="Times New Roman" w:cs="Times New Roman"/>
          <w:bCs/>
          <w:sz w:val="24"/>
          <w:szCs w:val="24"/>
        </w:rPr>
        <w:t>).</w:t>
      </w:r>
    </w:p>
    <w:p w14:paraId="42F57DFE" w14:textId="3FF16F1C" w:rsidR="0022551F" w:rsidRPr="0022551F" w:rsidRDefault="0022551F" w:rsidP="0022551F">
      <w:pPr>
        <w:ind w:firstLine="720"/>
        <w:jc w:val="both"/>
        <w:rPr>
          <w:rFonts w:ascii="Times New Roman" w:hAnsi="Times New Roman" w:cs="Times New Roman"/>
          <w:bCs/>
          <w:sz w:val="24"/>
          <w:szCs w:val="24"/>
        </w:rPr>
      </w:pPr>
      <w:r w:rsidRPr="0022551F">
        <w:rPr>
          <w:rFonts w:ascii="Times New Roman" w:hAnsi="Times New Roman" w:cs="Times New Roman"/>
          <w:bCs/>
          <w:sz w:val="24"/>
          <w:szCs w:val="24"/>
        </w:rPr>
        <w:t xml:space="preserve">The perception of the usefulness of training programs showed a positive but non-significant correlation with the decision to start a venture. While this indicates a general alignment between training outcomes and entrepreneurial intent, the non-significance of the relationship underscores the need for further refinement of training content </w:t>
      </w:r>
      <w:r w:rsidR="00227036">
        <w:rPr>
          <w:rFonts w:ascii="Times New Roman" w:hAnsi="Times New Roman" w:cs="Times New Roman"/>
          <w:bCs/>
          <w:sz w:val="24"/>
          <w:szCs w:val="24"/>
        </w:rPr>
        <w:t>to enhance enterprise initiation directly</w:t>
      </w:r>
      <w:r w:rsidRPr="0022551F">
        <w:rPr>
          <w:rFonts w:ascii="Times New Roman" w:hAnsi="Times New Roman" w:cs="Times New Roman"/>
          <w:bCs/>
          <w:sz w:val="24"/>
          <w:szCs w:val="24"/>
        </w:rPr>
        <w:t xml:space="preserve">. </w:t>
      </w:r>
      <w:r w:rsidR="00F37B5C" w:rsidRPr="00F37B5C">
        <w:rPr>
          <w:rFonts w:ascii="Times New Roman" w:hAnsi="Times New Roman" w:cs="Times New Roman"/>
          <w:bCs/>
          <w:sz w:val="24"/>
          <w:szCs w:val="24"/>
        </w:rPr>
        <w:t xml:space="preserve">Milhem </w:t>
      </w:r>
      <w:r w:rsidR="00F37B5C" w:rsidRPr="00F37B5C">
        <w:rPr>
          <w:rFonts w:ascii="Times New Roman" w:hAnsi="Times New Roman" w:cs="Times New Roman"/>
          <w:bCs/>
          <w:i/>
          <w:iCs/>
          <w:sz w:val="24"/>
          <w:szCs w:val="24"/>
        </w:rPr>
        <w:t>et al.</w:t>
      </w:r>
      <w:r w:rsidR="00F37B5C" w:rsidRPr="00F37B5C">
        <w:rPr>
          <w:rFonts w:ascii="Times New Roman" w:hAnsi="Times New Roman" w:cs="Times New Roman"/>
          <w:bCs/>
          <w:sz w:val="24"/>
          <w:szCs w:val="24"/>
        </w:rPr>
        <w:t xml:space="preserve"> (2014) emphasize</w:t>
      </w:r>
      <w:r w:rsidR="00653A37">
        <w:rPr>
          <w:rFonts w:ascii="Times New Roman" w:hAnsi="Times New Roman" w:cs="Times New Roman"/>
          <w:bCs/>
          <w:sz w:val="24"/>
          <w:szCs w:val="24"/>
        </w:rPr>
        <w:t>d</w:t>
      </w:r>
      <w:r w:rsidR="00F37B5C" w:rsidRPr="00F37B5C">
        <w:rPr>
          <w:rFonts w:ascii="Times New Roman" w:hAnsi="Times New Roman" w:cs="Times New Roman"/>
          <w:bCs/>
          <w:sz w:val="24"/>
          <w:szCs w:val="24"/>
        </w:rPr>
        <w:t xml:space="preserve"> the need for interactive and practical training methods to better align training outcomes with entrepreneurial success​</w:t>
      </w:r>
    </w:p>
    <w:p w14:paraId="7196F7BD" w14:textId="48B78DCE" w:rsidR="00706D7B" w:rsidRDefault="00706D7B" w:rsidP="0022551F">
      <w:pPr>
        <w:ind w:firstLine="720"/>
        <w:jc w:val="both"/>
        <w:rPr>
          <w:rFonts w:ascii="Times New Roman" w:hAnsi="Times New Roman" w:cs="Times New Roman"/>
          <w:bCs/>
          <w:sz w:val="24"/>
          <w:szCs w:val="24"/>
        </w:rPr>
      </w:pPr>
      <w:r w:rsidRPr="00706D7B">
        <w:rPr>
          <w:rFonts w:ascii="Times New Roman" w:hAnsi="Times New Roman" w:cs="Times New Roman"/>
          <w:bCs/>
          <w:sz w:val="24"/>
          <w:szCs w:val="24"/>
        </w:rPr>
        <w:t xml:space="preserve">A similar pattern was observed with the attitude towards KAU’s efforts in enhancing skillsets, which exhibited a positive but non-significant correlation with interest in starting an enterprise. While respondents demonstrated a </w:t>
      </w:r>
      <w:r>
        <w:rPr>
          <w:rFonts w:ascii="Times New Roman" w:hAnsi="Times New Roman" w:cs="Times New Roman"/>
          <w:bCs/>
          <w:sz w:val="24"/>
          <w:szCs w:val="24"/>
        </w:rPr>
        <w:t>favourable</w:t>
      </w:r>
      <w:r w:rsidRPr="00706D7B">
        <w:rPr>
          <w:rFonts w:ascii="Times New Roman" w:hAnsi="Times New Roman" w:cs="Times New Roman"/>
          <w:bCs/>
          <w:sz w:val="24"/>
          <w:szCs w:val="24"/>
        </w:rPr>
        <w:t xml:space="preserve"> perception of KAU’s initiatives, the influence on actual entrepreneurial decisions may require supplementary motivational or </w:t>
      </w:r>
      <w:r w:rsidRPr="00706D7B">
        <w:rPr>
          <w:rFonts w:ascii="Times New Roman" w:hAnsi="Times New Roman" w:cs="Times New Roman"/>
          <w:bCs/>
          <w:sz w:val="24"/>
          <w:szCs w:val="24"/>
        </w:rPr>
        <w:lastRenderedPageBreak/>
        <w:t xml:space="preserve">financial support mechanisms to effectively translate interest into actionable outcomes. This aligns with findings by Yaacob </w:t>
      </w:r>
      <w:r w:rsidRPr="00B55ABF">
        <w:rPr>
          <w:rFonts w:ascii="Times New Roman" w:hAnsi="Times New Roman" w:cs="Times New Roman"/>
          <w:bCs/>
          <w:i/>
          <w:iCs/>
          <w:sz w:val="24"/>
          <w:szCs w:val="24"/>
        </w:rPr>
        <w:t>et al.</w:t>
      </w:r>
      <w:r w:rsidRPr="00706D7B">
        <w:rPr>
          <w:rFonts w:ascii="Times New Roman" w:hAnsi="Times New Roman" w:cs="Times New Roman"/>
          <w:bCs/>
          <w:sz w:val="24"/>
          <w:szCs w:val="24"/>
        </w:rPr>
        <w:t xml:space="preserve"> (2016), where respondents expressed a strong willingness to enhance their skills through entrepreneurship training programs, aiming to become successful entrepreneurs. However, the study also underscores the importance of providing structured follow-up support to convert this willingness into entrepreneurial success</w:t>
      </w:r>
      <w:r>
        <w:rPr>
          <w:rFonts w:ascii="Times New Roman" w:hAnsi="Times New Roman" w:cs="Times New Roman"/>
          <w:bCs/>
          <w:sz w:val="24"/>
          <w:szCs w:val="24"/>
        </w:rPr>
        <w:t>.</w:t>
      </w:r>
    </w:p>
    <w:p w14:paraId="47C83341" w14:textId="25E07644" w:rsidR="00E56C5B" w:rsidRDefault="00E56C5B" w:rsidP="0022551F">
      <w:pPr>
        <w:ind w:firstLine="720"/>
        <w:jc w:val="both"/>
        <w:rPr>
          <w:rFonts w:ascii="Times New Roman" w:hAnsi="Times New Roman" w:cs="Times New Roman"/>
          <w:bCs/>
          <w:sz w:val="24"/>
          <w:szCs w:val="24"/>
        </w:rPr>
      </w:pPr>
      <w:r w:rsidRPr="00E56C5B">
        <w:rPr>
          <w:rFonts w:ascii="Times New Roman" w:hAnsi="Times New Roman" w:cs="Times New Roman"/>
          <w:bCs/>
          <w:sz w:val="24"/>
          <w:szCs w:val="24"/>
        </w:rPr>
        <w:t xml:space="preserve">The low R² values across most variables indicate that entrepreneurial decision-making is influenced by a complex interplay of socio-economic, psychological and contextual factors beyond those </w:t>
      </w:r>
      <w:r w:rsidR="00653A37">
        <w:rPr>
          <w:rFonts w:ascii="Times New Roman" w:hAnsi="Times New Roman" w:cs="Times New Roman"/>
          <w:bCs/>
          <w:sz w:val="24"/>
          <w:szCs w:val="24"/>
        </w:rPr>
        <w:t xml:space="preserve">that are </w:t>
      </w:r>
      <w:r w:rsidRPr="00E56C5B">
        <w:rPr>
          <w:rFonts w:ascii="Times New Roman" w:hAnsi="Times New Roman" w:cs="Times New Roman"/>
          <w:bCs/>
          <w:sz w:val="24"/>
          <w:szCs w:val="24"/>
        </w:rPr>
        <w:t>captured in the present study.</w:t>
      </w:r>
    </w:p>
    <w:p w14:paraId="218DD925" w14:textId="70727247" w:rsidR="00A70684" w:rsidRDefault="0022551F" w:rsidP="0022551F">
      <w:pPr>
        <w:ind w:firstLine="720"/>
        <w:jc w:val="both"/>
        <w:rPr>
          <w:rFonts w:ascii="Times New Roman" w:hAnsi="Times New Roman" w:cs="Times New Roman"/>
          <w:bCs/>
          <w:sz w:val="24"/>
          <w:szCs w:val="24"/>
        </w:rPr>
      </w:pPr>
      <w:r w:rsidRPr="0022551F">
        <w:rPr>
          <w:rFonts w:ascii="Times New Roman" w:hAnsi="Times New Roman" w:cs="Times New Roman"/>
          <w:bCs/>
          <w:sz w:val="24"/>
          <w:szCs w:val="24"/>
        </w:rPr>
        <w:t>These findings collectively highlight the multifaceted nature of entrepreneurial decision-making. Variables such as income and land area have a statistically significant influence, while factors like media use, perceptions of training usefulness, and attitudes toward skill-building initiatives show potential but require additional support mechanisms to achieve significant impacts. This underscores the importance of a tailored approach to entrepreneurship promotion that considers individual socio-economic contexts.</w:t>
      </w:r>
    </w:p>
    <w:p w14:paraId="407DEC56" w14:textId="07D38960" w:rsidR="0080359C" w:rsidRPr="0080359C" w:rsidRDefault="0080359C" w:rsidP="0080359C">
      <w:pPr>
        <w:jc w:val="both"/>
        <w:rPr>
          <w:rFonts w:ascii="Times New Roman" w:hAnsi="Times New Roman" w:cs="Times New Roman"/>
          <w:b/>
          <w:bCs/>
          <w:sz w:val="24"/>
          <w:szCs w:val="24"/>
        </w:rPr>
      </w:pPr>
      <w:r w:rsidRPr="0080359C">
        <w:rPr>
          <w:rFonts w:ascii="Times New Roman" w:hAnsi="Times New Roman" w:cs="Times New Roman"/>
          <w:b/>
          <w:bCs/>
          <w:sz w:val="24"/>
          <w:szCs w:val="24"/>
        </w:rPr>
        <w:t>Conclusion</w:t>
      </w:r>
    </w:p>
    <w:p w14:paraId="78F781B4" w14:textId="2BB68F34"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The findings of this study highlight the significant role of Kerala Agricultural University (KAU) in promoting entrepreneurial development through targeted skill training programs. Most trainees view these initiatives as highly effective and beneficial for enterprise development, indicating that KAU is successfully addressing critical gaps in the knowledge and skills needed for entrepreneurial success. The strong interest among trainees in starting their own ventures further demonstrates the transformative impact of these programs on creating an entrepreneurial ecosystem in the state.</w:t>
      </w:r>
    </w:p>
    <w:p w14:paraId="59F9E4EE" w14:textId="60205CF2"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 xml:space="preserve">These findings support the growing consensus that entrepreneurship development in agriculture requires an integrated approach. This approach should </w:t>
      </w:r>
      <w:proofErr w:type="gramStart"/>
      <w:r w:rsidRPr="00FE20CF">
        <w:rPr>
          <w:rFonts w:ascii="Times New Roman" w:hAnsi="Times New Roman" w:cs="Times New Roman"/>
          <w:sz w:val="24"/>
          <w:szCs w:val="24"/>
        </w:rPr>
        <w:t>combine</w:t>
      </w:r>
      <w:r w:rsidR="00653A37">
        <w:rPr>
          <w:rFonts w:ascii="Times New Roman" w:hAnsi="Times New Roman" w:cs="Times New Roman"/>
          <w:sz w:val="24"/>
          <w:szCs w:val="24"/>
        </w:rPr>
        <w:t>s</w:t>
      </w:r>
      <w:proofErr w:type="gramEnd"/>
      <w:r w:rsidRPr="00FE20CF">
        <w:rPr>
          <w:rFonts w:ascii="Times New Roman" w:hAnsi="Times New Roman" w:cs="Times New Roman"/>
          <w:sz w:val="24"/>
          <w:szCs w:val="24"/>
        </w:rPr>
        <w:t xml:space="preserve"> skill training, institutional support and enabling socio-economic conditions to effectively turn entrepreneurial intent into actual enterprise creation (FAO, 2023; OECD, 2021</w:t>
      </w:r>
      <w:r w:rsidR="00D80D84">
        <w:rPr>
          <w:rFonts w:ascii="Times New Roman" w:hAnsi="Times New Roman" w:cs="Times New Roman"/>
          <w:sz w:val="24"/>
          <w:szCs w:val="24"/>
        </w:rPr>
        <w:t>; Nain et al., 2019)</w:t>
      </w:r>
      <w:r w:rsidRPr="00FE20CF">
        <w:rPr>
          <w:rFonts w:ascii="Times New Roman" w:hAnsi="Times New Roman" w:cs="Times New Roman"/>
          <w:sz w:val="24"/>
          <w:szCs w:val="24"/>
        </w:rPr>
        <w:t>.</w:t>
      </w:r>
    </w:p>
    <w:p w14:paraId="7247C08F" w14:textId="4CB8D4CE"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Demographic analysis reveals a promising trend, with participation from individuals under 60 years of age and from diverse educational and employment backgrounds, indicating a broad impact. However, the low usage of media among the majority of trainees suggests a need for improved strategies to integrate media and technology into extension activities. This integration could enhance the reach and effectiveness of the programs.</w:t>
      </w:r>
    </w:p>
    <w:p w14:paraId="0371DD33" w14:textId="69C8B58E"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Overall, KAU's initiatives align with global perspectives on the importance of structured training systems, as emphasized by numerous scholars. By providing practical, hands-on training tailored to local contexts, these programs empower farmers and other stakeholders to adopt innovative practices and contribute to the socio-economic development of rural communities.</w:t>
      </w:r>
    </w:p>
    <w:p w14:paraId="20357C56" w14:textId="3BD5E2F9" w:rsidR="00FE20CF" w:rsidRPr="00FE20CF" w:rsidRDefault="00FE20CF" w:rsidP="00A17821">
      <w:pPr>
        <w:ind w:firstLine="720"/>
        <w:jc w:val="both"/>
        <w:rPr>
          <w:rFonts w:ascii="Times New Roman" w:hAnsi="Times New Roman" w:cs="Times New Roman"/>
          <w:sz w:val="24"/>
          <w:szCs w:val="24"/>
        </w:rPr>
      </w:pPr>
      <w:r w:rsidRPr="00FE20CF">
        <w:rPr>
          <w:rFonts w:ascii="Times New Roman" w:hAnsi="Times New Roman" w:cs="Times New Roman"/>
          <w:sz w:val="24"/>
          <w:szCs w:val="24"/>
        </w:rPr>
        <w:t xml:space="preserve">To further amplify the impact of agricultural universities in fostering sustainable rural entrepreneurship, it will be beneficial to strengthen post-training support mechanisms, enhance media integration, and align skill programs with emerging market opportunities </w:t>
      </w:r>
      <w:proofErr w:type="gramStart"/>
      <w:r w:rsidRPr="00FE20CF">
        <w:rPr>
          <w:rFonts w:ascii="Times New Roman" w:hAnsi="Times New Roman" w:cs="Times New Roman"/>
          <w:sz w:val="24"/>
          <w:szCs w:val="24"/>
        </w:rPr>
        <w:t>( World</w:t>
      </w:r>
      <w:proofErr w:type="gramEnd"/>
      <w:r w:rsidRPr="00FE20CF">
        <w:rPr>
          <w:rFonts w:ascii="Times New Roman" w:hAnsi="Times New Roman" w:cs="Times New Roman"/>
          <w:sz w:val="24"/>
          <w:szCs w:val="24"/>
        </w:rPr>
        <w:t xml:space="preserve"> Bank, 2020).</w:t>
      </w:r>
    </w:p>
    <w:p w14:paraId="54726C91" w14:textId="3EEFB4C7" w:rsidR="00FE20CF" w:rsidRDefault="00FE20CF" w:rsidP="00FE20CF">
      <w:pPr>
        <w:ind w:firstLine="720"/>
        <w:jc w:val="both"/>
        <w:rPr>
          <w:rFonts w:ascii="Times New Roman" w:hAnsi="Times New Roman" w:cs="Times New Roman"/>
          <w:sz w:val="24"/>
          <w:szCs w:val="24"/>
        </w:rPr>
      </w:pPr>
      <w:r w:rsidRPr="00FE20CF">
        <w:rPr>
          <w:rFonts w:ascii="Times New Roman" w:hAnsi="Times New Roman" w:cs="Times New Roman"/>
          <w:sz w:val="24"/>
          <w:szCs w:val="24"/>
        </w:rPr>
        <w:lastRenderedPageBreak/>
        <w:t>Ongoing evaluation, targeted interventions, and the incorporation of emerging technologies will be essential to enhance the effectiveness of these training programs, ensuring sustainable growth and resilience in the agricultural sector.</w:t>
      </w:r>
    </w:p>
    <w:p w14:paraId="4CD44498" w14:textId="77777777" w:rsidR="006D2D29" w:rsidRPr="006D2492" w:rsidRDefault="006D2D29" w:rsidP="006D2D29">
      <w:pPr>
        <w:jc w:val="both"/>
        <w:rPr>
          <w:rFonts w:ascii="Times New Roman" w:hAnsi="Times New Roman" w:cs="Times New Roman"/>
          <w:b/>
          <w:bCs/>
          <w:sz w:val="24"/>
          <w:szCs w:val="24"/>
          <w:lang w:val="en-US"/>
        </w:rPr>
      </w:pPr>
      <w:r w:rsidRPr="006D2492">
        <w:rPr>
          <w:rFonts w:ascii="Times New Roman" w:hAnsi="Times New Roman" w:cs="Times New Roman"/>
          <w:b/>
          <w:bCs/>
          <w:sz w:val="24"/>
          <w:szCs w:val="24"/>
          <w:lang w:val="en-US"/>
        </w:rPr>
        <w:t>References</w:t>
      </w:r>
    </w:p>
    <w:p w14:paraId="59561283"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Adam, N. A. (2024). Perceived risk and external finance usage in small- and medium-sized enterprises: Unveiling the moderating influence of business age. </w:t>
      </w:r>
      <w:r w:rsidRPr="004D32CD">
        <w:rPr>
          <w:rFonts w:ascii="Times New Roman" w:hAnsi="Times New Roman" w:cs="Times New Roman"/>
          <w:i/>
          <w:iCs/>
          <w:sz w:val="24"/>
          <w:szCs w:val="24"/>
        </w:rPr>
        <w:t>Journal of Risk and Financial Management, 17</w:t>
      </w:r>
      <w:r w:rsidRPr="004D32CD">
        <w:rPr>
          <w:rFonts w:ascii="Times New Roman" w:hAnsi="Times New Roman" w:cs="Times New Roman"/>
          <w:sz w:val="24"/>
          <w:szCs w:val="24"/>
        </w:rPr>
        <w:t xml:space="preserve">(4), 150. </w:t>
      </w:r>
      <w:hyperlink r:id="rId13" w:history="1">
        <w:r w:rsidRPr="004D32CD">
          <w:rPr>
            <w:rStyle w:val="Hyperlink"/>
            <w:rFonts w:ascii="Times New Roman" w:hAnsi="Times New Roman" w:cs="Times New Roman"/>
            <w:sz w:val="24"/>
            <w:szCs w:val="24"/>
          </w:rPr>
          <w:t>https://doi.org/10.3390/jrfm17040150</w:t>
        </w:r>
      </w:hyperlink>
    </w:p>
    <w:p w14:paraId="5610FEFC"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Afroz, S., Singh, R., Nain, M. S., &amp; Mishra, J. (2022). Determinants for </w:t>
      </w:r>
      <w:proofErr w:type="spellStart"/>
      <w:r w:rsidRPr="004D32CD">
        <w:rPr>
          <w:rFonts w:ascii="Times New Roman" w:hAnsi="Times New Roman" w:cs="Times New Roman"/>
          <w:sz w:val="24"/>
          <w:szCs w:val="24"/>
        </w:rPr>
        <w:t>agripreneurship</w:t>
      </w:r>
      <w:proofErr w:type="spellEnd"/>
      <w:r w:rsidRPr="004D32CD">
        <w:rPr>
          <w:rFonts w:ascii="Times New Roman" w:hAnsi="Times New Roman" w:cs="Times New Roman"/>
          <w:sz w:val="24"/>
          <w:szCs w:val="24"/>
        </w:rPr>
        <w:t xml:space="preserve"> development under </w:t>
      </w:r>
      <w:proofErr w:type="spellStart"/>
      <w:r w:rsidRPr="004D32CD">
        <w:rPr>
          <w:rFonts w:ascii="Times New Roman" w:hAnsi="Times New Roman" w:cs="Times New Roman"/>
          <w:sz w:val="24"/>
          <w:szCs w:val="24"/>
        </w:rPr>
        <w:t>Agriclinics</w:t>
      </w:r>
      <w:proofErr w:type="spellEnd"/>
      <w:r w:rsidRPr="004D32CD">
        <w:rPr>
          <w:rFonts w:ascii="Times New Roman" w:hAnsi="Times New Roman" w:cs="Times New Roman"/>
          <w:sz w:val="24"/>
          <w:szCs w:val="24"/>
        </w:rPr>
        <w:t xml:space="preserve"> and Agribusiness Centres (ACABC) scheme. </w:t>
      </w:r>
      <w:r w:rsidRPr="004D32CD">
        <w:rPr>
          <w:rFonts w:ascii="Times New Roman" w:hAnsi="Times New Roman" w:cs="Times New Roman"/>
          <w:i/>
          <w:iCs/>
          <w:sz w:val="24"/>
          <w:szCs w:val="24"/>
        </w:rPr>
        <w:t>The Indian Journal of Agricultural Sciences, 92</w:t>
      </w:r>
      <w:r w:rsidRPr="004D32CD">
        <w:rPr>
          <w:rFonts w:ascii="Times New Roman" w:hAnsi="Times New Roman" w:cs="Times New Roman"/>
          <w:sz w:val="24"/>
          <w:szCs w:val="24"/>
        </w:rPr>
        <w:t xml:space="preserve">(2), 258–262. </w:t>
      </w:r>
      <w:hyperlink r:id="rId14" w:history="1">
        <w:r w:rsidRPr="004D32CD">
          <w:rPr>
            <w:rStyle w:val="Hyperlink"/>
            <w:rFonts w:ascii="Times New Roman" w:hAnsi="Times New Roman" w:cs="Times New Roman"/>
            <w:sz w:val="24"/>
            <w:szCs w:val="24"/>
          </w:rPr>
          <w:t>https://doi.org/10.56093/ijas.v92i2.122248</w:t>
        </w:r>
      </w:hyperlink>
    </w:p>
    <w:p w14:paraId="6512E9C1"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Davis, K. E., Babu, S. C., &amp; Ragasa, C. (Eds.). (2020). </w:t>
      </w:r>
      <w:r w:rsidRPr="004D32CD">
        <w:rPr>
          <w:rFonts w:ascii="Times New Roman" w:hAnsi="Times New Roman" w:cs="Times New Roman"/>
          <w:i/>
          <w:iCs/>
          <w:sz w:val="24"/>
          <w:szCs w:val="24"/>
        </w:rPr>
        <w:t>Agricultural extension: Global status and performance in selected countries</w:t>
      </w:r>
      <w:r w:rsidRPr="004D32CD">
        <w:rPr>
          <w:rFonts w:ascii="Times New Roman" w:hAnsi="Times New Roman" w:cs="Times New Roman"/>
          <w:sz w:val="24"/>
          <w:szCs w:val="24"/>
        </w:rPr>
        <w:t>. International Food Policy Research Institute (IFPRI).</w:t>
      </w:r>
    </w:p>
    <w:p w14:paraId="219E73A5"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Efobi</w:t>
      </w:r>
      <w:proofErr w:type="spellEnd"/>
      <w:r w:rsidRPr="004D32CD">
        <w:rPr>
          <w:rFonts w:ascii="Times New Roman" w:hAnsi="Times New Roman" w:cs="Times New Roman"/>
          <w:sz w:val="24"/>
          <w:szCs w:val="24"/>
        </w:rPr>
        <w:t xml:space="preserve">, U. R., Beecroft, I., &amp; </w:t>
      </w:r>
      <w:proofErr w:type="spellStart"/>
      <w:r w:rsidRPr="004D32CD">
        <w:rPr>
          <w:rFonts w:ascii="Times New Roman" w:hAnsi="Times New Roman" w:cs="Times New Roman"/>
          <w:sz w:val="24"/>
          <w:szCs w:val="24"/>
        </w:rPr>
        <w:t>Atata</w:t>
      </w:r>
      <w:proofErr w:type="spellEnd"/>
      <w:r w:rsidRPr="004D32CD">
        <w:rPr>
          <w:rFonts w:ascii="Times New Roman" w:hAnsi="Times New Roman" w:cs="Times New Roman"/>
          <w:sz w:val="24"/>
          <w:szCs w:val="24"/>
        </w:rPr>
        <w:t xml:space="preserve">, S. N. (2019). Female access and rights to land, and rural non-farm entrepreneurship in four African countries. </w:t>
      </w:r>
      <w:r w:rsidRPr="004D32CD">
        <w:rPr>
          <w:rFonts w:ascii="Times New Roman" w:hAnsi="Times New Roman" w:cs="Times New Roman"/>
          <w:i/>
          <w:iCs/>
          <w:sz w:val="24"/>
          <w:szCs w:val="24"/>
        </w:rPr>
        <w:t>African Development Review, 31</w:t>
      </w:r>
      <w:r w:rsidRPr="004D32CD">
        <w:rPr>
          <w:rFonts w:ascii="Times New Roman" w:hAnsi="Times New Roman" w:cs="Times New Roman"/>
          <w:sz w:val="24"/>
          <w:szCs w:val="24"/>
        </w:rPr>
        <w:t xml:space="preserve">(2), 179–189. </w:t>
      </w:r>
      <w:hyperlink r:id="rId15" w:history="1">
        <w:r w:rsidRPr="004D32CD">
          <w:rPr>
            <w:rStyle w:val="Hyperlink"/>
            <w:rFonts w:ascii="Times New Roman" w:hAnsi="Times New Roman" w:cs="Times New Roman"/>
            <w:sz w:val="24"/>
            <w:szCs w:val="24"/>
          </w:rPr>
          <w:t>https://doi.org/10.1111/1467-8268.12376</w:t>
        </w:r>
      </w:hyperlink>
    </w:p>
    <w:p w14:paraId="56C7554F"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Food and Agriculture Organization of the United Nations (FAO). (2023a). </w:t>
      </w:r>
      <w:r w:rsidRPr="004D32CD">
        <w:rPr>
          <w:rFonts w:ascii="Times New Roman" w:hAnsi="Times New Roman" w:cs="Times New Roman"/>
          <w:i/>
          <w:iCs/>
          <w:sz w:val="24"/>
          <w:szCs w:val="24"/>
        </w:rPr>
        <w:t>Opportunities and barriers for advancing agrifood systems: Empowering young people for a sustainable future</w:t>
      </w:r>
      <w:r w:rsidRPr="004D32CD">
        <w:rPr>
          <w:rFonts w:ascii="Times New Roman" w:hAnsi="Times New Roman" w:cs="Times New Roman"/>
          <w:sz w:val="24"/>
          <w:szCs w:val="24"/>
        </w:rPr>
        <w:t>. FAO.</w:t>
      </w:r>
    </w:p>
    <w:p w14:paraId="3820A5C5"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Food and Agriculture Organization of the United Nations (FAO). (2023b). </w:t>
      </w:r>
      <w:r w:rsidRPr="004D32CD">
        <w:rPr>
          <w:rFonts w:ascii="Times New Roman" w:hAnsi="Times New Roman" w:cs="Times New Roman"/>
          <w:i/>
          <w:iCs/>
          <w:sz w:val="24"/>
          <w:szCs w:val="24"/>
        </w:rPr>
        <w:t>Digital innovation for promoting decent rural employment in agriculture for youth and women in the Near East and North Africa</w:t>
      </w:r>
      <w:r w:rsidRPr="004D32CD">
        <w:rPr>
          <w:rFonts w:ascii="Times New Roman" w:hAnsi="Times New Roman" w:cs="Times New Roman"/>
          <w:sz w:val="24"/>
          <w:szCs w:val="24"/>
        </w:rPr>
        <w:t xml:space="preserve">. FAO. </w:t>
      </w:r>
      <w:hyperlink r:id="rId16" w:history="1">
        <w:r w:rsidRPr="004D32CD">
          <w:rPr>
            <w:rStyle w:val="Hyperlink"/>
            <w:rFonts w:ascii="Times New Roman" w:hAnsi="Times New Roman" w:cs="Times New Roman"/>
            <w:sz w:val="24"/>
            <w:szCs w:val="24"/>
          </w:rPr>
          <w:t>https://doi.org/10.4060/cc6312en</w:t>
        </w:r>
      </w:hyperlink>
    </w:p>
    <w:p w14:paraId="578449E3"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Gayathri, B. R., &amp; Bonny, B. P. (2020). Perceived entrepreneurial training needs of trainees of Krishi Vigyan </w:t>
      </w:r>
      <w:proofErr w:type="spellStart"/>
      <w:r w:rsidRPr="004D32CD">
        <w:rPr>
          <w:rFonts w:ascii="Times New Roman" w:hAnsi="Times New Roman" w:cs="Times New Roman"/>
          <w:sz w:val="24"/>
          <w:szCs w:val="24"/>
        </w:rPr>
        <w:t>Kendras</w:t>
      </w:r>
      <w:proofErr w:type="spellEnd"/>
      <w:r w:rsidRPr="004D32CD">
        <w:rPr>
          <w:rFonts w:ascii="Times New Roman" w:hAnsi="Times New Roman" w:cs="Times New Roman"/>
          <w:sz w:val="24"/>
          <w:szCs w:val="24"/>
        </w:rPr>
        <w:t xml:space="preserve"> in Kerala. </w:t>
      </w:r>
      <w:r w:rsidRPr="004D32CD">
        <w:rPr>
          <w:rFonts w:ascii="Times New Roman" w:hAnsi="Times New Roman" w:cs="Times New Roman"/>
          <w:i/>
          <w:iCs/>
          <w:sz w:val="24"/>
          <w:szCs w:val="24"/>
        </w:rPr>
        <w:t>Journal of Extension Education, 32</w:t>
      </w:r>
      <w:r w:rsidRPr="004D32CD">
        <w:rPr>
          <w:rFonts w:ascii="Times New Roman" w:hAnsi="Times New Roman" w:cs="Times New Roman"/>
          <w:sz w:val="24"/>
          <w:szCs w:val="24"/>
        </w:rPr>
        <w:t>(3), 6552–6559.</w:t>
      </w:r>
    </w:p>
    <w:p w14:paraId="091362B5"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Haldhar</w:t>
      </w:r>
      <w:proofErr w:type="spellEnd"/>
      <w:r w:rsidRPr="004D32CD">
        <w:rPr>
          <w:rFonts w:ascii="Times New Roman" w:hAnsi="Times New Roman" w:cs="Times New Roman"/>
          <w:sz w:val="24"/>
          <w:szCs w:val="24"/>
        </w:rPr>
        <w:t xml:space="preserve">, S. M., Hussain, T., </w:t>
      </w:r>
      <w:proofErr w:type="spellStart"/>
      <w:r w:rsidRPr="004D32CD">
        <w:rPr>
          <w:rFonts w:ascii="Times New Roman" w:hAnsi="Times New Roman" w:cs="Times New Roman"/>
          <w:sz w:val="24"/>
          <w:szCs w:val="24"/>
        </w:rPr>
        <w:t>Thaochan</w:t>
      </w:r>
      <w:proofErr w:type="spellEnd"/>
      <w:r w:rsidRPr="004D32CD">
        <w:rPr>
          <w:rFonts w:ascii="Times New Roman" w:hAnsi="Times New Roman" w:cs="Times New Roman"/>
          <w:sz w:val="24"/>
          <w:szCs w:val="24"/>
        </w:rPr>
        <w:t xml:space="preserve">, N., Bana, R. S., Jat, M. K., Nidhi, C. N., Sarangthem, I., Sivalingam, P. N., </w:t>
      </w:r>
      <w:proofErr w:type="spellStart"/>
      <w:r w:rsidRPr="004D32CD">
        <w:rPr>
          <w:rFonts w:ascii="Times New Roman" w:hAnsi="Times New Roman" w:cs="Times New Roman"/>
          <w:sz w:val="24"/>
          <w:szCs w:val="24"/>
        </w:rPr>
        <w:t>Samadia</w:t>
      </w:r>
      <w:proofErr w:type="spellEnd"/>
      <w:r w:rsidRPr="004D32CD">
        <w:rPr>
          <w:rFonts w:ascii="Times New Roman" w:hAnsi="Times New Roman" w:cs="Times New Roman"/>
          <w:sz w:val="24"/>
          <w:szCs w:val="24"/>
        </w:rPr>
        <w:t xml:space="preserve">, D. K., Nagesh, M., Singh, B., &amp; </w:t>
      </w:r>
      <w:proofErr w:type="spellStart"/>
      <w:r w:rsidRPr="004D32CD">
        <w:rPr>
          <w:rFonts w:ascii="Times New Roman" w:hAnsi="Times New Roman" w:cs="Times New Roman"/>
          <w:sz w:val="24"/>
          <w:szCs w:val="24"/>
        </w:rPr>
        <w:t>Sunpapao</w:t>
      </w:r>
      <w:proofErr w:type="spellEnd"/>
      <w:r w:rsidRPr="004D32CD">
        <w:rPr>
          <w:rFonts w:ascii="Times New Roman" w:hAnsi="Times New Roman" w:cs="Times New Roman"/>
          <w:sz w:val="24"/>
          <w:szCs w:val="24"/>
        </w:rPr>
        <w:t xml:space="preserve">, A. (2023). Entrepreneurship opportunities for agriculture graduates and rural youth in India: A scoping review. </w:t>
      </w:r>
      <w:r w:rsidRPr="004D32CD">
        <w:rPr>
          <w:rFonts w:ascii="Times New Roman" w:hAnsi="Times New Roman" w:cs="Times New Roman"/>
          <w:i/>
          <w:iCs/>
          <w:sz w:val="24"/>
          <w:szCs w:val="24"/>
        </w:rPr>
        <w:t>Journal of Agriculture and Ecology, 15</w:t>
      </w:r>
      <w:r w:rsidRPr="004D32CD">
        <w:rPr>
          <w:rFonts w:ascii="Times New Roman" w:hAnsi="Times New Roman" w:cs="Times New Roman"/>
          <w:sz w:val="24"/>
          <w:szCs w:val="24"/>
        </w:rPr>
        <w:t>, 1–13.</w:t>
      </w:r>
    </w:p>
    <w:p w14:paraId="47BE7A0B"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Kumar, S., &amp; Goyal, R. (2021). Entrepreneurship development in agriculture through training and capacity building. </w:t>
      </w:r>
      <w:r w:rsidRPr="004D32CD">
        <w:rPr>
          <w:rFonts w:ascii="Times New Roman" w:hAnsi="Times New Roman" w:cs="Times New Roman"/>
          <w:i/>
          <w:iCs/>
          <w:sz w:val="24"/>
          <w:szCs w:val="24"/>
        </w:rPr>
        <w:t>Agricultural Economics Research Review, 34</w:t>
      </w:r>
      <w:r w:rsidRPr="004D32CD">
        <w:rPr>
          <w:rFonts w:ascii="Times New Roman" w:hAnsi="Times New Roman" w:cs="Times New Roman"/>
          <w:sz w:val="24"/>
          <w:szCs w:val="24"/>
        </w:rPr>
        <w:t>(1), 45–58.</w:t>
      </w:r>
    </w:p>
    <w:p w14:paraId="715CCBFD"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Maheshwari, D., &amp; Arya, P. (2019). Role of training programs in agricultural entrepreneurship development. </w:t>
      </w:r>
      <w:r w:rsidRPr="004D32CD">
        <w:rPr>
          <w:rFonts w:ascii="Times New Roman" w:hAnsi="Times New Roman" w:cs="Times New Roman"/>
          <w:i/>
          <w:iCs/>
          <w:sz w:val="24"/>
          <w:szCs w:val="24"/>
        </w:rPr>
        <w:t>International Journal of Agricultural Management, 12</w:t>
      </w:r>
      <w:r w:rsidRPr="004D32CD">
        <w:rPr>
          <w:rFonts w:ascii="Times New Roman" w:hAnsi="Times New Roman" w:cs="Times New Roman"/>
          <w:sz w:val="24"/>
          <w:szCs w:val="24"/>
        </w:rPr>
        <w:t>(4), 211–220.</w:t>
      </w:r>
    </w:p>
    <w:p w14:paraId="100A9A81"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Malani, S. B., &amp; </w:t>
      </w:r>
      <w:proofErr w:type="spellStart"/>
      <w:r w:rsidRPr="004D32CD">
        <w:rPr>
          <w:rFonts w:ascii="Times New Roman" w:hAnsi="Times New Roman" w:cs="Times New Roman"/>
          <w:sz w:val="24"/>
          <w:szCs w:val="24"/>
        </w:rPr>
        <w:t>Mehasare</w:t>
      </w:r>
      <w:proofErr w:type="spellEnd"/>
      <w:r w:rsidRPr="004D32CD">
        <w:rPr>
          <w:rFonts w:ascii="Times New Roman" w:hAnsi="Times New Roman" w:cs="Times New Roman"/>
          <w:sz w:val="24"/>
          <w:szCs w:val="24"/>
        </w:rPr>
        <w:t xml:space="preserve">, V. S. (2026). Impact of skill development programs on rural youth employment and local business growth – An analytical study. </w:t>
      </w:r>
      <w:r w:rsidRPr="004D32CD">
        <w:rPr>
          <w:rFonts w:ascii="Times New Roman" w:hAnsi="Times New Roman" w:cs="Times New Roman"/>
          <w:i/>
          <w:iCs/>
          <w:sz w:val="24"/>
          <w:szCs w:val="24"/>
        </w:rPr>
        <w:t>International Journal of Scientific Research in Engineering and Management, 10</w:t>
      </w:r>
      <w:r w:rsidRPr="004D32CD">
        <w:rPr>
          <w:rFonts w:ascii="Times New Roman" w:hAnsi="Times New Roman" w:cs="Times New Roman"/>
          <w:sz w:val="24"/>
          <w:szCs w:val="24"/>
        </w:rPr>
        <w:t>(1), 1–9.</w:t>
      </w:r>
    </w:p>
    <w:p w14:paraId="01D6086E"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Meena, M., Meena, H., Meena, R., &amp; Bishnoi, R. (2023). Enhancing tribal youth’s knowledge and empowerment in goat farming: A quasi-experimental study of training impact on production and marketing. </w:t>
      </w:r>
      <w:r w:rsidRPr="004D32CD">
        <w:rPr>
          <w:rFonts w:ascii="Times New Roman" w:hAnsi="Times New Roman" w:cs="Times New Roman"/>
          <w:i/>
          <w:iCs/>
          <w:sz w:val="24"/>
          <w:szCs w:val="24"/>
        </w:rPr>
        <w:t xml:space="preserve">Journal of </w:t>
      </w:r>
      <w:proofErr w:type="spellStart"/>
      <w:r w:rsidRPr="004D32CD">
        <w:rPr>
          <w:rFonts w:ascii="Times New Roman" w:hAnsi="Times New Roman" w:cs="Times New Roman"/>
          <w:i/>
          <w:iCs/>
          <w:sz w:val="24"/>
          <w:szCs w:val="24"/>
        </w:rPr>
        <w:t>AgriSearch</w:t>
      </w:r>
      <w:proofErr w:type="spellEnd"/>
      <w:r w:rsidRPr="004D32CD">
        <w:rPr>
          <w:rFonts w:ascii="Times New Roman" w:hAnsi="Times New Roman" w:cs="Times New Roman"/>
          <w:i/>
          <w:iCs/>
          <w:sz w:val="24"/>
          <w:szCs w:val="24"/>
        </w:rPr>
        <w:t>, 10</w:t>
      </w:r>
      <w:r w:rsidRPr="004D32CD">
        <w:rPr>
          <w:rFonts w:ascii="Times New Roman" w:hAnsi="Times New Roman" w:cs="Times New Roman"/>
          <w:sz w:val="24"/>
          <w:szCs w:val="24"/>
        </w:rPr>
        <w:t>(3), 201–206.</w:t>
      </w:r>
    </w:p>
    <w:p w14:paraId="0B0E14F8"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Milhem, W., </w:t>
      </w:r>
      <w:proofErr w:type="spellStart"/>
      <w:r w:rsidRPr="004D32CD">
        <w:rPr>
          <w:rFonts w:ascii="Times New Roman" w:hAnsi="Times New Roman" w:cs="Times New Roman"/>
          <w:sz w:val="24"/>
          <w:szCs w:val="24"/>
        </w:rPr>
        <w:t>Abushamsieh</w:t>
      </w:r>
      <w:proofErr w:type="spellEnd"/>
      <w:r w:rsidRPr="004D32CD">
        <w:rPr>
          <w:rFonts w:ascii="Times New Roman" w:hAnsi="Times New Roman" w:cs="Times New Roman"/>
          <w:sz w:val="24"/>
          <w:szCs w:val="24"/>
        </w:rPr>
        <w:t xml:space="preserve">, K., &amp; Arostegui, M. N. P. (2014). Training strategies, theories and types. </w:t>
      </w:r>
      <w:r w:rsidRPr="004D32CD">
        <w:rPr>
          <w:rFonts w:ascii="Times New Roman" w:hAnsi="Times New Roman" w:cs="Times New Roman"/>
          <w:i/>
          <w:iCs/>
          <w:sz w:val="24"/>
          <w:szCs w:val="24"/>
        </w:rPr>
        <w:t>Journal of Accounting Business &amp; Management, 21</w:t>
      </w:r>
      <w:r w:rsidRPr="004D32CD">
        <w:rPr>
          <w:rFonts w:ascii="Times New Roman" w:hAnsi="Times New Roman" w:cs="Times New Roman"/>
          <w:sz w:val="24"/>
          <w:szCs w:val="24"/>
        </w:rPr>
        <w:t>(1), 19–22.</w:t>
      </w:r>
    </w:p>
    <w:p w14:paraId="364719A1"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lastRenderedPageBreak/>
        <w:t xml:space="preserve">Mishra, A. K. (2024). Fostering local economic development through </w:t>
      </w:r>
      <w:proofErr w:type="spellStart"/>
      <w:r w:rsidRPr="004D32CD">
        <w:rPr>
          <w:rFonts w:ascii="Times New Roman" w:hAnsi="Times New Roman" w:cs="Times New Roman"/>
          <w:sz w:val="24"/>
          <w:szCs w:val="24"/>
        </w:rPr>
        <w:t>agripreneurship</w:t>
      </w:r>
      <w:proofErr w:type="spellEnd"/>
      <w:r w:rsidRPr="004D32CD">
        <w:rPr>
          <w:rFonts w:ascii="Times New Roman" w:hAnsi="Times New Roman" w:cs="Times New Roman"/>
          <w:sz w:val="24"/>
          <w:szCs w:val="24"/>
        </w:rPr>
        <w:t xml:space="preserve"> in Nepal. </w:t>
      </w:r>
      <w:r w:rsidRPr="004D32CD">
        <w:rPr>
          <w:rFonts w:ascii="Times New Roman" w:hAnsi="Times New Roman" w:cs="Times New Roman"/>
          <w:i/>
          <w:iCs/>
          <w:sz w:val="24"/>
          <w:szCs w:val="24"/>
        </w:rPr>
        <w:t>SAIM Journal of Social Science and Technology, 1</w:t>
      </w:r>
      <w:r w:rsidRPr="004D32CD">
        <w:rPr>
          <w:rFonts w:ascii="Times New Roman" w:hAnsi="Times New Roman" w:cs="Times New Roman"/>
          <w:sz w:val="24"/>
          <w:szCs w:val="24"/>
        </w:rPr>
        <w:t>(1), 1–11.</w:t>
      </w:r>
    </w:p>
    <w:p w14:paraId="60AF1469"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Motta, V. F., &amp; Galina, S. V. R. (2023). Experiential learning in entrepreneurship education: A systematic literature review. </w:t>
      </w:r>
      <w:r w:rsidRPr="004D32CD">
        <w:rPr>
          <w:rFonts w:ascii="Times New Roman" w:hAnsi="Times New Roman" w:cs="Times New Roman"/>
          <w:i/>
          <w:iCs/>
          <w:sz w:val="24"/>
          <w:szCs w:val="24"/>
        </w:rPr>
        <w:t>Teaching and Teacher Education, 121</w:t>
      </w:r>
      <w:r w:rsidRPr="004D32CD">
        <w:rPr>
          <w:rFonts w:ascii="Times New Roman" w:hAnsi="Times New Roman" w:cs="Times New Roman"/>
          <w:sz w:val="24"/>
          <w:szCs w:val="24"/>
        </w:rPr>
        <w:t xml:space="preserve">, 103919. </w:t>
      </w:r>
      <w:hyperlink r:id="rId17" w:history="1">
        <w:r w:rsidRPr="004D32CD">
          <w:rPr>
            <w:rStyle w:val="Hyperlink"/>
            <w:rFonts w:ascii="Times New Roman" w:hAnsi="Times New Roman" w:cs="Times New Roman"/>
            <w:sz w:val="24"/>
            <w:szCs w:val="24"/>
          </w:rPr>
          <w:t>https://doi.org/10.1016/j.tate.2022.103919</w:t>
        </w:r>
      </w:hyperlink>
    </w:p>
    <w:p w14:paraId="37AEF662"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Nain, M. S., Singh, R., Mishra, J. R., Sharma, J. P., Singh, A. K., Kumar, A., Gills, R., &amp; Suman, R. S. (2019). Maximising farm profitability through entrepreneurship development and farmers’ innovations: Feasibility analysis and action interventions. </w:t>
      </w:r>
      <w:r w:rsidRPr="004D32CD">
        <w:rPr>
          <w:rFonts w:ascii="Times New Roman" w:hAnsi="Times New Roman" w:cs="Times New Roman"/>
          <w:i/>
          <w:iCs/>
          <w:sz w:val="24"/>
          <w:szCs w:val="24"/>
        </w:rPr>
        <w:t>The Indian Journal of Agricultural Sciences, 89</w:t>
      </w:r>
      <w:r w:rsidRPr="004D32CD">
        <w:rPr>
          <w:rFonts w:ascii="Times New Roman" w:hAnsi="Times New Roman" w:cs="Times New Roman"/>
          <w:sz w:val="24"/>
          <w:szCs w:val="24"/>
        </w:rPr>
        <w:t xml:space="preserve">(6), 1044–1049. </w:t>
      </w:r>
      <w:hyperlink r:id="rId18" w:history="1">
        <w:r w:rsidRPr="004D32CD">
          <w:rPr>
            <w:rStyle w:val="Hyperlink"/>
            <w:rFonts w:ascii="Times New Roman" w:hAnsi="Times New Roman" w:cs="Times New Roman"/>
            <w:sz w:val="24"/>
            <w:szCs w:val="24"/>
          </w:rPr>
          <w:t>https://doi.org/10.56093/ijas.v89i6.90833</w:t>
        </w:r>
      </w:hyperlink>
    </w:p>
    <w:p w14:paraId="4E2ED934"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Nikaido, Y., Pais, J., &amp; Sarma, M. (2015). What hinders and what enhances small enterprises’ access to formal credit in India? </w:t>
      </w:r>
      <w:r w:rsidRPr="004D32CD">
        <w:rPr>
          <w:rFonts w:ascii="Times New Roman" w:hAnsi="Times New Roman" w:cs="Times New Roman"/>
          <w:i/>
          <w:iCs/>
          <w:sz w:val="24"/>
          <w:szCs w:val="24"/>
        </w:rPr>
        <w:t>Review of Development Finance, 5</w:t>
      </w:r>
      <w:r w:rsidRPr="004D32CD">
        <w:rPr>
          <w:rFonts w:ascii="Times New Roman" w:hAnsi="Times New Roman" w:cs="Times New Roman"/>
          <w:sz w:val="24"/>
          <w:szCs w:val="24"/>
        </w:rPr>
        <w:t>(1), 43–52.</w:t>
      </w:r>
    </w:p>
    <w:p w14:paraId="764F844B"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Onwusa</w:t>
      </w:r>
      <w:proofErr w:type="spellEnd"/>
      <w:r w:rsidRPr="004D32CD">
        <w:rPr>
          <w:rFonts w:ascii="Times New Roman" w:hAnsi="Times New Roman" w:cs="Times New Roman"/>
          <w:sz w:val="24"/>
          <w:szCs w:val="24"/>
        </w:rPr>
        <w:t xml:space="preserve">, S. C. (2021). The issues, challenges and strategies to strengthen technical, vocational education and training in Nigeria. </w:t>
      </w:r>
      <w:r w:rsidRPr="004D32CD">
        <w:rPr>
          <w:rFonts w:ascii="Times New Roman" w:hAnsi="Times New Roman" w:cs="Times New Roman"/>
          <w:i/>
          <w:iCs/>
          <w:sz w:val="24"/>
          <w:szCs w:val="24"/>
        </w:rPr>
        <w:t>International Journal of Research and Innovation in Social Science, 5</w:t>
      </w:r>
      <w:r w:rsidRPr="004D32CD">
        <w:rPr>
          <w:rFonts w:ascii="Times New Roman" w:hAnsi="Times New Roman" w:cs="Times New Roman"/>
          <w:sz w:val="24"/>
          <w:szCs w:val="24"/>
        </w:rPr>
        <w:t>(5), 48–59.</w:t>
      </w:r>
    </w:p>
    <w:p w14:paraId="63931A5E"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Pliakoura</w:t>
      </w:r>
      <w:proofErr w:type="spellEnd"/>
      <w:r w:rsidRPr="004D32CD">
        <w:rPr>
          <w:rFonts w:ascii="Times New Roman" w:hAnsi="Times New Roman" w:cs="Times New Roman"/>
          <w:sz w:val="24"/>
          <w:szCs w:val="24"/>
        </w:rPr>
        <w:t xml:space="preserve">, A., </w:t>
      </w:r>
      <w:proofErr w:type="spellStart"/>
      <w:r w:rsidRPr="004D32CD">
        <w:rPr>
          <w:rFonts w:ascii="Times New Roman" w:hAnsi="Times New Roman" w:cs="Times New Roman"/>
          <w:sz w:val="24"/>
          <w:szCs w:val="24"/>
        </w:rPr>
        <w:t>Beligiannis</w:t>
      </w:r>
      <w:proofErr w:type="spellEnd"/>
      <w:r w:rsidRPr="004D32CD">
        <w:rPr>
          <w:rFonts w:ascii="Times New Roman" w:hAnsi="Times New Roman" w:cs="Times New Roman"/>
          <w:sz w:val="24"/>
          <w:szCs w:val="24"/>
        </w:rPr>
        <w:t xml:space="preserve">, G., &amp; </w:t>
      </w:r>
      <w:proofErr w:type="spellStart"/>
      <w:r w:rsidRPr="004D32CD">
        <w:rPr>
          <w:rFonts w:ascii="Times New Roman" w:hAnsi="Times New Roman" w:cs="Times New Roman"/>
          <w:sz w:val="24"/>
          <w:szCs w:val="24"/>
        </w:rPr>
        <w:t>Kontogeorgos</w:t>
      </w:r>
      <w:proofErr w:type="spellEnd"/>
      <w:r w:rsidRPr="004D32CD">
        <w:rPr>
          <w:rFonts w:ascii="Times New Roman" w:hAnsi="Times New Roman" w:cs="Times New Roman"/>
          <w:sz w:val="24"/>
          <w:szCs w:val="24"/>
        </w:rPr>
        <w:t xml:space="preserve">, A. (2020). Education in agricultural entrepreneurship: Training needs and learning practices. </w:t>
      </w:r>
      <w:r w:rsidRPr="004D32CD">
        <w:rPr>
          <w:rFonts w:ascii="Times New Roman" w:hAnsi="Times New Roman" w:cs="Times New Roman"/>
          <w:i/>
          <w:iCs/>
          <w:sz w:val="24"/>
          <w:szCs w:val="24"/>
        </w:rPr>
        <w:t>Education + Training, 62</w:t>
      </w:r>
      <w:r w:rsidRPr="004D32CD">
        <w:rPr>
          <w:rFonts w:ascii="Times New Roman" w:hAnsi="Times New Roman" w:cs="Times New Roman"/>
          <w:sz w:val="24"/>
          <w:szCs w:val="24"/>
        </w:rPr>
        <w:t>(7–8), 723–739.</w:t>
      </w:r>
    </w:p>
    <w:p w14:paraId="1D67825C"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Ramalho Ribeiro, A., Goodburn, B., Mayor, L., Lindner, L. F., Knöbl, C. F., </w:t>
      </w:r>
      <w:proofErr w:type="spellStart"/>
      <w:r w:rsidRPr="004D32CD">
        <w:rPr>
          <w:rFonts w:ascii="Times New Roman" w:hAnsi="Times New Roman" w:cs="Times New Roman"/>
          <w:sz w:val="24"/>
          <w:szCs w:val="24"/>
        </w:rPr>
        <w:t>Trienekens</w:t>
      </w:r>
      <w:proofErr w:type="spellEnd"/>
      <w:r w:rsidRPr="004D32CD">
        <w:rPr>
          <w:rFonts w:ascii="Times New Roman" w:hAnsi="Times New Roman" w:cs="Times New Roman"/>
          <w:sz w:val="24"/>
          <w:szCs w:val="24"/>
        </w:rPr>
        <w:t xml:space="preserve">, J., Rossi, D., Sanna, F., </w:t>
      </w:r>
      <w:proofErr w:type="spellStart"/>
      <w:r w:rsidRPr="004D32CD">
        <w:rPr>
          <w:rFonts w:ascii="Times New Roman" w:hAnsi="Times New Roman" w:cs="Times New Roman"/>
          <w:sz w:val="24"/>
          <w:szCs w:val="24"/>
        </w:rPr>
        <w:t>Berruto</w:t>
      </w:r>
      <w:proofErr w:type="spellEnd"/>
      <w:r w:rsidRPr="004D32CD">
        <w:rPr>
          <w:rFonts w:ascii="Times New Roman" w:hAnsi="Times New Roman" w:cs="Times New Roman"/>
          <w:sz w:val="24"/>
          <w:szCs w:val="24"/>
        </w:rPr>
        <w:t xml:space="preserve">, R., &amp; Busato, P. (2022). Skill needs for sustainable agri-food and forestry sectors (II): Insights of a European survey. </w:t>
      </w:r>
      <w:r w:rsidRPr="004D32CD">
        <w:rPr>
          <w:rFonts w:ascii="Times New Roman" w:hAnsi="Times New Roman" w:cs="Times New Roman"/>
          <w:i/>
          <w:iCs/>
          <w:sz w:val="24"/>
          <w:szCs w:val="24"/>
        </w:rPr>
        <w:t>Sustainability, 15</w:t>
      </w:r>
      <w:r w:rsidRPr="004D32CD">
        <w:rPr>
          <w:rFonts w:ascii="Times New Roman" w:hAnsi="Times New Roman" w:cs="Times New Roman"/>
          <w:sz w:val="24"/>
          <w:szCs w:val="24"/>
        </w:rPr>
        <w:t xml:space="preserve">(5), 4115. </w:t>
      </w:r>
      <w:hyperlink r:id="rId19" w:history="1">
        <w:r w:rsidRPr="004D32CD">
          <w:rPr>
            <w:rStyle w:val="Hyperlink"/>
            <w:rFonts w:ascii="Times New Roman" w:hAnsi="Times New Roman" w:cs="Times New Roman"/>
            <w:sz w:val="24"/>
            <w:szCs w:val="24"/>
          </w:rPr>
          <w:t>https://doi.org/10.3390/su15054115</w:t>
        </w:r>
      </w:hyperlink>
    </w:p>
    <w:p w14:paraId="2700C0B7"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Rao, S., &amp; Chandra, P. (2018). Determinants of entrepreneurship among rural youth: Evidence from India. </w:t>
      </w:r>
      <w:r w:rsidRPr="004D32CD">
        <w:rPr>
          <w:rFonts w:ascii="Times New Roman" w:hAnsi="Times New Roman" w:cs="Times New Roman"/>
          <w:i/>
          <w:iCs/>
          <w:sz w:val="24"/>
          <w:szCs w:val="24"/>
        </w:rPr>
        <w:t>Indian Journal of Agricultural Economics, 73</w:t>
      </w:r>
      <w:r w:rsidRPr="004D32CD">
        <w:rPr>
          <w:rFonts w:ascii="Times New Roman" w:hAnsi="Times New Roman" w:cs="Times New Roman"/>
          <w:sz w:val="24"/>
          <w:szCs w:val="24"/>
        </w:rPr>
        <w:t>(4), 451–463.</w:t>
      </w:r>
    </w:p>
    <w:p w14:paraId="62EDF648"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Schumpeter, J. A. (1934). </w:t>
      </w:r>
      <w:r w:rsidRPr="004D32CD">
        <w:rPr>
          <w:rFonts w:ascii="Times New Roman" w:hAnsi="Times New Roman" w:cs="Times New Roman"/>
          <w:i/>
          <w:iCs/>
          <w:sz w:val="24"/>
          <w:szCs w:val="24"/>
        </w:rPr>
        <w:t>The theory of economic development: An inquiry into profits, capital, credit, interest, and the business cycle</w:t>
      </w:r>
      <w:r w:rsidRPr="004D32CD">
        <w:rPr>
          <w:rFonts w:ascii="Times New Roman" w:hAnsi="Times New Roman" w:cs="Times New Roman"/>
          <w:sz w:val="24"/>
          <w:szCs w:val="24"/>
        </w:rPr>
        <w:t>. Harvard University Press.</w:t>
      </w:r>
    </w:p>
    <w:p w14:paraId="5E0E2523"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Sharma, S., Goyal, D., &amp; Singh, A. (2021). Systematic review on sustainable entrepreneurship education (SEE): A framework and analysis. </w:t>
      </w:r>
      <w:r w:rsidRPr="004D32CD">
        <w:rPr>
          <w:rFonts w:ascii="Times New Roman" w:hAnsi="Times New Roman" w:cs="Times New Roman"/>
          <w:i/>
          <w:iCs/>
          <w:sz w:val="24"/>
          <w:szCs w:val="24"/>
        </w:rPr>
        <w:t>World Journal of Entrepreneurship, Management and Sustainable Development, 17</w:t>
      </w:r>
      <w:r w:rsidRPr="004D32CD">
        <w:rPr>
          <w:rFonts w:ascii="Times New Roman" w:hAnsi="Times New Roman" w:cs="Times New Roman"/>
          <w:sz w:val="24"/>
          <w:szCs w:val="24"/>
        </w:rPr>
        <w:t>(3), 372–395.</w:t>
      </w:r>
    </w:p>
    <w:p w14:paraId="5FB388A7"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Singh, K., Meena, M. S., &amp; Swanson, B. (2013). Role of state agricultural universities and directorates of extension education in agricultural extension in India. </w:t>
      </w:r>
      <w:r w:rsidRPr="004D32CD">
        <w:rPr>
          <w:rFonts w:ascii="Times New Roman" w:hAnsi="Times New Roman" w:cs="Times New Roman"/>
          <w:i/>
          <w:iCs/>
          <w:sz w:val="24"/>
          <w:szCs w:val="24"/>
        </w:rPr>
        <w:t>SSRN Electronic Journal</w:t>
      </w:r>
      <w:r w:rsidRPr="004D32CD">
        <w:rPr>
          <w:rFonts w:ascii="Times New Roman" w:hAnsi="Times New Roman" w:cs="Times New Roman"/>
          <w:sz w:val="24"/>
          <w:szCs w:val="24"/>
        </w:rPr>
        <w:t xml:space="preserve">. </w:t>
      </w:r>
      <w:hyperlink r:id="rId20" w:history="1">
        <w:r w:rsidRPr="004D32CD">
          <w:rPr>
            <w:rStyle w:val="Hyperlink"/>
            <w:rFonts w:ascii="Times New Roman" w:hAnsi="Times New Roman" w:cs="Times New Roman"/>
            <w:sz w:val="24"/>
            <w:szCs w:val="24"/>
          </w:rPr>
          <w:t>https://doi.org/10.2139/ssrn.2315381</w:t>
        </w:r>
      </w:hyperlink>
    </w:p>
    <w:p w14:paraId="058E5FD0"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Tufa, A. H., Alene, A. D., Cole, S. M., Manda, J., Feleke, S., Abdoulaye, T., </w:t>
      </w:r>
      <w:proofErr w:type="spellStart"/>
      <w:r w:rsidRPr="004D32CD">
        <w:rPr>
          <w:rFonts w:ascii="Times New Roman" w:hAnsi="Times New Roman" w:cs="Times New Roman"/>
          <w:sz w:val="24"/>
          <w:szCs w:val="24"/>
        </w:rPr>
        <w:t>Chikoye</w:t>
      </w:r>
      <w:proofErr w:type="spellEnd"/>
      <w:r w:rsidRPr="004D32CD">
        <w:rPr>
          <w:rFonts w:ascii="Times New Roman" w:hAnsi="Times New Roman" w:cs="Times New Roman"/>
          <w:sz w:val="24"/>
          <w:szCs w:val="24"/>
        </w:rPr>
        <w:t xml:space="preserve">, D., &amp; </w:t>
      </w:r>
      <w:proofErr w:type="spellStart"/>
      <w:r w:rsidRPr="004D32CD">
        <w:rPr>
          <w:rFonts w:ascii="Times New Roman" w:hAnsi="Times New Roman" w:cs="Times New Roman"/>
          <w:sz w:val="24"/>
          <w:szCs w:val="24"/>
        </w:rPr>
        <w:t>Manyong</w:t>
      </w:r>
      <w:proofErr w:type="spellEnd"/>
      <w:r w:rsidRPr="004D32CD">
        <w:rPr>
          <w:rFonts w:ascii="Times New Roman" w:hAnsi="Times New Roman" w:cs="Times New Roman"/>
          <w:sz w:val="24"/>
          <w:szCs w:val="24"/>
        </w:rPr>
        <w:t xml:space="preserve">, V. (2022). Gender differences in technology adoption and agricultural productivity: Evidence from Malawi. </w:t>
      </w:r>
      <w:r w:rsidRPr="004D32CD">
        <w:rPr>
          <w:rFonts w:ascii="Times New Roman" w:hAnsi="Times New Roman" w:cs="Times New Roman"/>
          <w:i/>
          <w:iCs/>
          <w:sz w:val="24"/>
          <w:szCs w:val="24"/>
        </w:rPr>
        <w:t>World Development, 159</w:t>
      </w:r>
      <w:r w:rsidRPr="004D32CD">
        <w:rPr>
          <w:rFonts w:ascii="Times New Roman" w:hAnsi="Times New Roman" w:cs="Times New Roman"/>
          <w:sz w:val="24"/>
          <w:szCs w:val="24"/>
        </w:rPr>
        <w:t>, 106027.</w:t>
      </w:r>
    </w:p>
    <w:p w14:paraId="41FE6CAE" w14:textId="77777777" w:rsidR="004D32CD" w:rsidRPr="004D32CD" w:rsidRDefault="004D32CD" w:rsidP="004D32CD">
      <w:pPr>
        <w:pStyle w:val="ListParagraph"/>
        <w:numPr>
          <w:ilvl w:val="0"/>
          <w:numId w:val="7"/>
        </w:numPr>
        <w:rPr>
          <w:rFonts w:ascii="Times New Roman" w:hAnsi="Times New Roman" w:cs="Times New Roman"/>
          <w:sz w:val="24"/>
          <w:szCs w:val="24"/>
        </w:rPr>
      </w:pPr>
      <w:proofErr w:type="spellStart"/>
      <w:r w:rsidRPr="004D32CD">
        <w:rPr>
          <w:rFonts w:ascii="Times New Roman" w:hAnsi="Times New Roman" w:cs="Times New Roman"/>
          <w:sz w:val="24"/>
          <w:szCs w:val="24"/>
        </w:rPr>
        <w:t>Umunadi</w:t>
      </w:r>
      <w:proofErr w:type="spellEnd"/>
      <w:r w:rsidRPr="004D32CD">
        <w:rPr>
          <w:rFonts w:ascii="Times New Roman" w:hAnsi="Times New Roman" w:cs="Times New Roman"/>
          <w:sz w:val="24"/>
          <w:szCs w:val="24"/>
        </w:rPr>
        <w:t xml:space="preserve">, K. E. (2010). Acquisition of skills and competencies by technical education teachers as instrument for national growth in Nigeria. </w:t>
      </w:r>
      <w:r w:rsidRPr="004D32CD">
        <w:rPr>
          <w:rFonts w:ascii="Times New Roman" w:hAnsi="Times New Roman" w:cs="Times New Roman"/>
          <w:i/>
          <w:iCs/>
          <w:sz w:val="24"/>
          <w:szCs w:val="24"/>
        </w:rPr>
        <w:t>Journal of Qualitative Education, 6</w:t>
      </w:r>
      <w:r w:rsidRPr="004D32CD">
        <w:rPr>
          <w:rFonts w:ascii="Times New Roman" w:hAnsi="Times New Roman" w:cs="Times New Roman"/>
          <w:sz w:val="24"/>
          <w:szCs w:val="24"/>
        </w:rPr>
        <w:t>(1), 3–4.</w:t>
      </w:r>
    </w:p>
    <w:p w14:paraId="589C18F0" w14:textId="77777777" w:rsidR="004D32CD" w:rsidRPr="004D32CD" w:rsidRDefault="004D32CD" w:rsidP="004D32CD">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Yaacob, M. R., </w:t>
      </w:r>
      <w:proofErr w:type="spellStart"/>
      <w:r w:rsidRPr="004D32CD">
        <w:rPr>
          <w:rFonts w:ascii="Times New Roman" w:hAnsi="Times New Roman" w:cs="Times New Roman"/>
          <w:sz w:val="24"/>
          <w:szCs w:val="24"/>
        </w:rPr>
        <w:t>Shaupi</w:t>
      </w:r>
      <w:proofErr w:type="spellEnd"/>
      <w:r w:rsidRPr="004D32CD">
        <w:rPr>
          <w:rFonts w:ascii="Times New Roman" w:hAnsi="Times New Roman" w:cs="Times New Roman"/>
          <w:sz w:val="24"/>
          <w:szCs w:val="24"/>
        </w:rPr>
        <w:t xml:space="preserve">, N. S. A., &amp; Shuaib, A. S. (2016). Perception towards factors that affect the effectiveness of an entrepreneurship training program. </w:t>
      </w:r>
      <w:r w:rsidRPr="004D32CD">
        <w:rPr>
          <w:rFonts w:ascii="Times New Roman" w:hAnsi="Times New Roman" w:cs="Times New Roman"/>
          <w:i/>
          <w:iCs/>
          <w:sz w:val="24"/>
          <w:szCs w:val="24"/>
        </w:rPr>
        <w:t>Journal of Entrepreneurship and Business, 4</w:t>
      </w:r>
      <w:r w:rsidRPr="004D32CD">
        <w:rPr>
          <w:rFonts w:ascii="Times New Roman" w:hAnsi="Times New Roman" w:cs="Times New Roman"/>
          <w:sz w:val="24"/>
          <w:szCs w:val="24"/>
        </w:rPr>
        <w:t>(1), 50–58.</w:t>
      </w:r>
    </w:p>
    <w:p w14:paraId="064726BE" w14:textId="3F818BDF" w:rsidR="00D81330" w:rsidRPr="00B30B1C" w:rsidRDefault="004D32CD" w:rsidP="00B30B1C">
      <w:pPr>
        <w:pStyle w:val="ListParagraph"/>
        <w:numPr>
          <w:ilvl w:val="0"/>
          <w:numId w:val="7"/>
        </w:numPr>
        <w:rPr>
          <w:rFonts w:ascii="Times New Roman" w:hAnsi="Times New Roman" w:cs="Times New Roman"/>
          <w:sz w:val="24"/>
          <w:szCs w:val="24"/>
        </w:rPr>
      </w:pPr>
      <w:r w:rsidRPr="004D32CD">
        <w:rPr>
          <w:rFonts w:ascii="Times New Roman" w:hAnsi="Times New Roman" w:cs="Times New Roman"/>
          <w:sz w:val="24"/>
          <w:szCs w:val="24"/>
        </w:rPr>
        <w:t xml:space="preserve">Yang, S., Li, M., Yue, L., Yu, L., &amp; Li, W. (2023). From farmers’ entrepreneurial motivation to performance: The chain mediating effect of entrepreneurial learning and entrepreneurial ability. </w:t>
      </w:r>
      <w:r w:rsidRPr="004D32CD">
        <w:rPr>
          <w:rFonts w:ascii="Times New Roman" w:hAnsi="Times New Roman" w:cs="Times New Roman"/>
          <w:i/>
          <w:iCs/>
          <w:sz w:val="24"/>
          <w:szCs w:val="24"/>
        </w:rPr>
        <w:t>Sustainability, 15</w:t>
      </w:r>
      <w:r w:rsidRPr="004D32CD">
        <w:rPr>
          <w:rFonts w:ascii="Times New Roman" w:hAnsi="Times New Roman" w:cs="Times New Roman"/>
          <w:sz w:val="24"/>
          <w:szCs w:val="24"/>
        </w:rPr>
        <w:t xml:space="preserve">(1), Article 726. </w:t>
      </w:r>
      <w:hyperlink r:id="rId21" w:history="1">
        <w:r w:rsidRPr="004D32CD">
          <w:rPr>
            <w:rStyle w:val="Hyperlink"/>
            <w:rFonts w:ascii="Times New Roman" w:hAnsi="Times New Roman" w:cs="Times New Roman"/>
            <w:sz w:val="24"/>
            <w:szCs w:val="24"/>
          </w:rPr>
          <w:t>https://doi.org/10.3390/su15010726</w:t>
        </w:r>
      </w:hyperlink>
    </w:p>
    <w:sectPr w:rsidR="00D81330" w:rsidRPr="00B30B1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9C00" w14:textId="77777777" w:rsidR="00975E74" w:rsidRDefault="00975E74" w:rsidP="00BD0764">
      <w:pPr>
        <w:spacing w:after="0" w:line="240" w:lineRule="auto"/>
      </w:pPr>
      <w:r>
        <w:separator/>
      </w:r>
    </w:p>
  </w:endnote>
  <w:endnote w:type="continuationSeparator" w:id="0">
    <w:p w14:paraId="5AFBDE74" w14:textId="77777777" w:rsidR="00975E74" w:rsidRDefault="00975E74" w:rsidP="00BD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BFF6" w14:textId="77777777" w:rsidR="00BD0764" w:rsidRDefault="00BD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2C97" w14:textId="77777777" w:rsidR="00BD0764" w:rsidRDefault="00BD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C23F9" w14:textId="77777777" w:rsidR="00BD0764" w:rsidRDefault="00BD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5C6CD" w14:textId="77777777" w:rsidR="00975E74" w:rsidRDefault="00975E74" w:rsidP="00BD0764">
      <w:pPr>
        <w:spacing w:after="0" w:line="240" w:lineRule="auto"/>
      </w:pPr>
      <w:r>
        <w:separator/>
      </w:r>
    </w:p>
  </w:footnote>
  <w:footnote w:type="continuationSeparator" w:id="0">
    <w:p w14:paraId="0AA750DD" w14:textId="77777777" w:rsidR="00975E74" w:rsidRDefault="00975E74" w:rsidP="00BD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C341" w14:textId="39AD7C04" w:rsidR="00BD0764" w:rsidRDefault="00BD0764">
    <w:pPr>
      <w:pStyle w:val="Header"/>
    </w:pPr>
    <w:r>
      <w:rPr>
        <w:noProof/>
      </w:rPr>
      <w:pict w14:anchorId="0B4A3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0387" w14:textId="314A5DE4" w:rsidR="00BD0764" w:rsidRDefault="00BD0764">
    <w:pPr>
      <w:pStyle w:val="Header"/>
    </w:pPr>
    <w:r>
      <w:rPr>
        <w:noProof/>
      </w:rPr>
      <w:pict w14:anchorId="09D7A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D1AF" w14:textId="6B61D3E7" w:rsidR="00BD0764" w:rsidRDefault="00BD0764">
    <w:pPr>
      <w:pStyle w:val="Header"/>
    </w:pPr>
    <w:r>
      <w:rPr>
        <w:noProof/>
      </w:rPr>
      <w:pict w14:anchorId="1175B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4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45F"/>
    <w:multiLevelType w:val="hybridMultilevel"/>
    <w:tmpl w:val="5930F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F1534A"/>
    <w:multiLevelType w:val="multilevel"/>
    <w:tmpl w:val="290C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E7FC9"/>
    <w:multiLevelType w:val="hybridMultilevel"/>
    <w:tmpl w:val="6B308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F63EBC"/>
    <w:multiLevelType w:val="hybridMultilevel"/>
    <w:tmpl w:val="0706D2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DA4858"/>
    <w:multiLevelType w:val="hybridMultilevel"/>
    <w:tmpl w:val="1A0A40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511977"/>
    <w:multiLevelType w:val="multilevel"/>
    <w:tmpl w:val="26BC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B7750"/>
    <w:multiLevelType w:val="multilevel"/>
    <w:tmpl w:val="398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B0"/>
    <w:rsid w:val="00047184"/>
    <w:rsid w:val="0005163B"/>
    <w:rsid w:val="00070492"/>
    <w:rsid w:val="00071739"/>
    <w:rsid w:val="0008746C"/>
    <w:rsid w:val="000878AF"/>
    <w:rsid w:val="00093D0F"/>
    <w:rsid w:val="00096B2F"/>
    <w:rsid w:val="000A757F"/>
    <w:rsid w:val="000E2002"/>
    <w:rsid w:val="000F0E26"/>
    <w:rsid w:val="00107673"/>
    <w:rsid w:val="001220EF"/>
    <w:rsid w:val="00165B57"/>
    <w:rsid w:val="00176BB5"/>
    <w:rsid w:val="0020202E"/>
    <w:rsid w:val="0022551F"/>
    <w:rsid w:val="00227036"/>
    <w:rsid w:val="00240F6C"/>
    <w:rsid w:val="00266EDE"/>
    <w:rsid w:val="00276B41"/>
    <w:rsid w:val="0029527D"/>
    <w:rsid w:val="002A29EA"/>
    <w:rsid w:val="002A4961"/>
    <w:rsid w:val="00306382"/>
    <w:rsid w:val="0036652A"/>
    <w:rsid w:val="003A0696"/>
    <w:rsid w:val="003D1229"/>
    <w:rsid w:val="003D7FC5"/>
    <w:rsid w:val="003F5093"/>
    <w:rsid w:val="00442403"/>
    <w:rsid w:val="004445A3"/>
    <w:rsid w:val="004A57C0"/>
    <w:rsid w:val="004D1327"/>
    <w:rsid w:val="004D32CD"/>
    <w:rsid w:val="004E14C8"/>
    <w:rsid w:val="004F4680"/>
    <w:rsid w:val="0050415E"/>
    <w:rsid w:val="005206EE"/>
    <w:rsid w:val="00521FBE"/>
    <w:rsid w:val="00525459"/>
    <w:rsid w:val="00550AB5"/>
    <w:rsid w:val="00554FEB"/>
    <w:rsid w:val="005617EA"/>
    <w:rsid w:val="005848D9"/>
    <w:rsid w:val="005C2EE6"/>
    <w:rsid w:val="005C556C"/>
    <w:rsid w:val="005D2CD5"/>
    <w:rsid w:val="005D3B23"/>
    <w:rsid w:val="005F4EA1"/>
    <w:rsid w:val="0061752E"/>
    <w:rsid w:val="00653A37"/>
    <w:rsid w:val="0065427A"/>
    <w:rsid w:val="006A7F57"/>
    <w:rsid w:val="006C5413"/>
    <w:rsid w:val="006D2D29"/>
    <w:rsid w:val="00706D7B"/>
    <w:rsid w:val="00725F65"/>
    <w:rsid w:val="00775A69"/>
    <w:rsid w:val="007777B4"/>
    <w:rsid w:val="007A5F19"/>
    <w:rsid w:val="007B27AB"/>
    <w:rsid w:val="007C1FC6"/>
    <w:rsid w:val="007C479A"/>
    <w:rsid w:val="007F41DE"/>
    <w:rsid w:val="00800FAE"/>
    <w:rsid w:val="0080359C"/>
    <w:rsid w:val="00843155"/>
    <w:rsid w:val="008561B0"/>
    <w:rsid w:val="00865B42"/>
    <w:rsid w:val="00891783"/>
    <w:rsid w:val="00894F5F"/>
    <w:rsid w:val="00913DAE"/>
    <w:rsid w:val="00915395"/>
    <w:rsid w:val="0092363F"/>
    <w:rsid w:val="009303DD"/>
    <w:rsid w:val="00965A58"/>
    <w:rsid w:val="009721D2"/>
    <w:rsid w:val="00975E74"/>
    <w:rsid w:val="0099387C"/>
    <w:rsid w:val="009C3A9A"/>
    <w:rsid w:val="009D4F8D"/>
    <w:rsid w:val="00A03B0D"/>
    <w:rsid w:val="00A17821"/>
    <w:rsid w:val="00A70684"/>
    <w:rsid w:val="00A77992"/>
    <w:rsid w:val="00A82DA3"/>
    <w:rsid w:val="00A920CF"/>
    <w:rsid w:val="00AA4B91"/>
    <w:rsid w:val="00AB715D"/>
    <w:rsid w:val="00AD69C0"/>
    <w:rsid w:val="00B20B9F"/>
    <w:rsid w:val="00B30B1C"/>
    <w:rsid w:val="00B55ABF"/>
    <w:rsid w:val="00B7314D"/>
    <w:rsid w:val="00B902FF"/>
    <w:rsid w:val="00B974D1"/>
    <w:rsid w:val="00BB1F88"/>
    <w:rsid w:val="00BD0764"/>
    <w:rsid w:val="00BD4B9D"/>
    <w:rsid w:val="00C10E14"/>
    <w:rsid w:val="00C26A03"/>
    <w:rsid w:val="00C7183C"/>
    <w:rsid w:val="00CC5DF9"/>
    <w:rsid w:val="00CE75D1"/>
    <w:rsid w:val="00D17E3C"/>
    <w:rsid w:val="00D311F5"/>
    <w:rsid w:val="00D6008F"/>
    <w:rsid w:val="00D635F5"/>
    <w:rsid w:val="00D80D84"/>
    <w:rsid w:val="00D81330"/>
    <w:rsid w:val="00D92801"/>
    <w:rsid w:val="00DD69C3"/>
    <w:rsid w:val="00DF5AA2"/>
    <w:rsid w:val="00E32FFA"/>
    <w:rsid w:val="00E51F8A"/>
    <w:rsid w:val="00E56C5B"/>
    <w:rsid w:val="00E72FF2"/>
    <w:rsid w:val="00F31C0E"/>
    <w:rsid w:val="00F37B5C"/>
    <w:rsid w:val="00F412CE"/>
    <w:rsid w:val="00F418E7"/>
    <w:rsid w:val="00F4470F"/>
    <w:rsid w:val="00F53B07"/>
    <w:rsid w:val="00F65557"/>
    <w:rsid w:val="00FD6CA4"/>
    <w:rsid w:val="00FE20CF"/>
    <w:rsid w:val="00FE7CD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5A31F3"/>
  <w15:chartTrackingRefBased/>
  <w15:docId w15:val="{B2EF046B-30B1-480C-8D20-4CD44571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5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A757F"/>
    <w:rPr>
      <w:i/>
      <w:iCs/>
    </w:rPr>
  </w:style>
  <w:style w:type="character" w:styleId="Strong">
    <w:name w:val="Strong"/>
    <w:basedOn w:val="DefaultParagraphFont"/>
    <w:uiPriority w:val="22"/>
    <w:qFormat/>
    <w:rsid w:val="00D17E3C"/>
    <w:rPr>
      <w:b/>
      <w:bCs/>
    </w:rPr>
  </w:style>
  <w:style w:type="character" w:styleId="Hyperlink">
    <w:name w:val="Hyperlink"/>
    <w:basedOn w:val="DefaultParagraphFont"/>
    <w:uiPriority w:val="99"/>
    <w:unhideWhenUsed/>
    <w:rsid w:val="00AB715D"/>
    <w:rPr>
      <w:color w:val="0000FF"/>
      <w:u w:val="single"/>
    </w:rPr>
  </w:style>
  <w:style w:type="table" w:styleId="TableGrid">
    <w:name w:val="Table Grid"/>
    <w:basedOn w:val="TableNormal"/>
    <w:uiPriority w:val="39"/>
    <w:rsid w:val="00165B57"/>
    <w:pPr>
      <w:spacing w:after="0" w:line="240" w:lineRule="auto"/>
    </w:pPr>
    <w:rPr>
      <w:kern w:val="2"/>
      <w:lang w:bidi="ml-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AB"/>
    <w:rPr>
      <w:rFonts w:ascii="Segoe UI" w:hAnsi="Segoe UI" w:cs="Segoe UI"/>
      <w:sz w:val="18"/>
      <w:szCs w:val="18"/>
    </w:rPr>
  </w:style>
  <w:style w:type="paragraph" w:styleId="ListParagraph">
    <w:name w:val="List Paragraph"/>
    <w:basedOn w:val="Normal"/>
    <w:uiPriority w:val="34"/>
    <w:qFormat/>
    <w:rsid w:val="00306382"/>
    <w:pPr>
      <w:ind w:left="720"/>
      <w:contextualSpacing/>
    </w:pPr>
  </w:style>
  <w:style w:type="character" w:styleId="UnresolvedMention">
    <w:name w:val="Unresolved Mention"/>
    <w:basedOn w:val="DefaultParagraphFont"/>
    <w:uiPriority w:val="99"/>
    <w:semiHidden/>
    <w:unhideWhenUsed/>
    <w:rsid w:val="00442403"/>
    <w:rPr>
      <w:color w:val="605E5C"/>
      <w:shd w:val="clear" w:color="auto" w:fill="E1DFDD"/>
    </w:rPr>
  </w:style>
  <w:style w:type="paragraph" w:styleId="Header">
    <w:name w:val="header"/>
    <w:basedOn w:val="Normal"/>
    <w:link w:val="HeaderChar"/>
    <w:uiPriority w:val="99"/>
    <w:unhideWhenUsed/>
    <w:rsid w:val="00B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64"/>
  </w:style>
  <w:style w:type="paragraph" w:styleId="Footer">
    <w:name w:val="footer"/>
    <w:basedOn w:val="Normal"/>
    <w:link w:val="FooterChar"/>
    <w:uiPriority w:val="99"/>
    <w:unhideWhenUsed/>
    <w:rsid w:val="00B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0621">
      <w:bodyDiv w:val="1"/>
      <w:marLeft w:val="0"/>
      <w:marRight w:val="0"/>
      <w:marTop w:val="0"/>
      <w:marBottom w:val="0"/>
      <w:divBdr>
        <w:top w:val="none" w:sz="0" w:space="0" w:color="auto"/>
        <w:left w:val="none" w:sz="0" w:space="0" w:color="auto"/>
        <w:bottom w:val="none" w:sz="0" w:space="0" w:color="auto"/>
        <w:right w:val="none" w:sz="0" w:space="0" w:color="auto"/>
      </w:divBdr>
    </w:div>
    <w:div w:id="919829327">
      <w:bodyDiv w:val="1"/>
      <w:marLeft w:val="0"/>
      <w:marRight w:val="0"/>
      <w:marTop w:val="0"/>
      <w:marBottom w:val="0"/>
      <w:divBdr>
        <w:top w:val="none" w:sz="0" w:space="0" w:color="auto"/>
        <w:left w:val="none" w:sz="0" w:space="0" w:color="auto"/>
        <w:bottom w:val="none" w:sz="0" w:space="0" w:color="auto"/>
        <w:right w:val="none" w:sz="0" w:space="0" w:color="auto"/>
      </w:divBdr>
    </w:div>
    <w:div w:id="1398673430">
      <w:bodyDiv w:val="1"/>
      <w:marLeft w:val="0"/>
      <w:marRight w:val="0"/>
      <w:marTop w:val="0"/>
      <w:marBottom w:val="0"/>
      <w:divBdr>
        <w:top w:val="none" w:sz="0" w:space="0" w:color="auto"/>
        <w:left w:val="none" w:sz="0" w:space="0" w:color="auto"/>
        <w:bottom w:val="none" w:sz="0" w:space="0" w:color="auto"/>
        <w:right w:val="none" w:sz="0" w:space="0" w:color="auto"/>
      </w:divBdr>
    </w:div>
    <w:div w:id="1519268873">
      <w:bodyDiv w:val="1"/>
      <w:marLeft w:val="0"/>
      <w:marRight w:val="0"/>
      <w:marTop w:val="0"/>
      <w:marBottom w:val="0"/>
      <w:divBdr>
        <w:top w:val="none" w:sz="0" w:space="0" w:color="auto"/>
        <w:left w:val="none" w:sz="0" w:space="0" w:color="auto"/>
        <w:bottom w:val="none" w:sz="0" w:space="0" w:color="auto"/>
        <w:right w:val="none" w:sz="0" w:space="0" w:color="auto"/>
      </w:divBdr>
    </w:div>
    <w:div w:id="15638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jrfm17040150" TargetMode="External"/><Relationship Id="rId18" Type="http://schemas.openxmlformats.org/officeDocument/2006/relationships/hyperlink" Target="https://doi.org/10.56093/ijas.v89i6.9083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su15010726"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16/j.tate.2022.1039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4060/cc6312en" TargetMode="External"/><Relationship Id="rId20" Type="http://schemas.openxmlformats.org/officeDocument/2006/relationships/hyperlink" Target="https://doi.org/10.2139/ssrn.23153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1467-8268.1237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3390/su1505411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56093/ijas.v92i2.122248"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Sheet1!$G$4</c:f>
              <c:strCache>
                <c:ptCount val="1"/>
                <c:pt idx="0">
                  <c:v>Percentage</c:v>
                </c:pt>
              </c:strCache>
            </c:strRef>
          </c:tx>
          <c:spPr>
            <a:solidFill>
              <a:schemeClr val="accent1"/>
            </a:solidFill>
            <a:ln>
              <a:noFill/>
            </a:ln>
            <a:effectLst/>
          </c:spPr>
          <c:invertIfNegative val="0"/>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A778-4DAD-8552-10FDEAD0C9C5}"/>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3-A778-4DAD-8552-10FDEAD0C9C5}"/>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A778-4DAD-8552-10FDEAD0C9C5}"/>
              </c:ext>
            </c:extLst>
          </c:dPt>
          <c:cat>
            <c:multiLvlStrRef>
              <c:f>Sheet1!$E$5:$F$8</c:f>
              <c:multiLvlStrCache>
                <c:ptCount val="4"/>
                <c:lvl>
                  <c:pt idx="1">
                    <c:v>Less than 35</c:v>
                  </c:pt>
                  <c:pt idx="2">
                    <c:v>35 – 60 </c:v>
                  </c:pt>
                  <c:pt idx="3">
                    <c:v>Greater than 60</c:v>
                  </c:pt>
                </c:lvl>
                <c:lvl>
                  <c:pt idx="1">
                    <c:v>Age</c:v>
                  </c:pt>
                </c:lvl>
              </c:multiLvlStrCache>
            </c:multiLvlStrRef>
          </c:cat>
          <c:val>
            <c:numRef>
              <c:f>Sheet1!$G$5:$G$8</c:f>
              <c:numCache>
                <c:formatCode>General</c:formatCode>
                <c:ptCount val="4"/>
                <c:pt idx="1">
                  <c:v>6.78</c:v>
                </c:pt>
                <c:pt idx="2">
                  <c:v>77.97</c:v>
                </c:pt>
                <c:pt idx="3">
                  <c:v>15.25</c:v>
                </c:pt>
              </c:numCache>
            </c:numRef>
          </c:val>
          <c:extLst>
            <c:ext xmlns:c16="http://schemas.microsoft.com/office/drawing/2014/chart" uri="{C3380CC4-5D6E-409C-BE32-E72D297353CC}">
              <c16:uniqueId val="{00000006-A778-4DAD-8552-10FDEAD0C9C5}"/>
            </c:ext>
          </c:extLst>
        </c:ser>
        <c:dLbls>
          <c:showLegendKey val="0"/>
          <c:showVal val="0"/>
          <c:showCatName val="0"/>
          <c:showSerName val="0"/>
          <c:showPercent val="0"/>
          <c:showBubbleSize val="0"/>
        </c:dLbls>
        <c:gapWidth val="182"/>
        <c:axId val="881729728"/>
        <c:axId val="881726368"/>
      </c:barChart>
      <c:catAx>
        <c:axId val="881729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26368"/>
        <c:crosses val="autoZero"/>
        <c:auto val="1"/>
        <c:lblAlgn val="ctr"/>
        <c:lblOffset val="100"/>
        <c:noMultiLvlLbl val="0"/>
      </c:catAx>
      <c:valAx>
        <c:axId val="8817263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2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Sheet1!$G$20</c:f>
              <c:strCache>
                <c:ptCount val="1"/>
                <c:pt idx="0">
                  <c:v>Percentage </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5A2-4A83-BC68-A1725FA1411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5A2-4A83-BC68-A1725FA141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Sheet1!$D$21:$F$22</c:f>
              <c:multiLvlStrCache>
                <c:ptCount val="2"/>
                <c:lvl>
                  <c:pt idx="0">
                    <c:v>Male</c:v>
                  </c:pt>
                  <c:pt idx="1">
                    <c:v>Female</c:v>
                  </c:pt>
                </c:lvl>
                <c:lvl>
                  <c:pt idx="0">
                    <c:v>Gender</c:v>
                  </c:pt>
                </c:lvl>
              </c:multiLvlStrCache>
            </c:multiLvlStrRef>
          </c:cat>
          <c:val>
            <c:numRef>
              <c:f>Sheet1!$G$21:$G$22</c:f>
              <c:numCache>
                <c:formatCode>0.00%</c:formatCode>
                <c:ptCount val="2"/>
                <c:pt idx="0">
                  <c:v>0.44069999999999998</c:v>
                </c:pt>
                <c:pt idx="1">
                  <c:v>0.55930000000000002</c:v>
                </c:pt>
              </c:numCache>
            </c:numRef>
          </c:val>
          <c:extLst>
            <c:ext xmlns:c16="http://schemas.microsoft.com/office/drawing/2014/chart" uri="{C3380CC4-5D6E-409C-BE32-E72D297353CC}">
              <c16:uniqueId val="{00000004-25A2-4A83-BC68-A1725FA1411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Sheet1!$F$30</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Sheet1!$E$31:$E$35</c:f>
              <c:strCache>
                <c:ptCount val="5"/>
                <c:pt idx="0">
                  <c:v>Upto 9th grade</c:v>
                </c:pt>
                <c:pt idx="1">
                  <c:v>10th Pass</c:v>
                </c:pt>
                <c:pt idx="2">
                  <c:v>Higher Secondary</c:v>
                </c:pt>
                <c:pt idx="3">
                  <c:v>Graduate</c:v>
                </c:pt>
                <c:pt idx="4">
                  <c:v>Post-graduation and above</c:v>
                </c:pt>
              </c:strCache>
            </c:strRef>
          </c:cat>
          <c:val>
            <c:numRef>
              <c:f>Sheet1!$F$31:$F$35</c:f>
              <c:numCache>
                <c:formatCode>0.00%</c:formatCode>
                <c:ptCount val="5"/>
                <c:pt idx="0">
                  <c:v>1.6899999999999998E-2</c:v>
                </c:pt>
                <c:pt idx="1">
                  <c:v>0.2034</c:v>
                </c:pt>
                <c:pt idx="2">
                  <c:v>0.1525</c:v>
                </c:pt>
                <c:pt idx="3">
                  <c:v>0.44069999999999998</c:v>
                </c:pt>
                <c:pt idx="4">
                  <c:v>0.18640000000000001</c:v>
                </c:pt>
              </c:numCache>
            </c:numRef>
          </c:val>
          <c:extLst>
            <c:ext xmlns:c16="http://schemas.microsoft.com/office/drawing/2014/chart" uri="{C3380CC4-5D6E-409C-BE32-E72D297353CC}">
              <c16:uniqueId val="{00000000-477F-4F16-9418-93B4873A5539}"/>
            </c:ext>
          </c:extLst>
        </c:ser>
        <c:dLbls>
          <c:dLblPos val="outEnd"/>
          <c:showLegendKey val="0"/>
          <c:showVal val="1"/>
          <c:showCatName val="0"/>
          <c:showSerName val="0"/>
          <c:showPercent val="0"/>
          <c:showBubbleSize val="0"/>
        </c:dLbls>
        <c:gapWidth val="182"/>
        <c:axId val="881770528"/>
        <c:axId val="881771008"/>
      </c:barChart>
      <c:catAx>
        <c:axId val="881770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Educational Status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71008"/>
        <c:crosses val="autoZero"/>
        <c:auto val="1"/>
        <c:lblAlgn val="ctr"/>
        <c:lblOffset val="100"/>
        <c:noMultiLvlLbl val="0"/>
      </c:catAx>
      <c:valAx>
        <c:axId val="8817710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 of respondents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770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1"/>
          <c:tx>
            <c:strRef>
              <c:f>Sheet1!$G$40</c:f>
              <c:strCache>
                <c:ptCount val="1"/>
                <c:pt idx="0">
                  <c:v>Percentage</c:v>
                </c:pt>
              </c:strCache>
            </c:strRef>
          </c:tx>
          <c:spPr>
            <a:solidFill>
              <a:schemeClr val="accent1">
                <a:tint val="77000"/>
              </a:schemeClr>
            </a:solidFill>
            <a:ln>
              <a:noFill/>
            </a:ln>
            <a:effectLst/>
          </c:spPr>
          <c:invertIfNegative val="0"/>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460F-4F6D-BB98-91B656103CB5}"/>
              </c:ext>
            </c:extLst>
          </c:dPt>
          <c:dPt>
            <c:idx val="3"/>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460F-4F6D-BB98-91B656103CB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Sheet1!$E$41:$E$44</c:f>
              <c:strCache>
                <c:ptCount val="4"/>
                <c:pt idx="1">
                  <c:v>No</c:v>
                </c:pt>
                <c:pt idx="2">
                  <c:v>Not decided</c:v>
                </c:pt>
                <c:pt idx="3">
                  <c:v>Yes</c:v>
                </c:pt>
              </c:strCache>
              <c:extLst/>
            </c:strRef>
          </c:cat>
          <c:val>
            <c:numRef>
              <c:f>Sheet1!$G$41:$G$44</c:f>
              <c:numCache>
                <c:formatCode>0.00%</c:formatCode>
                <c:ptCount val="4"/>
                <c:pt idx="1">
                  <c:v>9.6000000000000002E-2</c:v>
                </c:pt>
                <c:pt idx="2">
                  <c:v>0.28810000000000002</c:v>
                </c:pt>
                <c:pt idx="3">
                  <c:v>0.61580000000000001</c:v>
                </c:pt>
              </c:numCache>
            </c:numRef>
          </c:val>
          <c:extLst>
            <c:ext xmlns:c16="http://schemas.microsoft.com/office/drawing/2014/chart" uri="{C3380CC4-5D6E-409C-BE32-E72D297353CC}">
              <c16:uniqueId val="{00000004-460F-4F6D-BB98-91B656103CB5}"/>
            </c:ext>
          </c:extLst>
        </c:ser>
        <c:dLbls>
          <c:dLblPos val="outEnd"/>
          <c:showLegendKey val="0"/>
          <c:showVal val="1"/>
          <c:showCatName val="0"/>
          <c:showSerName val="0"/>
          <c:showPercent val="0"/>
          <c:showBubbleSize val="0"/>
        </c:dLbls>
        <c:gapWidth val="219"/>
        <c:overlap val="-27"/>
        <c:axId val="737453280"/>
        <c:axId val="737442720"/>
        <c:extLst>
          <c:ext xmlns:c15="http://schemas.microsoft.com/office/drawing/2012/chart" uri="{02D57815-91ED-43cb-92C2-25804820EDAC}">
            <c15:filteredBarSeries>
              <c15:ser>
                <c:idx val="0"/>
                <c:order val="0"/>
                <c:tx>
                  <c:strRef>
                    <c:extLst>
                      <c:ext uri="{02D57815-91ED-43cb-92C2-25804820EDAC}">
                        <c15:formulaRef>
                          <c15:sqref>Sheet1!$F$40</c15:sqref>
                        </c15:formulaRef>
                      </c:ext>
                    </c:extLst>
                    <c:strCache>
                      <c:ptCount val="1"/>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Sheet1!$E$41:$E$44</c15:sqref>
                        </c15:formulaRef>
                      </c:ext>
                    </c:extLst>
                    <c:strCache>
                      <c:ptCount val="4"/>
                      <c:pt idx="1">
                        <c:v>No</c:v>
                      </c:pt>
                      <c:pt idx="2">
                        <c:v>Not decided</c:v>
                      </c:pt>
                      <c:pt idx="3">
                        <c:v>Yes</c:v>
                      </c:pt>
                    </c:strCache>
                  </c:strRef>
                </c:cat>
                <c:val>
                  <c:numRef>
                    <c:extLst>
                      <c:ext uri="{02D57815-91ED-43cb-92C2-25804820EDAC}">
                        <c15:formulaRef>
                          <c15:sqref>Sheet1!$F$41:$F$44</c15:sqref>
                        </c15:formulaRef>
                      </c:ext>
                    </c:extLst>
                    <c:numCache>
                      <c:formatCode>General</c:formatCode>
                      <c:ptCount val="4"/>
                    </c:numCache>
                  </c:numRef>
                </c:val>
                <c:extLst>
                  <c:ext xmlns:c16="http://schemas.microsoft.com/office/drawing/2014/chart" uri="{C3380CC4-5D6E-409C-BE32-E72D297353CC}">
                    <c16:uniqueId val="{00000005-460F-4F6D-BB98-91B656103CB5}"/>
                  </c:ext>
                </c:extLst>
              </c15:ser>
            </c15:filteredBarSeries>
          </c:ext>
        </c:extLst>
      </c:barChart>
      <c:catAx>
        <c:axId val="73745328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Interest in starting an Enterprise</a:t>
                </a: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442720"/>
        <c:crosses val="autoZero"/>
        <c:auto val="1"/>
        <c:lblAlgn val="ctr"/>
        <c:lblOffset val="100"/>
        <c:noMultiLvlLbl val="0"/>
      </c:catAx>
      <c:valAx>
        <c:axId val="73744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a:t> </a:t>
                </a:r>
                <a:r>
                  <a:rPr lang="en-IN" sz="1000" b="0" i="0" u="none" strike="noStrike" kern="1200" baseline="0">
                    <a:solidFill>
                      <a:sysClr val="windowText" lastClr="000000">
                        <a:lumMod val="65000"/>
                        <a:lumOff val="35000"/>
                      </a:sysClr>
                    </a:solidFill>
                  </a:rPr>
                  <a:t>Percentage of respondents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453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Sheet1!$D$56</c:f>
              <c:strCache>
                <c:ptCount val="1"/>
                <c:pt idx="0">
                  <c:v>Highly effective</c:v>
                </c:pt>
              </c:strCache>
            </c:strRef>
          </c:tx>
          <c:spPr>
            <a:solidFill>
              <a:schemeClr val="accent5">
                <a:lumMod val="60000"/>
                <a:lumOff val="40000"/>
              </a:schemeClr>
            </a:solidFill>
            <a:ln>
              <a:noFill/>
            </a:ln>
            <a:effectLst/>
            <a:sp3d/>
          </c:spPr>
          <c:invertIfNegative val="0"/>
          <c:dLbls>
            <c:dLbl>
              <c:idx val="0"/>
              <c:layout>
                <c:manualLayout>
                  <c:x val="2.5000000000000001E-2"/>
                  <c:y val="9.25925925925923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55-4C4F-8481-E90145F25D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Sheet1!$E$55</c:f>
              <c:strCache>
                <c:ptCount val="1"/>
                <c:pt idx="0">
                  <c:v>Percentage</c:v>
                </c:pt>
              </c:strCache>
            </c:strRef>
          </c:cat>
          <c:val>
            <c:numRef>
              <c:f>Sheet1!$E$56</c:f>
              <c:numCache>
                <c:formatCode>0.00%</c:formatCode>
                <c:ptCount val="1"/>
                <c:pt idx="0">
                  <c:v>0.65539999999999998</c:v>
                </c:pt>
              </c:numCache>
            </c:numRef>
          </c:val>
          <c:extLst>
            <c:ext xmlns:c16="http://schemas.microsoft.com/office/drawing/2014/chart" uri="{C3380CC4-5D6E-409C-BE32-E72D297353CC}">
              <c16:uniqueId val="{00000001-8655-4C4F-8481-E90145F25D45}"/>
            </c:ext>
          </c:extLst>
        </c:ser>
        <c:ser>
          <c:idx val="1"/>
          <c:order val="1"/>
          <c:tx>
            <c:strRef>
              <c:f>Sheet1!$D$57</c:f>
              <c:strCache>
                <c:ptCount val="1"/>
                <c:pt idx="0">
                  <c:v>Effective</c:v>
                </c:pt>
              </c:strCache>
            </c:strRef>
          </c:tx>
          <c:spPr>
            <a:solidFill>
              <a:schemeClr val="accent2">
                <a:lumMod val="60000"/>
                <a:lumOff val="40000"/>
              </a:schemeClr>
            </a:solidFill>
            <a:ln>
              <a:noFill/>
            </a:ln>
            <a:effectLst/>
            <a:sp3d/>
          </c:spPr>
          <c:invertIfNegative val="0"/>
          <c:dLbls>
            <c:dLbl>
              <c:idx val="0"/>
              <c:layout>
                <c:manualLayout>
                  <c:x val="3.055555555555555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55-4C4F-8481-E90145F25D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Sheet1!$E$55</c:f>
              <c:strCache>
                <c:ptCount val="1"/>
                <c:pt idx="0">
                  <c:v>Percentage</c:v>
                </c:pt>
              </c:strCache>
            </c:strRef>
          </c:cat>
          <c:val>
            <c:numRef>
              <c:f>Sheet1!$E$57</c:f>
              <c:numCache>
                <c:formatCode>0.00%</c:formatCode>
                <c:ptCount val="1"/>
                <c:pt idx="0">
                  <c:v>0.31640000000000001</c:v>
                </c:pt>
              </c:numCache>
            </c:numRef>
          </c:val>
          <c:extLst>
            <c:ext xmlns:c16="http://schemas.microsoft.com/office/drawing/2014/chart" uri="{C3380CC4-5D6E-409C-BE32-E72D297353CC}">
              <c16:uniqueId val="{00000003-8655-4C4F-8481-E90145F25D45}"/>
            </c:ext>
          </c:extLst>
        </c:ser>
        <c:ser>
          <c:idx val="2"/>
          <c:order val="2"/>
          <c:tx>
            <c:strRef>
              <c:f>Sheet1!$D$58</c:f>
              <c:strCache>
                <c:ptCount val="1"/>
                <c:pt idx="0">
                  <c:v>Not effective</c:v>
                </c:pt>
              </c:strCache>
            </c:strRef>
          </c:tx>
          <c:spPr>
            <a:solidFill>
              <a:schemeClr val="accent3"/>
            </a:solidFill>
            <a:ln>
              <a:noFill/>
            </a:ln>
            <a:effectLst/>
            <a:sp3d/>
          </c:spPr>
          <c:invertIfNegative val="0"/>
          <c:dPt>
            <c:idx val="0"/>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5-8655-4C4F-8481-E90145F25D45}"/>
              </c:ext>
            </c:extLst>
          </c:dPt>
          <c:dLbls>
            <c:dLbl>
              <c:idx val="0"/>
              <c:layout>
                <c:manualLayout>
                  <c:x val="8.3333333333333332E-3"/>
                  <c:y val="2.3148148148147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55-4C4F-8481-E90145F25D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Sheet1!$E$55</c:f>
              <c:strCache>
                <c:ptCount val="1"/>
                <c:pt idx="0">
                  <c:v>Percentage</c:v>
                </c:pt>
              </c:strCache>
            </c:strRef>
          </c:cat>
          <c:val>
            <c:numRef>
              <c:f>Sheet1!$E$58</c:f>
              <c:numCache>
                <c:formatCode>0.00%</c:formatCode>
                <c:ptCount val="1"/>
                <c:pt idx="0">
                  <c:v>2.8199999999999999E-2</c:v>
                </c:pt>
              </c:numCache>
            </c:numRef>
          </c:val>
          <c:extLst>
            <c:ext xmlns:c16="http://schemas.microsoft.com/office/drawing/2014/chart" uri="{C3380CC4-5D6E-409C-BE32-E72D297353CC}">
              <c16:uniqueId val="{00000006-8655-4C4F-8481-E90145F25D45}"/>
            </c:ext>
          </c:extLst>
        </c:ser>
        <c:dLbls>
          <c:showLegendKey val="0"/>
          <c:showVal val="1"/>
          <c:showCatName val="0"/>
          <c:showSerName val="0"/>
          <c:showPercent val="0"/>
          <c:showBubbleSize val="0"/>
        </c:dLbls>
        <c:gapWidth val="150"/>
        <c:shape val="box"/>
        <c:axId val="1088036608"/>
        <c:axId val="1088037568"/>
        <c:axId val="0"/>
      </c:bar3DChart>
      <c:catAx>
        <c:axId val="1088036608"/>
        <c:scaling>
          <c:orientation val="minMax"/>
        </c:scaling>
        <c:delete val="1"/>
        <c:axPos val="b"/>
        <c:numFmt formatCode="General" sourceLinked="1"/>
        <c:majorTickMark val="out"/>
        <c:minorTickMark val="none"/>
        <c:tickLblPos val="nextTo"/>
        <c:crossAx val="1088037568"/>
        <c:crosses val="autoZero"/>
        <c:auto val="1"/>
        <c:lblAlgn val="ctr"/>
        <c:lblOffset val="100"/>
        <c:noMultiLvlLbl val="0"/>
      </c:catAx>
      <c:valAx>
        <c:axId val="1088037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3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48F0-2F89-4D85-BA9A-9262A192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4698</Words>
  <Characters>26784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cp:revision>
  <cp:lastPrinted>2024-11-25T05:34:00Z</cp:lastPrinted>
  <dcterms:created xsi:type="dcterms:W3CDTF">2026-02-25T05:25:00Z</dcterms:created>
  <dcterms:modified xsi:type="dcterms:W3CDTF">2026-02-26T13:15:00Z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f22147687acc8e9c7a9978371cb5568c3a503e89df526af50fd33700d4a6ccf1</vt:lpwstr>
  </property>
</Properties>
</file>