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41821" w14:textId="77777777" w:rsidR="000F668C" w:rsidRPr="000F668C" w:rsidRDefault="000F668C" w:rsidP="000F668C">
      <w:pPr>
        <w:jc w:val="right"/>
        <w:rPr>
          <w:b/>
          <w:bCs/>
          <w:i/>
          <w:sz w:val="32"/>
          <w:u w:val="single"/>
        </w:rPr>
      </w:pPr>
      <w:r w:rsidRPr="000F668C">
        <w:rPr>
          <w:b/>
          <w:bCs/>
          <w:i/>
          <w:sz w:val="32"/>
          <w:u w:val="single"/>
        </w:rPr>
        <w:t>Original Research Article</w:t>
      </w:r>
    </w:p>
    <w:p w14:paraId="4FBC29E0" w14:textId="4C55BE58" w:rsidR="003C3626" w:rsidRDefault="00415CDB" w:rsidP="00415CDB">
      <w:pPr>
        <w:jc w:val="center"/>
        <w:rPr>
          <w:b/>
          <w:bCs/>
        </w:rPr>
      </w:pPr>
      <w:r>
        <w:rPr>
          <w:b/>
          <w:bCs/>
        </w:rPr>
        <w:t>E</w:t>
      </w:r>
      <w:r w:rsidRPr="00415CDB">
        <w:rPr>
          <w:b/>
          <w:bCs/>
        </w:rPr>
        <w:t>ffects of arbuscular mycorrhizal fungi on germination dynamics and early growth of teak (</w:t>
      </w:r>
      <w:r>
        <w:rPr>
          <w:b/>
          <w:bCs/>
          <w:i/>
          <w:iCs/>
        </w:rPr>
        <w:t>T</w:t>
      </w:r>
      <w:r w:rsidRPr="00415CDB">
        <w:rPr>
          <w:b/>
          <w:bCs/>
          <w:i/>
          <w:iCs/>
        </w:rPr>
        <w:t>ectona grandis</w:t>
      </w:r>
      <w:r w:rsidRPr="00415CDB">
        <w:rPr>
          <w:b/>
          <w:bCs/>
        </w:rPr>
        <w:t>) and sanda</w:t>
      </w:r>
      <w:r>
        <w:rPr>
          <w:b/>
          <w:bCs/>
        </w:rPr>
        <w:t>l</w:t>
      </w:r>
      <w:r w:rsidRPr="00415CDB">
        <w:rPr>
          <w:b/>
          <w:bCs/>
        </w:rPr>
        <w:t xml:space="preserve"> (</w:t>
      </w:r>
      <w:r>
        <w:rPr>
          <w:b/>
          <w:bCs/>
          <w:i/>
          <w:iCs/>
        </w:rPr>
        <w:t>S</w:t>
      </w:r>
      <w:r w:rsidRPr="00415CDB">
        <w:rPr>
          <w:b/>
          <w:bCs/>
          <w:i/>
          <w:iCs/>
        </w:rPr>
        <w:t>antalum album</w:t>
      </w:r>
      <w:r w:rsidRPr="00415CDB">
        <w:rPr>
          <w:b/>
          <w:bCs/>
        </w:rPr>
        <w:t>)</w:t>
      </w:r>
    </w:p>
    <w:p w14:paraId="174C7C32" w14:textId="13B38C81" w:rsidR="00415CDB" w:rsidRDefault="00415CDB" w:rsidP="0056789A">
      <w:pPr>
        <w:rPr>
          <w:b/>
          <w:bCs/>
        </w:rPr>
      </w:pPr>
    </w:p>
    <w:p w14:paraId="6A21E935" w14:textId="77777777" w:rsidR="00DB17CF" w:rsidRDefault="00DB17CF" w:rsidP="0056789A">
      <w:pPr>
        <w:rPr>
          <w:b/>
          <w:bCs/>
        </w:rPr>
      </w:pPr>
    </w:p>
    <w:p w14:paraId="07B6E2A0" w14:textId="0242978A" w:rsidR="00A509DD" w:rsidRPr="00D6250E" w:rsidRDefault="00A509DD" w:rsidP="00A509DD">
      <w:pPr>
        <w:rPr>
          <w:b/>
          <w:bCs/>
        </w:rPr>
      </w:pPr>
      <w:r w:rsidRPr="00D6250E">
        <w:rPr>
          <w:b/>
          <w:bCs/>
        </w:rPr>
        <w:t>Abstract</w:t>
      </w:r>
    </w:p>
    <w:p w14:paraId="5DEF341A" w14:textId="02EF9CDC" w:rsidR="00A509DD" w:rsidRPr="00D6250E" w:rsidRDefault="00A509DD" w:rsidP="00A509DD">
      <w:pPr>
        <w:jc w:val="both"/>
      </w:pPr>
      <w:r w:rsidRPr="00D6250E">
        <w:t xml:space="preserve">Arbuscular </w:t>
      </w:r>
      <w:r w:rsidR="00802269" w:rsidRPr="00D6250E">
        <w:t xml:space="preserve">Mycorrhizal Fungi </w:t>
      </w:r>
      <w:r w:rsidRPr="00D6250E">
        <w:t>(AMF) are ecologically significant symbionts that enhance nutrient acquisition, stress tolerance, and early establishment in a wide range of plants. Their influence on resource allocation strategies in forestry species, however, remains less explored. This study evaluated the effects of AMF consortia on germination dynamics and seedling growth of teak (</w:t>
      </w:r>
      <w:r w:rsidRPr="00D6250E">
        <w:rPr>
          <w:i/>
          <w:iCs/>
        </w:rPr>
        <w:t xml:space="preserve">Tectona grandis </w:t>
      </w:r>
      <w:r w:rsidRPr="00D6250E">
        <w:t>L. f</w:t>
      </w:r>
      <w:r w:rsidRPr="00D6250E">
        <w:rPr>
          <w:i/>
          <w:iCs/>
        </w:rPr>
        <w:t>.</w:t>
      </w:r>
      <w:r w:rsidRPr="00D6250E">
        <w:t>) and sandal (</w:t>
      </w:r>
      <w:r w:rsidRPr="00D6250E">
        <w:rPr>
          <w:i/>
          <w:iCs/>
        </w:rPr>
        <w:t xml:space="preserve">Santalum album </w:t>
      </w:r>
      <w:r w:rsidRPr="00D6250E">
        <w:t>L</w:t>
      </w:r>
      <w:r w:rsidRPr="00D6250E">
        <w:rPr>
          <w:i/>
          <w:iCs/>
        </w:rPr>
        <w:t>.</w:t>
      </w:r>
      <w:r w:rsidRPr="00D6250E">
        <w:t xml:space="preserve">), two tropical tree species of high economic importance. Seeds were pretreated to overcome dormancy and raised in sterilized coir pith and farmyard manure substrate, with or without AMF inoculation. Germination performance was assessed through indices such as germination percentage, mean germination </w:t>
      </w:r>
      <w:proofErr w:type="gramStart"/>
      <w:r w:rsidRPr="00D6250E">
        <w:t>time ,</w:t>
      </w:r>
      <w:proofErr w:type="gramEnd"/>
      <w:r w:rsidRPr="00D6250E">
        <w:t xml:space="preserve"> germination index , and mean daily germination , while seedling traits including shoot and root growth, biomass partitioning, root volume, leaf number, and leaf area were measured. Germination percentage remained unaffected by AMF (teak: 0.55 vs. 0.53; sandal: 0.70 vs. 0.70). However, species-specific growth responses emerged. In teak, AMF inoculation significantly increased root biomass (5.88 g vs. 4.43 g) and leaf area (203 cm² vs. 126 cm), despite reducing leaf number (6.7 vs. 16.3). Sandal showed moderate but non-significant improvements in root weight (372 mg vs. 210 mg) and leaf area (16.6 cm² vs. 15.1 cm²). These results indicate that AMF inoculation drives host-dependent resource allocation shifts—</w:t>
      </w:r>
      <w:proofErr w:type="spellStart"/>
      <w:r w:rsidRPr="00D6250E">
        <w:t>favoring</w:t>
      </w:r>
      <w:proofErr w:type="spellEnd"/>
      <w:r w:rsidRPr="00D6250E">
        <w:t xml:space="preserve"> below-ground and photosynthetic investments in teak, and modest enhancements in sandal—highlighting their potential in sustainable forestry nursery practices.</w:t>
      </w:r>
    </w:p>
    <w:p w14:paraId="6E21B827" w14:textId="3FDE466B" w:rsidR="00680266" w:rsidRPr="00D6250E" w:rsidRDefault="00680266" w:rsidP="00A509DD">
      <w:pPr>
        <w:jc w:val="both"/>
      </w:pPr>
      <w:r w:rsidRPr="00D6250E">
        <w:rPr>
          <w:b/>
          <w:bCs/>
        </w:rPr>
        <w:t>Keywords:</w:t>
      </w:r>
      <w:r w:rsidRPr="00D6250E">
        <w:t xml:space="preserve"> Arbuscular mycorrhizal fungi; Germination; Biomass allocation; </w:t>
      </w:r>
      <w:r w:rsidRPr="00D6250E">
        <w:rPr>
          <w:i/>
          <w:iCs/>
        </w:rPr>
        <w:t>Tectona grandis</w:t>
      </w:r>
      <w:r w:rsidRPr="00D6250E">
        <w:t xml:space="preserve">; </w:t>
      </w:r>
      <w:r w:rsidRPr="00D6250E">
        <w:rPr>
          <w:i/>
          <w:iCs/>
        </w:rPr>
        <w:t xml:space="preserve">Santalum </w:t>
      </w:r>
      <w:proofErr w:type="gramStart"/>
      <w:r w:rsidRPr="00D6250E">
        <w:rPr>
          <w:i/>
          <w:iCs/>
        </w:rPr>
        <w:t>album</w:t>
      </w:r>
      <w:r w:rsidRPr="00D6250E">
        <w:t>;  nursery</w:t>
      </w:r>
      <w:proofErr w:type="gramEnd"/>
      <w:r w:rsidRPr="00D6250E">
        <w:t xml:space="preserve"> management; Plant–microbe interactions.</w:t>
      </w:r>
    </w:p>
    <w:p w14:paraId="0FB27ED2" w14:textId="216B70AD" w:rsidR="00A509DD" w:rsidRPr="00D6250E" w:rsidRDefault="00AF7873" w:rsidP="00A509DD">
      <w:pPr>
        <w:jc w:val="both"/>
        <w:rPr>
          <w:b/>
          <w:bCs/>
        </w:rPr>
      </w:pPr>
      <w:r w:rsidRPr="00D6250E">
        <w:rPr>
          <w:b/>
          <w:bCs/>
        </w:rPr>
        <w:t xml:space="preserve">1. </w:t>
      </w:r>
      <w:r w:rsidR="00A509DD" w:rsidRPr="00D6250E">
        <w:rPr>
          <w:b/>
          <w:bCs/>
        </w:rPr>
        <w:t>Introduction</w:t>
      </w:r>
    </w:p>
    <w:p w14:paraId="1E442548" w14:textId="3B8E3F39" w:rsidR="00491DE0" w:rsidRPr="00D6250E" w:rsidRDefault="00351DAB" w:rsidP="00A509DD">
      <w:pPr>
        <w:jc w:val="both"/>
      </w:pPr>
      <w:r w:rsidRPr="00D6250E">
        <w:t>Arbuscular mycorrhizal fungi (AMF) are among the most ecologically influential plant symbionts, forming associations with nearly 80% of terrestrial species (</w:t>
      </w:r>
      <w:r w:rsidR="000F64F6">
        <w:t>1</w:t>
      </w:r>
      <w:r w:rsidRPr="00D6250E">
        <w:t>).</w:t>
      </w:r>
      <w:r w:rsidR="00A509DD" w:rsidRPr="00D6250E">
        <w:t xml:space="preserve"> </w:t>
      </w:r>
      <w:r w:rsidRPr="00D6250E">
        <w:t>By extending their extraradical hyphae into the soil, AMF enhance the acquisition of phosphorus, nitrogen, and micronutrients otherwise scarce in the rhizosphere (</w:t>
      </w:r>
      <w:r w:rsidR="00A72902" w:rsidRPr="00D6250E">
        <w:t>2</w:t>
      </w:r>
      <w:r w:rsidRPr="00D6250E">
        <w:t xml:space="preserve">). Beyond nutrition, they improve water-use efficiency, modulate hormonal </w:t>
      </w:r>
      <w:proofErr w:type="spellStart"/>
      <w:r w:rsidRPr="00D6250E">
        <w:t>signaling</w:t>
      </w:r>
      <w:proofErr w:type="spellEnd"/>
      <w:r w:rsidRPr="00D6250E">
        <w:t xml:space="preserve">, and strengthen antioxidant </w:t>
      </w:r>
      <w:proofErr w:type="spellStart"/>
      <w:r w:rsidRPr="00D6250E">
        <w:t>defenses</w:t>
      </w:r>
      <w:proofErr w:type="spellEnd"/>
      <w:r w:rsidRPr="00D6250E">
        <w:t>, thereby enhancing tolerance to drought, salinity, and nutrient stress (</w:t>
      </w:r>
      <w:r w:rsidR="000F64F6">
        <w:t>3</w:t>
      </w:r>
      <w:r w:rsidR="00D6250E" w:rsidRPr="00D6250E">
        <w:t xml:space="preserve">, </w:t>
      </w:r>
      <w:r w:rsidR="000F64F6">
        <w:t>4</w:t>
      </w:r>
      <w:r w:rsidRPr="00D6250E">
        <w:t>).</w:t>
      </w:r>
      <w:r w:rsidR="00D6250E">
        <w:t xml:space="preserve"> </w:t>
      </w:r>
      <w:r w:rsidRPr="00D6250E">
        <w:t>In forestry, AMF symbiosis has attracted growing interest as a means to overcome bottlenecks in tree seedling establishment, particularly under nutrient poor / stress conditions. AMF inoculation is known to accelerate root development, increase biomass accumulation, and improve survival in several hardwood species (</w:t>
      </w:r>
      <w:r w:rsidR="000F64F6">
        <w:t>5</w:t>
      </w:r>
      <w:r w:rsidR="00D6250E" w:rsidRPr="00D6250E">
        <w:t>,</w:t>
      </w:r>
      <w:r w:rsidR="00D6250E">
        <w:t xml:space="preserve"> </w:t>
      </w:r>
      <w:r w:rsidR="009A787D">
        <w:t>6</w:t>
      </w:r>
      <w:r w:rsidRPr="00D6250E">
        <w:t>). Meta-analyses also show AMF-mediated alleviation of physiological constraints under abiotic stress (</w:t>
      </w:r>
      <w:r w:rsidR="009A787D">
        <w:t>7</w:t>
      </w:r>
      <w:r w:rsidRPr="00D6250E">
        <w:t>), reinforcing their value as ecological tools in nursery and plantation systems (</w:t>
      </w:r>
      <w:r w:rsidR="009A787D">
        <w:t>8</w:t>
      </w:r>
      <w:r w:rsidRPr="00D6250E">
        <w:t>).</w:t>
      </w:r>
    </w:p>
    <w:p w14:paraId="3FDAA0D9" w14:textId="36BB886B" w:rsidR="00351DAB" w:rsidRPr="00D6250E" w:rsidRDefault="00351DAB" w:rsidP="006B28A9">
      <w:pPr>
        <w:jc w:val="both"/>
      </w:pPr>
      <w:r w:rsidRPr="00D6250E">
        <w:t>Teak (</w:t>
      </w:r>
      <w:r w:rsidRPr="00D6250E">
        <w:rPr>
          <w:i/>
          <w:iCs/>
        </w:rPr>
        <w:t>Tectona grandis</w:t>
      </w:r>
      <w:r w:rsidRPr="00D6250E">
        <w:t xml:space="preserve"> L. f.) and sandalwood (</w:t>
      </w:r>
      <w:r w:rsidRPr="00D6250E">
        <w:rPr>
          <w:i/>
          <w:iCs/>
        </w:rPr>
        <w:t>Santalum album</w:t>
      </w:r>
      <w:r w:rsidRPr="00D6250E">
        <w:t xml:space="preserve"> L.) are high-value tropical tree species of considerable economic and cultural significance. Teak is prized for its durable timber and global demand in construction and furniture (</w:t>
      </w:r>
      <w:r w:rsidR="009A787D">
        <w:t>9</w:t>
      </w:r>
      <w:r w:rsidRPr="00D6250E">
        <w:t>), while sandalwood is renowned for its aromatic heartwood and essential oils used in perfumery and medicine (</w:t>
      </w:r>
      <w:r w:rsidR="00D722F9" w:rsidRPr="00D6250E">
        <w:t>1</w:t>
      </w:r>
      <w:r w:rsidR="009A787D">
        <w:t>0</w:t>
      </w:r>
      <w:r w:rsidRPr="00D6250E">
        <w:t xml:space="preserve">). Despite their importance, propagation of both species remains problematic: teak exhibits dormancy and erratic germination, whereas sandal seedlings often show poor early </w:t>
      </w:r>
      <w:proofErr w:type="spellStart"/>
      <w:r w:rsidRPr="00D6250E">
        <w:t>vigor</w:t>
      </w:r>
      <w:proofErr w:type="spellEnd"/>
      <w:r w:rsidRPr="00D6250E">
        <w:t xml:space="preserve"> and low survival in conventional nurseries (</w:t>
      </w:r>
      <w:r w:rsidR="009A787D">
        <w:t>11</w:t>
      </w:r>
      <w:r w:rsidR="00D6250E">
        <w:t>,</w:t>
      </w:r>
      <w:r w:rsidR="0091360C">
        <w:t xml:space="preserve"> </w:t>
      </w:r>
      <w:r w:rsidR="00D722F9" w:rsidRPr="00D6250E">
        <w:t>1</w:t>
      </w:r>
      <w:r w:rsidR="009A787D">
        <w:t>2</w:t>
      </w:r>
      <w:r w:rsidRPr="00D6250E">
        <w:t>).</w:t>
      </w:r>
      <w:r w:rsidR="00506EF9" w:rsidRPr="00D6250E">
        <w:t xml:space="preserve"> </w:t>
      </w:r>
      <w:r w:rsidRPr="00D6250E">
        <w:lastRenderedPageBreak/>
        <w:t>Incorporating AMF as bioinoculants could offer a sustainable approach to enhance nursery performance of these species, promoting balanced resource allocation and improved establishment in nutrient-limited soils (</w:t>
      </w:r>
      <w:r w:rsidR="00D6250E">
        <w:t>1</w:t>
      </w:r>
      <w:r w:rsidR="009A787D">
        <w:t>3</w:t>
      </w:r>
      <w:r w:rsidR="00D6250E">
        <w:t xml:space="preserve">, </w:t>
      </w:r>
      <w:r w:rsidR="009A787D">
        <w:t>14</w:t>
      </w:r>
      <w:r w:rsidRPr="00D6250E">
        <w:t>). However, host-specific responses are common, ranging from substantial benefits to negligible or trade-off effects (</w:t>
      </w:r>
      <w:r w:rsidR="009A787D">
        <w:t>1, 15</w:t>
      </w:r>
      <w:r w:rsidRPr="00D6250E">
        <w:t>). Despite evidence from agricultural crops and certain tree systems, the role of AMF in teak and sandal germination dynamics and early seedling growth remains poorly understood.</w:t>
      </w:r>
    </w:p>
    <w:p w14:paraId="043E6B45" w14:textId="77777777" w:rsidR="003C3626" w:rsidRPr="00D6250E" w:rsidRDefault="00351DAB" w:rsidP="00A509DD">
      <w:pPr>
        <w:jc w:val="both"/>
      </w:pPr>
      <w:r w:rsidRPr="00D6250E">
        <w:t>This study addresses this gap by evaluating the influence of AMF consortia on germination indices and seedling growth traits of teak and sandal, with particular emphasis on host-specific patterns of biomass allocation under mycorrhizal symbiosis.</w:t>
      </w:r>
    </w:p>
    <w:p w14:paraId="5563274E" w14:textId="41DADC33" w:rsidR="00A509DD" w:rsidRPr="00D6250E" w:rsidRDefault="00AF7873" w:rsidP="00A509DD">
      <w:pPr>
        <w:jc w:val="both"/>
        <w:rPr>
          <w:b/>
          <w:bCs/>
        </w:rPr>
      </w:pPr>
      <w:r w:rsidRPr="00D6250E">
        <w:rPr>
          <w:b/>
          <w:bCs/>
        </w:rPr>
        <w:t xml:space="preserve">2. </w:t>
      </w:r>
      <w:r w:rsidR="00A509DD" w:rsidRPr="00D6250E">
        <w:rPr>
          <w:b/>
          <w:bCs/>
        </w:rPr>
        <w:t>Materials and Methods</w:t>
      </w:r>
    </w:p>
    <w:p w14:paraId="74E06AB8" w14:textId="3C8981BA" w:rsidR="00351DAB" w:rsidRPr="00D6250E" w:rsidRDefault="00A509DD" w:rsidP="00A509DD">
      <w:pPr>
        <w:jc w:val="both"/>
        <w:rPr>
          <w:b/>
          <w:bCs/>
        </w:rPr>
      </w:pPr>
      <w:r w:rsidRPr="00D6250E">
        <w:rPr>
          <w:b/>
          <w:bCs/>
        </w:rPr>
        <w:t>2.1 Seed Source and Study Area</w:t>
      </w:r>
    </w:p>
    <w:p w14:paraId="0374520D" w14:textId="370B086E" w:rsidR="00351DAB" w:rsidRPr="00D6250E" w:rsidRDefault="00A509DD" w:rsidP="004A0EC5">
      <w:pPr>
        <w:jc w:val="both"/>
      </w:pPr>
      <w:r w:rsidRPr="00D6250E">
        <w:t>Mature, viable seeds of teak (</w:t>
      </w:r>
      <w:r w:rsidRPr="00D6250E">
        <w:rPr>
          <w:i/>
          <w:iCs/>
        </w:rPr>
        <w:t>Tectona grandis</w:t>
      </w:r>
      <w:r w:rsidRPr="00D6250E">
        <w:t xml:space="preserve"> L. f.) and sandal</w:t>
      </w:r>
      <w:r w:rsidR="00351DAB" w:rsidRPr="00D6250E">
        <w:t>wood</w:t>
      </w:r>
      <w:r w:rsidRPr="00D6250E">
        <w:t xml:space="preserve"> (</w:t>
      </w:r>
      <w:r w:rsidRPr="00D6250E">
        <w:rPr>
          <w:i/>
          <w:iCs/>
        </w:rPr>
        <w:t>Santalum album</w:t>
      </w:r>
      <w:r w:rsidRPr="00D6250E">
        <w:t xml:space="preserve"> L.) were procured from the Kerala Forest Research Institute (KFRI), </w:t>
      </w:r>
      <w:proofErr w:type="spellStart"/>
      <w:r w:rsidRPr="00D6250E">
        <w:t>Peechi</w:t>
      </w:r>
      <w:proofErr w:type="spellEnd"/>
      <w:r w:rsidRPr="00D6250E">
        <w:t>, Kerala, India.</w:t>
      </w:r>
      <w:r w:rsidR="006C5026" w:rsidRPr="00D6250E">
        <w:t xml:space="preserve"> The experimental work was conducted at the College of Forestry, Kerala Agricultural University, Kerala, India (10°32′N, 76°26′E). The study involved both nursery- and laboratory-based evaluations, with various stages carried out in collaboration with other departments of the university.</w:t>
      </w:r>
      <w:r w:rsidRPr="00D6250E">
        <w:t xml:space="preserve"> </w:t>
      </w:r>
      <w:r w:rsidR="00351DAB" w:rsidRPr="00D6250E">
        <w:t>Species-specific pretreatments were applied to overcome dormancy: teak seeds underwent alternate wetting and drying for seven consecutive days (</w:t>
      </w:r>
      <w:r w:rsidR="008A2CB5">
        <w:t>16</w:t>
      </w:r>
      <w:r w:rsidR="00351DAB" w:rsidRPr="00D6250E">
        <w:t>), while sandalwood seeds were soaked overnight in 500 ppm gibberellic acid (GA</w:t>
      </w:r>
      <w:r w:rsidR="00504F51" w:rsidRPr="00D6250E">
        <w:rPr>
          <w:vertAlign w:val="subscript"/>
        </w:rPr>
        <w:t>3</w:t>
      </w:r>
      <w:r w:rsidR="00351DAB" w:rsidRPr="00D6250E">
        <w:t>) solution to soften the seed coat and stimulate physiological activity.</w:t>
      </w:r>
    </w:p>
    <w:p w14:paraId="69637144" w14:textId="77777777" w:rsidR="00A509DD" w:rsidRPr="00D6250E" w:rsidRDefault="00A509DD" w:rsidP="00A509DD">
      <w:pPr>
        <w:jc w:val="both"/>
        <w:rPr>
          <w:b/>
          <w:bCs/>
        </w:rPr>
      </w:pPr>
      <w:r w:rsidRPr="00D6250E">
        <w:rPr>
          <w:b/>
          <w:bCs/>
        </w:rPr>
        <w:t>2.2 Arbuscular Mycorrhizal Fungi (AMF) Inoculum</w:t>
      </w:r>
    </w:p>
    <w:p w14:paraId="26FD27E1" w14:textId="77777777" w:rsidR="00A509DD" w:rsidRPr="00D6250E" w:rsidRDefault="00A509DD" w:rsidP="00A509DD">
      <w:pPr>
        <w:jc w:val="both"/>
      </w:pPr>
      <w:r w:rsidRPr="00D6250E">
        <w:t xml:space="preserve">The AMF inoculum used in the study comprised a consortium of three species, namely </w:t>
      </w:r>
      <w:r w:rsidRPr="00D6250E">
        <w:rPr>
          <w:i/>
          <w:iCs/>
        </w:rPr>
        <w:t xml:space="preserve">Glomus </w:t>
      </w:r>
      <w:proofErr w:type="spellStart"/>
      <w:r w:rsidRPr="00D6250E">
        <w:rPr>
          <w:i/>
          <w:iCs/>
        </w:rPr>
        <w:t>mosseae</w:t>
      </w:r>
      <w:proofErr w:type="spellEnd"/>
      <w:r w:rsidRPr="00D6250E">
        <w:t xml:space="preserve">, </w:t>
      </w:r>
      <w:r w:rsidRPr="00D6250E">
        <w:rPr>
          <w:i/>
          <w:iCs/>
        </w:rPr>
        <w:t xml:space="preserve">Glomus </w:t>
      </w:r>
      <w:proofErr w:type="spellStart"/>
      <w:r w:rsidRPr="00D6250E">
        <w:rPr>
          <w:i/>
          <w:iCs/>
        </w:rPr>
        <w:t>etunicatum</w:t>
      </w:r>
      <w:proofErr w:type="spellEnd"/>
      <w:r w:rsidRPr="00D6250E">
        <w:t xml:space="preserve">, and </w:t>
      </w:r>
      <w:r w:rsidRPr="00D6250E">
        <w:rPr>
          <w:i/>
          <w:iCs/>
        </w:rPr>
        <w:t xml:space="preserve">Glomus </w:t>
      </w:r>
      <w:proofErr w:type="spellStart"/>
      <w:r w:rsidRPr="00D6250E">
        <w:rPr>
          <w:i/>
          <w:iCs/>
        </w:rPr>
        <w:t>fasciculatum</w:t>
      </w:r>
      <w:proofErr w:type="spellEnd"/>
      <w:r w:rsidRPr="00D6250E">
        <w:t xml:space="preserve">. The inoculum was obtained from the College of Agriculture, </w:t>
      </w:r>
      <w:proofErr w:type="spellStart"/>
      <w:r w:rsidRPr="00D6250E">
        <w:t>Vellayani</w:t>
      </w:r>
      <w:proofErr w:type="spellEnd"/>
      <w:r w:rsidRPr="00D6250E">
        <w:t>, Kerala, and was mass-multiplied on maize (</w:t>
      </w:r>
      <w:r w:rsidRPr="00D6250E">
        <w:rPr>
          <w:i/>
          <w:iCs/>
        </w:rPr>
        <w:t>Zea mays</w:t>
      </w:r>
      <w:r w:rsidRPr="00D6250E">
        <w:t>) roots in a vermiculite–sand medium (1:1, v/v) following standard propagation protocols. The inoculum consisted of spores, colonized root fragments, and extraradical hyphae, ensuring viable propagules for inoculation.</w:t>
      </w:r>
    </w:p>
    <w:p w14:paraId="58EFA4F9" w14:textId="195DDFB4" w:rsidR="00A509DD" w:rsidRPr="00D6250E" w:rsidRDefault="00A509DD" w:rsidP="00A509DD">
      <w:pPr>
        <w:jc w:val="both"/>
        <w:rPr>
          <w:b/>
          <w:bCs/>
        </w:rPr>
      </w:pPr>
      <w:r w:rsidRPr="00D6250E">
        <w:rPr>
          <w:b/>
          <w:bCs/>
        </w:rPr>
        <w:t>2.3 Growth Medium and Experimental Setup</w:t>
      </w:r>
    </w:p>
    <w:p w14:paraId="4DC10E08" w14:textId="78C2C6A3" w:rsidR="00B41C9F" w:rsidRPr="00D6250E" w:rsidRDefault="00B41C9F" w:rsidP="00A509DD">
      <w:pPr>
        <w:jc w:val="both"/>
      </w:pPr>
      <w:r w:rsidRPr="00D6250E">
        <w:t xml:space="preserve">The growth substrate was a 1:1 (v/v) mixture of coir pith and farmyard manure (FYM), selected for its </w:t>
      </w:r>
      <w:proofErr w:type="spellStart"/>
      <w:r w:rsidRPr="00D6250E">
        <w:t>favorable</w:t>
      </w:r>
      <w:proofErr w:type="spellEnd"/>
      <w:r w:rsidRPr="00D6250E">
        <w:t xml:space="preserve"> aeration, water-holding capacity, and nutrient </w:t>
      </w:r>
      <w:proofErr w:type="gramStart"/>
      <w:r w:rsidRPr="00D6250E">
        <w:t>content.</w:t>
      </w:r>
      <w:r w:rsidR="00A509DD" w:rsidRPr="00D6250E">
        <w:t>.</w:t>
      </w:r>
      <w:proofErr w:type="gramEnd"/>
      <w:r w:rsidR="00A509DD" w:rsidRPr="00D6250E">
        <w:t xml:space="preserve"> </w:t>
      </w:r>
      <w:r w:rsidRPr="00D6250E">
        <w:t>For the AMF treatment, 10 g of the inoculum was incorporated per seed into 20 g of sterilized substrate. The control treatment received an equivalent quantity of autoclaved inoculum (121°C for 2 h) to maintain comparable substrate conditions. Seeds were sown directly into the respective media, avoiding additional handling steps such as transplanting or root-dip inoculation.</w:t>
      </w:r>
      <w:r w:rsidR="00A509DD" w:rsidRPr="00D6250E">
        <w:t xml:space="preserve"> </w:t>
      </w:r>
    </w:p>
    <w:p w14:paraId="1D730629" w14:textId="77777777" w:rsidR="00B41C9F" w:rsidRPr="00D6250E" w:rsidRDefault="00B41C9F" w:rsidP="004A0EC5">
      <w:pPr>
        <w:jc w:val="both"/>
      </w:pPr>
      <w:r w:rsidRPr="00D6250E">
        <w:t>The experiment followed a completely randomized design (CRD) with six replications per treatment, each consisting of 50 seeds, resulting in a total of 300 seeds per treatment.</w:t>
      </w:r>
    </w:p>
    <w:p w14:paraId="0E109585" w14:textId="77777777" w:rsidR="00A509DD" w:rsidRPr="00D6250E" w:rsidRDefault="00A509DD" w:rsidP="00A509DD">
      <w:pPr>
        <w:jc w:val="both"/>
        <w:rPr>
          <w:b/>
          <w:bCs/>
        </w:rPr>
      </w:pPr>
      <w:r w:rsidRPr="00D6250E">
        <w:rPr>
          <w:b/>
          <w:bCs/>
        </w:rPr>
        <w:t>2.4 Germination Monitoring and Parameters</w:t>
      </w:r>
    </w:p>
    <w:p w14:paraId="2D44DAC5" w14:textId="028F3209" w:rsidR="00A509DD" w:rsidRPr="00D6250E" w:rsidRDefault="00A509DD" w:rsidP="00A509DD">
      <w:pPr>
        <w:jc w:val="both"/>
      </w:pPr>
      <w:r w:rsidRPr="00FB445D">
        <w:t xml:space="preserve">Seeds were monitored daily for a period of 90 days. Germination was defined as the emergence of a visible radicle of at least 2 mm. Germination dynamics were quantified </w:t>
      </w:r>
      <w:r w:rsidR="00B41C9F" w:rsidRPr="00FB445D">
        <w:t xml:space="preserve">following </w:t>
      </w:r>
      <w:r w:rsidRPr="00FB445D">
        <w:t xml:space="preserve">Maguire </w:t>
      </w:r>
      <w:r w:rsidR="00B41C9F" w:rsidRPr="00FB445D">
        <w:t>(</w:t>
      </w:r>
      <w:r w:rsidRPr="00FB445D">
        <w:t>1</w:t>
      </w:r>
      <w:r w:rsidR="009A787D">
        <w:t>7</w:t>
      </w:r>
      <w:r w:rsidR="00B41C9F" w:rsidRPr="00FB445D">
        <w:t>) and</w:t>
      </w:r>
      <w:r w:rsidR="00357B93" w:rsidRPr="00FB445D">
        <w:t xml:space="preserve"> </w:t>
      </w:r>
      <w:proofErr w:type="spellStart"/>
      <w:r w:rsidRPr="00FB445D">
        <w:t>Czabator</w:t>
      </w:r>
      <w:proofErr w:type="spellEnd"/>
      <w:r w:rsidR="00FB445D" w:rsidRPr="00FB445D">
        <w:t xml:space="preserve"> </w:t>
      </w:r>
      <w:r w:rsidR="00B41C9F" w:rsidRPr="00FB445D">
        <w:t>(</w:t>
      </w:r>
      <w:r w:rsidR="009A787D">
        <w:t>18</w:t>
      </w:r>
      <w:r w:rsidRPr="00FB445D">
        <w:t>). Parameters measured included germination percentage (G%), mean germination time (MGT), mean germination rate (MGR), coefficient of velocity of germination (CVG), germination index (GI), time to 10% germination (T</w:t>
      </w:r>
      <w:r w:rsidR="00A644B1" w:rsidRPr="00A644B1">
        <w:rPr>
          <w:vertAlign w:val="subscript"/>
        </w:rPr>
        <w:t>10</w:t>
      </w:r>
      <w:r w:rsidRPr="00FB445D">
        <w:t>), mean daily germination (MDG), peak value (PV), and germination value (GV).</w:t>
      </w:r>
    </w:p>
    <w:p w14:paraId="45898E09" w14:textId="77777777" w:rsidR="00A509DD" w:rsidRPr="00D6250E" w:rsidRDefault="00A509DD" w:rsidP="00A509DD">
      <w:pPr>
        <w:jc w:val="both"/>
        <w:rPr>
          <w:b/>
          <w:bCs/>
        </w:rPr>
      </w:pPr>
      <w:r w:rsidRPr="00D6250E">
        <w:rPr>
          <w:b/>
          <w:bCs/>
        </w:rPr>
        <w:lastRenderedPageBreak/>
        <w:t>2.5 Seedling Growth Measurements</w:t>
      </w:r>
    </w:p>
    <w:p w14:paraId="491ABA46" w14:textId="3976BE01" w:rsidR="00A509DD" w:rsidRPr="00D6250E" w:rsidRDefault="00A509DD" w:rsidP="00A509DD">
      <w:pPr>
        <w:jc w:val="both"/>
      </w:pPr>
      <w:r w:rsidRPr="00D6250E">
        <w:t xml:space="preserve">At the end of </w:t>
      </w:r>
      <w:proofErr w:type="gramStart"/>
      <w:r w:rsidRPr="00D6250E">
        <w:t>one year</w:t>
      </w:r>
      <w:proofErr w:type="gramEnd"/>
      <w:r w:rsidRPr="00D6250E">
        <w:t>, destructive sampling was carried out on randomly selected seedlings from each treatment. Seedling traits recorded included root length, shoot length, number of leaves, stem girth, and root volume, the latter determined by water displacement method. Leaf area was measured using a digital leaf area meter. Biomass was determined by harvesting shoots and roots separately and oven-drying them at 70°C until constant weight.</w:t>
      </w:r>
    </w:p>
    <w:p w14:paraId="2168E274" w14:textId="77777777" w:rsidR="00A509DD" w:rsidRPr="00D6250E" w:rsidRDefault="00A509DD" w:rsidP="00A509DD">
      <w:pPr>
        <w:jc w:val="both"/>
        <w:rPr>
          <w:b/>
          <w:bCs/>
        </w:rPr>
      </w:pPr>
      <w:r w:rsidRPr="00D6250E">
        <w:rPr>
          <w:b/>
          <w:bCs/>
        </w:rPr>
        <w:t>2.6 Statistical Analysis</w:t>
      </w:r>
    </w:p>
    <w:p w14:paraId="1479140C" w14:textId="0EA64851" w:rsidR="000E607B" w:rsidRPr="00D6250E" w:rsidRDefault="000E607B" w:rsidP="00A509DD">
      <w:pPr>
        <w:jc w:val="both"/>
      </w:pPr>
      <w:r w:rsidRPr="00D6250E">
        <w:t xml:space="preserve">Percentage data were arcsine-transformed </w:t>
      </w:r>
      <w:r w:rsidR="00D86979" w:rsidRPr="00D6250E">
        <w:t>when required</w:t>
      </w:r>
      <w:r w:rsidRPr="00D6250E">
        <w:t xml:space="preserve">. Treatment comparisons between control and AMF were carried out using independent samples </w:t>
      </w:r>
      <w:r w:rsidRPr="00D6250E">
        <w:rPr>
          <w:i/>
          <w:iCs/>
        </w:rPr>
        <w:t>t</w:t>
      </w:r>
      <w:r w:rsidRPr="00D6250E">
        <w:t xml:space="preserve">-tests with Levene’s test applied to verify equality of variances. All statistical analyses were performed using SPSS version 25.0. Significance was assessed at </w:t>
      </w:r>
      <w:r w:rsidRPr="00D6250E">
        <w:rPr>
          <w:i/>
          <w:iCs/>
        </w:rPr>
        <w:t>p</w:t>
      </w:r>
      <w:r w:rsidRPr="00D6250E">
        <w:t xml:space="preserve"> ≤ 0.05. In addition to significance testing, effect sizes were calculated as Cohen’s </w:t>
      </w:r>
      <w:r w:rsidRPr="00D6250E">
        <w:rPr>
          <w:i/>
          <w:iCs/>
        </w:rPr>
        <w:t>d</w:t>
      </w:r>
      <w:r w:rsidRPr="00D6250E">
        <w:t xml:space="preserve"> to evaluate the magnitude of AMF effects on germination and seedling growth parameters, providing a measure of biological relevance even when differences were not statistically significant.</w:t>
      </w:r>
    </w:p>
    <w:p w14:paraId="3FBF799E" w14:textId="46986059" w:rsidR="00DA65EE" w:rsidRPr="00D6250E" w:rsidRDefault="00AF7873" w:rsidP="00DA65EE">
      <w:pPr>
        <w:jc w:val="both"/>
        <w:rPr>
          <w:b/>
          <w:bCs/>
        </w:rPr>
      </w:pPr>
      <w:r w:rsidRPr="00D6250E">
        <w:rPr>
          <w:b/>
          <w:bCs/>
        </w:rPr>
        <w:t xml:space="preserve">3. </w:t>
      </w:r>
      <w:r w:rsidR="00DA65EE" w:rsidRPr="00D6250E">
        <w:rPr>
          <w:b/>
          <w:bCs/>
        </w:rPr>
        <w:t>Results</w:t>
      </w:r>
    </w:p>
    <w:p w14:paraId="2FA96A8E" w14:textId="718282E7" w:rsidR="00DA65EE" w:rsidRPr="00D6250E" w:rsidRDefault="00AF7873" w:rsidP="00DA65EE">
      <w:pPr>
        <w:jc w:val="both"/>
        <w:rPr>
          <w:b/>
          <w:bCs/>
        </w:rPr>
      </w:pPr>
      <w:r w:rsidRPr="00D6250E">
        <w:rPr>
          <w:b/>
          <w:bCs/>
        </w:rPr>
        <w:t xml:space="preserve">3.1. </w:t>
      </w:r>
      <w:r w:rsidR="00DA65EE" w:rsidRPr="00D6250E">
        <w:rPr>
          <w:b/>
          <w:bCs/>
        </w:rPr>
        <w:t>Germination Performance of Teak and Sandal under AMF and Control Treatments</w:t>
      </w:r>
    </w:p>
    <w:p w14:paraId="1169A05B" w14:textId="77777777" w:rsidR="00DA65EE" w:rsidRPr="00D6250E" w:rsidRDefault="00DA65EE" w:rsidP="00DA65EE">
      <w:pPr>
        <w:jc w:val="both"/>
      </w:pPr>
      <w:r w:rsidRPr="00D6250E">
        <w:t>The effect of arbuscular mycorrhizal fungi (AMF) consortia on teak (</w:t>
      </w:r>
      <w:r w:rsidRPr="00D6250E">
        <w:rPr>
          <w:i/>
          <w:iCs/>
        </w:rPr>
        <w:t>Tectona grandis</w:t>
      </w:r>
      <w:r w:rsidRPr="00D6250E">
        <w:t>) and sandal (</w:t>
      </w:r>
      <w:r w:rsidRPr="00D6250E">
        <w:rPr>
          <w:i/>
          <w:iCs/>
        </w:rPr>
        <w:t>Santalum album</w:t>
      </w:r>
      <w:r w:rsidRPr="00D6250E">
        <w:t xml:space="preserve">) seed germination was compared with non-inoculated controls. Across both species, none of the germination parameters showed statistically significant differences at </w:t>
      </w:r>
      <w:r w:rsidRPr="00D6250E">
        <w:rPr>
          <w:i/>
          <w:iCs/>
        </w:rPr>
        <w:t>p</w:t>
      </w:r>
      <w:r w:rsidRPr="00D6250E">
        <w:t xml:space="preserve"> ≤ 0.05. However, effect size analysis (Cohen’s </w:t>
      </w:r>
      <w:r w:rsidRPr="00D6250E">
        <w:rPr>
          <w:i/>
          <w:iCs/>
        </w:rPr>
        <w:t>d</w:t>
      </w:r>
      <w:r w:rsidRPr="00D6250E">
        <w:t>) indicated several biologically meaningful shifts in germination dynamics.</w:t>
      </w:r>
    </w:p>
    <w:p w14:paraId="1C398393" w14:textId="5EE7F481" w:rsidR="00DA65EE" w:rsidRPr="00D6250E" w:rsidRDefault="00DA65EE" w:rsidP="00DA65EE">
      <w:pPr>
        <w:jc w:val="both"/>
      </w:pPr>
      <w:r w:rsidRPr="00D6250E">
        <w:t>In teak, the final germination percentage (G%) was slightly higher in AMF-treated seeds (0.549) compared to control (0.526), although the difference was not significant (</w:t>
      </w:r>
      <w:r w:rsidRPr="00D6250E">
        <w:rPr>
          <w:i/>
          <w:iCs/>
        </w:rPr>
        <w:t>p</w:t>
      </w:r>
      <w:r w:rsidRPr="00D6250E">
        <w:t xml:space="preserve"> = 0.42). The effect size was moderate (d = 0.41), suggesting a small positive influence of AMF. Mean germination time (MGT) increased under AMF (14.68 days) relative to control (14.34 days), indicating slower emergence despite similar final germination percentages. The effect size for this trait was also moderate (d = 0.47). By contrast, mean germination rate (MGR) and coefficient of velocity of germination (CVG) were lower under AMF, with moderate negative effect sizes (d = –0.46 and –0.50, respectively). These results suggest that teak germination under AMF was slightly delayed and less synchronous compared to control. A complete summary of teak germination parameters, along with </w:t>
      </w:r>
      <w:r w:rsidRPr="00D6250E">
        <w:rPr>
          <w:i/>
          <w:iCs/>
        </w:rPr>
        <w:t>t</w:t>
      </w:r>
      <w:r w:rsidRPr="00D6250E">
        <w:t xml:space="preserve">-test statistics and effect sizes, is presented in </w:t>
      </w:r>
      <w:r w:rsidRPr="00477A42">
        <w:t>Table</w:t>
      </w:r>
      <w:r w:rsidRPr="00D6250E">
        <w:rPr>
          <w:b/>
          <w:bCs/>
        </w:rPr>
        <w:t xml:space="preserve"> 1</w:t>
      </w:r>
      <w:r w:rsidRPr="00D6250E">
        <w:t xml:space="preserve">. The relative magnitude and direction of AMF effects are further illustrated in </w:t>
      </w:r>
      <w:r w:rsidRPr="00477A42">
        <w:t>Figure</w:t>
      </w:r>
      <w:r w:rsidRPr="00D6250E">
        <w:rPr>
          <w:b/>
          <w:bCs/>
        </w:rPr>
        <w:t xml:space="preserve"> 1</w:t>
      </w:r>
      <w:r w:rsidRPr="00D6250E">
        <w:t xml:space="preserve">, where effect sizes (Cohen’s </w:t>
      </w:r>
      <w:r w:rsidRPr="00D6250E">
        <w:rPr>
          <w:i/>
          <w:iCs/>
        </w:rPr>
        <w:t>d</w:t>
      </w:r>
      <w:r w:rsidRPr="00D6250E">
        <w:t xml:space="preserve"> with 95% CI) are displayed for all germination traits.</w:t>
      </w:r>
    </w:p>
    <w:p w14:paraId="0C8B20D8" w14:textId="4AA3A6EE" w:rsidR="00DB0E5C" w:rsidRPr="00D6250E" w:rsidRDefault="00DB0E5C" w:rsidP="00DB0E5C">
      <w:pPr>
        <w:jc w:val="both"/>
      </w:pPr>
      <w:r w:rsidRPr="00D6250E">
        <w:t>Table 1. Germination parameters of teak (</w:t>
      </w:r>
      <w:r w:rsidRPr="00D6250E">
        <w:rPr>
          <w:i/>
          <w:iCs/>
        </w:rPr>
        <w:t>Tectona grandis</w:t>
      </w:r>
      <w:r w:rsidRPr="00D6250E">
        <w:t>) under control and AMF treatments.</w:t>
      </w:r>
    </w:p>
    <w:tbl>
      <w:tblPr>
        <w:tblStyle w:val="TableGrid"/>
        <w:tblW w:w="0" w:type="auto"/>
        <w:jc w:val="center"/>
        <w:tblLook w:val="04A0" w:firstRow="1" w:lastRow="0" w:firstColumn="1" w:lastColumn="0" w:noHBand="0" w:noVBand="1"/>
      </w:tblPr>
      <w:tblGrid>
        <w:gridCol w:w="1969"/>
        <w:gridCol w:w="1012"/>
        <w:gridCol w:w="756"/>
        <w:gridCol w:w="963"/>
        <w:gridCol w:w="1228"/>
      </w:tblGrid>
      <w:tr w:rsidR="00DB0E5C" w:rsidRPr="00D6250E" w14:paraId="59FC8247" w14:textId="77777777" w:rsidTr="00AB0D73">
        <w:trPr>
          <w:jc w:val="center"/>
        </w:trPr>
        <w:tc>
          <w:tcPr>
            <w:tcW w:w="0" w:type="auto"/>
            <w:hideMark/>
          </w:tcPr>
          <w:p w14:paraId="5077AAFA" w14:textId="77777777" w:rsidR="00DB0E5C" w:rsidRPr="00D6250E" w:rsidRDefault="00DB0E5C" w:rsidP="00AB0D73">
            <w:pPr>
              <w:spacing w:after="160" w:line="259" w:lineRule="auto"/>
              <w:jc w:val="both"/>
              <w:rPr>
                <w:b/>
                <w:bCs/>
              </w:rPr>
            </w:pPr>
            <w:r w:rsidRPr="00D6250E">
              <w:rPr>
                <w:b/>
                <w:bCs/>
              </w:rPr>
              <w:t>Parameter</w:t>
            </w:r>
          </w:p>
        </w:tc>
        <w:tc>
          <w:tcPr>
            <w:tcW w:w="0" w:type="auto"/>
            <w:hideMark/>
          </w:tcPr>
          <w:p w14:paraId="19E70E9E" w14:textId="28A093A7" w:rsidR="00DB0E5C" w:rsidRPr="00D6250E" w:rsidRDefault="00DB0E5C" w:rsidP="00AB0D73">
            <w:pPr>
              <w:spacing w:after="160" w:line="259" w:lineRule="auto"/>
              <w:jc w:val="both"/>
              <w:rPr>
                <w:b/>
                <w:bCs/>
              </w:rPr>
            </w:pPr>
            <w:r w:rsidRPr="00D6250E">
              <w:rPr>
                <w:b/>
                <w:bCs/>
              </w:rPr>
              <w:t xml:space="preserve">Control </w:t>
            </w:r>
          </w:p>
        </w:tc>
        <w:tc>
          <w:tcPr>
            <w:tcW w:w="0" w:type="auto"/>
            <w:hideMark/>
          </w:tcPr>
          <w:p w14:paraId="5028760D" w14:textId="334D24BE" w:rsidR="00DB0E5C" w:rsidRPr="00D6250E" w:rsidRDefault="00DB0E5C" w:rsidP="00AB0D73">
            <w:pPr>
              <w:spacing w:after="160" w:line="259" w:lineRule="auto"/>
              <w:jc w:val="both"/>
              <w:rPr>
                <w:b/>
                <w:bCs/>
              </w:rPr>
            </w:pPr>
            <w:r w:rsidRPr="00D6250E">
              <w:rPr>
                <w:b/>
                <w:bCs/>
              </w:rPr>
              <w:t xml:space="preserve">AMF </w:t>
            </w:r>
          </w:p>
        </w:tc>
        <w:tc>
          <w:tcPr>
            <w:tcW w:w="0" w:type="auto"/>
            <w:hideMark/>
          </w:tcPr>
          <w:p w14:paraId="7976B5F3" w14:textId="77777777" w:rsidR="00DB0E5C" w:rsidRPr="00D6250E" w:rsidRDefault="00DB0E5C" w:rsidP="00AB0D73">
            <w:pPr>
              <w:spacing w:after="160" w:line="259" w:lineRule="auto"/>
              <w:jc w:val="both"/>
              <w:rPr>
                <w:b/>
                <w:bCs/>
              </w:rPr>
            </w:pPr>
            <w:r w:rsidRPr="00D6250E">
              <w:rPr>
                <w:b/>
                <w:bCs/>
                <w:i/>
                <w:iCs/>
              </w:rPr>
              <w:t>p</w:t>
            </w:r>
            <w:r w:rsidRPr="00D6250E">
              <w:rPr>
                <w:b/>
                <w:bCs/>
              </w:rPr>
              <w:t>-value</w:t>
            </w:r>
          </w:p>
        </w:tc>
        <w:tc>
          <w:tcPr>
            <w:tcW w:w="0" w:type="auto"/>
            <w:hideMark/>
          </w:tcPr>
          <w:p w14:paraId="5C483A96" w14:textId="77777777" w:rsidR="00DB0E5C" w:rsidRPr="00D6250E" w:rsidRDefault="00DB0E5C" w:rsidP="00AB0D73">
            <w:pPr>
              <w:spacing w:after="160" w:line="259" w:lineRule="auto"/>
              <w:jc w:val="both"/>
              <w:rPr>
                <w:b/>
                <w:bCs/>
              </w:rPr>
            </w:pPr>
            <w:r w:rsidRPr="00D6250E">
              <w:rPr>
                <w:b/>
                <w:bCs/>
              </w:rPr>
              <w:t xml:space="preserve">Cohen’s </w:t>
            </w:r>
            <w:r w:rsidRPr="00D6250E">
              <w:rPr>
                <w:b/>
                <w:bCs/>
                <w:i/>
                <w:iCs/>
              </w:rPr>
              <w:t>d</w:t>
            </w:r>
          </w:p>
        </w:tc>
      </w:tr>
      <w:tr w:rsidR="00DB0E5C" w:rsidRPr="00D6250E" w14:paraId="5A06AA78" w14:textId="77777777" w:rsidTr="00AB0D73">
        <w:trPr>
          <w:jc w:val="center"/>
        </w:trPr>
        <w:tc>
          <w:tcPr>
            <w:tcW w:w="0" w:type="auto"/>
            <w:hideMark/>
          </w:tcPr>
          <w:p w14:paraId="471ECC50" w14:textId="77777777" w:rsidR="00DB0E5C" w:rsidRPr="00D6250E" w:rsidRDefault="00DB0E5C" w:rsidP="00AB0D73">
            <w:pPr>
              <w:spacing w:after="160" w:line="259" w:lineRule="auto"/>
              <w:jc w:val="both"/>
            </w:pPr>
            <w:r w:rsidRPr="00D6250E">
              <w:t>G% (transformed)</w:t>
            </w:r>
          </w:p>
        </w:tc>
        <w:tc>
          <w:tcPr>
            <w:tcW w:w="0" w:type="auto"/>
            <w:hideMark/>
          </w:tcPr>
          <w:p w14:paraId="0390EFD5" w14:textId="77777777" w:rsidR="00DB0E5C" w:rsidRPr="00D6250E" w:rsidRDefault="00DB0E5C" w:rsidP="00AB0D73">
            <w:pPr>
              <w:spacing w:after="160" w:line="259" w:lineRule="auto"/>
              <w:jc w:val="both"/>
            </w:pPr>
            <w:r w:rsidRPr="00D6250E">
              <w:t>0.526</w:t>
            </w:r>
          </w:p>
        </w:tc>
        <w:tc>
          <w:tcPr>
            <w:tcW w:w="0" w:type="auto"/>
            <w:hideMark/>
          </w:tcPr>
          <w:p w14:paraId="6A4D7EE4" w14:textId="77777777" w:rsidR="00DB0E5C" w:rsidRPr="00D6250E" w:rsidRDefault="00DB0E5C" w:rsidP="00AB0D73">
            <w:pPr>
              <w:spacing w:after="160" w:line="259" w:lineRule="auto"/>
              <w:jc w:val="both"/>
            </w:pPr>
            <w:r w:rsidRPr="00D6250E">
              <w:t>0.549</w:t>
            </w:r>
          </w:p>
        </w:tc>
        <w:tc>
          <w:tcPr>
            <w:tcW w:w="0" w:type="auto"/>
            <w:hideMark/>
          </w:tcPr>
          <w:p w14:paraId="26F299CD" w14:textId="77777777" w:rsidR="00DB0E5C" w:rsidRPr="00D6250E" w:rsidRDefault="00DB0E5C" w:rsidP="00AB0D73">
            <w:pPr>
              <w:spacing w:after="160" w:line="259" w:lineRule="auto"/>
              <w:jc w:val="both"/>
            </w:pPr>
            <w:r w:rsidRPr="00D6250E">
              <w:t>0.422</w:t>
            </w:r>
          </w:p>
        </w:tc>
        <w:tc>
          <w:tcPr>
            <w:tcW w:w="0" w:type="auto"/>
            <w:hideMark/>
          </w:tcPr>
          <w:p w14:paraId="448FC1B2" w14:textId="77777777" w:rsidR="00DB0E5C" w:rsidRPr="00D6250E" w:rsidRDefault="00DB0E5C" w:rsidP="00AB0D73">
            <w:pPr>
              <w:spacing w:after="160" w:line="259" w:lineRule="auto"/>
              <w:jc w:val="both"/>
            </w:pPr>
            <w:r w:rsidRPr="00D6250E">
              <w:t>0.412</w:t>
            </w:r>
          </w:p>
        </w:tc>
      </w:tr>
      <w:tr w:rsidR="00DB0E5C" w:rsidRPr="00D6250E" w14:paraId="7D65C31E" w14:textId="77777777" w:rsidTr="00AB0D73">
        <w:trPr>
          <w:jc w:val="center"/>
        </w:trPr>
        <w:tc>
          <w:tcPr>
            <w:tcW w:w="0" w:type="auto"/>
            <w:hideMark/>
          </w:tcPr>
          <w:p w14:paraId="4CC6B182" w14:textId="77777777" w:rsidR="00DB0E5C" w:rsidRPr="00D6250E" w:rsidRDefault="00DB0E5C" w:rsidP="00AB0D73">
            <w:pPr>
              <w:spacing w:after="160" w:line="259" w:lineRule="auto"/>
              <w:jc w:val="both"/>
            </w:pPr>
            <w:r w:rsidRPr="00D6250E">
              <w:t>MGT (days)</w:t>
            </w:r>
          </w:p>
        </w:tc>
        <w:tc>
          <w:tcPr>
            <w:tcW w:w="0" w:type="auto"/>
            <w:hideMark/>
          </w:tcPr>
          <w:p w14:paraId="7D94A1FD" w14:textId="77777777" w:rsidR="00DB0E5C" w:rsidRPr="00D6250E" w:rsidRDefault="00DB0E5C" w:rsidP="00AB0D73">
            <w:pPr>
              <w:spacing w:after="160" w:line="259" w:lineRule="auto"/>
              <w:jc w:val="both"/>
            </w:pPr>
            <w:r w:rsidRPr="00D6250E">
              <w:t>14.34</w:t>
            </w:r>
          </w:p>
        </w:tc>
        <w:tc>
          <w:tcPr>
            <w:tcW w:w="0" w:type="auto"/>
            <w:hideMark/>
          </w:tcPr>
          <w:p w14:paraId="4A1757FA" w14:textId="77777777" w:rsidR="00DB0E5C" w:rsidRPr="00D6250E" w:rsidRDefault="00DB0E5C" w:rsidP="00AB0D73">
            <w:pPr>
              <w:spacing w:after="160" w:line="259" w:lineRule="auto"/>
              <w:jc w:val="both"/>
            </w:pPr>
            <w:r w:rsidRPr="00D6250E">
              <w:t>14.68</w:t>
            </w:r>
          </w:p>
        </w:tc>
        <w:tc>
          <w:tcPr>
            <w:tcW w:w="0" w:type="auto"/>
            <w:hideMark/>
          </w:tcPr>
          <w:p w14:paraId="456B3D9A" w14:textId="77777777" w:rsidR="00DB0E5C" w:rsidRPr="00D6250E" w:rsidRDefault="00DB0E5C" w:rsidP="00AB0D73">
            <w:pPr>
              <w:spacing w:after="160" w:line="259" w:lineRule="auto"/>
              <w:jc w:val="both"/>
            </w:pPr>
            <w:r w:rsidRPr="00D6250E">
              <w:t>0.357</w:t>
            </w:r>
          </w:p>
        </w:tc>
        <w:tc>
          <w:tcPr>
            <w:tcW w:w="0" w:type="auto"/>
            <w:hideMark/>
          </w:tcPr>
          <w:p w14:paraId="7A6E8809" w14:textId="77777777" w:rsidR="00DB0E5C" w:rsidRPr="00D6250E" w:rsidRDefault="00DB0E5C" w:rsidP="00AB0D73">
            <w:pPr>
              <w:spacing w:after="160" w:line="259" w:lineRule="auto"/>
              <w:jc w:val="both"/>
            </w:pPr>
            <w:r w:rsidRPr="00D6250E">
              <w:t>0.474</w:t>
            </w:r>
          </w:p>
        </w:tc>
      </w:tr>
      <w:tr w:rsidR="00DB0E5C" w:rsidRPr="00D6250E" w14:paraId="6E78B626" w14:textId="77777777" w:rsidTr="00AB0D73">
        <w:trPr>
          <w:jc w:val="center"/>
        </w:trPr>
        <w:tc>
          <w:tcPr>
            <w:tcW w:w="0" w:type="auto"/>
            <w:hideMark/>
          </w:tcPr>
          <w:p w14:paraId="43FB4DDC" w14:textId="77777777" w:rsidR="00DB0E5C" w:rsidRPr="00D6250E" w:rsidRDefault="00DB0E5C" w:rsidP="00AB0D73">
            <w:pPr>
              <w:spacing w:after="160" w:line="259" w:lineRule="auto"/>
              <w:jc w:val="both"/>
            </w:pPr>
            <w:r w:rsidRPr="00D6250E">
              <w:t>MGR</w:t>
            </w:r>
          </w:p>
        </w:tc>
        <w:tc>
          <w:tcPr>
            <w:tcW w:w="0" w:type="auto"/>
            <w:hideMark/>
          </w:tcPr>
          <w:p w14:paraId="1AE6C36C" w14:textId="77777777" w:rsidR="00DB0E5C" w:rsidRPr="00D6250E" w:rsidRDefault="00DB0E5C" w:rsidP="00AB0D73">
            <w:pPr>
              <w:spacing w:after="160" w:line="259" w:lineRule="auto"/>
              <w:jc w:val="both"/>
            </w:pPr>
            <w:r w:rsidRPr="00D6250E">
              <w:t>0.070</w:t>
            </w:r>
          </w:p>
        </w:tc>
        <w:tc>
          <w:tcPr>
            <w:tcW w:w="0" w:type="auto"/>
            <w:hideMark/>
          </w:tcPr>
          <w:p w14:paraId="21E3B930" w14:textId="77777777" w:rsidR="00DB0E5C" w:rsidRPr="00D6250E" w:rsidRDefault="00DB0E5C" w:rsidP="00AB0D73">
            <w:pPr>
              <w:spacing w:after="160" w:line="259" w:lineRule="auto"/>
              <w:jc w:val="both"/>
            </w:pPr>
            <w:r w:rsidRPr="00D6250E">
              <w:t>0.068</w:t>
            </w:r>
          </w:p>
        </w:tc>
        <w:tc>
          <w:tcPr>
            <w:tcW w:w="0" w:type="auto"/>
            <w:hideMark/>
          </w:tcPr>
          <w:p w14:paraId="2A99D58A" w14:textId="77777777" w:rsidR="00DB0E5C" w:rsidRPr="00D6250E" w:rsidRDefault="00DB0E5C" w:rsidP="00AB0D73">
            <w:pPr>
              <w:spacing w:after="160" w:line="259" w:lineRule="auto"/>
              <w:jc w:val="both"/>
            </w:pPr>
            <w:r w:rsidRPr="00D6250E">
              <w:t>0.367</w:t>
            </w:r>
          </w:p>
        </w:tc>
        <w:tc>
          <w:tcPr>
            <w:tcW w:w="0" w:type="auto"/>
            <w:hideMark/>
          </w:tcPr>
          <w:p w14:paraId="5E5142B3" w14:textId="77777777" w:rsidR="00DB0E5C" w:rsidRPr="00D6250E" w:rsidRDefault="00DB0E5C" w:rsidP="00AB0D73">
            <w:pPr>
              <w:spacing w:after="160" w:line="259" w:lineRule="auto"/>
              <w:jc w:val="both"/>
            </w:pPr>
            <w:r w:rsidRPr="00D6250E">
              <w:t>–0.464</w:t>
            </w:r>
          </w:p>
        </w:tc>
      </w:tr>
      <w:tr w:rsidR="00DB0E5C" w:rsidRPr="00D6250E" w14:paraId="7A15A51B" w14:textId="77777777" w:rsidTr="00AB0D73">
        <w:trPr>
          <w:jc w:val="center"/>
        </w:trPr>
        <w:tc>
          <w:tcPr>
            <w:tcW w:w="0" w:type="auto"/>
            <w:hideMark/>
          </w:tcPr>
          <w:p w14:paraId="27F0C9F1" w14:textId="77777777" w:rsidR="00DB0E5C" w:rsidRPr="00D6250E" w:rsidRDefault="00DB0E5C" w:rsidP="00AB0D73">
            <w:pPr>
              <w:spacing w:after="160" w:line="259" w:lineRule="auto"/>
              <w:jc w:val="both"/>
            </w:pPr>
            <w:proofErr w:type="spellStart"/>
            <w:r w:rsidRPr="00D6250E">
              <w:t>CVt</w:t>
            </w:r>
            <w:proofErr w:type="spellEnd"/>
          </w:p>
        </w:tc>
        <w:tc>
          <w:tcPr>
            <w:tcW w:w="0" w:type="auto"/>
            <w:hideMark/>
          </w:tcPr>
          <w:p w14:paraId="5B7FD906" w14:textId="77777777" w:rsidR="00DB0E5C" w:rsidRPr="00D6250E" w:rsidRDefault="00DB0E5C" w:rsidP="00AB0D73">
            <w:pPr>
              <w:spacing w:after="160" w:line="259" w:lineRule="auto"/>
              <w:jc w:val="both"/>
            </w:pPr>
            <w:r w:rsidRPr="00D6250E">
              <w:t>24.40</w:t>
            </w:r>
          </w:p>
        </w:tc>
        <w:tc>
          <w:tcPr>
            <w:tcW w:w="0" w:type="auto"/>
            <w:hideMark/>
          </w:tcPr>
          <w:p w14:paraId="52B5970A" w14:textId="77777777" w:rsidR="00DB0E5C" w:rsidRPr="00D6250E" w:rsidRDefault="00DB0E5C" w:rsidP="00AB0D73">
            <w:pPr>
              <w:spacing w:after="160" w:line="259" w:lineRule="auto"/>
              <w:jc w:val="both"/>
            </w:pPr>
            <w:r w:rsidRPr="00D6250E">
              <w:t>26.19</w:t>
            </w:r>
          </w:p>
        </w:tc>
        <w:tc>
          <w:tcPr>
            <w:tcW w:w="0" w:type="auto"/>
            <w:hideMark/>
          </w:tcPr>
          <w:p w14:paraId="3E9369D9" w14:textId="77777777" w:rsidR="00DB0E5C" w:rsidRPr="00D6250E" w:rsidRDefault="00DB0E5C" w:rsidP="00AB0D73">
            <w:pPr>
              <w:spacing w:after="160" w:line="259" w:lineRule="auto"/>
              <w:jc w:val="both"/>
            </w:pPr>
            <w:r w:rsidRPr="00D6250E">
              <w:t>0.674</w:t>
            </w:r>
          </w:p>
        </w:tc>
        <w:tc>
          <w:tcPr>
            <w:tcW w:w="0" w:type="auto"/>
            <w:hideMark/>
          </w:tcPr>
          <w:p w14:paraId="039EB1BF" w14:textId="77777777" w:rsidR="00DB0E5C" w:rsidRPr="00D6250E" w:rsidRDefault="00DB0E5C" w:rsidP="00AB0D73">
            <w:pPr>
              <w:spacing w:after="160" w:line="259" w:lineRule="auto"/>
              <w:jc w:val="both"/>
            </w:pPr>
            <w:r w:rsidRPr="00D6250E">
              <w:t>0.214</w:t>
            </w:r>
          </w:p>
        </w:tc>
      </w:tr>
      <w:tr w:rsidR="00DB0E5C" w:rsidRPr="00D6250E" w14:paraId="74C29C68" w14:textId="77777777" w:rsidTr="00AB0D73">
        <w:trPr>
          <w:jc w:val="center"/>
        </w:trPr>
        <w:tc>
          <w:tcPr>
            <w:tcW w:w="0" w:type="auto"/>
            <w:hideMark/>
          </w:tcPr>
          <w:p w14:paraId="2B6BE9E8" w14:textId="77777777" w:rsidR="00DB0E5C" w:rsidRPr="00D6250E" w:rsidRDefault="00DB0E5C" w:rsidP="00AB0D73">
            <w:pPr>
              <w:spacing w:after="160" w:line="259" w:lineRule="auto"/>
              <w:jc w:val="both"/>
            </w:pPr>
            <w:r w:rsidRPr="00D6250E">
              <w:t>CVG</w:t>
            </w:r>
          </w:p>
        </w:tc>
        <w:tc>
          <w:tcPr>
            <w:tcW w:w="0" w:type="auto"/>
            <w:hideMark/>
          </w:tcPr>
          <w:p w14:paraId="65F92EBD" w14:textId="77777777" w:rsidR="00DB0E5C" w:rsidRPr="00D6250E" w:rsidRDefault="00DB0E5C" w:rsidP="00AB0D73">
            <w:pPr>
              <w:spacing w:after="160" w:line="259" w:lineRule="auto"/>
              <w:jc w:val="both"/>
            </w:pPr>
            <w:r w:rsidRPr="00D6250E">
              <w:t>6.99</w:t>
            </w:r>
          </w:p>
        </w:tc>
        <w:tc>
          <w:tcPr>
            <w:tcW w:w="0" w:type="auto"/>
            <w:hideMark/>
          </w:tcPr>
          <w:p w14:paraId="2382F11D" w14:textId="77777777" w:rsidR="00DB0E5C" w:rsidRPr="00D6250E" w:rsidRDefault="00DB0E5C" w:rsidP="00AB0D73">
            <w:pPr>
              <w:spacing w:after="160" w:line="259" w:lineRule="auto"/>
              <w:jc w:val="both"/>
            </w:pPr>
            <w:r w:rsidRPr="00D6250E">
              <w:t>6.82</w:t>
            </w:r>
          </w:p>
        </w:tc>
        <w:tc>
          <w:tcPr>
            <w:tcW w:w="0" w:type="auto"/>
            <w:hideMark/>
          </w:tcPr>
          <w:p w14:paraId="55F38C0D" w14:textId="77777777" w:rsidR="00DB0E5C" w:rsidRPr="00D6250E" w:rsidRDefault="00DB0E5C" w:rsidP="00AB0D73">
            <w:pPr>
              <w:spacing w:after="160" w:line="259" w:lineRule="auto"/>
              <w:jc w:val="both"/>
            </w:pPr>
            <w:r w:rsidRPr="00D6250E">
              <w:t>0.332</w:t>
            </w:r>
          </w:p>
        </w:tc>
        <w:tc>
          <w:tcPr>
            <w:tcW w:w="0" w:type="auto"/>
            <w:hideMark/>
          </w:tcPr>
          <w:p w14:paraId="63D4C626" w14:textId="77777777" w:rsidR="00DB0E5C" w:rsidRPr="00D6250E" w:rsidRDefault="00DB0E5C" w:rsidP="00AB0D73">
            <w:pPr>
              <w:spacing w:after="160" w:line="259" w:lineRule="auto"/>
              <w:jc w:val="both"/>
            </w:pPr>
            <w:r w:rsidRPr="00D6250E">
              <w:t>–0.500</w:t>
            </w:r>
          </w:p>
        </w:tc>
      </w:tr>
      <w:tr w:rsidR="00DB0E5C" w:rsidRPr="00D6250E" w14:paraId="64252E6E" w14:textId="77777777" w:rsidTr="00AB0D73">
        <w:trPr>
          <w:jc w:val="center"/>
        </w:trPr>
        <w:tc>
          <w:tcPr>
            <w:tcW w:w="0" w:type="auto"/>
            <w:hideMark/>
          </w:tcPr>
          <w:p w14:paraId="68F7449B" w14:textId="77777777" w:rsidR="00DB0E5C" w:rsidRPr="00D6250E" w:rsidRDefault="00DB0E5C" w:rsidP="00AB0D73">
            <w:pPr>
              <w:spacing w:after="160" w:line="259" w:lineRule="auto"/>
              <w:jc w:val="both"/>
            </w:pPr>
            <w:r w:rsidRPr="00D6250E">
              <w:t>GI</w:t>
            </w:r>
          </w:p>
        </w:tc>
        <w:tc>
          <w:tcPr>
            <w:tcW w:w="0" w:type="auto"/>
            <w:hideMark/>
          </w:tcPr>
          <w:p w14:paraId="710FCDD7" w14:textId="77777777" w:rsidR="00DB0E5C" w:rsidRPr="00D6250E" w:rsidRDefault="00DB0E5C" w:rsidP="00AB0D73">
            <w:pPr>
              <w:spacing w:after="160" w:line="259" w:lineRule="auto"/>
              <w:jc w:val="both"/>
            </w:pPr>
            <w:r w:rsidRPr="00D6250E">
              <w:t>0.469</w:t>
            </w:r>
          </w:p>
        </w:tc>
        <w:tc>
          <w:tcPr>
            <w:tcW w:w="0" w:type="auto"/>
            <w:hideMark/>
          </w:tcPr>
          <w:p w14:paraId="0658A1A7" w14:textId="77777777" w:rsidR="00DB0E5C" w:rsidRPr="00D6250E" w:rsidRDefault="00DB0E5C" w:rsidP="00AB0D73">
            <w:pPr>
              <w:spacing w:after="160" w:line="259" w:lineRule="auto"/>
              <w:jc w:val="both"/>
            </w:pPr>
            <w:r w:rsidRPr="00D6250E">
              <w:t>0.498</w:t>
            </w:r>
          </w:p>
        </w:tc>
        <w:tc>
          <w:tcPr>
            <w:tcW w:w="0" w:type="auto"/>
            <w:hideMark/>
          </w:tcPr>
          <w:p w14:paraId="19D9637F" w14:textId="77777777" w:rsidR="00DB0E5C" w:rsidRPr="00D6250E" w:rsidRDefault="00DB0E5C" w:rsidP="00AB0D73">
            <w:pPr>
              <w:spacing w:after="160" w:line="259" w:lineRule="auto"/>
              <w:jc w:val="both"/>
            </w:pPr>
            <w:r w:rsidRPr="00D6250E">
              <w:t>0.548</w:t>
            </w:r>
          </w:p>
        </w:tc>
        <w:tc>
          <w:tcPr>
            <w:tcW w:w="0" w:type="auto"/>
            <w:hideMark/>
          </w:tcPr>
          <w:p w14:paraId="54BCA57A" w14:textId="77777777" w:rsidR="00DB0E5C" w:rsidRPr="00D6250E" w:rsidRDefault="00DB0E5C" w:rsidP="00AB0D73">
            <w:pPr>
              <w:spacing w:after="160" w:line="259" w:lineRule="auto"/>
              <w:jc w:val="both"/>
            </w:pPr>
            <w:r w:rsidRPr="00D6250E">
              <w:t>0.307</w:t>
            </w:r>
          </w:p>
        </w:tc>
      </w:tr>
      <w:tr w:rsidR="00DB0E5C" w:rsidRPr="00D6250E" w14:paraId="6BFEDF13" w14:textId="77777777" w:rsidTr="00AB0D73">
        <w:trPr>
          <w:jc w:val="center"/>
        </w:trPr>
        <w:tc>
          <w:tcPr>
            <w:tcW w:w="0" w:type="auto"/>
            <w:hideMark/>
          </w:tcPr>
          <w:p w14:paraId="01732E7F" w14:textId="6F23DC47" w:rsidR="00DB0E5C" w:rsidRPr="00D6250E" w:rsidRDefault="00DB0E5C" w:rsidP="00AB0D73">
            <w:pPr>
              <w:spacing w:after="160" w:line="259" w:lineRule="auto"/>
              <w:jc w:val="both"/>
            </w:pPr>
            <w:r w:rsidRPr="00D6250E">
              <w:lastRenderedPageBreak/>
              <w:t>T</w:t>
            </w:r>
            <w:r w:rsidR="00155562" w:rsidRPr="00155562">
              <w:rPr>
                <w:vertAlign w:val="subscript"/>
              </w:rPr>
              <w:t>10</w:t>
            </w:r>
            <w:r w:rsidRPr="00D6250E">
              <w:t xml:space="preserve"> (days)</w:t>
            </w:r>
          </w:p>
        </w:tc>
        <w:tc>
          <w:tcPr>
            <w:tcW w:w="0" w:type="auto"/>
            <w:hideMark/>
          </w:tcPr>
          <w:p w14:paraId="3ACB6D44" w14:textId="77777777" w:rsidR="00DB0E5C" w:rsidRPr="00D6250E" w:rsidRDefault="00DB0E5C" w:rsidP="00AB0D73">
            <w:pPr>
              <w:spacing w:after="160" w:line="259" w:lineRule="auto"/>
              <w:jc w:val="both"/>
            </w:pPr>
            <w:r w:rsidRPr="00D6250E">
              <w:t>9.09</w:t>
            </w:r>
          </w:p>
        </w:tc>
        <w:tc>
          <w:tcPr>
            <w:tcW w:w="0" w:type="auto"/>
            <w:hideMark/>
          </w:tcPr>
          <w:p w14:paraId="292BAD36" w14:textId="77777777" w:rsidR="00DB0E5C" w:rsidRPr="00D6250E" w:rsidRDefault="00DB0E5C" w:rsidP="00AB0D73">
            <w:pPr>
              <w:spacing w:after="160" w:line="259" w:lineRule="auto"/>
              <w:jc w:val="both"/>
            </w:pPr>
            <w:r w:rsidRPr="00D6250E">
              <w:t>8.78</w:t>
            </w:r>
          </w:p>
        </w:tc>
        <w:tc>
          <w:tcPr>
            <w:tcW w:w="0" w:type="auto"/>
            <w:hideMark/>
          </w:tcPr>
          <w:p w14:paraId="2FBDBC1F" w14:textId="77777777" w:rsidR="00DB0E5C" w:rsidRPr="00D6250E" w:rsidRDefault="00DB0E5C" w:rsidP="00AB0D73">
            <w:pPr>
              <w:spacing w:after="160" w:line="259" w:lineRule="auto"/>
              <w:jc w:val="both"/>
            </w:pPr>
            <w:r w:rsidRPr="00D6250E">
              <w:t>0.431</w:t>
            </w:r>
          </w:p>
        </w:tc>
        <w:tc>
          <w:tcPr>
            <w:tcW w:w="0" w:type="auto"/>
            <w:hideMark/>
          </w:tcPr>
          <w:p w14:paraId="5A4A35CD" w14:textId="77777777" w:rsidR="00DB0E5C" w:rsidRPr="00D6250E" w:rsidRDefault="00DB0E5C" w:rsidP="00AB0D73">
            <w:pPr>
              <w:spacing w:after="160" w:line="259" w:lineRule="auto"/>
              <w:jc w:val="both"/>
            </w:pPr>
            <w:r w:rsidRPr="00D6250E">
              <w:t>–0.293</w:t>
            </w:r>
          </w:p>
        </w:tc>
      </w:tr>
      <w:tr w:rsidR="00DB0E5C" w:rsidRPr="00D6250E" w14:paraId="71C3285A" w14:textId="77777777" w:rsidTr="00AB0D73">
        <w:trPr>
          <w:jc w:val="center"/>
        </w:trPr>
        <w:tc>
          <w:tcPr>
            <w:tcW w:w="0" w:type="auto"/>
            <w:hideMark/>
          </w:tcPr>
          <w:p w14:paraId="2BC0C16F" w14:textId="77777777" w:rsidR="00DB0E5C" w:rsidRPr="00D6250E" w:rsidRDefault="00DB0E5C" w:rsidP="00AB0D73">
            <w:pPr>
              <w:spacing w:after="160" w:line="259" w:lineRule="auto"/>
              <w:jc w:val="both"/>
            </w:pPr>
            <w:r w:rsidRPr="00D6250E">
              <w:t>MDG</w:t>
            </w:r>
          </w:p>
        </w:tc>
        <w:tc>
          <w:tcPr>
            <w:tcW w:w="0" w:type="auto"/>
            <w:hideMark/>
          </w:tcPr>
          <w:p w14:paraId="1CC97799" w14:textId="77777777" w:rsidR="00DB0E5C" w:rsidRPr="00D6250E" w:rsidRDefault="00DB0E5C" w:rsidP="00AB0D73">
            <w:pPr>
              <w:spacing w:after="160" w:line="259" w:lineRule="auto"/>
              <w:jc w:val="both"/>
            </w:pPr>
            <w:r w:rsidRPr="00D6250E">
              <w:t>0.844</w:t>
            </w:r>
          </w:p>
        </w:tc>
        <w:tc>
          <w:tcPr>
            <w:tcW w:w="0" w:type="auto"/>
            <w:hideMark/>
          </w:tcPr>
          <w:p w14:paraId="77FDEBDD" w14:textId="77777777" w:rsidR="00DB0E5C" w:rsidRPr="00D6250E" w:rsidRDefault="00DB0E5C" w:rsidP="00AB0D73">
            <w:pPr>
              <w:spacing w:after="160" w:line="259" w:lineRule="auto"/>
              <w:jc w:val="both"/>
            </w:pPr>
            <w:r w:rsidRPr="00D6250E">
              <w:t>0.912</w:t>
            </w:r>
          </w:p>
        </w:tc>
        <w:tc>
          <w:tcPr>
            <w:tcW w:w="0" w:type="auto"/>
            <w:hideMark/>
          </w:tcPr>
          <w:p w14:paraId="55D7AEA8" w14:textId="77777777" w:rsidR="00DB0E5C" w:rsidRPr="00D6250E" w:rsidRDefault="00DB0E5C" w:rsidP="00AB0D73">
            <w:pPr>
              <w:spacing w:after="160" w:line="259" w:lineRule="auto"/>
              <w:jc w:val="both"/>
            </w:pPr>
            <w:r w:rsidRPr="00D6250E">
              <w:t>0.416</w:t>
            </w:r>
          </w:p>
        </w:tc>
        <w:tc>
          <w:tcPr>
            <w:tcW w:w="0" w:type="auto"/>
            <w:hideMark/>
          </w:tcPr>
          <w:p w14:paraId="1056ECB2" w14:textId="77777777" w:rsidR="00DB0E5C" w:rsidRPr="00D6250E" w:rsidRDefault="00DB0E5C" w:rsidP="00AB0D73">
            <w:pPr>
              <w:spacing w:after="160" w:line="259" w:lineRule="auto"/>
              <w:jc w:val="both"/>
            </w:pPr>
            <w:r w:rsidRPr="00D6250E">
              <w:t>0.417</w:t>
            </w:r>
          </w:p>
        </w:tc>
      </w:tr>
      <w:tr w:rsidR="00DB0E5C" w:rsidRPr="00D6250E" w14:paraId="3F893879" w14:textId="77777777" w:rsidTr="00AB0D73">
        <w:trPr>
          <w:jc w:val="center"/>
        </w:trPr>
        <w:tc>
          <w:tcPr>
            <w:tcW w:w="0" w:type="auto"/>
            <w:hideMark/>
          </w:tcPr>
          <w:p w14:paraId="66EFEDAB" w14:textId="77777777" w:rsidR="00DB0E5C" w:rsidRPr="00D6250E" w:rsidRDefault="00DB0E5C" w:rsidP="00AB0D73">
            <w:pPr>
              <w:spacing w:after="160" w:line="259" w:lineRule="auto"/>
              <w:jc w:val="both"/>
            </w:pPr>
            <w:r w:rsidRPr="00D6250E">
              <w:t>Peak value</w:t>
            </w:r>
          </w:p>
        </w:tc>
        <w:tc>
          <w:tcPr>
            <w:tcW w:w="0" w:type="auto"/>
            <w:hideMark/>
          </w:tcPr>
          <w:p w14:paraId="1D7DA565" w14:textId="77777777" w:rsidR="00DB0E5C" w:rsidRPr="00D6250E" w:rsidRDefault="00DB0E5C" w:rsidP="00AB0D73">
            <w:pPr>
              <w:spacing w:after="160" w:line="259" w:lineRule="auto"/>
              <w:jc w:val="both"/>
            </w:pPr>
            <w:r w:rsidRPr="00D6250E">
              <w:t>1.426</w:t>
            </w:r>
          </w:p>
        </w:tc>
        <w:tc>
          <w:tcPr>
            <w:tcW w:w="0" w:type="auto"/>
            <w:hideMark/>
          </w:tcPr>
          <w:p w14:paraId="783ED939" w14:textId="77777777" w:rsidR="00DB0E5C" w:rsidRPr="00D6250E" w:rsidRDefault="00DB0E5C" w:rsidP="00AB0D73">
            <w:pPr>
              <w:spacing w:after="160" w:line="259" w:lineRule="auto"/>
              <w:jc w:val="both"/>
            </w:pPr>
            <w:r w:rsidRPr="00D6250E">
              <w:t>1.390</w:t>
            </w:r>
          </w:p>
        </w:tc>
        <w:tc>
          <w:tcPr>
            <w:tcW w:w="0" w:type="auto"/>
            <w:hideMark/>
          </w:tcPr>
          <w:p w14:paraId="58885C5C" w14:textId="77777777" w:rsidR="00DB0E5C" w:rsidRPr="00D6250E" w:rsidRDefault="00DB0E5C" w:rsidP="00AB0D73">
            <w:pPr>
              <w:spacing w:after="160" w:line="259" w:lineRule="auto"/>
              <w:jc w:val="both"/>
            </w:pPr>
            <w:r w:rsidRPr="00D6250E">
              <w:t>0.807</w:t>
            </w:r>
          </w:p>
        </w:tc>
        <w:tc>
          <w:tcPr>
            <w:tcW w:w="0" w:type="auto"/>
            <w:hideMark/>
          </w:tcPr>
          <w:p w14:paraId="3C485F9F" w14:textId="77777777" w:rsidR="00DB0E5C" w:rsidRPr="00D6250E" w:rsidRDefault="00DB0E5C" w:rsidP="00AB0D73">
            <w:pPr>
              <w:spacing w:after="160" w:line="259" w:lineRule="auto"/>
              <w:jc w:val="both"/>
            </w:pPr>
            <w:r w:rsidRPr="00D6250E">
              <w:t>–0.124</w:t>
            </w:r>
          </w:p>
        </w:tc>
      </w:tr>
      <w:tr w:rsidR="00DB0E5C" w:rsidRPr="00D6250E" w14:paraId="31C4E571" w14:textId="77777777" w:rsidTr="00AB0D73">
        <w:trPr>
          <w:jc w:val="center"/>
        </w:trPr>
        <w:tc>
          <w:tcPr>
            <w:tcW w:w="0" w:type="auto"/>
            <w:hideMark/>
          </w:tcPr>
          <w:p w14:paraId="0E483F0B" w14:textId="77777777" w:rsidR="00DB0E5C" w:rsidRPr="00D6250E" w:rsidRDefault="00DB0E5C" w:rsidP="00AB0D73">
            <w:pPr>
              <w:spacing w:after="160" w:line="259" w:lineRule="auto"/>
              <w:jc w:val="both"/>
            </w:pPr>
            <w:r w:rsidRPr="00D6250E">
              <w:t>G value</w:t>
            </w:r>
          </w:p>
        </w:tc>
        <w:tc>
          <w:tcPr>
            <w:tcW w:w="0" w:type="auto"/>
            <w:hideMark/>
          </w:tcPr>
          <w:p w14:paraId="04A74E9C" w14:textId="77777777" w:rsidR="00DB0E5C" w:rsidRPr="00D6250E" w:rsidRDefault="00DB0E5C" w:rsidP="00AB0D73">
            <w:pPr>
              <w:spacing w:after="160" w:line="259" w:lineRule="auto"/>
              <w:jc w:val="both"/>
            </w:pPr>
            <w:r w:rsidRPr="00D6250E">
              <w:t>1.248</w:t>
            </w:r>
          </w:p>
        </w:tc>
        <w:tc>
          <w:tcPr>
            <w:tcW w:w="0" w:type="auto"/>
            <w:hideMark/>
          </w:tcPr>
          <w:p w14:paraId="217F6056" w14:textId="77777777" w:rsidR="00DB0E5C" w:rsidRPr="00D6250E" w:rsidRDefault="00DB0E5C" w:rsidP="00AB0D73">
            <w:pPr>
              <w:spacing w:after="160" w:line="259" w:lineRule="auto"/>
              <w:jc w:val="both"/>
            </w:pPr>
            <w:r w:rsidRPr="00D6250E">
              <w:t>1.295</w:t>
            </w:r>
          </w:p>
        </w:tc>
        <w:tc>
          <w:tcPr>
            <w:tcW w:w="0" w:type="auto"/>
            <w:hideMark/>
          </w:tcPr>
          <w:p w14:paraId="368EC309" w14:textId="77777777" w:rsidR="00DB0E5C" w:rsidRPr="00D6250E" w:rsidRDefault="00DB0E5C" w:rsidP="00AB0D73">
            <w:pPr>
              <w:spacing w:after="160" w:line="259" w:lineRule="auto"/>
              <w:jc w:val="both"/>
            </w:pPr>
            <w:r w:rsidRPr="00D6250E">
              <w:t>0.839</w:t>
            </w:r>
          </w:p>
        </w:tc>
        <w:tc>
          <w:tcPr>
            <w:tcW w:w="0" w:type="auto"/>
            <w:hideMark/>
          </w:tcPr>
          <w:p w14:paraId="40810C62" w14:textId="77777777" w:rsidR="00DB0E5C" w:rsidRPr="00D6250E" w:rsidRDefault="00DB0E5C" w:rsidP="00AB0D73">
            <w:pPr>
              <w:spacing w:after="160" w:line="259" w:lineRule="auto"/>
              <w:jc w:val="both"/>
            </w:pPr>
            <w:r w:rsidRPr="00D6250E">
              <w:t>0.103</w:t>
            </w:r>
          </w:p>
        </w:tc>
      </w:tr>
    </w:tbl>
    <w:p w14:paraId="0968DA9A" w14:textId="2DC47EB2" w:rsidR="000C561F" w:rsidRPr="00D6250E" w:rsidRDefault="00AF615D" w:rsidP="000C561F">
      <w:pPr>
        <w:jc w:val="both"/>
      </w:pPr>
      <w:r w:rsidRPr="00D6250E">
        <w:rPr>
          <w:i/>
          <w:iCs/>
        </w:rPr>
        <w:t xml:space="preserve">G% values are arcsine square-root transformed. p-values indicate significance (p &lt; 0.05). Cohen’s d represents effect size: ~0.2 small, ~0.5 medium, ≥0.8 large; positive values </w:t>
      </w:r>
      <w:proofErr w:type="spellStart"/>
      <w:r w:rsidRPr="00D6250E">
        <w:rPr>
          <w:i/>
          <w:iCs/>
        </w:rPr>
        <w:t>favor</w:t>
      </w:r>
      <w:proofErr w:type="spellEnd"/>
      <w:r w:rsidRPr="00D6250E">
        <w:rPr>
          <w:i/>
          <w:iCs/>
        </w:rPr>
        <w:t xml:space="preserve"> AMF, negative values </w:t>
      </w:r>
      <w:proofErr w:type="spellStart"/>
      <w:r w:rsidRPr="00D6250E">
        <w:rPr>
          <w:i/>
          <w:iCs/>
        </w:rPr>
        <w:t>favor</w:t>
      </w:r>
      <w:proofErr w:type="spellEnd"/>
      <w:r w:rsidRPr="00D6250E">
        <w:rPr>
          <w:i/>
          <w:iCs/>
        </w:rPr>
        <w:t xml:space="preserve"> Control</w:t>
      </w:r>
      <w:r w:rsidRPr="00D6250E">
        <w:t>.</w:t>
      </w:r>
    </w:p>
    <w:p w14:paraId="553DF13E" w14:textId="5711B507" w:rsidR="00680266" w:rsidRPr="00D6250E" w:rsidRDefault="00680266" w:rsidP="000C561F">
      <w:pPr>
        <w:jc w:val="both"/>
      </w:pPr>
      <w:r w:rsidRPr="00D6250E">
        <w:rPr>
          <w:i/>
          <w:iCs/>
          <w:noProof/>
        </w:rPr>
        <w:drawing>
          <wp:inline distT="0" distB="0" distL="0" distR="0" wp14:anchorId="39B78CBA" wp14:editId="0C0308D8">
            <wp:extent cx="6120130" cy="3836035"/>
            <wp:effectExtent l="0" t="0" r="0" b="0"/>
            <wp:docPr id="1410253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687"/>
                    <a:stretch>
                      <a:fillRect/>
                    </a:stretch>
                  </pic:blipFill>
                  <pic:spPr bwMode="auto">
                    <a:xfrm>
                      <a:off x="0" y="0"/>
                      <a:ext cx="6120130" cy="3836035"/>
                    </a:xfrm>
                    <a:prstGeom prst="rect">
                      <a:avLst/>
                    </a:prstGeom>
                    <a:noFill/>
                    <a:ln>
                      <a:noFill/>
                    </a:ln>
                    <a:extLst>
                      <a:ext uri="{53640926-AAD7-44D8-BBD7-CCE9431645EC}">
                        <a14:shadowObscured xmlns:a14="http://schemas.microsoft.com/office/drawing/2010/main"/>
                      </a:ext>
                    </a:extLst>
                  </pic:spPr>
                </pic:pic>
              </a:graphicData>
            </a:graphic>
          </wp:inline>
        </w:drawing>
      </w:r>
    </w:p>
    <w:p w14:paraId="1696FEBE" w14:textId="436C8DBE" w:rsidR="000C561F" w:rsidRPr="00D6250E" w:rsidRDefault="000C561F" w:rsidP="000C561F">
      <w:pPr>
        <w:jc w:val="both"/>
      </w:pPr>
      <w:r w:rsidRPr="00D6250E">
        <w:t>Figure 1. Effect sizes (Cohen's d) for teak germination parameters under AMF vs. Control</w:t>
      </w:r>
    </w:p>
    <w:p w14:paraId="6AC45B8A" w14:textId="77777777" w:rsidR="00DB0E5C" w:rsidRPr="00D6250E" w:rsidRDefault="00DB0E5C" w:rsidP="00DA65EE">
      <w:pPr>
        <w:jc w:val="both"/>
      </w:pPr>
    </w:p>
    <w:p w14:paraId="657960F0" w14:textId="77777777" w:rsidR="00DA65EE" w:rsidRPr="00D6250E" w:rsidRDefault="00DA65EE" w:rsidP="00DA65EE">
      <w:pPr>
        <w:jc w:val="both"/>
      </w:pPr>
      <w:r w:rsidRPr="00D6250E">
        <w:t xml:space="preserve">In sandal, the final germination percentage was virtually unchanged by AMF treatment (0.703 vs. 0.698 in control, </w:t>
      </w:r>
      <w:r w:rsidRPr="00D6250E">
        <w:rPr>
          <w:i/>
          <w:iCs/>
        </w:rPr>
        <w:t>p</w:t>
      </w:r>
      <w:r w:rsidRPr="00D6250E">
        <w:t xml:space="preserve"> = 0.91, d = 0.08). However, mean germination time was reduced under AMF (51.98 days) compared with control (54.25 days), indicating faster emergence, though not significant (</w:t>
      </w:r>
      <w:r w:rsidRPr="00D6250E">
        <w:rPr>
          <w:i/>
          <w:iCs/>
        </w:rPr>
        <w:t>p</w:t>
      </w:r>
      <w:r w:rsidRPr="00D6250E">
        <w:t xml:space="preserve"> = 0.25). The effect size (d = –0.79) suggested a moderate biological trend in </w:t>
      </w:r>
      <w:proofErr w:type="spellStart"/>
      <w:r w:rsidRPr="00D6250E">
        <w:t>favor</w:t>
      </w:r>
      <w:proofErr w:type="spellEnd"/>
      <w:r w:rsidRPr="00D6250E">
        <w:t xml:space="preserve"> of AMF. Similarly, mean germination rate (MGR) was higher under AMF (0.0195) than in control (0.0185), with a moderate-to-large effect size (d = 0.87). CVG also showed a moderate positive effect (d = 0.82), indicating greater velocity and variability of germination under AMF. These results contrast with the teak pattern, as sandal showed a tendency toward improved germination rate and speed under AMF. Detailed results for sandal are presented in </w:t>
      </w:r>
      <w:r w:rsidRPr="00477A42">
        <w:t>Table</w:t>
      </w:r>
      <w:r w:rsidRPr="00D6250E">
        <w:rPr>
          <w:b/>
          <w:bCs/>
        </w:rPr>
        <w:t xml:space="preserve"> 2</w:t>
      </w:r>
      <w:r w:rsidRPr="00D6250E">
        <w:t xml:space="preserve">, and the corresponding forest plot of effect sizes with 95% CI is shown in </w:t>
      </w:r>
      <w:r w:rsidRPr="00477A42">
        <w:t>Figure</w:t>
      </w:r>
      <w:r w:rsidRPr="00D6250E">
        <w:rPr>
          <w:b/>
          <w:bCs/>
        </w:rPr>
        <w:t xml:space="preserve"> 2</w:t>
      </w:r>
      <w:r w:rsidRPr="00D6250E">
        <w:t>.</w:t>
      </w:r>
    </w:p>
    <w:p w14:paraId="3197CE82" w14:textId="3B97ACDB" w:rsidR="00A509DD" w:rsidRPr="00D6250E" w:rsidRDefault="00DA65EE" w:rsidP="00DB0E5C">
      <w:pPr>
        <w:jc w:val="both"/>
      </w:pPr>
      <w:r w:rsidRPr="00D6250E">
        <w:t>Taken together, AMF consortia did not significantly alter the overall germination success of teak or sandal. Nevertheless, effect size analysis revealed species-specific patterns: AMF delayed and desynchronized germination in teak, whereas in sandal, AMF tended to accelerate germination rate and reduce mean germination time.</w:t>
      </w:r>
    </w:p>
    <w:p w14:paraId="0B421258" w14:textId="06E514F1" w:rsidR="00DA65EE" w:rsidRPr="00D6250E" w:rsidRDefault="00DA65EE" w:rsidP="00DA65EE">
      <w:pPr>
        <w:jc w:val="both"/>
      </w:pPr>
      <w:r w:rsidRPr="00D6250E">
        <w:rPr>
          <w:noProof/>
        </w:rPr>
        <w:lastRenderedPageBreak/>
        <w:drawing>
          <wp:inline distT="0" distB="0" distL="0" distR="0" wp14:anchorId="3C1EF8F8" wp14:editId="2654530E">
            <wp:extent cx="6120130" cy="3797300"/>
            <wp:effectExtent l="0" t="0" r="0" b="0"/>
            <wp:docPr id="7707042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284"/>
                    <a:stretch>
                      <a:fillRect/>
                    </a:stretch>
                  </pic:blipFill>
                  <pic:spPr bwMode="auto">
                    <a:xfrm>
                      <a:off x="0" y="0"/>
                      <a:ext cx="6120130" cy="3797300"/>
                    </a:xfrm>
                    <a:prstGeom prst="rect">
                      <a:avLst/>
                    </a:prstGeom>
                    <a:noFill/>
                    <a:ln>
                      <a:noFill/>
                    </a:ln>
                    <a:extLst>
                      <a:ext uri="{53640926-AAD7-44D8-BBD7-CCE9431645EC}">
                        <a14:shadowObscured xmlns:a14="http://schemas.microsoft.com/office/drawing/2010/main"/>
                      </a:ext>
                    </a:extLst>
                  </pic:spPr>
                </pic:pic>
              </a:graphicData>
            </a:graphic>
          </wp:inline>
        </w:drawing>
      </w:r>
    </w:p>
    <w:p w14:paraId="561A7278" w14:textId="597BB9F6" w:rsidR="009C199C" w:rsidRPr="00D6250E" w:rsidRDefault="00DA65EE" w:rsidP="00A509DD">
      <w:pPr>
        <w:jc w:val="both"/>
      </w:pPr>
      <w:r w:rsidRPr="00D6250E">
        <w:t>Figure 2. Effect sizes (Cohen's d) for sandal germination parameters under AMF vs. Control</w:t>
      </w:r>
    </w:p>
    <w:p w14:paraId="11A9E33A" w14:textId="137DA472" w:rsidR="00DA65EE" w:rsidRPr="00D6250E" w:rsidRDefault="009C199C" w:rsidP="00A509DD">
      <w:pPr>
        <w:jc w:val="both"/>
      </w:pPr>
      <w:r w:rsidRPr="00D6250E">
        <w:t>Table 2. Germination parameters of sandal (</w:t>
      </w:r>
      <w:r w:rsidRPr="00D6250E">
        <w:rPr>
          <w:i/>
          <w:iCs/>
        </w:rPr>
        <w:t>Santalum album</w:t>
      </w:r>
      <w:r w:rsidRPr="00D6250E">
        <w:t>) under control and AMF treatments.</w:t>
      </w:r>
    </w:p>
    <w:tbl>
      <w:tblPr>
        <w:tblStyle w:val="TableGrid"/>
        <w:tblW w:w="0" w:type="auto"/>
        <w:jc w:val="center"/>
        <w:tblLook w:val="04A0" w:firstRow="1" w:lastRow="0" w:firstColumn="1" w:lastColumn="0" w:noHBand="0" w:noVBand="1"/>
      </w:tblPr>
      <w:tblGrid>
        <w:gridCol w:w="1969"/>
        <w:gridCol w:w="1012"/>
        <w:gridCol w:w="876"/>
        <w:gridCol w:w="963"/>
        <w:gridCol w:w="1228"/>
      </w:tblGrid>
      <w:tr w:rsidR="00DB0E5C" w:rsidRPr="00D6250E" w14:paraId="0DCF463B" w14:textId="77777777" w:rsidTr="000C561F">
        <w:trPr>
          <w:jc w:val="center"/>
        </w:trPr>
        <w:tc>
          <w:tcPr>
            <w:tcW w:w="0" w:type="auto"/>
            <w:hideMark/>
          </w:tcPr>
          <w:p w14:paraId="62833FA5" w14:textId="77777777" w:rsidR="00DB0E5C" w:rsidRPr="00D6250E" w:rsidRDefault="00DB0E5C" w:rsidP="009C199C">
            <w:pPr>
              <w:spacing w:after="160" w:line="259" w:lineRule="auto"/>
              <w:jc w:val="both"/>
              <w:rPr>
                <w:b/>
                <w:bCs/>
              </w:rPr>
            </w:pPr>
            <w:r w:rsidRPr="00D6250E">
              <w:rPr>
                <w:b/>
                <w:bCs/>
              </w:rPr>
              <w:t>Parameter</w:t>
            </w:r>
          </w:p>
        </w:tc>
        <w:tc>
          <w:tcPr>
            <w:tcW w:w="0" w:type="auto"/>
            <w:hideMark/>
          </w:tcPr>
          <w:p w14:paraId="602D8876" w14:textId="31876AE9" w:rsidR="00DB0E5C" w:rsidRPr="00D6250E" w:rsidRDefault="00DB0E5C" w:rsidP="009C199C">
            <w:pPr>
              <w:spacing w:after="160" w:line="259" w:lineRule="auto"/>
              <w:jc w:val="both"/>
              <w:rPr>
                <w:b/>
                <w:bCs/>
              </w:rPr>
            </w:pPr>
            <w:r w:rsidRPr="00D6250E">
              <w:rPr>
                <w:b/>
                <w:bCs/>
              </w:rPr>
              <w:t xml:space="preserve">Control </w:t>
            </w:r>
          </w:p>
        </w:tc>
        <w:tc>
          <w:tcPr>
            <w:tcW w:w="0" w:type="auto"/>
            <w:hideMark/>
          </w:tcPr>
          <w:p w14:paraId="4DD909CF" w14:textId="331D36F9" w:rsidR="00DB0E5C" w:rsidRPr="00D6250E" w:rsidRDefault="00DB0E5C" w:rsidP="009C199C">
            <w:pPr>
              <w:spacing w:after="160" w:line="259" w:lineRule="auto"/>
              <w:jc w:val="both"/>
              <w:rPr>
                <w:b/>
                <w:bCs/>
              </w:rPr>
            </w:pPr>
            <w:r w:rsidRPr="00D6250E">
              <w:rPr>
                <w:b/>
                <w:bCs/>
              </w:rPr>
              <w:t xml:space="preserve">AMF </w:t>
            </w:r>
          </w:p>
        </w:tc>
        <w:tc>
          <w:tcPr>
            <w:tcW w:w="0" w:type="auto"/>
            <w:hideMark/>
          </w:tcPr>
          <w:p w14:paraId="0D0EBD5D" w14:textId="77777777" w:rsidR="00DB0E5C" w:rsidRPr="00D6250E" w:rsidRDefault="00DB0E5C" w:rsidP="009C199C">
            <w:pPr>
              <w:spacing w:after="160" w:line="259" w:lineRule="auto"/>
              <w:jc w:val="both"/>
              <w:rPr>
                <w:b/>
                <w:bCs/>
              </w:rPr>
            </w:pPr>
            <w:r w:rsidRPr="00D6250E">
              <w:rPr>
                <w:b/>
                <w:bCs/>
                <w:i/>
                <w:iCs/>
              </w:rPr>
              <w:t>p</w:t>
            </w:r>
            <w:r w:rsidRPr="00D6250E">
              <w:rPr>
                <w:b/>
                <w:bCs/>
              </w:rPr>
              <w:t>-value</w:t>
            </w:r>
          </w:p>
        </w:tc>
        <w:tc>
          <w:tcPr>
            <w:tcW w:w="0" w:type="auto"/>
            <w:hideMark/>
          </w:tcPr>
          <w:p w14:paraId="0CE37A16" w14:textId="77777777" w:rsidR="00DB0E5C" w:rsidRPr="00D6250E" w:rsidRDefault="00DB0E5C" w:rsidP="009C199C">
            <w:pPr>
              <w:spacing w:after="160" w:line="259" w:lineRule="auto"/>
              <w:jc w:val="both"/>
              <w:rPr>
                <w:b/>
                <w:bCs/>
              </w:rPr>
            </w:pPr>
            <w:r w:rsidRPr="00D6250E">
              <w:rPr>
                <w:b/>
                <w:bCs/>
              </w:rPr>
              <w:t xml:space="preserve">Cohen’s </w:t>
            </w:r>
            <w:r w:rsidRPr="00D6250E">
              <w:rPr>
                <w:b/>
                <w:bCs/>
                <w:i/>
                <w:iCs/>
              </w:rPr>
              <w:t>d</w:t>
            </w:r>
          </w:p>
        </w:tc>
      </w:tr>
      <w:tr w:rsidR="00DB0E5C" w:rsidRPr="00D6250E" w14:paraId="1E739B39" w14:textId="77777777" w:rsidTr="000C561F">
        <w:trPr>
          <w:jc w:val="center"/>
        </w:trPr>
        <w:tc>
          <w:tcPr>
            <w:tcW w:w="0" w:type="auto"/>
            <w:hideMark/>
          </w:tcPr>
          <w:p w14:paraId="63C60DAA" w14:textId="77777777" w:rsidR="00DB0E5C" w:rsidRPr="00D6250E" w:rsidRDefault="00DB0E5C" w:rsidP="009C199C">
            <w:pPr>
              <w:spacing w:after="160" w:line="259" w:lineRule="auto"/>
              <w:jc w:val="both"/>
            </w:pPr>
            <w:r w:rsidRPr="00D6250E">
              <w:t>G% (transformed)</w:t>
            </w:r>
          </w:p>
        </w:tc>
        <w:tc>
          <w:tcPr>
            <w:tcW w:w="0" w:type="auto"/>
            <w:hideMark/>
          </w:tcPr>
          <w:p w14:paraId="4007107E" w14:textId="77777777" w:rsidR="00DB0E5C" w:rsidRPr="00D6250E" w:rsidRDefault="00DB0E5C" w:rsidP="009C199C">
            <w:pPr>
              <w:spacing w:after="160" w:line="259" w:lineRule="auto"/>
              <w:jc w:val="both"/>
            </w:pPr>
            <w:r w:rsidRPr="00D6250E">
              <w:t>0.698</w:t>
            </w:r>
          </w:p>
        </w:tc>
        <w:tc>
          <w:tcPr>
            <w:tcW w:w="0" w:type="auto"/>
            <w:hideMark/>
          </w:tcPr>
          <w:p w14:paraId="6A109487" w14:textId="77777777" w:rsidR="00DB0E5C" w:rsidRPr="00D6250E" w:rsidRDefault="00DB0E5C" w:rsidP="009C199C">
            <w:pPr>
              <w:spacing w:after="160" w:line="259" w:lineRule="auto"/>
              <w:jc w:val="both"/>
            </w:pPr>
            <w:r w:rsidRPr="00D6250E">
              <w:t>0.703</w:t>
            </w:r>
          </w:p>
        </w:tc>
        <w:tc>
          <w:tcPr>
            <w:tcW w:w="0" w:type="auto"/>
            <w:hideMark/>
          </w:tcPr>
          <w:p w14:paraId="51C34D22" w14:textId="77777777" w:rsidR="00DB0E5C" w:rsidRPr="00D6250E" w:rsidRDefault="00DB0E5C" w:rsidP="009C199C">
            <w:pPr>
              <w:spacing w:after="160" w:line="259" w:lineRule="auto"/>
              <w:jc w:val="both"/>
            </w:pPr>
            <w:r w:rsidRPr="00D6250E">
              <w:t>0.907</w:t>
            </w:r>
          </w:p>
        </w:tc>
        <w:tc>
          <w:tcPr>
            <w:tcW w:w="0" w:type="auto"/>
            <w:hideMark/>
          </w:tcPr>
          <w:p w14:paraId="6EE691C8" w14:textId="77777777" w:rsidR="00DB0E5C" w:rsidRPr="00D6250E" w:rsidRDefault="00DB0E5C" w:rsidP="009C199C">
            <w:pPr>
              <w:spacing w:after="160" w:line="259" w:lineRule="auto"/>
              <w:jc w:val="both"/>
            </w:pPr>
            <w:r w:rsidRPr="00D6250E">
              <w:t>0.078</w:t>
            </w:r>
          </w:p>
        </w:tc>
      </w:tr>
      <w:tr w:rsidR="00DB0E5C" w:rsidRPr="00D6250E" w14:paraId="36F81059" w14:textId="77777777" w:rsidTr="000C561F">
        <w:trPr>
          <w:jc w:val="center"/>
        </w:trPr>
        <w:tc>
          <w:tcPr>
            <w:tcW w:w="0" w:type="auto"/>
            <w:hideMark/>
          </w:tcPr>
          <w:p w14:paraId="54168D08" w14:textId="77777777" w:rsidR="00DB0E5C" w:rsidRPr="00D6250E" w:rsidRDefault="00DB0E5C" w:rsidP="009C199C">
            <w:pPr>
              <w:spacing w:after="160" w:line="259" w:lineRule="auto"/>
              <w:jc w:val="both"/>
            </w:pPr>
            <w:r w:rsidRPr="00D6250E">
              <w:t>MGT (days)</w:t>
            </w:r>
          </w:p>
        </w:tc>
        <w:tc>
          <w:tcPr>
            <w:tcW w:w="0" w:type="auto"/>
            <w:hideMark/>
          </w:tcPr>
          <w:p w14:paraId="002D5602" w14:textId="77777777" w:rsidR="00DB0E5C" w:rsidRPr="00D6250E" w:rsidRDefault="00DB0E5C" w:rsidP="009C199C">
            <w:pPr>
              <w:spacing w:after="160" w:line="259" w:lineRule="auto"/>
              <w:jc w:val="both"/>
            </w:pPr>
            <w:r w:rsidRPr="00D6250E">
              <w:t>54.25</w:t>
            </w:r>
          </w:p>
        </w:tc>
        <w:tc>
          <w:tcPr>
            <w:tcW w:w="0" w:type="auto"/>
            <w:hideMark/>
          </w:tcPr>
          <w:p w14:paraId="664945FE" w14:textId="77777777" w:rsidR="00DB0E5C" w:rsidRPr="00D6250E" w:rsidRDefault="00DB0E5C" w:rsidP="009C199C">
            <w:pPr>
              <w:spacing w:after="160" w:line="259" w:lineRule="auto"/>
              <w:jc w:val="both"/>
            </w:pPr>
            <w:r w:rsidRPr="00D6250E">
              <w:t>51.98</w:t>
            </w:r>
          </w:p>
        </w:tc>
        <w:tc>
          <w:tcPr>
            <w:tcW w:w="0" w:type="auto"/>
            <w:hideMark/>
          </w:tcPr>
          <w:p w14:paraId="71A9DAB7" w14:textId="77777777" w:rsidR="00DB0E5C" w:rsidRPr="00D6250E" w:rsidRDefault="00DB0E5C" w:rsidP="009C199C">
            <w:pPr>
              <w:spacing w:after="160" w:line="259" w:lineRule="auto"/>
              <w:jc w:val="both"/>
            </w:pPr>
            <w:r w:rsidRPr="00D6250E">
              <w:t>0.255</w:t>
            </w:r>
          </w:p>
        </w:tc>
        <w:tc>
          <w:tcPr>
            <w:tcW w:w="0" w:type="auto"/>
            <w:hideMark/>
          </w:tcPr>
          <w:p w14:paraId="40CDEC89" w14:textId="77777777" w:rsidR="00DB0E5C" w:rsidRPr="00D6250E" w:rsidRDefault="00DB0E5C" w:rsidP="009C199C">
            <w:pPr>
              <w:spacing w:after="160" w:line="259" w:lineRule="auto"/>
              <w:jc w:val="both"/>
            </w:pPr>
            <w:r w:rsidRPr="00D6250E">
              <w:t>–0.792</w:t>
            </w:r>
          </w:p>
        </w:tc>
      </w:tr>
      <w:tr w:rsidR="00DB0E5C" w:rsidRPr="00D6250E" w14:paraId="30122152" w14:textId="77777777" w:rsidTr="000C561F">
        <w:trPr>
          <w:jc w:val="center"/>
        </w:trPr>
        <w:tc>
          <w:tcPr>
            <w:tcW w:w="0" w:type="auto"/>
            <w:hideMark/>
          </w:tcPr>
          <w:p w14:paraId="6597F23C" w14:textId="77777777" w:rsidR="00DB0E5C" w:rsidRPr="00D6250E" w:rsidRDefault="00DB0E5C" w:rsidP="009C199C">
            <w:pPr>
              <w:spacing w:after="160" w:line="259" w:lineRule="auto"/>
              <w:jc w:val="both"/>
            </w:pPr>
            <w:r w:rsidRPr="00D6250E">
              <w:t>MGR</w:t>
            </w:r>
          </w:p>
        </w:tc>
        <w:tc>
          <w:tcPr>
            <w:tcW w:w="0" w:type="auto"/>
            <w:hideMark/>
          </w:tcPr>
          <w:p w14:paraId="1134C1B7" w14:textId="77777777" w:rsidR="00DB0E5C" w:rsidRPr="00D6250E" w:rsidRDefault="00DB0E5C" w:rsidP="009C199C">
            <w:pPr>
              <w:spacing w:after="160" w:line="259" w:lineRule="auto"/>
              <w:jc w:val="both"/>
            </w:pPr>
            <w:r w:rsidRPr="00D6250E">
              <w:t>0.0185</w:t>
            </w:r>
          </w:p>
        </w:tc>
        <w:tc>
          <w:tcPr>
            <w:tcW w:w="0" w:type="auto"/>
            <w:hideMark/>
          </w:tcPr>
          <w:p w14:paraId="2FF83BC2" w14:textId="77777777" w:rsidR="00DB0E5C" w:rsidRPr="00D6250E" w:rsidRDefault="00DB0E5C" w:rsidP="009C199C">
            <w:pPr>
              <w:spacing w:after="160" w:line="259" w:lineRule="auto"/>
              <w:jc w:val="both"/>
            </w:pPr>
            <w:r w:rsidRPr="00D6250E">
              <w:t>0.0195</w:t>
            </w:r>
          </w:p>
        </w:tc>
        <w:tc>
          <w:tcPr>
            <w:tcW w:w="0" w:type="auto"/>
            <w:hideMark/>
          </w:tcPr>
          <w:p w14:paraId="2421ABFD" w14:textId="77777777" w:rsidR="00DB0E5C" w:rsidRPr="00D6250E" w:rsidRDefault="00DB0E5C" w:rsidP="009C199C">
            <w:pPr>
              <w:spacing w:after="160" w:line="259" w:lineRule="auto"/>
              <w:jc w:val="both"/>
            </w:pPr>
            <w:r w:rsidRPr="00D6250E">
              <w:t>0.213</w:t>
            </w:r>
          </w:p>
        </w:tc>
        <w:tc>
          <w:tcPr>
            <w:tcW w:w="0" w:type="auto"/>
            <w:hideMark/>
          </w:tcPr>
          <w:p w14:paraId="51972FD0" w14:textId="77777777" w:rsidR="00DB0E5C" w:rsidRPr="00D6250E" w:rsidRDefault="00DB0E5C" w:rsidP="009C199C">
            <w:pPr>
              <w:spacing w:after="160" w:line="259" w:lineRule="auto"/>
              <w:jc w:val="both"/>
            </w:pPr>
            <w:r w:rsidRPr="00D6250E">
              <w:t>0.873</w:t>
            </w:r>
          </w:p>
        </w:tc>
      </w:tr>
      <w:tr w:rsidR="00DB0E5C" w:rsidRPr="00D6250E" w14:paraId="3600D725" w14:textId="77777777" w:rsidTr="000C561F">
        <w:trPr>
          <w:jc w:val="center"/>
        </w:trPr>
        <w:tc>
          <w:tcPr>
            <w:tcW w:w="0" w:type="auto"/>
            <w:hideMark/>
          </w:tcPr>
          <w:p w14:paraId="429509B3" w14:textId="77777777" w:rsidR="00DB0E5C" w:rsidRPr="00D6250E" w:rsidRDefault="00DB0E5C" w:rsidP="009C199C">
            <w:pPr>
              <w:spacing w:after="160" w:line="259" w:lineRule="auto"/>
              <w:jc w:val="both"/>
            </w:pPr>
            <w:proofErr w:type="spellStart"/>
            <w:r w:rsidRPr="00D6250E">
              <w:t>CVt</w:t>
            </w:r>
            <w:proofErr w:type="spellEnd"/>
          </w:p>
        </w:tc>
        <w:tc>
          <w:tcPr>
            <w:tcW w:w="0" w:type="auto"/>
            <w:hideMark/>
          </w:tcPr>
          <w:p w14:paraId="6AA1F9BB" w14:textId="77777777" w:rsidR="00DB0E5C" w:rsidRPr="00D6250E" w:rsidRDefault="00DB0E5C" w:rsidP="009C199C">
            <w:pPr>
              <w:spacing w:after="160" w:line="259" w:lineRule="auto"/>
              <w:jc w:val="both"/>
            </w:pPr>
            <w:r w:rsidRPr="00D6250E">
              <w:t>27.42</w:t>
            </w:r>
          </w:p>
        </w:tc>
        <w:tc>
          <w:tcPr>
            <w:tcW w:w="0" w:type="auto"/>
            <w:hideMark/>
          </w:tcPr>
          <w:p w14:paraId="62F675BD" w14:textId="77777777" w:rsidR="00DB0E5C" w:rsidRPr="00D6250E" w:rsidRDefault="00DB0E5C" w:rsidP="009C199C">
            <w:pPr>
              <w:spacing w:after="160" w:line="259" w:lineRule="auto"/>
              <w:jc w:val="both"/>
            </w:pPr>
            <w:r w:rsidRPr="00D6250E">
              <w:t>24.14</w:t>
            </w:r>
          </w:p>
        </w:tc>
        <w:tc>
          <w:tcPr>
            <w:tcW w:w="0" w:type="auto"/>
            <w:hideMark/>
          </w:tcPr>
          <w:p w14:paraId="0C934A3B" w14:textId="77777777" w:rsidR="00DB0E5C" w:rsidRPr="00D6250E" w:rsidRDefault="00DB0E5C" w:rsidP="009C199C">
            <w:pPr>
              <w:spacing w:after="160" w:line="259" w:lineRule="auto"/>
              <w:jc w:val="both"/>
            </w:pPr>
            <w:r w:rsidRPr="00D6250E">
              <w:t>0.266</w:t>
            </w:r>
          </w:p>
        </w:tc>
        <w:tc>
          <w:tcPr>
            <w:tcW w:w="0" w:type="auto"/>
            <w:hideMark/>
          </w:tcPr>
          <w:p w14:paraId="77BD58B4" w14:textId="77777777" w:rsidR="00DB0E5C" w:rsidRPr="00D6250E" w:rsidRDefault="00DB0E5C" w:rsidP="009C199C">
            <w:pPr>
              <w:spacing w:after="160" w:line="259" w:lineRule="auto"/>
              <w:jc w:val="both"/>
            </w:pPr>
            <w:r w:rsidRPr="00D6250E">
              <w:t>–0.773</w:t>
            </w:r>
          </w:p>
        </w:tc>
      </w:tr>
      <w:tr w:rsidR="00DB0E5C" w:rsidRPr="00D6250E" w14:paraId="1459703C" w14:textId="77777777" w:rsidTr="000C561F">
        <w:trPr>
          <w:jc w:val="center"/>
        </w:trPr>
        <w:tc>
          <w:tcPr>
            <w:tcW w:w="0" w:type="auto"/>
            <w:hideMark/>
          </w:tcPr>
          <w:p w14:paraId="594A73B1" w14:textId="77777777" w:rsidR="00DB0E5C" w:rsidRPr="00D6250E" w:rsidRDefault="00DB0E5C" w:rsidP="009C199C">
            <w:pPr>
              <w:spacing w:after="160" w:line="259" w:lineRule="auto"/>
              <w:jc w:val="both"/>
            </w:pPr>
            <w:r w:rsidRPr="00D6250E">
              <w:t>CVG</w:t>
            </w:r>
          </w:p>
        </w:tc>
        <w:tc>
          <w:tcPr>
            <w:tcW w:w="0" w:type="auto"/>
            <w:hideMark/>
          </w:tcPr>
          <w:p w14:paraId="1845318F" w14:textId="77777777" w:rsidR="00DB0E5C" w:rsidRPr="00D6250E" w:rsidRDefault="00DB0E5C" w:rsidP="009C199C">
            <w:pPr>
              <w:spacing w:after="160" w:line="259" w:lineRule="auto"/>
              <w:jc w:val="both"/>
            </w:pPr>
            <w:r w:rsidRPr="00D6250E">
              <w:t>1.845</w:t>
            </w:r>
          </w:p>
        </w:tc>
        <w:tc>
          <w:tcPr>
            <w:tcW w:w="0" w:type="auto"/>
            <w:hideMark/>
          </w:tcPr>
          <w:p w14:paraId="318AEFC6" w14:textId="77777777" w:rsidR="00DB0E5C" w:rsidRPr="00D6250E" w:rsidRDefault="00DB0E5C" w:rsidP="009C199C">
            <w:pPr>
              <w:spacing w:after="160" w:line="259" w:lineRule="auto"/>
              <w:jc w:val="both"/>
            </w:pPr>
            <w:r w:rsidRPr="00D6250E">
              <w:t>1.934</w:t>
            </w:r>
          </w:p>
        </w:tc>
        <w:tc>
          <w:tcPr>
            <w:tcW w:w="0" w:type="auto"/>
            <w:hideMark/>
          </w:tcPr>
          <w:p w14:paraId="1336AB7E" w14:textId="77777777" w:rsidR="00DB0E5C" w:rsidRPr="00D6250E" w:rsidRDefault="00DB0E5C" w:rsidP="009C199C">
            <w:pPr>
              <w:spacing w:after="160" w:line="259" w:lineRule="auto"/>
              <w:jc w:val="both"/>
            </w:pPr>
            <w:r w:rsidRPr="00D6250E">
              <w:t>0.240</w:t>
            </w:r>
          </w:p>
        </w:tc>
        <w:tc>
          <w:tcPr>
            <w:tcW w:w="0" w:type="auto"/>
            <w:hideMark/>
          </w:tcPr>
          <w:p w14:paraId="2C1DF554" w14:textId="77777777" w:rsidR="00DB0E5C" w:rsidRPr="00D6250E" w:rsidRDefault="00DB0E5C" w:rsidP="009C199C">
            <w:pPr>
              <w:spacing w:after="160" w:line="259" w:lineRule="auto"/>
              <w:jc w:val="both"/>
            </w:pPr>
            <w:r w:rsidRPr="00D6250E">
              <w:t>0.819</w:t>
            </w:r>
          </w:p>
        </w:tc>
      </w:tr>
      <w:tr w:rsidR="00DB0E5C" w:rsidRPr="00D6250E" w14:paraId="32215FB0" w14:textId="77777777" w:rsidTr="000C561F">
        <w:trPr>
          <w:jc w:val="center"/>
        </w:trPr>
        <w:tc>
          <w:tcPr>
            <w:tcW w:w="0" w:type="auto"/>
            <w:hideMark/>
          </w:tcPr>
          <w:p w14:paraId="463363AC" w14:textId="77777777" w:rsidR="00DB0E5C" w:rsidRPr="00D6250E" w:rsidRDefault="00DB0E5C" w:rsidP="009C199C">
            <w:pPr>
              <w:spacing w:after="160" w:line="259" w:lineRule="auto"/>
              <w:jc w:val="both"/>
            </w:pPr>
            <w:r w:rsidRPr="00D6250E">
              <w:t>GI</w:t>
            </w:r>
          </w:p>
        </w:tc>
        <w:tc>
          <w:tcPr>
            <w:tcW w:w="0" w:type="auto"/>
            <w:hideMark/>
          </w:tcPr>
          <w:p w14:paraId="3C8387F7" w14:textId="77777777" w:rsidR="00DB0E5C" w:rsidRPr="00D6250E" w:rsidRDefault="00DB0E5C" w:rsidP="009C199C">
            <w:pPr>
              <w:spacing w:after="160" w:line="259" w:lineRule="auto"/>
              <w:jc w:val="both"/>
            </w:pPr>
            <w:r w:rsidRPr="00D6250E">
              <w:t>0.205</w:t>
            </w:r>
          </w:p>
        </w:tc>
        <w:tc>
          <w:tcPr>
            <w:tcW w:w="0" w:type="auto"/>
            <w:hideMark/>
          </w:tcPr>
          <w:p w14:paraId="1D03D757" w14:textId="77777777" w:rsidR="00DB0E5C" w:rsidRPr="00D6250E" w:rsidRDefault="00DB0E5C" w:rsidP="009C199C">
            <w:pPr>
              <w:spacing w:after="160" w:line="259" w:lineRule="auto"/>
              <w:jc w:val="both"/>
            </w:pPr>
            <w:r w:rsidRPr="00D6250E">
              <w:t>0.215</w:t>
            </w:r>
          </w:p>
        </w:tc>
        <w:tc>
          <w:tcPr>
            <w:tcW w:w="0" w:type="auto"/>
            <w:hideMark/>
          </w:tcPr>
          <w:p w14:paraId="4C44CEA7" w14:textId="77777777" w:rsidR="00DB0E5C" w:rsidRPr="00D6250E" w:rsidRDefault="00DB0E5C" w:rsidP="009C199C">
            <w:pPr>
              <w:spacing w:after="160" w:line="259" w:lineRule="auto"/>
              <w:jc w:val="both"/>
            </w:pPr>
            <w:r w:rsidRPr="00D6250E">
              <w:t>0.595</w:t>
            </w:r>
          </w:p>
        </w:tc>
        <w:tc>
          <w:tcPr>
            <w:tcW w:w="0" w:type="auto"/>
            <w:hideMark/>
          </w:tcPr>
          <w:p w14:paraId="79D66D05" w14:textId="77777777" w:rsidR="00DB0E5C" w:rsidRPr="00D6250E" w:rsidRDefault="00DB0E5C" w:rsidP="009C199C">
            <w:pPr>
              <w:spacing w:after="160" w:line="259" w:lineRule="auto"/>
              <w:jc w:val="both"/>
            </w:pPr>
            <w:r w:rsidRPr="00D6250E">
              <w:t>0.358</w:t>
            </w:r>
          </w:p>
        </w:tc>
      </w:tr>
      <w:tr w:rsidR="00DB0E5C" w:rsidRPr="00D6250E" w14:paraId="1E28DC94" w14:textId="77777777" w:rsidTr="000C561F">
        <w:trPr>
          <w:jc w:val="center"/>
        </w:trPr>
        <w:tc>
          <w:tcPr>
            <w:tcW w:w="0" w:type="auto"/>
            <w:hideMark/>
          </w:tcPr>
          <w:p w14:paraId="4560BAFA" w14:textId="77777777" w:rsidR="00DB0E5C" w:rsidRPr="00D6250E" w:rsidRDefault="00DB0E5C" w:rsidP="009C199C">
            <w:pPr>
              <w:spacing w:after="160" w:line="259" w:lineRule="auto"/>
              <w:jc w:val="both"/>
            </w:pPr>
            <w:r w:rsidRPr="00D6250E">
              <w:t>T₁₀ (days)</w:t>
            </w:r>
          </w:p>
        </w:tc>
        <w:tc>
          <w:tcPr>
            <w:tcW w:w="0" w:type="auto"/>
            <w:hideMark/>
          </w:tcPr>
          <w:p w14:paraId="2AF1F312" w14:textId="77777777" w:rsidR="00DB0E5C" w:rsidRPr="00D6250E" w:rsidRDefault="00DB0E5C" w:rsidP="009C199C">
            <w:pPr>
              <w:spacing w:after="160" w:line="259" w:lineRule="auto"/>
              <w:jc w:val="both"/>
            </w:pPr>
            <w:r w:rsidRPr="00D6250E">
              <w:t>31.91</w:t>
            </w:r>
          </w:p>
        </w:tc>
        <w:tc>
          <w:tcPr>
            <w:tcW w:w="0" w:type="auto"/>
            <w:hideMark/>
          </w:tcPr>
          <w:p w14:paraId="1F06C2BF" w14:textId="77777777" w:rsidR="00DB0E5C" w:rsidRPr="00D6250E" w:rsidRDefault="00DB0E5C" w:rsidP="009C199C">
            <w:pPr>
              <w:spacing w:after="160" w:line="259" w:lineRule="auto"/>
              <w:jc w:val="both"/>
            </w:pPr>
            <w:r w:rsidRPr="00D6250E">
              <w:t>32.18</w:t>
            </w:r>
          </w:p>
        </w:tc>
        <w:tc>
          <w:tcPr>
            <w:tcW w:w="0" w:type="auto"/>
            <w:hideMark/>
          </w:tcPr>
          <w:p w14:paraId="358E4D4F" w14:textId="77777777" w:rsidR="00DB0E5C" w:rsidRPr="00D6250E" w:rsidRDefault="00DB0E5C" w:rsidP="009C199C">
            <w:pPr>
              <w:spacing w:after="160" w:line="259" w:lineRule="auto"/>
              <w:jc w:val="both"/>
            </w:pPr>
            <w:r w:rsidRPr="00D6250E">
              <w:t>0.719</w:t>
            </w:r>
          </w:p>
        </w:tc>
        <w:tc>
          <w:tcPr>
            <w:tcW w:w="0" w:type="auto"/>
            <w:hideMark/>
          </w:tcPr>
          <w:p w14:paraId="291823F9" w14:textId="77777777" w:rsidR="00DB0E5C" w:rsidRPr="00D6250E" w:rsidRDefault="00DB0E5C" w:rsidP="009C199C">
            <w:pPr>
              <w:spacing w:after="160" w:line="259" w:lineRule="auto"/>
              <w:jc w:val="both"/>
            </w:pPr>
            <w:r w:rsidRPr="00D6250E">
              <w:t>0.240</w:t>
            </w:r>
          </w:p>
        </w:tc>
      </w:tr>
      <w:tr w:rsidR="00DB0E5C" w:rsidRPr="00D6250E" w14:paraId="6E8FEF20" w14:textId="77777777" w:rsidTr="000C561F">
        <w:trPr>
          <w:jc w:val="center"/>
        </w:trPr>
        <w:tc>
          <w:tcPr>
            <w:tcW w:w="0" w:type="auto"/>
            <w:hideMark/>
          </w:tcPr>
          <w:p w14:paraId="20A2DA6E" w14:textId="77777777" w:rsidR="00DB0E5C" w:rsidRPr="00D6250E" w:rsidRDefault="00DB0E5C" w:rsidP="009C199C">
            <w:pPr>
              <w:spacing w:after="160" w:line="259" w:lineRule="auto"/>
              <w:jc w:val="both"/>
            </w:pPr>
            <w:r w:rsidRPr="00D6250E">
              <w:t>MDG</w:t>
            </w:r>
          </w:p>
        </w:tc>
        <w:tc>
          <w:tcPr>
            <w:tcW w:w="0" w:type="auto"/>
            <w:hideMark/>
          </w:tcPr>
          <w:p w14:paraId="22A27E70" w14:textId="77777777" w:rsidR="00DB0E5C" w:rsidRPr="00D6250E" w:rsidRDefault="00DB0E5C" w:rsidP="009C199C">
            <w:pPr>
              <w:spacing w:after="160" w:line="259" w:lineRule="auto"/>
              <w:jc w:val="both"/>
            </w:pPr>
            <w:r w:rsidRPr="00D6250E">
              <w:t>0.517</w:t>
            </w:r>
          </w:p>
        </w:tc>
        <w:tc>
          <w:tcPr>
            <w:tcW w:w="0" w:type="auto"/>
            <w:hideMark/>
          </w:tcPr>
          <w:p w14:paraId="4ED9454F" w14:textId="77777777" w:rsidR="00DB0E5C" w:rsidRPr="00D6250E" w:rsidRDefault="00DB0E5C" w:rsidP="009C199C">
            <w:pPr>
              <w:spacing w:after="160" w:line="259" w:lineRule="auto"/>
              <w:jc w:val="both"/>
            </w:pPr>
            <w:r w:rsidRPr="00D6250E">
              <w:t>0.525</w:t>
            </w:r>
          </w:p>
        </w:tc>
        <w:tc>
          <w:tcPr>
            <w:tcW w:w="0" w:type="auto"/>
            <w:hideMark/>
          </w:tcPr>
          <w:p w14:paraId="6B25E142" w14:textId="77777777" w:rsidR="00DB0E5C" w:rsidRPr="00D6250E" w:rsidRDefault="00DB0E5C" w:rsidP="009C199C">
            <w:pPr>
              <w:spacing w:after="160" w:line="259" w:lineRule="auto"/>
              <w:jc w:val="both"/>
            </w:pPr>
            <w:r w:rsidRPr="00D6250E">
              <w:t>0.881</w:t>
            </w:r>
          </w:p>
        </w:tc>
        <w:tc>
          <w:tcPr>
            <w:tcW w:w="0" w:type="auto"/>
            <w:hideMark/>
          </w:tcPr>
          <w:p w14:paraId="49F59CDF" w14:textId="77777777" w:rsidR="00DB0E5C" w:rsidRPr="00D6250E" w:rsidRDefault="00DB0E5C" w:rsidP="009C199C">
            <w:pPr>
              <w:spacing w:after="160" w:line="259" w:lineRule="auto"/>
              <w:jc w:val="both"/>
            </w:pPr>
            <w:r w:rsidRPr="00D6250E">
              <w:t>0.100</w:t>
            </w:r>
          </w:p>
        </w:tc>
      </w:tr>
      <w:tr w:rsidR="00DB0E5C" w:rsidRPr="00D6250E" w14:paraId="6393D6F0" w14:textId="77777777" w:rsidTr="000C561F">
        <w:trPr>
          <w:jc w:val="center"/>
        </w:trPr>
        <w:tc>
          <w:tcPr>
            <w:tcW w:w="0" w:type="auto"/>
            <w:hideMark/>
          </w:tcPr>
          <w:p w14:paraId="22D58FD8" w14:textId="77777777" w:rsidR="00DB0E5C" w:rsidRPr="00D6250E" w:rsidRDefault="00DB0E5C" w:rsidP="009C199C">
            <w:pPr>
              <w:spacing w:after="160" w:line="259" w:lineRule="auto"/>
              <w:jc w:val="both"/>
            </w:pPr>
            <w:r w:rsidRPr="00D6250E">
              <w:t>Peak value</w:t>
            </w:r>
          </w:p>
        </w:tc>
        <w:tc>
          <w:tcPr>
            <w:tcW w:w="0" w:type="auto"/>
            <w:hideMark/>
          </w:tcPr>
          <w:p w14:paraId="75FC16A0" w14:textId="77777777" w:rsidR="00DB0E5C" w:rsidRPr="00D6250E" w:rsidRDefault="00DB0E5C" w:rsidP="009C199C">
            <w:pPr>
              <w:spacing w:after="160" w:line="259" w:lineRule="auto"/>
              <w:jc w:val="both"/>
            </w:pPr>
            <w:r w:rsidRPr="00D6250E">
              <w:t>0.567</w:t>
            </w:r>
          </w:p>
        </w:tc>
        <w:tc>
          <w:tcPr>
            <w:tcW w:w="0" w:type="auto"/>
            <w:hideMark/>
          </w:tcPr>
          <w:p w14:paraId="62FCEB10" w14:textId="77777777" w:rsidR="00DB0E5C" w:rsidRPr="00D6250E" w:rsidRDefault="00DB0E5C" w:rsidP="009C199C">
            <w:pPr>
              <w:spacing w:after="160" w:line="259" w:lineRule="auto"/>
              <w:jc w:val="both"/>
            </w:pPr>
            <w:r w:rsidRPr="00D6250E">
              <w:t>0.600</w:t>
            </w:r>
          </w:p>
        </w:tc>
        <w:tc>
          <w:tcPr>
            <w:tcW w:w="0" w:type="auto"/>
            <w:hideMark/>
          </w:tcPr>
          <w:p w14:paraId="7DCC13EB" w14:textId="77777777" w:rsidR="00DB0E5C" w:rsidRPr="00D6250E" w:rsidRDefault="00DB0E5C" w:rsidP="009C199C">
            <w:pPr>
              <w:spacing w:after="160" w:line="259" w:lineRule="auto"/>
              <w:jc w:val="both"/>
            </w:pPr>
            <w:r w:rsidRPr="00D6250E">
              <w:t>0.471</w:t>
            </w:r>
          </w:p>
        </w:tc>
        <w:tc>
          <w:tcPr>
            <w:tcW w:w="0" w:type="auto"/>
            <w:hideMark/>
          </w:tcPr>
          <w:p w14:paraId="3EA88F72" w14:textId="77777777" w:rsidR="00DB0E5C" w:rsidRPr="00D6250E" w:rsidRDefault="00DB0E5C" w:rsidP="009C199C">
            <w:pPr>
              <w:spacing w:after="160" w:line="259" w:lineRule="auto"/>
              <w:jc w:val="both"/>
            </w:pPr>
            <w:r w:rsidRPr="00D6250E">
              <w:t>0.488</w:t>
            </w:r>
          </w:p>
        </w:tc>
      </w:tr>
      <w:tr w:rsidR="00DB0E5C" w:rsidRPr="00D6250E" w14:paraId="7DC05BD4" w14:textId="77777777" w:rsidTr="000C561F">
        <w:trPr>
          <w:jc w:val="center"/>
        </w:trPr>
        <w:tc>
          <w:tcPr>
            <w:tcW w:w="0" w:type="auto"/>
            <w:hideMark/>
          </w:tcPr>
          <w:p w14:paraId="39A99CD0" w14:textId="77777777" w:rsidR="00DB0E5C" w:rsidRPr="00D6250E" w:rsidRDefault="00DB0E5C" w:rsidP="009C199C">
            <w:pPr>
              <w:spacing w:after="160" w:line="259" w:lineRule="auto"/>
              <w:jc w:val="both"/>
            </w:pPr>
            <w:r w:rsidRPr="00D6250E">
              <w:t>G value</w:t>
            </w:r>
          </w:p>
        </w:tc>
        <w:tc>
          <w:tcPr>
            <w:tcW w:w="0" w:type="auto"/>
            <w:hideMark/>
          </w:tcPr>
          <w:p w14:paraId="3AF1B96B" w14:textId="77777777" w:rsidR="00DB0E5C" w:rsidRPr="00D6250E" w:rsidRDefault="00DB0E5C" w:rsidP="009C199C">
            <w:pPr>
              <w:spacing w:after="160" w:line="259" w:lineRule="auto"/>
              <w:jc w:val="both"/>
            </w:pPr>
            <w:r w:rsidRPr="00D6250E">
              <w:t>0.295</w:t>
            </w:r>
          </w:p>
        </w:tc>
        <w:tc>
          <w:tcPr>
            <w:tcW w:w="0" w:type="auto"/>
            <w:hideMark/>
          </w:tcPr>
          <w:p w14:paraId="66632040" w14:textId="77777777" w:rsidR="00DB0E5C" w:rsidRPr="00D6250E" w:rsidRDefault="00DB0E5C" w:rsidP="009C199C">
            <w:pPr>
              <w:spacing w:after="160" w:line="259" w:lineRule="auto"/>
              <w:jc w:val="both"/>
            </w:pPr>
            <w:r w:rsidRPr="00D6250E">
              <w:t>0.320</w:t>
            </w:r>
          </w:p>
        </w:tc>
        <w:tc>
          <w:tcPr>
            <w:tcW w:w="0" w:type="auto"/>
            <w:hideMark/>
          </w:tcPr>
          <w:p w14:paraId="3C48B04F" w14:textId="77777777" w:rsidR="00DB0E5C" w:rsidRPr="00D6250E" w:rsidRDefault="00DB0E5C" w:rsidP="009C199C">
            <w:pPr>
              <w:spacing w:after="160" w:line="259" w:lineRule="auto"/>
              <w:jc w:val="both"/>
            </w:pPr>
            <w:r w:rsidRPr="00D6250E">
              <w:t>0.640</w:t>
            </w:r>
          </w:p>
        </w:tc>
        <w:tc>
          <w:tcPr>
            <w:tcW w:w="0" w:type="auto"/>
            <w:hideMark/>
          </w:tcPr>
          <w:p w14:paraId="6B24CC59" w14:textId="77777777" w:rsidR="00DB0E5C" w:rsidRPr="00D6250E" w:rsidRDefault="00DB0E5C" w:rsidP="009C199C">
            <w:pPr>
              <w:spacing w:after="160" w:line="259" w:lineRule="auto"/>
              <w:jc w:val="both"/>
            </w:pPr>
            <w:r w:rsidRPr="00D6250E">
              <w:t>0.313</w:t>
            </w:r>
          </w:p>
        </w:tc>
      </w:tr>
    </w:tbl>
    <w:p w14:paraId="33241ED1" w14:textId="76E8E6EA" w:rsidR="009C199C" w:rsidRPr="00D6250E" w:rsidRDefault="00AF615D" w:rsidP="00A509DD">
      <w:pPr>
        <w:jc w:val="both"/>
      </w:pPr>
      <w:r w:rsidRPr="00D6250E">
        <w:t xml:space="preserve">G% values are arcsine square-root transformed. p-values indicate significance (p &lt; 0.05). Cohen’s d represents effect size: ~0.2 small, ~0.5 medium, ≥0.8 large; positive values </w:t>
      </w:r>
      <w:proofErr w:type="spellStart"/>
      <w:r w:rsidRPr="00D6250E">
        <w:t>favor</w:t>
      </w:r>
      <w:proofErr w:type="spellEnd"/>
      <w:r w:rsidRPr="00D6250E">
        <w:t xml:space="preserve"> AMF, negative values </w:t>
      </w:r>
      <w:proofErr w:type="spellStart"/>
      <w:r w:rsidRPr="00D6250E">
        <w:t>favor</w:t>
      </w:r>
      <w:proofErr w:type="spellEnd"/>
      <w:r w:rsidRPr="00D6250E">
        <w:t xml:space="preserve"> Control.</w:t>
      </w:r>
    </w:p>
    <w:p w14:paraId="7C36F88A" w14:textId="217535DF" w:rsidR="00F05C4A" w:rsidRPr="00D6250E" w:rsidRDefault="00AF7873" w:rsidP="00F05C4A">
      <w:pPr>
        <w:jc w:val="both"/>
        <w:rPr>
          <w:b/>
          <w:bCs/>
        </w:rPr>
      </w:pPr>
      <w:r w:rsidRPr="00D6250E">
        <w:rPr>
          <w:b/>
          <w:bCs/>
        </w:rPr>
        <w:t xml:space="preserve">3.2. </w:t>
      </w:r>
      <w:r w:rsidR="00F05C4A" w:rsidRPr="00D6250E">
        <w:rPr>
          <w:b/>
          <w:bCs/>
        </w:rPr>
        <w:t>Seedling Growth Responses of Teak and Sandal under AMF and Control Treatments</w:t>
      </w:r>
    </w:p>
    <w:p w14:paraId="63E9D206" w14:textId="77777777" w:rsidR="00F05C4A" w:rsidRPr="00D6250E" w:rsidRDefault="00F05C4A" w:rsidP="00F05C4A">
      <w:pPr>
        <w:jc w:val="both"/>
      </w:pPr>
      <w:r w:rsidRPr="00D6250E">
        <w:t xml:space="preserve">The destructive sampling of one-year-old seedlings revealed clear species-specific differences in response to arbuscular mycorrhizal fungi (AMF) inoculation. While several shoot and root traits </w:t>
      </w:r>
      <w:r w:rsidRPr="00D6250E">
        <w:lastRenderedPageBreak/>
        <w:t xml:space="preserve">showed no significant differences at </w:t>
      </w:r>
      <w:r w:rsidRPr="00D6250E">
        <w:rPr>
          <w:i/>
          <w:iCs/>
        </w:rPr>
        <w:t>p</w:t>
      </w:r>
      <w:r w:rsidRPr="00D6250E">
        <w:t xml:space="preserve"> ≤ 0.05, effect size analysis highlighted biologically important shifts in growth allocation patterns between control and AMF treatments.</w:t>
      </w:r>
    </w:p>
    <w:p w14:paraId="1C2B0ED1" w14:textId="77777777" w:rsidR="00F05C4A" w:rsidRPr="00D6250E" w:rsidRDefault="00F05C4A" w:rsidP="00F05C4A">
      <w:pPr>
        <w:jc w:val="both"/>
      </w:pPr>
      <w:r w:rsidRPr="00D6250E">
        <w:t>In teak (</w:t>
      </w:r>
      <w:r w:rsidRPr="00D6250E">
        <w:rPr>
          <w:i/>
          <w:iCs/>
        </w:rPr>
        <w:t>Tectona grandis</w:t>
      </w:r>
      <w:r w:rsidRPr="00D6250E">
        <w:t xml:space="preserve">), AMF inoculation induced a pronounced shift in biomass allocation. The number of leaves was significantly reduced in AMF seedlings (6.7) compared with control (16.3; </w:t>
      </w:r>
      <w:r w:rsidRPr="00D6250E">
        <w:rPr>
          <w:i/>
          <w:iCs/>
        </w:rPr>
        <w:t>t</w:t>
      </w:r>
      <w:r w:rsidRPr="00D6250E">
        <w:t xml:space="preserve"> = 7.75, </w:t>
      </w:r>
      <w:r w:rsidRPr="00D6250E">
        <w:rPr>
          <w:i/>
          <w:iCs/>
        </w:rPr>
        <w:t>p</w:t>
      </w:r>
      <w:r w:rsidRPr="00D6250E">
        <w:t xml:space="preserve"> = 0.0015), with an extremely large negative effect size (d = –6.33). However, AMF seedlings compensated for reduced leaf number by developing much larger leaf area, which increased from 125.7 cm² in control to 202.7 cm² in AMF seedlings (</w:t>
      </w:r>
      <w:r w:rsidRPr="00D6250E">
        <w:rPr>
          <w:i/>
          <w:iCs/>
        </w:rPr>
        <w:t>t</w:t>
      </w:r>
      <w:r w:rsidRPr="00D6250E">
        <w:t xml:space="preserve"> = –9.84, </w:t>
      </w:r>
      <w:r w:rsidRPr="00D6250E">
        <w:rPr>
          <w:i/>
          <w:iCs/>
        </w:rPr>
        <w:t>p</w:t>
      </w:r>
      <w:r w:rsidRPr="00D6250E">
        <w:t xml:space="preserve"> = 0.0006, d = 8.04). Shoot length also tended to be higher in AMF seedlings (36.7 cm vs. 33.7 cm), with a very large effect size (d = 1.96), though this was not statistically significant (</w:t>
      </w:r>
      <w:r w:rsidRPr="00D6250E">
        <w:rPr>
          <w:i/>
          <w:iCs/>
        </w:rPr>
        <w:t>p</w:t>
      </w:r>
      <w:r w:rsidRPr="00D6250E">
        <w:t xml:space="preserve"> = 0.074). Root responses were particularly strong: root weight was significantly greater in AMF seedlings (5.88 g vs. 4.43 g; </w:t>
      </w:r>
      <w:r w:rsidRPr="00D6250E">
        <w:rPr>
          <w:i/>
          <w:iCs/>
        </w:rPr>
        <w:t>t</w:t>
      </w:r>
      <w:r w:rsidRPr="00D6250E">
        <w:t xml:space="preserve"> = –9.62, </w:t>
      </w:r>
      <w:r w:rsidRPr="00D6250E">
        <w:rPr>
          <w:i/>
          <w:iCs/>
        </w:rPr>
        <w:t>p</w:t>
      </w:r>
      <w:r w:rsidRPr="00D6250E">
        <w:t xml:space="preserve"> &lt; 0.001, d = 7.86), while root volume also increased (8.0 ml vs. 6.3 ml; </w:t>
      </w:r>
      <w:r w:rsidRPr="00D6250E">
        <w:rPr>
          <w:i/>
          <w:iCs/>
        </w:rPr>
        <w:t>p</w:t>
      </w:r>
      <w:r w:rsidRPr="00D6250E">
        <w:t xml:space="preserve"> = 0.067, d = 2.04). Total seedling biomass was higher under AMF (10.28 g vs. 8.96 g; </w:t>
      </w:r>
      <w:r w:rsidRPr="00D6250E">
        <w:rPr>
          <w:i/>
          <w:iCs/>
        </w:rPr>
        <w:t>p</w:t>
      </w:r>
      <w:r w:rsidRPr="00D6250E">
        <w:t xml:space="preserve"> = 0.109, d = 1.68), though not significant. Shoot weight and stem girth remained unaffected. These results, summarized in </w:t>
      </w:r>
      <w:r w:rsidRPr="00477A42">
        <w:t>Table</w:t>
      </w:r>
      <w:r w:rsidRPr="00D6250E">
        <w:rPr>
          <w:b/>
          <w:bCs/>
        </w:rPr>
        <w:t xml:space="preserve"> 3</w:t>
      </w:r>
      <w:r w:rsidRPr="00D6250E">
        <w:t xml:space="preserve">, demonstrate that teak seedlings under AMF adopted a resource reallocation strategy </w:t>
      </w:r>
      <w:proofErr w:type="spellStart"/>
      <w:r w:rsidRPr="00D6250E">
        <w:t>favoring</w:t>
      </w:r>
      <w:proofErr w:type="spellEnd"/>
      <w:r w:rsidRPr="00D6250E">
        <w:t xml:space="preserve"> fewer but larger leaves and stronger root biomass. The direction and magnitude of treatment effects are further illustrated in </w:t>
      </w:r>
      <w:r w:rsidRPr="00477A42">
        <w:t>Figure</w:t>
      </w:r>
      <w:r w:rsidRPr="00D6250E">
        <w:rPr>
          <w:b/>
          <w:bCs/>
        </w:rPr>
        <w:t xml:space="preserve"> 3</w:t>
      </w:r>
      <w:r w:rsidRPr="00D6250E">
        <w:t>, where leaf area and root biomass show the largest positive effects.</w:t>
      </w:r>
    </w:p>
    <w:p w14:paraId="0CEA4DCF" w14:textId="5524BEF9" w:rsidR="00F05C4A" w:rsidRPr="00D6250E" w:rsidRDefault="00F05C4A" w:rsidP="00F05C4A">
      <w:pPr>
        <w:jc w:val="both"/>
      </w:pPr>
      <w:r w:rsidRPr="00D6250E">
        <w:t>Table 3. Seedling growth parameters of teak (</w:t>
      </w:r>
      <w:r w:rsidRPr="00D6250E">
        <w:rPr>
          <w:i/>
          <w:iCs/>
        </w:rPr>
        <w:t>Tectona grandis</w:t>
      </w:r>
      <w:r w:rsidRPr="00D6250E">
        <w:t>) under control and AMF treatments.</w:t>
      </w:r>
    </w:p>
    <w:tbl>
      <w:tblPr>
        <w:tblStyle w:val="TableGrid"/>
        <w:tblW w:w="0" w:type="auto"/>
        <w:jc w:val="center"/>
        <w:tblLook w:val="04A0" w:firstRow="1" w:lastRow="0" w:firstColumn="1" w:lastColumn="0" w:noHBand="0" w:noVBand="1"/>
      </w:tblPr>
      <w:tblGrid>
        <w:gridCol w:w="1950"/>
        <w:gridCol w:w="1012"/>
        <w:gridCol w:w="876"/>
        <w:gridCol w:w="963"/>
        <w:gridCol w:w="1228"/>
      </w:tblGrid>
      <w:tr w:rsidR="00DB0E5C" w:rsidRPr="00D6250E" w14:paraId="7CF4856C" w14:textId="77777777" w:rsidTr="000C561F">
        <w:trPr>
          <w:jc w:val="center"/>
        </w:trPr>
        <w:tc>
          <w:tcPr>
            <w:tcW w:w="0" w:type="auto"/>
            <w:hideMark/>
          </w:tcPr>
          <w:p w14:paraId="5E627732" w14:textId="77777777" w:rsidR="00DB0E5C" w:rsidRPr="00D6250E" w:rsidRDefault="00DB0E5C" w:rsidP="00F05C4A">
            <w:pPr>
              <w:spacing w:after="160" w:line="259" w:lineRule="auto"/>
              <w:jc w:val="both"/>
              <w:rPr>
                <w:b/>
                <w:bCs/>
              </w:rPr>
            </w:pPr>
            <w:r w:rsidRPr="00D6250E">
              <w:rPr>
                <w:b/>
                <w:bCs/>
              </w:rPr>
              <w:t>Parameter</w:t>
            </w:r>
          </w:p>
        </w:tc>
        <w:tc>
          <w:tcPr>
            <w:tcW w:w="0" w:type="auto"/>
            <w:hideMark/>
          </w:tcPr>
          <w:p w14:paraId="0283A464" w14:textId="02D2CF7E" w:rsidR="00DB0E5C" w:rsidRPr="00D6250E" w:rsidRDefault="00DB0E5C" w:rsidP="00F05C4A">
            <w:pPr>
              <w:spacing w:after="160" w:line="259" w:lineRule="auto"/>
              <w:jc w:val="both"/>
              <w:rPr>
                <w:b/>
                <w:bCs/>
              </w:rPr>
            </w:pPr>
            <w:r w:rsidRPr="00D6250E">
              <w:rPr>
                <w:b/>
                <w:bCs/>
              </w:rPr>
              <w:t xml:space="preserve">Control </w:t>
            </w:r>
          </w:p>
        </w:tc>
        <w:tc>
          <w:tcPr>
            <w:tcW w:w="0" w:type="auto"/>
            <w:hideMark/>
          </w:tcPr>
          <w:p w14:paraId="0F464109" w14:textId="6C6ED0DD" w:rsidR="00DB0E5C" w:rsidRPr="00D6250E" w:rsidRDefault="00DB0E5C" w:rsidP="00F05C4A">
            <w:pPr>
              <w:spacing w:after="160" w:line="259" w:lineRule="auto"/>
              <w:jc w:val="both"/>
              <w:rPr>
                <w:b/>
                <w:bCs/>
              </w:rPr>
            </w:pPr>
            <w:r w:rsidRPr="00D6250E">
              <w:rPr>
                <w:b/>
                <w:bCs/>
              </w:rPr>
              <w:t xml:space="preserve">AMF </w:t>
            </w:r>
          </w:p>
        </w:tc>
        <w:tc>
          <w:tcPr>
            <w:tcW w:w="0" w:type="auto"/>
            <w:hideMark/>
          </w:tcPr>
          <w:p w14:paraId="6093A8AA" w14:textId="77777777" w:rsidR="00DB0E5C" w:rsidRPr="00D6250E" w:rsidRDefault="00DB0E5C" w:rsidP="00F05C4A">
            <w:pPr>
              <w:spacing w:after="160" w:line="259" w:lineRule="auto"/>
              <w:jc w:val="both"/>
              <w:rPr>
                <w:b/>
                <w:bCs/>
              </w:rPr>
            </w:pPr>
            <w:r w:rsidRPr="00D6250E">
              <w:rPr>
                <w:b/>
                <w:bCs/>
                <w:i/>
                <w:iCs/>
              </w:rPr>
              <w:t>p</w:t>
            </w:r>
            <w:r w:rsidRPr="00D6250E">
              <w:rPr>
                <w:b/>
                <w:bCs/>
              </w:rPr>
              <w:t>-value</w:t>
            </w:r>
          </w:p>
        </w:tc>
        <w:tc>
          <w:tcPr>
            <w:tcW w:w="0" w:type="auto"/>
            <w:hideMark/>
          </w:tcPr>
          <w:p w14:paraId="57EB67A8" w14:textId="77777777" w:rsidR="00DB0E5C" w:rsidRPr="00D6250E" w:rsidRDefault="00DB0E5C" w:rsidP="00F05C4A">
            <w:pPr>
              <w:spacing w:after="160" w:line="259" w:lineRule="auto"/>
              <w:jc w:val="both"/>
              <w:rPr>
                <w:b/>
                <w:bCs/>
              </w:rPr>
            </w:pPr>
            <w:r w:rsidRPr="00D6250E">
              <w:rPr>
                <w:b/>
                <w:bCs/>
              </w:rPr>
              <w:t xml:space="preserve">Cohen’s </w:t>
            </w:r>
            <w:r w:rsidRPr="00D6250E">
              <w:rPr>
                <w:b/>
                <w:bCs/>
                <w:i/>
                <w:iCs/>
              </w:rPr>
              <w:t>d</w:t>
            </w:r>
          </w:p>
        </w:tc>
      </w:tr>
      <w:tr w:rsidR="00DB0E5C" w:rsidRPr="00D6250E" w14:paraId="3078E343" w14:textId="77777777" w:rsidTr="000C561F">
        <w:trPr>
          <w:jc w:val="center"/>
        </w:trPr>
        <w:tc>
          <w:tcPr>
            <w:tcW w:w="0" w:type="auto"/>
            <w:hideMark/>
          </w:tcPr>
          <w:p w14:paraId="4BAF87EE" w14:textId="77777777" w:rsidR="00DB0E5C" w:rsidRPr="00D6250E" w:rsidRDefault="00DB0E5C" w:rsidP="00F05C4A">
            <w:pPr>
              <w:spacing w:after="160" w:line="259" w:lineRule="auto"/>
              <w:jc w:val="both"/>
            </w:pPr>
            <w:r w:rsidRPr="00D6250E">
              <w:t>Number of leaves</w:t>
            </w:r>
          </w:p>
        </w:tc>
        <w:tc>
          <w:tcPr>
            <w:tcW w:w="0" w:type="auto"/>
            <w:hideMark/>
          </w:tcPr>
          <w:p w14:paraId="27FE8D81" w14:textId="77777777" w:rsidR="00DB0E5C" w:rsidRPr="00D6250E" w:rsidRDefault="00DB0E5C" w:rsidP="00F05C4A">
            <w:pPr>
              <w:spacing w:after="160" w:line="259" w:lineRule="auto"/>
              <w:jc w:val="both"/>
            </w:pPr>
            <w:r w:rsidRPr="00D6250E">
              <w:t>16.33</w:t>
            </w:r>
          </w:p>
        </w:tc>
        <w:tc>
          <w:tcPr>
            <w:tcW w:w="0" w:type="auto"/>
            <w:hideMark/>
          </w:tcPr>
          <w:p w14:paraId="6B8751BF" w14:textId="77777777" w:rsidR="00DB0E5C" w:rsidRPr="00D6250E" w:rsidRDefault="00DB0E5C" w:rsidP="00F05C4A">
            <w:pPr>
              <w:spacing w:after="160" w:line="259" w:lineRule="auto"/>
              <w:jc w:val="both"/>
            </w:pPr>
            <w:r w:rsidRPr="00D6250E">
              <w:t>6.67</w:t>
            </w:r>
          </w:p>
        </w:tc>
        <w:tc>
          <w:tcPr>
            <w:tcW w:w="0" w:type="auto"/>
            <w:hideMark/>
          </w:tcPr>
          <w:p w14:paraId="6769AB4F" w14:textId="77777777" w:rsidR="00DB0E5C" w:rsidRPr="00D6250E" w:rsidRDefault="00DB0E5C" w:rsidP="00F05C4A">
            <w:pPr>
              <w:spacing w:after="160" w:line="259" w:lineRule="auto"/>
              <w:jc w:val="both"/>
            </w:pPr>
            <w:r w:rsidRPr="00D6250E">
              <w:t>0.0015</w:t>
            </w:r>
          </w:p>
        </w:tc>
        <w:tc>
          <w:tcPr>
            <w:tcW w:w="0" w:type="auto"/>
            <w:hideMark/>
          </w:tcPr>
          <w:p w14:paraId="6D494F6C" w14:textId="77777777" w:rsidR="00DB0E5C" w:rsidRPr="00D6250E" w:rsidRDefault="00DB0E5C" w:rsidP="00F05C4A">
            <w:pPr>
              <w:spacing w:after="160" w:line="259" w:lineRule="auto"/>
              <w:jc w:val="both"/>
            </w:pPr>
            <w:r w:rsidRPr="00D6250E">
              <w:t>–6.33</w:t>
            </w:r>
          </w:p>
        </w:tc>
      </w:tr>
      <w:tr w:rsidR="00DB0E5C" w:rsidRPr="00D6250E" w14:paraId="48B114BC" w14:textId="77777777" w:rsidTr="000C561F">
        <w:trPr>
          <w:jc w:val="center"/>
        </w:trPr>
        <w:tc>
          <w:tcPr>
            <w:tcW w:w="0" w:type="auto"/>
            <w:hideMark/>
          </w:tcPr>
          <w:p w14:paraId="28B35317" w14:textId="77777777" w:rsidR="00DB0E5C" w:rsidRPr="00D6250E" w:rsidRDefault="00DB0E5C" w:rsidP="00F05C4A">
            <w:pPr>
              <w:spacing w:after="160" w:line="259" w:lineRule="auto"/>
              <w:jc w:val="both"/>
            </w:pPr>
            <w:r w:rsidRPr="00D6250E">
              <w:t>Shoot length (cm)</w:t>
            </w:r>
          </w:p>
        </w:tc>
        <w:tc>
          <w:tcPr>
            <w:tcW w:w="0" w:type="auto"/>
            <w:hideMark/>
          </w:tcPr>
          <w:p w14:paraId="0287535B" w14:textId="77777777" w:rsidR="00DB0E5C" w:rsidRPr="00D6250E" w:rsidRDefault="00DB0E5C" w:rsidP="00F05C4A">
            <w:pPr>
              <w:spacing w:after="160" w:line="259" w:lineRule="auto"/>
              <w:jc w:val="both"/>
            </w:pPr>
            <w:r w:rsidRPr="00D6250E">
              <w:t>33.67</w:t>
            </w:r>
          </w:p>
        </w:tc>
        <w:tc>
          <w:tcPr>
            <w:tcW w:w="0" w:type="auto"/>
            <w:hideMark/>
          </w:tcPr>
          <w:p w14:paraId="1C956DCD" w14:textId="77777777" w:rsidR="00DB0E5C" w:rsidRPr="00D6250E" w:rsidRDefault="00DB0E5C" w:rsidP="00F05C4A">
            <w:pPr>
              <w:spacing w:after="160" w:line="259" w:lineRule="auto"/>
              <w:jc w:val="both"/>
            </w:pPr>
            <w:r w:rsidRPr="00D6250E">
              <w:t>36.67</w:t>
            </w:r>
          </w:p>
        </w:tc>
        <w:tc>
          <w:tcPr>
            <w:tcW w:w="0" w:type="auto"/>
            <w:hideMark/>
          </w:tcPr>
          <w:p w14:paraId="05567C68" w14:textId="77777777" w:rsidR="00DB0E5C" w:rsidRPr="00D6250E" w:rsidRDefault="00DB0E5C" w:rsidP="00F05C4A">
            <w:pPr>
              <w:spacing w:after="160" w:line="259" w:lineRule="auto"/>
              <w:jc w:val="both"/>
            </w:pPr>
            <w:r w:rsidRPr="00D6250E">
              <w:t>0.0739</w:t>
            </w:r>
          </w:p>
        </w:tc>
        <w:tc>
          <w:tcPr>
            <w:tcW w:w="0" w:type="auto"/>
            <w:hideMark/>
          </w:tcPr>
          <w:p w14:paraId="38023B7E" w14:textId="77777777" w:rsidR="00DB0E5C" w:rsidRPr="00D6250E" w:rsidRDefault="00DB0E5C" w:rsidP="00F05C4A">
            <w:pPr>
              <w:spacing w:after="160" w:line="259" w:lineRule="auto"/>
              <w:jc w:val="both"/>
            </w:pPr>
            <w:r w:rsidRPr="00D6250E">
              <w:t>1.96</w:t>
            </w:r>
          </w:p>
        </w:tc>
      </w:tr>
      <w:tr w:rsidR="00DB0E5C" w:rsidRPr="00D6250E" w14:paraId="2B09EC33" w14:textId="77777777" w:rsidTr="000C561F">
        <w:trPr>
          <w:jc w:val="center"/>
        </w:trPr>
        <w:tc>
          <w:tcPr>
            <w:tcW w:w="0" w:type="auto"/>
            <w:hideMark/>
          </w:tcPr>
          <w:p w14:paraId="4C754078" w14:textId="77777777" w:rsidR="00DB0E5C" w:rsidRPr="00D6250E" w:rsidRDefault="00DB0E5C" w:rsidP="00F05C4A">
            <w:pPr>
              <w:spacing w:after="160" w:line="259" w:lineRule="auto"/>
              <w:jc w:val="both"/>
            </w:pPr>
            <w:r w:rsidRPr="00D6250E">
              <w:t>Root length (cm)</w:t>
            </w:r>
          </w:p>
        </w:tc>
        <w:tc>
          <w:tcPr>
            <w:tcW w:w="0" w:type="auto"/>
            <w:hideMark/>
          </w:tcPr>
          <w:p w14:paraId="49372312" w14:textId="77777777" w:rsidR="00DB0E5C" w:rsidRPr="00D6250E" w:rsidRDefault="00DB0E5C" w:rsidP="00F05C4A">
            <w:pPr>
              <w:spacing w:after="160" w:line="259" w:lineRule="auto"/>
              <w:jc w:val="both"/>
            </w:pPr>
            <w:r w:rsidRPr="00D6250E">
              <w:t>21.67</w:t>
            </w:r>
          </w:p>
        </w:tc>
        <w:tc>
          <w:tcPr>
            <w:tcW w:w="0" w:type="auto"/>
            <w:hideMark/>
          </w:tcPr>
          <w:p w14:paraId="63493D75" w14:textId="77777777" w:rsidR="00DB0E5C" w:rsidRPr="00D6250E" w:rsidRDefault="00DB0E5C" w:rsidP="00F05C4A">
            <w:pPr>
              <w:spacing w:after="160" w:line="259" w:lineRule="auto"/>
              <w:jc w:val="both"/>
            </w:pPr>
            <w:r w:rsidRPr="00D6250E">
              <w:t>19.67</w:t>
            </w:r>
          </w:p>
        </w:tc>
        <w:tc>
          <w:tcPr>
            <w:tcW w:w="0" w:type="auto"/>
            <w:hideMark/>
          </w:tcPr>
          <w:p w14:paraId="03BD63AD" w14:textId="77777777" w:rsidR="00DB0E5C" w:rsidRPr="00D6250E" w:rsidRDefault="00DB0E5C" w:rsidP="00F05C4A">
            <w:pPr>
              <w:spacing w:after="160" w:line="259" w:lineRule="auto"/>
              <w:jc w:val="both"/>
            </w:pPr>
            <w:r w:rsidRPr="00D6250E">
              <w:t>0.101</w:t>
            </w:r>
          </w:p>
        </w:tc>
        <w:tc>
          <w:tcPr>
            <w:tcW w:w="0" w:type="auto"/>
            <w:hideMark/>
          </w:tcPr>
          <w:p w14:paraId="523DE1BD" w14:textId="77777777" w:rsidR="00DB0E5C" w:rsidRPr="00D6250E" w:rsidRDefault="00DB0E5C" w:rsidP="00F05C4A">
            <w:pPr>
              <w:spacing w:after="160" w:line="259" w:lineRule="auto"/>
              <w:jc w:val="both"/>
            </w:pPr>
            <w:r w:rsidRPr="00D6250E">
              <w:t>–1.73</w:t>
            </w:r>
          </w:p>
        </w:tc>
      </w:tr>
      <w:tr w:rsidR="00DB0E5C" w:rsidRPr="00D6250E" w14:paraId="76DAEEA5" w14:textId="77777777" w:rsidTr="000C561F">
        <w:trPr>
          <w:jc w:val="center"/>
        </w:trPr>
        <w:tc>
          <w:tcPr>
            <w:tcW w:w="0" w:type="auto"/>
            <w:hideMark/>
          </w:tcPr>
          <w:p w14:paraId="36B72084" w14:textId="77777777" w:rsidR="00DB0E5C" w:rsidRPr="00D6250E" w:rsidRDefault="00DB0E5C" w:rsidP="00F05C4A">
            <w:pPr>
              <w:spacing w:after="160" w:line="259" w:lineRule="auto"/>
              <w:jc w:val="both"/>
            </w:pPr>
            <w:r w:rsidRPr="00D6250E">
              <w:t>Stem girth (mm)</w:t>
            </w:r>
          </w:p>
        </w:tc>
        <w:tc>
          <w:tcPr>
            <w:tcW w:w="0" w:type="auto"/>
            <w:hideMark/>
          </w:tcPr>
          <w:p w14:paraId="2A674670" w14:textId="77777777" w:rsidR="00DB0E5C" w:rsidRPr="00D6250E" w:rsidRDefault="00DB0E5C" w:rsidP="00F05C4A">
            <w:pPr>
              <w:spacing w:after="160" w:line="259" w:lineRule="auto"/>
              <w:jc w:val="both"/>
            </w:pPr>
            <w:r w:rsidRPr="00D6250E">
              <w:t>3.57</w:t>
            </w:r>
          </w:p>
        </w:tc>
        <w:tc>
          <w:tcPr>
            <w:tcW w:w="0" w:type="auto"/>
            <w:hideMark/>
          </w:tcPr>
          <w:p w14:paraId="57061266" w14:textId="77777777" w:rsidR="00DB0E5C" w:rsidRPr="00D6250E" w:rsidRDefault="00DB0E5C" w:rsidP="00F05C4A">
            <w:pPr>
              <w:spacing w:after="160" w:line="259" w:lineRule="auto"/>
              <w:jc w:val="both"/>
            </w:pPr>
            <w:r w:rsidRPr="00D6250E">
              <w:t>3.57</w:t>
            </w:r>
          </w:p>
        </w:tc>
        <w:tc>
          <w:tcPr>
            <w:tcW w:w="0" w:type="auto"/>
            <w:hideMark/>
          </w:tcPr>
          <w:p w14:paraId="60648923" w14:textId="77777777" w:rsidR="00DB0E5C" w:rsidRPr="00D6250E" w:rsidRDefault="00DB0E5C" w:rsidP="00F05C4A">
            <w:pPr>
              <w:spacing w:after="160" w:line="259" w:lineRule="auto"/>
              <w:jc w:val="both"/>
            </w:pPr>
            <w:r w:rsidRPr="00D6250E">
              <w:t>0.986</w:t>
            </w:r>
          </w:p>
        </w:tc>
        <w:tc>
          <w:tcPr>
            <w:tcW w:w="0" w:type="auto"/>
            <w:hideMark/>
          </w:tcPr>
          <w:p w14:paraId="3F032623" w14:textId="77777777" w:rsidR="00DB0E5C" w:rsidRPr="00D6250E" w:rsidRDefault="00DB0E5C" w:rsidP="00F05C4A">
            <w:pPr>
              <w:spacing w:after="160" w:line="259" w:lineRule="auto"/>
              <w:jc w:val="both"/>
            </w:pPr>
            <w:r w:rsidRPr="00D6250E">
              <w:t>–0.02</w:t>
            </w:r>
          </w:p>
        </w:tc>
      </w:tr>
      <w:tr w:rsidR="00DB0E5C" w:rsidRPr="00D6250E" w14:paraId="76F8E612" w14:textId="77777777" w:rsidTr="000C561F">
        <w:trPr>
          <w:jc w:val="center"/>
        </w:trPr>
        <w:tc>
          <w:tcPr>
            <w:tcW w:w="0" w:type="auto"/>
            <w:hideMark/>
          </w:tcPr>
          <w:p w14:paraId="4802194A" w14:textId="77777777" w:rsidR="00DB0E5C" w:rsidRPr="00D6250E" w:rsidRDefault="00DB0E5C" w:rsidP="00F05C4A">
            <w:pPr>
              <w:spacing w:after="160" w:line="259" w:lineRule="auto"/>
              <w:jc w:val="both"/>
            </w:pPr>
            <w:r w:rsidRPr="00D6250E">
              <w:t>Total weight (g)</w:t>
            </w:r>
          </w:p>
        </w:tc>
        <w:tc>
          <w:tcPr>
            <w:tcW w:w="0" w:type="auto"/>
            <w:hideMark/>
          </w:tcPr>
          <w:p w14:paraId="139114B6" w14:textId="77777777" w:rsidR="00DB0E5C" w:rsidRPr="00D6250E" w:rsidRDefault="00DB0E5C" w:rsidP="00F05C4A">
            <w:pPr>
              <w:spacing w:after="160" w:line="259" w:lineRule="auto"/>
              <w:jc w:val="both"/>
            </w:pPr>
            <w:r w:rsidRPr="00D6250E">
              <w:t>8.96</w:t>
            </w:r>
          </w:p>
        </w:tc>
        <w:tc>
          <w:tcPr>
            <w:tcW w:w="0" w:type="auto"/>
            <w:hideMark/>
          </w:tcPr>
          <w:p w14:paraId="3FD44204" w14:textId="77777777" w:rsidR="00DB0E5C" w:rsidRPr="00D6250E" w:rsidRDefault="00DB0E5C" w:rsidP="00F05C4A">
            <w:pPr>
              <w:spacing w:after="160" w:line="259" w:lineRule="auto"/>
              <w:jc w:val="both"/>
            </w:pPr>
            <w:r w:rsidRPr="00D6250E">
              <w:t>10.28</w:t>
            </w:r>
          </w:p>
        </w:tc>
        <w:tc>
          <w:tcPr>
            <w:tcW w:w="0" w:type="auto"/>
            <w:hideMark/>
          </w:tcPr>
          <w:p w14:paraId="7B9488C3" w14:textId="77777777" w:rsidR="00DB0E5C" w:rsidRPr="00D6250E" w:rsidRDefault="00DB0E5C" w:rsidP="00F05C4A">
            <w:pPr>
              <w:spacing w:after="160" w:line="259" w:lineRule="auto"/>
              <w:jc w:val="both"/>
            </w:pPr>
            <w:r w:rsidRPr="00D6250E">
              <w:t>0.109</w:t>
            </w:r>
          </w:p>
        </w:tc>
        <w:tc>
          <w:tcPr>
            <w:tcW w:w="0" w:type="auto"/>
            <w:hideMark/>
          </w:tcPr>
          <w:p w14:paraId="677462A3" w14:textId="77777777" w:rsidR="00DB0E5C" w:rsidRPr="00D6250E" w:rsidRDefault="00DB0E5C" w:rsidP="00F05C4A">
            <w:pPr>
              <w:spacing w:after="160" w:line="259" w:lineRule="auto"/>
              <w:jc w:val="both"/>
            </w:pPr>
            <w:r w:rsidRPr="00D6250E">
              <w:t>1.68</w:t>
            </w:r>
          </w:p>
        </w:tc>
      </w:tr>
      <w:tr w:rsidR="00DB0E5C" w:rsidRPr="00D6250E" w14:paraId="09B702D7" w14:textId="77777777" w:rsidTr="000C561F">
        <w:trPr>
          <w:jc w:val="center"/>
        </w:trPr>
        <w:tc>
          <w:tcPr>
            <w:tcW w:w="0" w:type="auto"/>
            <w:hideMark/>
          </w:tcPr>
          <w:p w14:paraId="459F3F18" w14:textId="77777777" w:rsidR="00DB0E5C" w:rsidRPr="00D6250E" w:rsidRDefault="00DB0E5C" w:rsidP="00F05C4A">
            <w:pPr>
              <w:spacing w:after="160" w:line="259" w:lineRule="auto"/>
              <w:jc w:val="both"/>
            </w:pPr>
            <w:r w:rsidRPr="00D6250E">
              <w:t>Shoot weight (g)</w:t>
            </w:r>
          </w:p>
        </w:tc>
        <w:tc>
          <w:tcPr>
            <w:tcW w:w="0" w:type="auto"/>
            <w:hideMark/>
          </w:tcPr>
          <w:p w14:paraId="09444D9E" w14:textId="77777777" w:rsidR="00DB0E5C" w:rsidRPr="00D6250E" w:rsidRDefault="00DB0E5C" w:rsidP="00F05C4A">
            <w:pPr>
              <w:spacing w:after="160" w:line="259" w:lineRule="auto"/>
              <w:jc w:val="both"/>
            </w:pPr>
            <w:r w:rsidRPr="00D6250E">
              <w:t>4.53</w:t>
            </w:r>
          </w:p>
        </w:tc>
        <w:tc>
          <w:tcPr>
            <w:tcW w:w="0" w:type="auto"/>
            <w:hideMark/>
          </w:tcPr>
          <w:p w14:paraId="1C626E55" w14:textId="77777777" w:rsidR="00DB0E5C" w:rsidRPr="00D6250E" w:rsidRDefault="00DB0E5C" w:rsidP="00F05C4A">
            <w:pPr>
              <w:spacing w:after="160" w:line="259" w:lineRule="auto"/>
              <w:jc w:val="both"/>
            </w:pPr>
            <w:r w:rsidRPr="00D6250E">
              <w:t>4.40</w:t>
            </w:r>
          </w:p>
        </w:tc>
        <w:tc>
          <w:tcPr>
            <w:tcW w:w="0" w:type="auto"/>
            <w:hideMark/>
          </w:tcPr>
          <w:p w14:paraId="429E69E6" w14:textId="77777777" w:rsidR="00DB0E5C" w:rsidRPr="00D6250E" w:rsidRDefault="00DB0E5C" w:rsidP="00F05C4A">
            <w:pPr>
              <w:spacing w:after="160" w:line="259" w:lineRule="auto"/>
              <w:jc w:val="both"/>
            </w:pPr>
            <w:r w:rsidRPr="00D6250E">
              <w:t>0.815</w:t>
            </w:r>
          </w:p>
        </w:tc>
        <w:tc>
          <w:tcPr>
            <w:tcW w:w="0" w:type="auto"/>
            <w:hideMark/>
          </w:tcPr>
          <w:p w14:paraId="1C4E7A50" w14:textId="77777777" w:rsidR="00DB0E5C" w:rsidRPr="00D6250E" w:rsidRDefault="00DB0E5C" w:rsidP="00F05C4A">
            <w:pPr>
              <w:spacing w:after="160" w:line="259" w:lineRule="auto"/>
              <w:jc w:val="both"/>
            </w:pPr>
            <w:r w:rsidRPr="00D6250E">
              <w:t>–0.20</w:t>
            </w:r>
          </w:p>
        </w:tc>
      </w:tr>
      <w:tr w:rsidR="00DB0E5C" w:rsidRPr="00D6250E" w14:paraId="6DB56467" w14:textId="77777777" w:rsidTr="000C561F">
        <w:trPr>
          <w:jc w:val="center"/>
        </w:trPr>
        <w:tc>
          <w:tcPr>
            <w:tcW w:w="0" w:type="auto"/>
            <w:hideMark/>
          </w:tcPr>
          <w:p w14:paraId="4CF4B949" w14:textId="77777777" w:rsidR="00DB0E5C" w:rsidRPr="00D6250E" w:rsidRDefault="00DB0E5C" w:rsidP="00F05C4A">
            <w:pPr>
              <w:spacing w:after="160" w:line="259" w:lineRule="auto"/>
              <w:jc w:val="both"/>
            </w:pPr>
            <w:r w:rsidRPr="00D6250E">
              <w:t>Root weight (g)</w:t>
            </w:r>
          </w:p>
        </w:tc>
        <w:tc>
          <w:tcPr>
            <w:tcW w:w="0" w:type="auto"/>
            <w:hideMark/>
          </w:tcPr>
          <w:p w14:paraId="637514C9" w14:textId="77777777" w:rsidR="00DB0E5C" w:rsidRPr="00D6250E" w:rsidRDefault="00DB0E5C" w:rsidP="00F05C4A">
            <w:pPr>
              <w:spacing w:after="160" w:line="259" w:lineRule="auto"/>
              <w:jc w:val="both"/>
            </w:pPr>
            <w:r w:rsidRPr="00D6250E">
              <w:t>4.43</w:t>
            </w:r>
          </w:p>
        </w:tc>
        <w:tc>
          <w:tcPr>
            <w:tcW w:w="0" w:type="auto"/>
            <w:hideMark/>
          </w:tcPr>
          <w:p w14:paraId="1DAB591C" w14:textId="77777777" w:rsidR="00DB0E5C" w:rsidRPr="00D6250E" w:rsidRDefault="00DB0E5C" w:rsidP="00F05C4A">
            <w:pPr>
              <w:spacing w:after="160" w:line="259" w:lineRule="auto"/>
              <w:jc w:val="both"/>
            </w:pPr>
            <w:r w:rsidRPr="00D6250E">
              <w:t>5.88</w:t>
            </w:r>
          </w:p>
        </w:tc>
        <w:tc>
          <w:tcPr>
            <w:tcW w:w="0" w:type="auto"/>
            <w:hideMark/>
          </w:tcPr>
          <w:p w14:paraId="270BB264" w14:textId="77777777" w:rsidR="00DB0E5C" w:rsidRPr="00D6250E" w:rsidRDefault="00DB0E5C" w:rsidP="00F05C4A">
            <w:pPr>
              <w:spacing w:after="160" w:line="259" w:lineRule="auto"/>
              <w:jc w:val="both"/>
            </w:pPr>
            <w:r w:rsidRPr="00D6250E">
              <w:t>0.0007</w:t>
            </w:r>
          </w:p>
        </w:tc>
        <w:tc>
          <w:tcPr>
            <w:tcW w:w="0" w:type="auto"/>
            <w:hideMark/>
          </w:tcPr>
          <w:p w14:paraId="2AFAAC6C" w14:textId="77777777" w:rsidR="00DB0E5C" w:rsidRPr="00D6250E" w:rsidRDefault="00DB0E5C" w:rsidP="00F05C4A">
            <w:pPr>
              <w:spacing w:after="160" w:line="259" w:lineRule="auto"/>
              <w:jc w:val="both"/>
            </w:pPr>
            <w:r w:rsidRPr="00D6250E">
              <w:t>7.86</w:t>
            </w:r>
          </w:p>
        </w:tc>
      </w:tr>
      <w:tr w:rsidR="00DB0E5C" w:rsidRPr="00D6250E" w14:paraId="1E089DD5" w14:textId="77777777" w:rsidTr="000C561F">
        <w:trPr>
          <w:jc w:val="center"/>
        </w:trPr>
        <w:tc>
          <w:tcPr>
            <w:tcW w:w="0" w:type="auto"/>
            <w:hideMark/>
          </w:tcPr>
          <w:p w14:paraId="62D9B3F5" w14:textId="77777777" w:rsidR="00DB0E5C" w:rsidRPr="00D6250E" w:rsidRDefault="00DB0E5C" w:rsidP="00F05C4A">
            <w:pPr>
              <w:spacing w:after="160" w:line="259" w:lineRule="auto"/>
              <w:jc w:val="both"/>
            </w:pPr>
            <w:r w:rsidRPr="00D6250E">
              <w:t>Root volume (ml)</w:t>
            </w:r>
          </w:p>
        </w:tc>
        <w:tc>
          <w:tcPr>
            <w:tcW w:w="0" w:type="auto"/>
            <w:hideMark/>
          </w:tcPr>
          <w:p w14:paraId="54D9B79D" w14:textId="77777777" w:rsidR="00DB0E5C" w:rsidRPr="00D6250E" w:rsidRDefault="00DB0E5C" w:rsidP="00F05C4A">
            <w:pPr>
              <w:spacing w:after="160" w:line="259" w:lineRule="auto"/>
              <w:jc w:val="both"/>
            </w:pPr>
            <w:r w:rsidRPr="00D6250E">
              <w:t>6.33</w:t>
            </w:r>
          </w:p>
        </w:tc>
        <w:tc>
          <w:tcPr>
            <w:tcW w:w="0" w:type="auto"/>
            <w:hideMark/>
          </w:tcPr>
          <w:p w14:paraId="3F65D44F" w14:textId="77777777" w:rsidR="00DB0E5C" w:rsidRPr="00D6250E" w:rsidRDefault="00DB0E5C" w:rsidP="00F05C4A">
            <w:pPr>
              <w:spacing w:after="160" w:line="259" w:lineRule="auto"/>
              <w:jc w:val="both"/>
            </w:pPr>
            <w:r w:rsidRPr="00D6250E">
              <w:t>8.00</w:t>
            </w:r>
          </w:p>
        </w:tc>
        <w:tc>
          <w:tcPr>
            <w:tcW w:w="0" w:type="auto"/>
            <w:hideMark/>
          </w:tcPr>
          <w:p w14:paraId="3A7AC8CB" w14:textId="77777777" w:rsidR="00DB0E5C" w:rsidRPr="00D6250E" w:rsidRDefault="00DB0E5C" w:rsidP="00F05C4A">
            <w:pPr>
              <w:spacing w:after="160" w:line="259" w:lineRule="auto"/>
              <w:jc w:val="both"/>
            </w:pPr>
            <w:r w:rsidRPr="00D6250E">
              <w:t>0.0668</w:t>
            </w:r>
          </w:p>
        </w:tc>
        <w:tc>
          <w:tcPr>
            <w:tcW w:w="0" w:type="auto"/>
            <w:hideMark/>
          </w:tcPr>
          <w:p w14:paraId="2C7EF84E" w14:textId="77777777" w:rsidR="00DB0E5C" w:rsidRPr="00D6250E" w:rsidRDefault="00DB0E5C" w:rsidP="00F05C4A">
            <w:pPr>
              <w:spacing w:after="160" w:line="259" w:lineRule="auto"/>
              <w:jc w:val="both"/>
            </w:pPr>
            <w:r w:rsidRPr="00D6250E">
              <w:t>2.04</w:t>
            </w:r>
          </w:p>
        </w:tc>
      </w:tr>
      <w:tr w:rsidR="00DB0E5C" w:rsidRPr="00D6250E" w14:paraId="69E7AA73" w14:textId="77777777" w:rsidTr="000C561F">
        <w:trPr>
          <w:jc w:val="center"/>
        </w:trPr>
        <w:tc>
          <w:tcPr>
            <w:tcW w:w="0" w:type="auto"/>
            <w:hideMark/>
          </w:tcPr>
          <w:p w14:paraId="4B9BB185" w14:textId="77777777" w:rsidR="00DB0E5C" w:rsidRPr="00D6250E" w:rsidRDefault="00DB0E5C" w:rsidP="00F05C4A">
            <w:pPr>
              <w:spacing w:after="160" w:line="259" w:lineRule="auto"/>
              <w:jc w:val="both"/>
            </w:pPr>
            <w:r w:rsidRPr="00D6250E">
              <w:t>Leaf area (cm²)</w:t>
            </w:r>
          </w:p>
        </w:tc>
        <w:tc>
          <w:tcPr>
            <w:tcW w:w="0" w:type="auto"/>
            <w:hideMark/>
          </w:tcPr>
          <w:p w14:paraId="2EF61D8C" w14:textId="77777777" w:rsidR="00DB0E5C" w:rsidRPr="00D6250E" w:rsidRDefault="00DB0E5C" w:rsidP="00F05C4A">
            <w:pPr>
              <w:spacing w:after="160" w:line="259" w:lineRule="auto"/>
              <w:jc w:val="both"/>
            </w:pPr>
            <w:r w:rsidRPr="00D6250E">
              <w:t>125.67</w:t>
            </w:r>
          </w:p>
        </w:tc>
        <w:tc>
          <w:tcPr>
            <w:tcW w:w="0" w:type="auto"/>
            <w:hideMark/>
          </w:tcPr>
          <w:p w14:paraId="32D862B8" w14:textId="77777777" w:rsidR="00DB0E5C" w:rsidRPr="00D6250E" w:rsidRDefault="00DB0E5C" w:rsidP="00F05C4A">
            <w:pPr>
              <w:spacing w:after="160" w:line="259" w:lineRule="auto"/>
              <w:jc w:val="both"/>
            </w:pPr>
            <w:r w:rsidRPr="00D6250E">
              <w:t>202.67</w:t>
            </w:r>
          </w:p>
        </w:tc>
        <w:tc>
          <w:tcPr>
            <w:tcW w:w="0" w:type="auto"/>
            <w:hideMark/>
          </w:tcPr>
          <w:p w14:paraId="42DDFC17" w14:textId="77777777" w:rsidR="00DB0E5C" w:rsidRPr="00D6250E" w:rsidRDefault="00DB0E5C" w:rsidP="00F05C4A">
            <w:pPr>
              <w:spacing w:after="160" w:line="259" w:lineRule="auto"/>
              <w:jc w:val="both"/>
            </w:pPr>
            <w:r w:rsidRPr="00D6250E">
              <w:t>0.0006</w:t>
            </w:r>
          </w:p>
        </w:tc>
        <w:tc>
          <w:tcPr>
            <w:tcW w:w="0" w:type="auto"/>
            <w:hideMark/>
          </w:tcPr>
          <w:p w14:paraId="44A4308F" w14:textId="77777777" w:rsidR="00DB0E5C" w:rsidRPr="00D6250E" w:rsidRDefault="00DB0E5C" w:rsidP="00F05C4A">
            <w:pPr>
              <w:spacing w:after="160" w:line="259" w:lineRule="auto"/>
              <w:jc w:val="both"/>
            </w:pPr>
            <w:r w:rsidRPr="00D6250E">
              <w:t>8.04</w:t>
            </w:r>
          </w:p>
        </w:tc>
      </w:tr>
    </w:tbl>
    <w:p w14:paraId="0A29C3D7" w14:textId="77777777" w:rsidR="00AF615D" w:rsidRPr="00D6250E" w:rsidRDefault="00AF615D" w:rsidP="00AF615D">
      <w:pPr>
        <w:jc w:val="both"/>
      </w:pPr>
      <w:r w:rsidRPr="00D6250E">
        <w:t xml:space="preserve">p-values indicate significance (p &lt; 0.05). Cohen’s d represents effect size: ~0.2 small, ~0.5 medium, ≥0.8 large; positive values </w:t>
      </w:r>
      <w:proofErr w:type="spellStart"/>
      <w:r w:rsidRPr="00D6250E">
        <w:t>favor</w:t>
      </w:r>
      <w:proofErr w:type="spellEnd"/>
      <w:r w:rsidRPr="00D6250E">
        <w:t xml:space="preserve"> AMF, negative values </w:t>
      </w:r>
      <w:proofErr w:type="spellStart"/>
      <w:r w:rsidRPr="00D6250E">
        <w:t>favor</w:t>
      </w:r>
      <w:proofErr w:type="spellEnd"/>
      <w:r w:rsidRPr="00D6250E">
        <w:t xml:space="preserve"> Control.</w:t>
      </w:r>
    </w:p>
    <w:p w14:paraId="55961DDF" w14:textId="77777777" w:rsidR="00F05C4A" w:rsidRPr="00D6250E" w:rsidRDefault="00F05C4A" w:rsidP="00F05C4A">
      <w:pPr>
        <w:jc w:val="both"/>
      </w:pPr>
    </w:p>
    <w:p w14:paraId="599AD3DB" w14:textId="77777777" w:rsidR="00F05C4A" w:rsidRPr="00D6250E" w:rsidRDefault="00F05C4A" w:rsidP="00F05C4A">
      <w:pPr>
        <w:jc w:val="both"/>
      </w:pPr>
    </w:p>
    <w:p w14:paraId="6142AB38" w14:textId="32659123" w:rsidR="00F05C4A" w:rsidRPr="00D6250E" w:rsidRDefault="00F05C4A" w:rsidP="00F05C4A">
      <w:pPr>
        <w:jc w:val="both"/>
      </w:pPr>
      <w:r w:rsidRPr="00D6250E">
        <w:rPr>
          <w:noProof/>
        </w:rPr>
        <w:lastRenderedPageBreak/>
        <w:drawing>
          <wp:inline distT="0" distB="0" distL="0" distR="0" wp14:anchorId="01241B94" wp14:editId="04E37D8E">
            <wp:extent cx="6120130" cy="3789680"/>
            <wp:effectExtent l="0" t="0" r="0" b="1270"/>
            <wp:docPr id="11721003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802"/>
                    <a:stretch>
                      <a:fillRect/>
                    </a:stretch>
                  </pic:blipFill>
                  <pic:spPr bwMode="auto">
                    <a:xfrm>
                      <a:off x="0" y="0"/>
                      <a:ext cx="6120130" cy="3789680"/>
                    </a:xfrm>
                    <a:prstGeom prst="rect">
                      <a:avLst/>
                    </a:prstGeom>
                    <a:noFill/>
                    <a:ln>
                      <a:noFill/>
                    </a:ln>
                    <a:extLst>
                      <a:ext uri="{53640926-AAD7-44D8-BBD7-CCE9431645EC}">
                        <a14:shadowObscured xmlns:a14="http://schemas.microsoft.com/office/drawing/2010/main"/>
                      </a:ext>
                    </a:extLst>
                  </pic:spPr>
                </pic:pic>
              </a:graphicData>
            </a:graphic>
          </wp:inline>
        </w:drawing>
      </w:r>
    </w:p>
    <w:p w14:paraId="56B6CCDF" w14:textId="0A13C8CA" w:rsidR="00F05C4A" w:rsidRPr="00D6250E" w:rsidRDefault="00F05C4A" w:rsidP="00F05C4A">
      <w:pPr>
        <w:jc w:val="both"/>
      </w:pPr>
      <w:r w:rsidRPr="00D6250E">
        <w:rPr>
          <w:b/>
          <w:bCs/>
        </w:rPr>
        <w:t>Figure 3. Effect sizes (Cohen's d) for teak seedling growth parameters under AMF vs. Control</w:t>
      </w:r>
    </w:p>
    <w:p w14:paraId="3AE42B36" w14:textId="77777777" w:rsidR="00F05C4A" w:rsidRPr="00D6250E" w:rsidRDefault="00F05C4A" w:rsidP="00F05C4A">
      <w:pPr>
        <w:jc w:val="both"/>
      </w:pPr>
      <w:r w:rsidRPr="00D6250E">
        <w:t>In sandal (</w:t>
      </w:r>
      <w:r w:rsidRPr="00D6250E">
        <w:rPr>
          <w:i/>
          <w:iCs/>
        </w:rPr>
        <w:t>Santalum album</w:t>
      </w:r>
      <w:r w:rsidRPr="00D6250E">
        <w:t xml:space="preserve">), the effects of AMF inoculation were more subtle but generally positive. The number of leaves remained almost identical between treatments (16.2 in control vs. 16.6 in AMF; </w:t>
      </w:r>
      <w:r w:rsidRPr="00D6250E">
        <w:rPr>
          <w:i/>
          <w:iCs/>
        </w:rPr>
        <w:t>p</w:t>
      </w:r>
      <w:r w:rsidRPr="00D6250E">
        <w:t xml:space="preserve"> = 0.85, d = 0.12), while shoot length showed a slight increase under AMF (22.7 cm vs. 21.8 cm; </w:t>
      </w:r>
      <w:r w:rsidRPr="00D6250E">
        <w:rPr>
          <w:i/>
          <w:iCs/>
        </w:rPr>
        <w:t>p</w:t>
      </w:r>
      <w:r w:rsidRPr="00D6250E">
        <w:t xml:space="preserve"> = 0.63, d = 0.30). Root length was moderately higher in AMF seedlings (17.4 cm vs. 16.3 cm), although not significant (</w:t>
      </w:r>
      <w:r w:rsidRPr="00D6250E">
        <w:rPr>
          <w:i/>
          <w:iCs/>
        </w:rPr>
        <w:t>p</w:t>
      </w:r>
      <w:r w:rsidRPr="00D6250E">
        <w:t xml:space="preserve"> = 0.27, d = 0.71). Biomass parameters displayed stronger responses: root weight nearly doubled under AMF (371.6 mg vs. 209.9 mg), with a large effect size (d = 1.10), though the difference did not reach significance (</w:t>
      </w:r>
      <w:r w:rsidRPr="00D6250E">
        <w:rPr>
          <w:i/>
          <w:iCs/>
        </w:rPr>
        <w:t>p</w:t>
      </w:r>
      <w:r w:rsidRPr="00D6250E">
        <w:t xml:space="preserve"> = 0.10). Similarly, total biomass was greater under AMF (778 mg vs. 574 mg; </w:t>
      </w:r>
      <w:r w:rsidRPr="00D6250E">
        <w:rPr>
          <w:i/>
          <w:iCs/>
        </w:rPr>
        <w:t>p</w:t>
      </w:r>
      <w:r w:rsidRPr="00D6250E">
        <w:t xml:space="preserve"> = 0.25, d = 0.74). Leaf area also improved under AMF (16.6 cm² vs. 15.1 cm²; </w:t>
      </w:r>
      <w:r w:rsidRPr="00D6250E">
        <w:rPr>
          <w:i/>
          <w:iCs/>
        </w:rPr>
        <w:t>p</w:t>
      </w:r>
      <w:r w:rsidRPr="00D6250E">
        <w:t xml:space="preserve"> = 0.27, d = 0.71). Stem girth, shoot weight, and root volume showed small, non-significant improvements. These results are presented in </w:t>
      </w:r>
      <w:r w:rsidRPr="00477A42">
        <w:t>Table</w:t>
      </w:r>
      <w:r w:rsidRPr="00D6250E">
        <w:rPr>
          <w:b/>
          <w:bCs/>
        </w:rPr>
        <w:t xml:space="preserve"> 4</w:t>
      </w:r>
      <w:r w:rsidRPr="00D6250E">
        <w:t xml:space="preserve"> and illustrated in </w:t>
      </w:r>
      <w:r w:rsidRPr="00477A42">
        <w:t>Figure</w:t>
      </w:r>
      <w:r w:rsidRPr="00D6250E">
        <w:rPr>
          <w:b/>
          <w:bCs/>
        </w:rPr>
        <w:t xml:space="preserve"> 4</w:t>
      </w:r>
      <w:r w:rsidRPr="00D6250E">
        <w:t>, where the largest positive effects were observed for root weight, total biomass, and leaf area.</w:t>
      </w:r>
    </w:p>
    <w:p w14:paraId="56393531" w14:textId="44197D9B" w:rsidR="00F05C4A" w:rsidRPr="00D6250E" w:rsidRDefault="00F05C4A" w:rsidP="00F05C4A">
      <w:pPr>
        <w:jc w:val="both"/>
      </w:pPr>
      <w:r w:rsidRPr="00D6250E">
        <w:t>Table 4. Seedling growth parameters of sandal (</w:t>
      </w:r>
      <w:r w:rsidRPr="00D6250E">
        <w:rPr>
          <w:i/>
          <w:iCs/>
        </w:rPr>
        <w:t>Santalum album</w:t>
      </w:r>
      <w:r w:rsidRPr="00D6250E">
        <w:t>) under control and AMF treatments.</w:t>
      </w:r>
    </w:p>
    <w:tbl>
      <w:tblPr>
        <w:tblStyle w:val="TableGrid"/>
        <w:tblW w:w="0" w:type="auto"/>
        <w:jc w:val="center"/>
        <w:tblLook w:val="04A0" w:firstRow="1" w:lastRow="0" w:firstColumn="1" w:lastColumn="0" w:noHBand="0" w:noVBand="1"/>
      </w:tblPr>
      <w:tblGrid>
        <w:gridCol w:w="2016"/>
        <w:gridCol w:w="1659"/>
        <w:gridCol w:w="1401"/>
        <w:gridCol w:w="963"/>
        <w:gridCol w:w="1228"/>
      </w:tblGrid>
      <w:tr w:rsidR="00DB0E5C" w:rsidRPr="00D6250E" w14:paraId="6676E582" w14:textId="77777777" w:rsidTr="000C561F">
        <w:trPr>
          <w:jc w:val="center"/>
        </w:trPr>
        <w:tc>
          <w:tcPr>
            <w:tcW w:w="0" w:type="auto"/>
            <w:hideMark/>
          </w:tcPr>
          <w:p w14:paraId="1F0793C7" w14:textId="77777777" w:rsidR="00DB0E5C" w:rsidRPr="00D6250E" w:rsidRDefault="00DB0E5C" w:rsidP="00F05C4A">
            <w:pPr>
              <w:spacing w:after="160" w:line="259" w:lineRule="auto"/>
              <w:jc w:val="both"/>
              <w:rPr>
                <w:b/>
                <w:bCs/>
              </w:rPr>
            </w:pPr>
            <w:r w:rsidRPr="00D6250E">
              <w:rPr>
                <w:b/>
                <w:bCs/>
              </w:rPr>
              <w:t>Parameter</w:t>
            </w:r>
          </w:p>
        </w:tc>
        <w:tc>
          <w:tcPr>
            <w:tcW w:w="0" w:type="auto"/>
            <w:hideMark/>
          </w:tcPr>
          <w:p w14:paraId="00BD037A" w14:textId="77777777" w:rsidR="00DB0E5C" w:rsidRPr="00D6250E" w:rsidRDefault="00DB0E5C" w:rsidP="00F05C4A">
            <w:pPr>
              <w:spacing w:after="160" w:line="259" w:lineRule="auto"/>
              <w:jc w:val="both"/>
              <w:rPr>
                <w:b/>
                <w:bCs/>
              </w:rPr>
            </w:pPr>
            <w:r w:rsidRPr="00D6250E">
              <w:rPr>
                <w:b/>
                <w:bCs/>
              </w:rPr>
              <w:t>Control Mean</w:t>
            </w:r>
          </w:p>
        </w:tc>
        <w:tc>
          <w:tcPr>
            <w:tcW w:w="0" w:type="auto"/>
            <w:hideMark/>
          </w:tcPr>
          <w:p w14:paraId="6E3B0C0D" w14:textId="77777777" w:rsidR="00DB0E5C" w:rsidRPr="00D6250E" w:rsidRDefault="00DB0E5C" w:rsidP="00F05C4A">
            <w:pPr>
              <w:spacing w:after="160" w:line="259" w:lineRule="auto"/>
              <w:jc w:val="both"/>
              <w:rPr>
                <w:b/>
                <w:bCs/>
              </w:rPr>
            </w:pPr>
            <w:r w:rsidRPr="00D6250E">
              <w:rPr>
                <w:b/>
                <w:bCs/>
              </w:rPr>
              <w:t>AMF Mean</w:t>
            </w:r>
          </w:p>
        </w:tc>
        <w:tc>
          <w:tcPr>
            <w:tcW w:w="0" w:type="auto"/>
            <w:hideMark/>
          </w:tcPr>
          <w:p w14:paraId="3C89BC6D" w14:textId="77777777" w:rsidR="00DB0E5C" w:rsidRPr="00D6250E" w:rsidRDefault="00DB0E5C" w:rsidP="00F05C4A">
            <w:pPr>
              <w:spacing w:after="160" w:line="259" w:lineRule="auto"/>
              <w:jc w:val="both"/>
              <w:rPr>
                <w:b/>
                <w:bCs/>
              </w:rPr>
            </w:pPr>
            <w:r w:rsidRPr="00D6250E">
              <w:rPr>
                <w:b/>
                <w:bCs/>
                <w:i/>
                <w:iCs/>
              </w:rPr>
              <w:t>p</w:t>
            </w:r>
            <w:r w:rsidRPr="00D6250E">
              <w:rPr>
                <w:b/>
                <w:bCs/>
              </w:rPr>
              <w:t>-value</w:t>
            </w:r>
          </w:p>
        </w:tc>
        <w:tc>
          <w:tcPr>
            <w:tcW w:w="0" w:type="auto"/>
            <w:hideMark/>
          </w:tcPr>
          <w:p w14:paraId="446EB732" w14:textId="77777777" w:rsidR="00DB0E5C" w:rsidRPr="00D6250E" w:rsidRDefault="00DB0E5C" w:rsidP="00F05C4A">
            <w:pPr>
              <w:spacing w:after="160" w:line="259" w:lineRule="auto"/>
              <w:jc w:val="both"/>
              <w:rPr>
                <w:b/>
                <w:bCs/>
              </w:rPr>
            </w:pPr>
            <w:r w:rsidRPr="00D6250E">
              <w:rPr>
                <w:b/>
                <w:bCs/>
              </w:rPr>
              <w:t xml:space="preserve">Cohen’s </w:t>
            </w:r>
            <w:r w:rsidRPr="00D6250E">
              <w:rPr>
                <w:b/>
                <w:bCs/>
                <w:i/>
                <w:iCs/>
              </w:rPr>
              <w:t>d</w:t>
            </w:r>
          </w:p>
        </w:tc>
      </w:tr>
      <w:tr w:rsidR="00DB0E5C" w:rsidRPr="00D6250E" w14:paraId="0B0F8904" w14:textId="77777777" w:rsidTr="000C561F">
        <w:trPr>
          <w:jc w:val="center"/>
        </w:trPr>
        <w:tc>
          <w:tcPr>
            <w:tcW w:w="0" w:type="auto"/>
            <w:hideMark/>
          </w:tcPr>
          <w:p w14:paraId="7A4F9F17" w14:textId="77777777" w:rsidR="00DB0E5C" w:rsidRPr="00D6250E" w:rsidRDefault="00DB0E5C" w:rsidP="00F05C4A">
            <w:pPr>
              <w:spacing w:after="160" w:line="259" w:lineRule="auto"/>
              <w:jc w:val="both"/>
            </w:pPr>
            <w:r w:rsidRPr="00D6250E">
              <w:t>Number of leaves</w:t>
            </w:r>
          </w:p>
        </w:tc>
        <w:tc>
          <w:tcPr>
            <w:tcW w:w="0" w:type="auto"/>
            <w:hideMark/>
          </w:tcPr>
          <w:p w14:paraId="5B9720A7" w14:textId="77777777" w:rsidR="00DB0E5C" w:rsidRPr="00D6250E" w:rsidRDefault="00DB0E5C" w:rsidP="00F05C4A">
            <w:pPr>
              <w:spacing w:after="160" w:line="259" w:lineRule="auto"/>
              <w:jc w:val="both"/>
            </w:pPr>
            <w:r w:rsidRPr="00D6250E">
              <w:t>16.17</w:t>
            </w:r>
          </w:p>
        </w:tc>
        <w:tc>
          <w:tcPr>
            <w:tcW w:w="0" w:type="auto"/>
            <w:hideMark/>
          </w:tcPr>
          <w:p w14:paraId="4FCC84B4" w14:textId="77777777" w:rsidR="00DB0E5C" w:rsidRPr="00D6250E" w:rsidRDefault="00DB0E5C" w:rsidP="00F05C4A">
            <w:pPr>
              <w:spacing w:after="160" w:line="259" w:lineRule="auto"/>
              <w:jc w:val="both"/>
            </w:pPr>
            <w:r w:rsidRPr="00D6250E">
              <w:t>16.60</w:t>
            </w:r>
          </w:p>
        </w:tc>
        <w:tc>
          <w:tcPr>
            <w:tcW w:w="0" w:type="auto"/>
            <w:hideMark/>
          </w:tcPr>
          <w:p w14:paraId="02AA96D3" w14:textId="77777777" w:rsidR="00DB0E5C" w:rsidRPr="00D6250E" w:rsidRDefault="00DB0E5C" w:rsidP="00F05C4A">
            <w:pPr>
              <w:spacing w:after="160" w:line="259" w:lineRule="auto"/>
              <w:jc w:val="both"/>
            </w:pPr>
            <w:r w:rsidRPr="00D6250E">
              <w:t>0.853</w:t>
            </w:r>
          </w:p>
        </w:tc>
        <w:tc>
          <w:tcPr>
            <w:tcW w:w="0" w:type="auto"/>
            <w:hideMark/>
          </w:tcPr>
          <w:p w14:paraId="026F835F" w14:textId="77777777" w:rsidR="00DB0E5C" w:rsidRPr="00D6250E" w:rsidRDefault="00DB0E5C" w:rsidP="00F05C4A">
            <w:pPr>
              <w:spacing w:after="160" w:line="259" w:lineRule="auto"/>
              <w:jc w:val="both"/>
            </w:pPr>
            <w:r w:rsidRPr="00D6250E">
              <w:t>0.12</w:t>
            </w:r>
          </w:p>
        </w:tc>
      </w:tr>
      <w:tr w:rsidR="00DB0E5C" w:rsidRPr="00D6250E" w14:paraId="37351F4C" w14:textId="77777777" w:rsidTr="000C561F">
        <w:trPr>
          <w:jc w:val="center"/>
        </w:trPr>
        <w:tc>
          <w:tcPr>
            <w:tcW w:w="0" w:type="auto"/>
            <w:hideMark/>
          </w:tcPr>
          <w:p w14:paraId="6E080617" w14:textId="77777777" w:rsidR="00DB0E5C" w:rsidRPr="00D6250E" w:rsidRDefault="00DB0E5C" w:rsidP="00F05C4A">
            <w:pPr>
              <w:spacing w:after="160" w:line="259" w:lineRule="auto"/>
              <w:jc w:val="both"/>
            </w:pPr>
            <w:r w:rsidRPr="00D6250E">
              <w:t>Shoot length (cm)</w:t>
            </w:r>
          </w:p>
        </w:tc>
        <w:tc>
          <w:tcPr>
            <w:tcW w:w="0" w:type="auto"/>
            <w:hideMark/>
          </w:tcPr>
          <w:p w14:paraId="44DE948F" w14:textId="77777777" w:rsidR="00DB0E5C" w:rsidRPr="00D6250E" w:rsidRDefault="00DB0E5C" w:rsidP="00F05C4A">
            <w:pPr>
              <w:spacing w:after="160" w:line="259" w:lineRule="auto"/>
              <w:jc w:val="both"/>
            </w:pPr>
            <w:r w:rsidRPr="00D6250E">
              <w:t>21.75</w:t>
            </w:r>
          </w:p>
        </w:tc>
        <w:tc>
          <w:tcPr>
            <w:tcW w:w="0" w:type="auto"/>
            <w:hideMark/>
          </w:tcPr>
          <w:p w14:paraId="29F61861" w14:textId="77777777" w:rsidR="00DB0E5C" w:rsidRPr="00D6250E" w:rsidRDefault="00DB0E5C" w:rsidP="00F05C4A">
            <w:pPr>
              <w:spacing w:after="160" w:line="259" w:lineRule="auto"/>
              <w:jc w:val="both"/>
            </w:pPr>
            <w:r w:rsidRPr="00D6250E">
              <w:t>22.70</w:t>
            </w:r>
          </w:p>
        </w:tc>
        <w:tc>
          <w:tcPr>
            <w:tcW w:w="0" w:type="auto"/>
            <w:hideMark/>
          </w:tcPr>
          <w:p w14:paraId="0AA36E1C" w14:textId="77777777" w:rsidR="00DB0E5C" w:rsidRPr="00D6250E" w:rsidRDefault="00DB0E5C" w:rsidP="00F05C4A">
            <w:pPr>
              <w:spacing w:after="160" w:line="259" w:lineRule="auto"/>
              <w:jc w:val="both"/>
            </w:pPr>
            <w:r w:rsidRPr="00D6250E">
              <w:t>0.627</w:t>
            </w:r>
          </w:p>
        </w:tc>
        <w:tc>
          <w:tcPr>
            <w:tcW w:w="0" w:type="auto"/>
            <w:hideMark/>
          </w:tcPr>
          <w:p w14:paraId="08BF8A9B" w14:textId="77777777" w:rsidR="00DB0E5C" w:rsidRPr="00D6250E" w:rsidRDefault="00DB0E5C" w:rsidP="00F05C4A">
            <w:pPr>
              <w:spacing w:after="160" w:line="259" w:lineRule="auto"/>
              <w:jc w:val="both"/>
            </w:pPr>
            <w:r w:rsidRPr="00D6250E">
              <w:t>0.30</w:t>
            </w:r>
          </w:p>
        </w:tc>
      </w:tr>
      <w:tr w:rsidR="00DB0E5C" w:rsidRPr="00D6250E" w14:paraId="7952BA63" w14:textId="77777777" w:rsidTr="000C561F">
        <w:trPr>
          <w:jc w:val="center"/>
        </w:trPr>
        <w:tc>
          <w:tcPr>
            <w:tcW w:w="0" w:type="auto"/>
            <w:hideMark/>
          </w:tcPr>
          <w:p w14:paraId="0BFE68ED" w14:textId="77777777" w:rsidR="00DB0E5C" w:rsidRPr="00D6250E" w:rsidRDefault="00DB0E5C" w:rsidP="00F05C4A">
            <w:pPr>
              <w:spacing w:after="160" w:line="259" w:lineRule="auto"/>
              <w:jc w:val="both"/>
            </w:pPr>
            <w:r w:rsidRPr="00D6250E">
              <w:t>Root length (cm)</w:t>
            </w:r>
          </w:p>
        </w:tc>
        <w:tc>
          <w:tcPr>
            <w:tcW w:w="0" w:type="auto"/>
            <w:hideMark/>
          </w:tcPr>
          <w:p w14:paraId="3A0BF60F" w14:textId="77777777" w:rsidR="00DB0E5C" w:rsidRPr="00D6250E" w:rsidRDefault="00DB0E5C" w:rsidP="00F05C4A">
            <w:pPr>
              <w:spacing w:after="160" w:line="259" w:lineRule="auto"/>
              <w:jc w:val="both"/>
            </w:pPr>
            <w:r w:rsidRPr="00D6250E">
              <w:t>16.33</w:t>
            </w:r>
          </w:p>
        </w:tc>
        <w:tc>
          <w:tcPr>
            <w:tcW w:w="0" w:type="auto"/>
            <w:hideMark/>
          </w:tcPr>
          <w:p w14:paraId="77EB6C7F" w14:textId="77777777" w:rsidR="00DB0E5C" w:rsidRPr="00D6250E" w:rsidRDefault="00DB0E5C" w:rsidP="00F05C4A">
            <w:pPr>
              <w:spacing w:after="160" w:line="259" w:lineRule="auto"/>
              <w:jc w:val="both"/>
            </w:pPr>
            <w:r w:rsidRPr="00D6250E">
              <w:t>17.40</w:t>
            </w:r>
          </w:p>
        </w:tc>
        <w:tc>
          <w:tcPr>
            <w:tcW w:w="0" w:type="auto"/>
            <w:hideMark/>
          </w:tcPr>
          <w:p w14:paraId="3F6147DF" w14:textId="77777777" w:rsidR="00DB0E5C" w:rsidRPr="00D6250E" w:rsidRDefault="00DB0E5C" w:rsidP="00F05C4A">
            <w:pPr>
              <w:spacing w:after="160" w:line="259" w:lineRule="auto"/>
              <w:jc w:val="both"/>
            </w:pPr>
            <w:r w:rsidRPr="00D6250E">
              <w:t>0.273</w:t>
            </w:r>
          </w:p>
        </w:tc>
        <w:tc>
          <w:tcPr>
            <w:tcW w:w="0" w:type="auto"/>
            <w:hideMark/>
          </w:tcPr>
          <w:p w14:paraId="64E326C2" w14:textId="77777777" w:rsidR="00DB0E5C" w:rsidRPr="00D6250E" w:rsidRDefault="00DB0E5C" w:rsidP="00F05C4A">
            <w:pPr>
              <w:spacing w:after="160" w:line="259" w:lineRule="auto"/>
              <w:jc w:val="both"/>
            </w:pPr>
            <w:r w:rsidRPr="00D6250E">
              <w:t>0.71</w:t>
            </w:r>
          </w:p>
        </w:tc>
      </w:tr>
      <w:tr w:rsidR="00DB0E5C" w:rsidRPr="00D6250E" w14:paraId="678D9C1D" w14:textId="77777777" w:rsidTr="000C561F">
        <w:trPr>
          <w:jc w:val="center"/>
        </w:trPr>
        <w:tc>
          <w:tcPr>
            <w:tcW w:w="0" w:type="auto"/>
            <w:hideMark/>
          </w:tcPr>
          <w:p w14:paraId="75C566F7" w14:textId="77777777" w:rsidR="00DB0E5C" w:rsidRPr="00D6250E" w:rsidRDefault="00DB0E5C" w:rsidP="00F05C4A">
            <w:pPr>
              <w:spacing w:after="160" w:line="259" w:lineRule="auto"/>
              <w:jc w:val="both"/>
            </w:pPr>
            <w:r w:rsidRPr="00D6250E">
              <w:t>Stem girth (mm)</w:t>
            </w:r>
          </w:p>
        </w:tc>
        <w:tc>
          <w:tcPr>
            <w:tcW w:w="0" w:type="auto"/>
            <w:hideMark/>
          </w:tcPr>
          <w:p w14:paraId="310C0D70" w14:textId="77777777" w:rsidR="00DB0E5C" w:rsidRPr="00D6250E" w:rsidRDefault="00DB0E5C" w:rsidP="00F05C4A">
            <w:pPr>
              <w:spacing w:after="160" w:line="259" w:lineRule="auto"/>
              <w:jc w:val="both"/>
            </w:pPr>
            <w:r w:rsidRPr="00D6250E">
              <w:t>1.83</w:t>
            </w:r>
          </w:p>
        </w:tc>
        <w:tc>
          <w:tcPr>
            <w:tcW w:w="0" w:type="auto"/>
            <w:hideMark/>
          </w:tcPr>
          <w:p w14:paraId="366C5755" w14:textId="77777777" w:rsidR="00DB0E5C" w:rsidRPr="00D6250E" w:rsidRDefault="00DB0E5C" w:rsidP="00F05C4A">
            <w:pPr>
              <w:spacing w:after="160" w:line="259" w:lineRule="auto"/>
              <w:jc w:val="both"/>
            </w:pPr>
            <w:r w:rsidRPr="00D6250E">
              <w:t>1.92</w:t>
            </w:r>
          </w:p>
        </w:tc>
        <w:tc>
          <w:tcPr>
            <w:tcW w:w="0" w:type="auto"/>
            <w:hideMark/>
          </w:tcPr>
          <w:p w14:paraId="5DCCEAFE" w14:textId="77777777" w:rsidR="00DB0E5C" w:rsidRPr="00D6250E" w:rsidRDefault="00DB0E5C" w:rsidP="00F05C4A">
            <w:pPr>
              <w:spacing w:after="160" w:line="259" w:lineRule="auto"/>
              <w:jc w:val="both"/>
            </w:pPr>
            <w:r w:rsidRPr="00D6250E">
              <w:t>0.514</w:t>
            </w:r>
          </w:p>
        </w:tc>
        <w:tc>
          <w:tcPr>
            <w:tcW w:w="0" w:type="auto"/>
            <w:hideMark/>
          </w:tcPr>
          <w:p w14:paraId="10D21C1F" w14:textId="77777777" w:rsidR="00DB0E5C" w:rsidRPr="00D6250E" w:rsidRDefault="00DB0E5C" w:rsidP="00F05C4A">
            <w:pPr>
              <w:spacing w:after="160" w:line="259" w:lineRule="auto"/>
              <w:jc w:val="both"/>
            </w:pPr>
            <w:r w:rsidRPr="00D6250E">
              <w:t>0.41</w:t>
            </w:r>
          </w:p>
        </w:tc>
      </w:tr>
      <w:tr w:rsidR="00DB0E5C" w:rsidRPr="00D6250E" w14:paraId="2FF7C836" w14:textId="77777777" w:rsidTr="000C561F">
        <w:trPr>
          <w:jc w:val="center"/>
        </w:trPr>
        <w:tc>
          <w:tcPr>
            <w:tcW w:w="0" w:type="auto"/>
            <w:hideMark/>
          </w:tcPr>
          <w:p w14:paraId="3EAAEFFC" w14:textId="77777777" w:rsidR="00DB0E5C" w:rsidRPr="00D6250E" w:rsidRDefault="00DB0E5C" w:rsidP="00F05C4A">
            <w:pPr>
              <w:spacing w:after="160" w:line="259" w:lineRule="auto"/>
              <w:jc w:val="both"/>
            </w:pPr>
            <w:r w:rsidRPr="00D6250E">
              <w:t>Total weight (mg)</w:t>
            </w:r>
          </w:p>
        </w:tc>
        <w:tc>
          <w:tcPr>
            <w:tcW w:w="0" w:type="auto"/>
            <w:hideMark/>
          </w:tcPr>
          <w:p w14:paraId="3EC55C28" w14:textId="77777777" w:rsidR="00DB0E5C" w:rsidRPr="00D6250E" w:rsidRDefault="00DB0E5C" w:rsidP="00F05C4A">
            <w:pPr>
              <w:spacing w:after="160" w:line="259" w:lineRule="auto"/>
              <w:jc w:val="both"/>
            </w:pPr>
            <w:r w:rsidRPr="00D6250E">
              <w:t>573.57</w:t>
            </w:r>
          </w:p>
        </w:tc>
        <w:tc>
          <w:tcPr>
            <w:tcW w:w="0" w:type="auto"/>
            <w:hideMark/>
          </w:tcPr>
          <w:p w14:paraId="346D3A8E" w14:textId="77777777" w:rsidR="00DB0E5C" w:rsidRPr="00D6250E" w:rsidRDefault="00DB0E5C" w:rsidP="00F05C4A">
            <w:pPr>
              <w:spacing w:after="160" w:line="259" w:lineRule="auto"/>
              <w:jc w:val="both"/>
            </w:pPr>
            <w:r w:rsidRPr="00D6250E">
              <w:t>777.80</w:t>
            </w:r>
          </w:p>
        </w:tc>
        <w:tc>
          <w:tcPr>
            <w:tcW w:w="0" w:type="auto"/>
            <w:hideMark/>
          </w:tcPr>
          <w:p w14:paraId="1AF22ECA" w14:textId="77777777" w:rsidR="00DB0E5C" w:rsidRPr="00D6250E" w:rsidRDefault="00DB0E5C" w:rsidP="00F05C4A">
            <w:pPr>
              <w:spacing w:after="160" w:line="259" w:lineRule="auto"/>
              <w:jc w:val="both"/>
            </w:pPr>
            <w:r w:rsidRPr="00D6250E">
              <w:t>0.253</w:t>
            </w:r>
          </w:p>
        </w:tc>
        <w:tc>
          <w:tcPr>
            <w:tcW w:w="0" w:type="auto"/>
            <w:hideMark/>
          </w:tcPr>
          <w:p w14:paraId="231D23EC" w14:textId="77777777" w:rsidR="00DB0E5C" w:rsidRPr="00D6250E" w:rsidRDefault="00DB0E5C" w:rsidP="00F05C4A">
            <w:pPr>
              <w:spacing w:after="160" w:line="259" w:lineRule="auto"/>
              <w:jc w:val="both"/>
            </w:pPr>
            <w:r w:rsidRPr="00D6250E">
              <w:t>0.74</w:t>
            </w:r>
          </w:p>
        </w:tc>
      </w:tr>
      <w:tr w:rsidR="00DB0E5C" w:rsidRPr="00D6250E" w14:paraId="4E933E62" w14:textId="77777777" w:rsidTr="000C561F">
        <w:trPr>
          <w:jc w:val="center"/>
        </w:trPr>
        <w:tc>
          <w:tcPr>
            <w:tcW w:w="0" w:type="auto"/>
            <w:hideMark/>
          </w:tcPr>
          <w:p w14:paraId="4FC8914A" w14:textId="77777777" w:rsidR="00DB0E5C" w:rsidRPr="00D6250E" w:rsidRDefault="00DB0E5C" w:rsidP="00F05C4A">
            <w:pPr>
              <w:spacing w:after="160" w:line="259" w:lineRule="auto"/>
              <w:jc w:val="both"/>
            </w:pPr>
            <w:r w:rsidRPr="00D6250E">
              <w:t>Shoot weight (mg)</w:t>
            </w:r>
          </w:p>
        </w:tc>
        <w:tc>
          <w:tcPr>
            <w:tcW w:w="0" w:type="auto"/>
            <w:hideMark/>
          </w:tcPr>
          <w:p w14:paraId="5C7A9D45" w14:textId="77777777" w:rsidR="00DB0E5C" w:rsidRPr="00D6250E" w:rsidRDefault="00DB0E5C" w:rsidP="00F05C4A">
            <w:pPr>
              <w:spacing w:after="160" w:line="259" w:lineRule="auto"/>
              <w:jc w:val="both"/>
            </w:pPr>
            <w:r w:rsidRPr="00D6250E">
              <w:t>363.67</w:t>
            </w:r>
          </w:p>
        </w:tc>
        <w:tc>
          <w:tcPr>
            <w:tcW w:w="0" w:type="auto"/>
            <w:hideMark/>
          </w:tcPr>
          <w:p w14:paraId="66F054A7" w14:textId="77777777" w:rsidR="00DB0E5C" w:rsidRPr="00D6250E" w:rsidRDefault="00DB0E5C" w:rsidP="00F05C4A">
            <w:pPr>
              <w:spacing w:after="160" w:line="259" w:lineRule="auto"/>
              <w:jc w:val="both"/>
            </w:pPr>
            <w:r w:rsidRPr="00D6250E">
              <w:t>406.20</w:t>
            </w:r>
          </w:p>
        </w:tc>
        <w:tc>
          <w:tcPr>
            <w:tcW w:w="0" w:type="auto"/>
            <w:hideMark/>
          </w:tcPr>
          <w:p w14:paraId="077BF700" w14:textId="77777777" w:rsidR="00DB0E5C" w:rsidRPr="00D6250E" w:rsidRDefault="00DB0E5C" w:rsidP="00F05C4A">
            <w:pPr>
              <w:spacing w:after="160" w:line="259" w:lineRule="auto"/>
              <w:jc w:val="both"/>
            </w:pPr>
            <w:r w:rsidRPr="00D6250E">
              <w:t>0.620</w:t>
            </w:r>
          </w:p>
        </w:tc>
        <w:tc>
          <w:tcPr>
            <w:tcW w:w="0" w:type="auto"/>
            <w:hideMark/>
          </w:tcPr>
          <w:p w14:paraId="010C43D7" w14:textId="77777777" w:rsidR="00DB0E5C" w:rsidRPr="00D6250E" w:rsidRDefault="00DB0E5C" w:rsidP="00F05C4A">
            <w:pPr>
              <w:spacing w:after="160" w:line="259" w:lineRule="auto"/>
              <w:jc w:val="both"/>
            </w:pPr>
            <w:r w:rsidRPr="00D6250E">
              <w:t>0.31</w:t>
            </w:r>
          </w:p>
        </w:tc>
      </w:tr>
      <w:tr w:rsidR="00DB0E5C" w:rsidRPr="00D6250E" w14:paraId="779C153C" w14:textId="77777777" w:rsidTr="000C561F">
        <w:trPr>
          <w:jc w:val="center"/>
        </w:trPr>
        <w:tc>
          <w:tcPr>
            <w:tcW w:w="0" w:type="auto"/>
            <w:hideMark/>
          </w:tcPr>
          <w:p w14:paraId="01CD270C" w14:textId="77777777" w:rsidR="00DB0E5C" w:rsidRPr="00D6250E" w:rsidRDefault="00DB0E5C" w:rsidP="00F05C4A">
            <w:pPr>
              <w:spacing w:after="160" w:line="259" w:lineRule="auto"/>
              <w:jc w:val="both"/>
            </w:pPr>
            <w:r w:rsidRPr="00D6250E">
              <w:t>Root weight (mg)</w:t>
            </w:r>
          </w:p>
        </w:tc>
        <w:tc>
          <w:tcPr>
            <w:tcW w:w="0" w:type="auto"/>
            <w:hideMark/>
          </w:tcPr>
          <w:p w14:paraId="365FB673" w14:textId="77777777" w:rsidR="00DB0E5C" w:rsidRPr="00D6250E" w:rsidRDefault="00DB0E5C" w:rsidP="00F05C4A">
            <w:pPr>
              <w:spacing w:after="160" w:line="259" w:lineRule="auto"/>
              <w:jc w:val="both"/>
            </w:pPr>
            <w:r w:rsidRPr="00D6250E">
              <w:t>209.90</w:t>
            </w:r>
          </w:p>
        </w:tc>
        <w:tc>
          <w:tcPr>
            <w:tcW w:w="0" w:type="auto"/>
            <w:hideMark/>
          </w:tcPr>
          <w:p w14:paraId="10E73160" w14:textId="77777777" w:rsidR="00DB0E5C" w:rsidRPr="00D6250E" w:rsidRDefault="00DB0E5C" w:rsidP="00F05C4A">
            <w:pPr>
              <w:spacing w:after="160" w:line="259" w:lineRule="auto"/>
              <w:jc w:val="both"/>
            </w:pPr>
            <w:r w:rsidRPr="00D6250E">
              <w:t>371.60</w:t>
            </w:r>
          </w:p>
        </w:tc>
        <w:tc>
          <w:tcPr>
            <w:tcW w:w="0" w:type="auto"/>
            <w:hideMark/>
          </w:tcPr>
          <w:p w14:paraId="7C8BC981" w14:textId="77777777" w:rsidR="00DB0E5C" w:rsidRPr="00D6250E" w:rsidRDefault="00DB0E5C" w:rsidP="00F05C4A">
            <w:pPr>
              <w:spacing w:after="160" w:line="259" w:lineRule="auto"/>
              <w:jc w:val="both"/>
            </w:pPr>
            <w:r w:rsidRPr="00D6250E">
              <w:t>0.102</w:t>
            </w:r>
          </w:p>
        </w:tc>
        <w:tc>
          <w:tcPr>
            <w:tcW w:w="0" w:type="auto"/>
            <w:hideMark/>
          </w:tcPr>
          <w:p w14:paraId="3344F5F2" w14:textId="77777777" w:rsidR="00DB0E5C" w:rsidRPr="00D6250E" w:rsidRDefault="00DB0E5C" w:rsidP="00F05C4A">
            <w:pPr>
              <w:spacing w:after="160" w:line="259" w:lineRule="auto"/>
              <w:jc w:val="both"/>
            </w:pPr>
            <w:r w:rsidRPr="00D6250E">
              <w:t>1.10</w:t>
            </w:r>
          </w:p>
        </w:tc>
      </w:tr>
      <w:tr w:rsidR="00DB0E5C" w:rsidRPr="00D6250E" w14:paraId="5644B3C8" w14:textId="77777777" w:rsidTr="000C561F">
        <w:trPr>
          <w:jc w:val="center"/>
        </w:trPr>
        <w:tc>
          <w:tcPr>
            <w:tcW w:w="0" w:type="auto"/>
            <w:hideMark/>
          </w:tcPr>
          <w:p w14:paraId="39E79436" w14:textId="77777777" w:rsidR="00DB0E5C" w:rsidRPr="00D6250E" w:rsidRDefault="00DB0E5C" w:rsidP="00F05C4A">
            <w:pPr>
              <w:spacing w:after="160" w:line="259" w:lineRule="auto"/>
              <w:jc w:val="both"/>
            </w:pPr>
            <w:r w:rsidRPr="00D6250E">
              <w:lastRenderedPageBreak/>
              <w:t>Root volume (ml)</w:t>
            </w:r>
          </w:p>
        </w:tc>
        <w:tc>
          <w:tcPr>
            <w:tcW w:w="0" w:type="auto"/>
            <w:hideMark/>
          </w:tcPr>
          <w:p w14:paraId="042DA760" w14:textId="77777777" w:rsidR="00DB0E5C" w:rsidRPr="00D6250E" w:rsidRDefault="00DB0E5C" w:rsidP="00F05C4A">
            <w:pPr>
              <w:spacing w:after="160" w:line="259" w:lineRule="auto"/>
              <w:jc w:val="both"/>
            </w:pPr>
            <w:r w:rsidRPr="00D6250E">
              <w:t>1.48</w:t>
            </w:r>
          </w:p>
        </w:tc>
        <w:tc>
          <w:tcPr>
            <w:tcW w:w="0" w:type="auto"/>
            <w:hideMark/>
          </w:tcPr>
          <w:p w14:paraId="667AB37D" w14:textId="77777777" w:rsidR="00DB0E5C" w:rsidRPr="00D6250E" w:rsidRDefault="00DB0E5C" w:rsidP="00F05C4A">
            <w:pPr>
              <w:spacing w:after="160" w:line="259" w:lineRule="auto"/>
              <w:jc w:val="both"/>
            </w:pPr>
            <w:r w:rsidRPr="00D6250E">
              <w:t>1.56</w:t>
            </w:r>
          </w:p>
        </w:tc>
        <w:tc>
          <w:tcPr>
            <w:tcW w:w="0" w:type="auto"/>
            <w:hideMark/>
          </w:tcPr>
          <w:p w14:paraId="403948C4" w14:textId="77777777" w:rsidR="00DB0E5C" w:rsidRPr="00D6250E" w:rsidRDefault="00DB0E5C" w:rsidP="00F05C4A">
            <w:pPr>
              <w:spacing w:after="160" w:line="259" w:lineRule="auto"/>
              <w:jc w:val="both"/>
            </w:pPr>
            <w:r w:rsidRPr="00D6250E">
              <w:t>0.506</w:t>
            </w:r>
          </w:p>
        </w:tc>
        <w:tc>
          <w:tcPr>
            <w:tcW w:w="0" w:type="auto"/>
            <w:hideMark/>
          </w:tcPr>
          <w:p w14:paraId="2C5BBBE9" w14:textId="77777777" w:rsidR="00DB0E5C" w:rsidRPr="00D6250E" w:rsidRDefault="00DB0E5C" w:rsidP="00F05C4A">
            <w:pPr>
              <w:spacing w:after="160" w:line="259" w:lineRule="auto"/>
              <w:jc w:val="both"/>
            </w:pPr>
            <w:r w:rsidRPr="00D6250E">
              <w:t>0.42</w:t>
            </w:r>
          </w:p>
        </w:tc>
      </w:tr>
      <w:tr w:rsidR="00DB0E5C" w:rsidRPr="00D6250E" w14:paraId="758C2CCD" w14:textId="77777777" w:rsidTr="000C561F">
        <w:trPr>
          <w:jc w:val="center"/>
        </w:trPr>
        <w:tc>
          <w:tcPr>
            <w:tcW w:w="0" w:type="auto"/>
            <w:hideMark/>
          </w:tcPr>
          <w:p w14:paraId="24B1ED34" w14:textId="77777777" w:rsidR="00DB0E5C" w:rsidRPr="00D6250E" w:rsidRDefault="00DB0E5C" w:rsidP="00F05C4A">
            <w:pPr>
              <w:spacing w:after="160" w:line="259" w:lineRule="auto"/>
              <w:jc w:val="both"/>
            </w:pPr>
            <w:r w:rsidRPr="00D6250E">
              <w:t>Leaf area (cm²)</w:t>
            </w:r>
          </w:p>
        </w:tc>
        <w:tc>
          <w:tcPr>
            <w:tcW w:w="0" w:type="auto"/>
            <w:hideMark/>
          </w:tcPr>
          <w:p w14:paraId="58E5ACCB" w14:textId="77777777" w:rsidR="00DB0E5C" w:rsidRPr="00D6250E" w:rsidRDefault="00DB0E5C" w:rsidP="00F05C4A">
            <w:pPr>
              <w:spacing w:after="160" w:line="259" w:lineRule="auto"/>
              <w:jc w:val="both"/>
            </w:pPr>
            <w:r w:rsidRPr="00D6250E">
              <w:t>15.10</w:t>
            </w:r>
          </w:p>
        </w:tc>
        <w:tc>
          <w:tcPr>
            <w:tcW w:w="0" w:type="auto"/>
            <w:hideMark/>
          </w:tcPr>
          <w:p w14:paraId="7E22DDD4" w14:textId="77777777" w:rsidR="00DB0E5C" w:rsidRPr="00D6250E" w:rsidRDefault="00DB0E5C" w:rsidP="00F05C4A">
            <w:pPr>
              <w:spacing w:after="160" w:line="259" w:lineRule="auto"/>
              <w:jc w:val="both"/>
            </w:pPr>
            <w:r w:rsidRPr="00D6250E">
              <w:t>16.58</w:t>
            </w:r>
          </w:p>
        </w:tc>
        <w:tc>
          <w:tcPr>
            <w:tcW w:w="0" w:type="auto"/>
            <w:hideMark/>
          </w:tcPr>
          <w:p w14:paraId="4AA63A80" w14:textId="77777777" w:rsidR="00DB0E5C" w:rsidRPr="00D6250E" w:rsidRDefault="00DB0E5C" w:rsidP="00F05C4A">
            <w:pPr>
              <w:spacing w:after="160" w:line="259" w:lineRule="auto"/>
              <w:jc w:val="both"/>
            </w:pPr>
            <w:r w:rsidRPr="00D6250E">
              <w:t>0.271</w:t>
            </w:r>
          </w:p>
        </w:tc>
        <w:tc>
          <w:tcPr>
            <w:tcW w:w="0" w:type="auto"/>
            <w:hideMark/>
          </w:tcPr>
          <w:p w14:paraId="557B4829" w14:textId="77777777" w:rsidR="00DB0E5C" w:rsidRPr="00D6250E" w:rsidRDefault="00DB0E5C" w:rsidP="00F05C4A">
            <w:pPr>
              <w:spacing w:after="160" w:line="259" w:lineRule="auto"/>
              <w:jc w:val="both"/>
            </w:pPr>
            <w:r w:rsidRPr="00D6250E">
              <w:t>0.71</w:t>
            </w:r>
          </w:p>
        </w:tc>
      </w:tr>
    </w:tbl>
    <w:p w14:paraId="0347943B" w14:textId="77777777" w:rsidR="00AF615D" w:rsidRPr="00D6250E" w:rsidRDefault="00AF615D" w:rsidP="00AF615D">
      <w:pPr>
        <w:jc w:val="both"/>
      </w:pPr>
      <w:r w:rsidRPr="00D6250E">
        <w:t xml:space="preserve">p-values indicate significance (p &lt; 0.05). Cohen’s d represents effect size: ~0.2 small, ~0.5 medium, ≥0.8 large; positive values </w:t>
      </w:r>
      <w:proofErr w:type="spellStart"/>
      <w:r w:rsidRPr="00D6250E">
        <w:t>favor</w:t>
      </w:r>
      <w:proofErr w:type="spellEnd"/>
      <w:r w:rsidRPr="00D6250E">
        <w:t xml:space="preserve"> AMF, negative values </w:t>
      </w:r>
      <w:proofErr w:type="spellStart"/>
      <w:r w:rsidRPr="00D6250E">
        <w:t>favor</w:t>
      </w:r>
      <w:proofErr w:type="spellEnd"/>
      <w:r w:rsidRPr="00D6250E">
        <w:t xml:space="preserve"> Control.</w:t>
      </w:r>
    </w:p>
    <w:p w14:paraId="62136010" w14:textId="77777777" w:rsidR="00F05C4A" w:rsidRPr="00D6250E" w:rsidRDefault="00F05C4A" w:rsidP="00F05C4A">
      <w:pPr>
        <w:jc w:val="both"/>
      </w:pPr>
    </w:p>
    <w:p w14:paraId="71315ECC" w14:textId="025B1D94" w:rsidR="00F05C4A" w:rsidRPr="00D6250E" w:rsidRDefault="00F05C4A" w:rsidP="000C561F">
      <w:pPr>
        <w:jc w:val="center"/>
      </w:pPr>
      <w:r w:rsidRPr="00D6250E">
        <w:rPr>
          <w:noProof/>
        </w:rPr>
        <w:drawing>
          <wp:inline distT="0" distB="0" distL="0" distR="0" wp14:anchorId="07EEDA17" wp14:editId="414EBE33">
            <wp:extent cx="6120130" cy="3812540"/>
            <wp:effectExtent l="0" t="0" r="0" b="0"/>
            <wp:docPr id="20132373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754"/>
                    <a:stretch>
                      <a:fillRect/>
                    </a:stretch>
                  </pic:blipFill>
                  <pic:spPr bwMode="auto">
                    <a:xfrm>
                      <a:off x="0" y="0"/>
                      <a:ext cx="6120130" cy="3812540"/>
                    </a:xfrm>
                    <a:prstGeom prst="rect">
                      <a:avLst/>
                    </a:prstGeom>
                    <a:noFill/>
                    <a:ln>
                      <a:noFill/>
                    </a:ln>
                    <a:extLst>
                      <a:ext uri="{53640926-AAD7-44D8-BBD7-CCE9431645EC}">
                        <a14:shadowObscured xmlns:a14="http://schemas.microsoft.com/office/drawing/2010/main"/>
                      </a:ext>
                    </a:extLst>
                  </pic:spPr>
                </pic:pic>
              </a:graphicData>
            </a:graphic>
          </wp:inline>
        </w:drawing>
      </w:r>
    </w:p>
    <w:p w14:paraId="1286D3E6" w14:textId="5937FF03" w:rsidR="00F05C4A" w:rsidRPr="00D6250E" w:rsidRDefault="00F05C4A" w:rsidP="00F05C4A">
      <w:pPr>
        <w:jc w:val="both"/>
      </w:pPr>
      <w:r w:rsidRPr="00D6250E">
        <w:rPr>
          <w:b/>
          <w:bCs/>
        </w:rPr>
        <w:t>Figure 4. Effect sizes (Cohen's d) for sandal seedling growth parameters under AMF vs. Control</w:t>
      </w:r>
    </w:p>
    <w:p w14:paraId="6934C639" w14:textId="1B63EFF3" w:rsidR="00AF615D" w:rsidRPr="00D6250E" w:rsidRDefault="00F05C4A" w:rsidP="003C59D5">
      <w:pPr>
        <w:jc w:val="both"/>
      </w:pPr>
      <w:r w:rsidRPr="00D6250E">
        <w:t>Overall, AMF treatment induced contrasting growth strategies in teak and sandal seedlings. Teak exhibited a clear reallocation of resources, reducing leaf number while greatly enhancing leaf area and root biomass, thereby increasing the efficiency of carbon assimilation and nutrient capture. In sandal, AMF effects were positive but less pronounced, with moderate improvements in root biomass, total weight, and leaf area, while shoot traits remained largely unchanged.</w:t>
      </w:r>
    </w:p>
    <w:p w14:paraId="1655E404" w14:textId="690F2E6D" w:rsidR="003C59D5" w:rsidRPr="00D6250E" w:rsidRDefault="00AF7873" w:rsidP="003C59D5">
      <w:pPr>
        <w:jc w:val="both"/>
        <w:rPr>
          <w:b/>
          <w:bCs/>
        </w:rPr>
      </w:pPr>
      <w:r w:rsidRPr="00D6250E">
        <w:rPr>
          <w:b/>
          <w:bCs/>
        </w:rPr>
        <w:t xml:space="preserve">4. </w:t>
      </w:r>
      <w:r w:rsidR="003C59D5" w:rsidRPr="00D6250E">
        <w:rPr>
          <w:b/>
          <w:bCs/>
        </w:rPr>
        <w:t>Discussion</w:t>
      </w:r>
    </w:p>
    <w:p w14:paraId="7C9DE964" w14:textId="65AB9451" w:rsidR="00DA1AB1" w:rsidRPr="00D6250E" w:rsidRDefault="00DA1AB1" w:rsidP="00D93041">
      <w:pPr>
        <w:jc w:val="both"/>
      </w:pPr>
      <w:r w:rsidRPr="00D6250E">
        <w:t>The present study provides clear evidence of species-specific responses of teak (</w:t>
      </w:r>
      <w:r w:rsidRPr="00D6250E">
        <w:rPr>
          <w:i/>
          <w:iCs/>
        </w:rPr>
        <w:t>Tectona grandis</w:t>
      </w:r>
      <w:r w:rsidRPr="00D6250E">
        <w:t>) and sandal (</w:t>
      </w:r>
      <w:r w:rsidRPr="00D6250E">
        <w:rPr>
          <w:i/>
          <w:iCs/>
        </w:rPr>
        <w:t>Santalum album</w:t>
      </w:r>
      <w:r w:rsidRPr="00D6250E">
        <w:t xml:space="preserve">) seedlings to arbuscular mycorrhizal fungi (AMF) inoculation, reflecting distinct strategies of resource allocation during early establishment. While germination parameters in both species were largely unaffected in terms of final percentages, effect size analyses revealed contrasting dynamics. Teak seeds under AMF exhibited slightly higher germination percentages but slower and less synchronous germination, as indicated by increased mean germination time (MGT) and reduced germination rate (MGR) and coefficient of velocity of germination (CVG). By contrast, sandal seeds displayed negligible differences in final germination but proceeded more rapidly under AMF, with shorter MGT and higher MGR and CVG. Comparable patterns were observed in </w:t>
      </w:r>
      <w:r w:rsidRPr="00D6250E">
        <w:rPr>
          <w:i/>
          <w:iCs/>
        </w:rPr>
        <w:t>Swietenia macrophylla</w:t>
      </w:r>
      <w:r w:rsidRPr="00D6250E">
        <w:t>, where AMF did not alter final germination but delayed emergence and reduced synchrony, again reflected in longer MGT and lower MGR and CVG (</w:t>
      </w:r>
      <w:r w:rsidR="006F43B1">
        <w:t>19</w:t>
      </w:r>
      <w:r w:rsidRPr="00D6250E">
        <w:t xml:space="preserve">). Together, these findings align with the “early cost–later benefit” model of mycorrhizal interactions, in which the establishment </w:t>
      </w:r>
      <w:r w:rsidRPr="00D6250E">
        <w:lastRenderedPageBreak/>
        <w:t xml:space="preserve">of symbiosis imposes an initial cost in germination tempo but potentially primes seedlings for later </w:t>
      </w:r>
      <w:proofErr w:type="spellStart"/>
      <w:r w:rsidRPr="00D6250E">
        <w:t>vigor</w:t>
      </w:r>
      <w:proofErr w:type="spellEnd"/>
      <w:r w:rsidRPr="00D6250E">
        <w:t xml:space="preserve"> and stress tolerance (</w:t>
      </w:r>
      <w:r w:rsidR="004B0500">
        <w:t>20</w:t>
      </w:r>
      <w:r w:rsidR="00D6250E">
        <w:t xml:space="preserve">, </w:t>
      </w:r>
      <w:r w:rsidR="0053750C" w:rsidRPr="00D6250E">
        <w:t>2</w:t>
      </w:r>
      <w:r w:rsidR="004B0500">
        <w:t>1</w:t>
      </w:r>
      <w:r w:rsidRPr="00D6250E">
        <w:t>). Hormonal reprogramming—particularly shifts in the ABA–GA balance—and bioactive fungal exudates may underlie these delays (</w:t>
      </w:r>
      <w:r w:rsidR="004B0500">
        <w:t>19, 22</w:t>
      </w:r>
      <w:r w:rsidRPr="00D6250E">
        <w:t>).</w:t>
      </w:r>
    </w:p>
    <w:p w14:paraId="56450EDE" w14:textId="3754646D" w:rsidR="00D93041" w:rsidRPr="00D6250E" w:rsidRDefault="00D93041" w:rsidP="00D93041">
      <w:pPr>
        <w:jc w:val="both"/>
      </w:pPr>
      <w:r w:rsidRPr="00D6250E">
        <w:t xml:space="preserve">At the seedling stage, teak exhibited pronounced biomass reallocation in response to AMF. Inoculated seedlings developed fewer but larger leaves, accompanied by significant increases in root biomass and leaf area. This pattern suggests a resource-use strategy that emphasizes strengthening below-ground structures for nutrient acquisition while maximizing photosynthetic efficiency per unit leaf. Comparable shifts have been reported in other tropical hardwoods, including </w:t>
      </w:r>
      <w:r w:rsidRPr="00D6250E">
        <w:rPr>
          <w:i/>
          <w:iCs/>
        </w:rPr>
        <w:t>Swietenia macrophylla</w:t>
      </w:r>
      <w:r w:rsidRPr="00D6250E">
        <w:t xml:space="preserve">, where AMF inoculation—particularly with </w:t>
      </w:r>
      <w:proofErr w:type="spellStart"/>
      <w:r w:rsidRPr="00D6250E">
        <w:rPr>
          <w:i/>
          <w:iCs/>
        </w:rPr>
        <w:t>Claroideoglomus</w:t>
      </w:r>
      <w:proofErr w:type="spellEnd"/>
      <w:r w:rsidRPr="00D6250E">
        <w:rPr>
          <w:i/>
          <w:iCs/>
        </w:rPr>
        <w:t xml:space="preserve"> </w:t>
      </w:r>
      <w:proofErr w:type="spellStart"/>
      <w:r w:rsidRPr="00D6250E">
        <w:rPr>
          <w:i/>
          <w:iCs/>
        </w:rPr>
        <w:t>etunicatum</w:t>
      </w:r>
      <w:proofErr w:type="spellEnd"/>
      <w:r w:rsidRPr="00D6250E">
        <w:t>—enhanced root proliferation and conferred drought resilience (</w:t>
      </w:r>
      <w:r w:rsidR="004B0500">
        <w:t>8</w:t>
      </w:r>
      <w:r w:rsidRPr="00D6250E">
        <w:t xml:space="preserve">). These findings reinforce earlier syntheses that AMF often induce functional trade-offs in host biomass allocation, </w:t>
      </w:r>
      <w:proofErr w:type="spellStart"/>
      <w:r w:rsidRPr="00D6250E">
        <w:t>channeling</w:t>
      </w:r>
      <w:proofErr w:type="spellEnd"/>
      <w:r w:rsidRPr="00D6250E">
        <w:t xml:space="preserve"> assimilates toward roots and larger leaves to optimize resource capture under limiting conditions (</w:t>
      </w:r>
      <w:r w:rsidR="00301DCD">
        <w:t>6</w:t>
      </w:r>
      <w:r w:rsidR="00061F8E">
        <w:t xml:space="preserve">, </w:t>
      </w:r>
      <w:r w:rsidR="00301DCD">
        <w:t>7</w:t>
      </w:r>
      <w:r w:rsidRPr="00D6250E">
        <w:t>).</w:t>
      </w:r>
    </w:p>
    <w:p w14:paraId="32583B75" w14:textId="78E30B1F" w:rsidR="00D93041" w:rsidRPr="00D6250E" w:rsidRDefault="00D93041" w:rsidP="00D93041">
      <w:pPr>
        <w:jc w:val="both"/>
      </w:pPr>
      <w:r w:rsidRPr="00D6250E">
        <w:t>In sandal, the responses were more incremental yet consistently positive. Root biomass nearly doubled under AMF, while total biomass and leaf area increased moderately but without significant reductions in other traits. Such conservative gains suggest that sandal may rely on AMF to support gradual improvements in establishment rather than drastic reallocations. Similar host-dependent variability has been observed in tropical legumes and other hardwoods, where the magnitude of AMF benefits varies across taxa (</w:t>
      </w:r>
      <w:r w:rsidR="00A72902" w:rsidRPr="00061F8E">
        <w:t>2</w:t>
      </w:r>
      <w:r w:rsidR="00061F8E" w:rsidRPr="00061F8E">
        <w:t xml:space="preserve">, </w:t>
      </w:r>
      <w:r w:rsidR="0053750C" w:rsidRPr="00061F8E">
        <w:t>2</w:t>
      </w:r>
      <w:r w:rsidR="00A72902" w:rsidRPr="00061F8E">
        <w:t>3</w:t>
      </w:r>
      <w:r w:rsidRPr="00061F8E">
        <w:t>).</w:t>
      </w:r>
      <w:r w:rsidRPr="00D6250E">
        <w:t xml:space="preserve"> Importantly, nursery studies with sandal have shown that combining AMF with other microbial inoculants (e.g., </w:t>
      </w:r>
      <w:proofErr w:type="spellStart"/>
      <w:r w:rsidRPr="00D6250E">
        <w:rPr>
          <w:i/>
          <w:iCs/>
        </w:rPr>
        <w:t>Azospirillum</w:t>
      </w:r>
      <w:proofErr w:type="spellEnd"/>
      <w:r w:rsidRPr="00D6250E">
        <w:t xml:space="preserve">, </w:t>
      </w:r>
      <w:proofErr w:type="spellStart"/>
      <w:r w:rsidRPr="00D6250E">
        <w:rPr>
          <w:i/>
          <w:iCs/>
        </w:rPr>
        <w:t>Azotobacter</w:t>
      </w:r>
      <w:proofErr w:type="spellEnd"/>
      <w:r w:rsidRPr="00D6250E">
        <w:t>, and phosphate-solubilizing bacteria) produced synergistic improvements in seedling quality indices such as volume index and Dickson’s quality index (</w:t>
      </w:r>
      <w:r w:rsidR="00301DCD">
        <w:t>24</w:t>
      </w:r>
      <w:r w:rsidRPr="00D6250E">
        <w:t xml:space="preserve">). Likewise, under varying shade regimes, sandal seedlings inoculated with </w:t>
      </w:r>
      <w:r w:rsidRPr="00D6250E">
        <w:rPr>
          <w:i/>
          <w:iCs/>
        </w:rPr>
        <w:t xml:space="preserve">Glomus </w:t>
      </w:r>
      <w:proofErr w:type="spellStart"/>
      <w:r w:rsidRPr="00D6250E">
        <w:rPr>
          <w:i/>
          <w:iCs/>
        </w:rPr>
        <w:t>mosseae</w:t>
      </w:r>
      <w:proofErr w:type="spellEnd"/>
      <w:r w:rsidRPr="00D6250E">
        <w:t xml:space="preserve"> achieved higher leaf area, shoot biomass, and water status, particularly under 50% shade (</w:t>
      </w:r>
      <w:r w:rsidR="00301DCD">
        <w:t>25</w:t>
      </w:r>
      <w:r w:rsidRPr="00061F8E">
        <w:t>)</w:t>
      </w:r>
      <w:r w:rsidRPr="00D6250E">
        <w:t xml:space="preserve">. These results imply that sandal’s modest baseline response to AMF can be substantially amplified under optimized environmental or </w:t>
      </w:r>
      <w:proofErr w:type="spellStart"/>
      <w:r w:rsidRPr="00D6250E">
        <w:t>consortial</w:t>
      </w:r>
      <w:proofErr w:type="spellEnd"/>
      <w:r w:rsidRPr="00D6250E">
        <w:t xml:space="preserve"> inoculation regimes.</w:t>
      </w:r>
    </w:p>
    <w:p w14:paraId="18206DE7" w14:textId="0E6766BD" w:rsidR="00DA1AB1" w:rsidRPr="00D6250E" w:rsidRDefault="00DA1AB1" w:rsidP="003C59D5">
      <w:pPr>
        <w:jc w:val="both"/>
      </w:pPr>
      <w:r w:rsidRPr="00D6250E">
        <w:t xml:space="preserve">The divergent patterns observed here—teak showing strong biomass redistribution and sandal showing incremental trait enhancement—align with broader evidence that AMF–host interactions are shaped by ecological context. A </w:t>
      </w:r>
      <w:proofErr w:type="spellStart"/>
      <w:r w:rsidRPr="00D6250E">
        <w:t>chronosequence</w:t>
      </w:r>
      <w:proofErr w:type="spellEnd"/>
      <w:r w:rsidRPr="00D6250E">
        <w:t xml:space="preserve"> study in teak plantations demonstrated that AMF colonization rates and spore density increase with stand age, with </w:t>
      </w:r>
      <w:r w:rsidRPr="00D6250E">
        <w:rPr>
          <w:i/>
          <w:iCs/>
        </w:rPr>
        <w:t>Glomus</w:t>
      </w:r>
      <w:r w:rsidRPr="00D6250E">
        <w:t xml:space="preserve"> dominating both soil and root communities (</w:t>
      </w:r>
      <w:r w:rsidR="0053750C" w:rsidRPr="00D6250E">
        <w:t>2</w:t>
      </w:r>
      <w:r w:rsidR="00536734" w:rsidRPr="00D6250E">
        <w:t>6</w:t>
      </w:r>
      <w:r w:rsidRPr="00D6250E">
        <w:t>). This suggests that teak may progressively integrate AMF into its resource-acquisition strategy as plantations mature, potentially compounding the root-driven advantages observed in seedlings. In sandal, the moderate gains in root biomass and photosynthetic attributes may be critical for survival in nutrient-limited, shaded forest understories, echoing the role of AMF in enhancing establishment of slow-growing tropical perennials (</w:t>
      </w:r>
      <w:r w:rsidR="00301DCD">
        <w:t>4</w:t>
      </w:r>
      <w:r w:rsidRPr="00D6250E">
        <w:t xml:space="preserve">). By contrast, </w:t>
      </w:r>
      <w:r w:rsidRPr="00D6250E">
        <w:rPr>
          <w:i/>
          <w:iCs/>
        </w:rPr>
        <w:t>Swietenia macrophylla</w:t>
      </w:r>
      <w:r w:rsidRPr="00D6250E">
        <w:t xml:space="preserve"> exhibited neutral seedling responses under AMF when raised in coir pith + farmyard manure (FYM) substrates, where high phosphorus availability and microbial competition likely suppressed effective colonization (</w:t>
      </w:r>
      <w:r w:rsidR="00301DCD">
        <w:t>19</w:t>
      </w:r>
      <w:r w:rsidRPr="00D6250E">
        <w:t>). These findings underscore how nursery substrate composition and inoculation methods can fundamentally alter outcomes, explaining why some trials report strong benefits while others observe neutral or even inhibitory effects.</w:t>
      </w:r>
    </w:p>
    <w:p w14:paraId="774A0CC8" w14:textId="5D72FE9E" w:rsidR="00DA1AB1" w:rsidRPr="00D6250E" w:rsidRDefault="00DA1AB1" w:rsidP="003C59D5">
      <w:pPr>
        <w:jc w:val="both"/>
      </w:pPr>
      <w:r w:rsidRPr="00D6250E">
        <w:t>Taken together, these results highlight contrasting growth strategies under AMF symbiosis: teak demonstrated a pronounced reallocation of resources, enhancing root systems and leaf area at the expense of leaf number, whereas sandal showed incremental but consistent gains without major trade-offs, and mahogany displayed neutral early responses highly dependent on substrate conditions (</w:t>
      </w:r>
      <w:r w:rsidR="00301DCD">
        <w:t>19</w:t>
      </w:r>
      <w:r w:rsidRPr="00D6250E">
        <w:t xml:space="preserve">). Such divergence underscores the species-specific nature of AMF benefits, reflecting differences in life history and ecological niche. These results are consistent with meta-analyses showing that AMF </w:t>
      </w:r>
      <w:r w:rsidRPr="00D6250E">
        <w:lastRenderedPageBreak/>
        <w:t>outcomes depend not only on host species but also on soil properties, inoculum composition, shade environment, and developmental stage (</w:t>
      </w:r>
      <w:r w:rsidR="0036674F">
        <w:t>3</w:t>
      </w:r>
      <w:r w:rsidRPr="00D6250E">
        <w:t>).</w:t>
      </w:r>
    </w:p>
    <w:p w14:paraId="6B1D6DA2" w14:textId="6954DA5D" w:rsidR="003C59D5" w:rsidRPr="00D6250E" w:rsidRDefault="00D93041" w:rsidP="003C59D5">
      <w:pPr>
        <w:jc w:val="both"/>
      </w:pPr>
      <w:r w:rsidRPr="00D6250E">
        <w:t>For forestry practice, this implies that teak may benefit most from targeted AMF inoculation to accelerate early root development and drought tolerance, whereas sandal may require combined microbial consortia or shade optimization to realize its full growth potential.</w:t>
      </w:r>
      <w:r w:rsidRPr="00D6250E">
        <w:br/>
      </w:r>
      <w:r w:rsidR="003C59D5" w:rsidRPr="00D6250E">
        <w:t>From an applied perspective, these findings suggest that AMF inoculation can be strategically employed in tropical forestry nurseries. For teak, AMF inoculation may accelerate the establishment of robust seedlings with strong root systems and large photosynthetic surfaces, increasing survival during transplantation. For sandal, even modest enhancements in root biomass and leaf area may provide long-term resilience, particularly under stressful nursery or field conditions. Integrating AMF into nursery protocols thus offers a sustainable alternative to chemical inputs, improving propagation success and promoting ecological forestry practices.</w:t>
      </w:r>
    </w:p>
    <w:p w14:paraId="532DA392" w14:textId="77777777" w:rsidR="008171D7" w:rsidRPr="00D6250E" w:rsidRDefault="008171D7" w:rsidP="008171D7">
      <w:pPr>
        <w:jc w:val="both"/>
        <w:rPr>
          <w:b/>
          <w:bCs/>
        </w:rPr>
      </w:pPr>
      <w:r w:rsidRPr="00D6250E">
        <w:rPr>
          <w:b/>
          <w:bCs/>
        </w:rPr>
        <w:t>5. Conclusion</w:t>
      </w:r>
    </w:p>
    <w:p w14:paraId="18E90510" w14:textId="77777777" w:rsidR="008171D7" w:rsidRPr="00D6250E" w:rsidRDefault="008171D7" w:rsidP="008171D7">
      <w:pPr>
        <w:jc w:val="both"/>
      </w:pPr>
      <w:r w:rsidRPr="00D6250E">
        <w:t>This study demonstrated that arbuscular mycorrhizal fungi (AMF) consortia influenced germination dynamics and seedling growth of teak (</w:t>
      </w:r>
      <w:r w:rsidRPr="00D6250E">
        <w:rPr>
          <w:i/>
          <w:iCs/>
        </w:rPr>
        <w:t>Tectona grandis</w:t>
      </w:r>
      <w:r w:rsidRPr="00D6250E">
        <w:t>) and sandal (</w:t>
      </w:r>
      <w:r w:rsidRPr="00D6250E">
        <w:rPr>
          <w:i/>
          <w:iCs/>
        </w:rPr>
        <w:t>Santalum album</w:t>
      </w:r>
      <w:r w:rsidRPr="00D6250E">
        <w:t>) in species-specific ways. Although AMF did not significantly alter final germination percentages in either species, effect size analyses revealed important shifts in germination kinetics. Teak seeds under AMF displayed marginally higher germination but slower and less synchronous emergence, while sandal seeds showed a trend toward faster germination with higher germination rate and velocity. These contrasting germination patterns underline the host-dependent nature of AMF effects during early developmental stages.</w:t>
      </w:r>
    </w:p>
    <w:p w14:paraId="6211D449" w14:textId="1A4C3EA9" w:rsidR="008171D7" w:rsidRPr="00D6250E" w:rsidRDefault="008171D7" w:rsidP="008171D7">
      <w:pPr>
        <w:jc w:val="center"/>
      </w:pPr>
      <w:r w:rsidRPr="00D6250E">
        <w:rPr>
          <w:noProof/>
        </w:rPr>
        <w:drawing>
          <wp:inline distT="0" distB="0" distL="0" distR="0" wp14:anchorId="553AB7AC" wp14:editId="48A52690">
            <wp:extent cx="6120130" cy="2865120"/>
            <wp:effectExtent l="0" t="0" r="0" b="0"/>
            <wp:docPr id="6471206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1">
                      <a:extLst>
                        <a:ext uri="{28A0092B-C50C-407E-A947-70E740481C1C}">
                          <a14:useLocalDpi xmlns:a14="http://schemas.microsoft.com/office/drawing/2010/main" val="0"/>
                        </a:ext>
                      </a:extLst>
                    </a:blip>
                    <a:srcRect t="7969" b="8799"/>
                    <a:stretch>
                      <a:fillRect/>
                    </a:stretch>
                  </pic:blipFill>
                  <pic:spPr bwMode="auto">
                    <a:xfrm>
                      <a:off x="0" y="0"/>
                      <a:ext cx="6120130" cy="2865120"/>
                    </a:xfrm>
                    <a:prstGeom prst="rect">
                      <a:avLst/>
                    </a:prstGeom>
                    <a:noFill/>
                    <a:ln>
                      <a:noFill/>
                    </a:ln>
                    <a:extLst>
                      <a:ext uri="{53640926-AAD7-44D8-BBD7-CCE9431645EC}">
                        <a14:shadowObscured xmlns:a14="http://schemas.microsoft.com/office/drawing/2010/main"/>
                      </a:ext>
                    </a:extLst>
                  </pic:spPr>
                </pic:pic>
              </a:graphicData>
            </a:graphic>
          </wp:inline>
        </w:drawing>
      </w:r>
    </w:p>
    <w:p w14:paraId="6109EFA0" w14:textId="77777777" w:rsidR="008171D7" w:rsidRPr="00D6250E" w:rsidRDefault="008171D7" w:rsidP="008171D7">
      <w:pPr>
        <w:jc w:val="both"/>
      </w:pPr>
      <w:r w:rsidRPr="00D6250E">
        <w:t xml:space="preserve">Figure 5. Resource Allocation Shifts under AMF Inoculation: Teak vs. Sandal </w:t>
      </w:r>
    </w:p>
    <w:p w14:paraId="4FF22842" w14:textId="77777777" w:rsidR="008171D7" w:rsidRPr="00D6250E" w:rsidRDefault="008171D7" w:rsidP="008171D7">
      <w:pPr>
        <w:jc w:val="both"/>
      </w:pPr>
    </w:p>
    <w:p w14:paraId="154AACDB" w14:textId="4B0B9AF4" w:rsidR="008171D7" w:rsidRPr="00D6250E" w:rsidRDefault="008171D7" w:rsidP="008171D7">
      <w:pPr>
        <w:jc w:val="both"/>
      </w:pPr>
      <w:r w:rsidRPr="00D6250E">
        <w:t xml:space="preserve">At the seedling stage, AMF inoculation induced marked resource reallocation in teak, characterized by a significant reduction in leaf number but striking increases in leaf area and root biomass. This strategy suggests prioritization of below-ground development and efficient photosynthetic surface expansion, enhancing resource capture and stress resilience. In sandal, the effects were more modest but consistently positive, with AMF seedlings showing moderate improvements in root biomass, total seedling weight, and leaf area without altering leaf number or shoot morphology. Such differences </w:t>
      </w:r>
      <w:r w:rsidRPr="00D6250E">
        <w:lastRenderedPageBreak/>
        <w:t xml:space="preserve">reflect divergent allocation strategies (Figure 5), where teak responds with strong shifts and sandal with incremental gains. </w:t>
      </w:r>
    </w:p>
    <w:p w14:paraId="3A85F8CD" w14:textId="17FF5328" w:rsidR="006B22BF" w:rsidRPr="00D6250E" w:rsidRDefault="008171D7" w:rsidP="003C59D5">
      <w:pPr>
        <w:jc w:val="both"/>
      </w:pPr>
      <w:r w:rsidRPr="00D6250E">
        <w:t xml:space="preserve">Collectively, these findings highlight the potential of AMF inoculation as a sustainable practice in forestry nurseries. By improving root systems, photosynthetic efficiency, and seedling </w:t>
      </w:r>
      <w:proofErr w:type="spellStart"/>
      <w:r w:rsidRPr="00D6250E">
        <w:t>vigor</w:t>
      </w:r>
      <w:proofErr w:type="spellEnd"/>
      <w:r w:rsidRPr="00D6250E">
        <w:t>, AMF can enhance survival and establishment of high-value tropical trees. The contrasting responses of teak and sandal also emphasize the importance of tailoring AMF-based nursery practices to species-specific requirements for effective ecological forestry management.</w:t>
      </w:r>
    </w:p>
    <w:p w14:paraId="5C206E98" w14:textId="77777777" w:rsidR="00734C3E" w:rsidRDefault="00734C3E" w:rsidP="00A509DD">
      <w:pPr>
        <w:jc w:val="both"/>
        <w:rPr>
          <w:b/>
          <w:bCs/>
        </w:rPr>
      </w:pPr>
    </w:p>
    <w:p w14:paraId="12A9B9F8" w14:textId="285EE914" w:rsidR="00A509DD" w:rsidRPr="00D6250E" w:rsidRDefault="003C59D5" w:rsidP="00A509DD">
      <w:pPr>
        <w:jc w:val="both"/>
        <w:rPr>
          <w:b/>
          <w:bCs/>
        </w:rPr>
      </w:pPr>
      <w:bookmarkStart w:id="0" w:name="_GoBack"/>
      <w:bookmarkEnd w:id="0"/>
      <w:r w:rsidRPr="00D6250E">
        <w:rPr>
          <w:b/>
          <w:bCs/>
        </w:rPr>
        <w:t xml:space="preserve">References </w:t>
      </w:r>
    </w:p>
    <w:p w14:paraId="53A3CF7C" w14:textId="77777777" w:rsidR="00C4273F" w:rsidRDefault="007E51AF" w:rsidP="00461702">
      <w:pPr>
        <w:pStyle w:val="NormalWeb"/>
        <w:numPr>
          <w:ilvl w:val="0"/>
          <w:numId w:val="7"/>
        </w:numPr>
        <w:ind w:left="567" w:hanging="567"/>
        <w:jc w:val="both"/>
      </w:pPr>
      <w:r w:rsidRPr="00D6250E">
        <w:t xml:space="preserve">Smith SE, Read DJ. Mycorrhizal symbiosis. 3rd ed. Cambridge (MA): Academic Press; 2008. Available from: </w:t>
      </w:r>
      <w:hyperlink r:id="rId12" w:history="1">
        <w:r w:rsidRPr="00D6250E">
          <w:rPr>
            <w:rStyle w:val="Hyperlink"/>
          </w:rPr>
          <w:t>https://doi.org/10.1016/B978-0-12-370526-6.X5001-6</w:t>
        </w:r>
      </w:hyperlink>
      <w:r w:rsidRPr="00D6250E">
        <w:t xml:space="preserve">   </w:t>
      </w:r>
    </w:p>
    <w:p w14:paraId="010E6B62" w14:textId="77777777" w:rsidR="00C4273F" w:rsidRDefault="00461702" w:rsidP="00F80953">
      <w:pPr>
        <w:pStyle w:val="NormalWeb"/>
        <w:numPr>
          <w:ilvl w:val="0"/>
          <w:numId w:val="7"/>
        </w:numPr>
        <w:ind w:left="567" w:hanging="567"/>
        <w:jc w:val="both"/>
      </w:pPr>
      <w:r w:rsidRPr="00461702">
        <w:t xml:space="preserve">Smith FA, Smith SE. Roles of arbuscular mycorrhizas in plant nutrition and growth: new paradigms from cellular to ecosystem scales. Annu Rev Plant Biol. </w:t>
      </w:r>
      <w:proofErr w:type="gramStart"/>
      <w:r w:rsidRPr="00461702">
        <w:t>2011;62:227</w:t>
      </w:r>
      <w:proofErr w:type="gramEnd"/>
      <w:r w:rsidRPr="00461702">
        <w:t xml:space="preserve">-250. </w:t>
      </w:r>
      <w:hyperlink r:id="rId13" w:history="1">
        <w:r w:rsidRPr="00461702">
          <w:rPr>
            <w:rStyle w:val="Hyperlink"/>
          </w:rPr>
          <w:t>https://doi.org/10.1146/annurev-arplant-042110-103846</w:t>
        </w:r>
      </w:hyperlink>
      <w:r w:rsidRPr="00461702">
        <w:t xml:space="preserve"> </w:t>
      </w:r>
    </w:p>
    <w:p w14:paraId="2398DC6E" w14:textId="77777777" w:rsidR="00C4273F" w:rsidRDefault="00F80953" w:rsidP="00F80953">
      <w:pPr>
        <w:pStyle w:val="NormalWeb"/>
        <w:numPr>
          <w:ilvl w:val="0"/>
          <w:numId w:val="7"/>
        </w:numPr>
        <w:ind w:left="567" w:hanging="567"/>
        <w:jc w:val="both"/>
      </w:pPr>
      <w:r w:rsidRPr="00F80953">
        <w:t>Chandrasekaran M. Arbuscular mycorrhizal fungi mediated enhanced biomass, root morphological traits and nutrient uptake under drought stress: a meta-analysis</w:t>
      </w:r>
      <w:r w:rsidRPr="00F80953">
        <w:rPr>
          <w:i/>
          <w:iCs/>
        </w:rPr>
        <w:t xml:space="preserve">. </w:t>
      </w:r>
      <w:r w:rsidRPr="00F80953">
        <w:t xml:space="preserve">J Fungi. 2022;8(7):660. </w:t>
      </w:r>
      <w:hyperlink r:id="rId14" w:history="1">
        <w:r w:rsidRPr="00F80953">
          <w:rPr>
            <w:rStyle w:val="Hyperlink"/>
          </w:rPr>
          <w:t>https://doi.org/10.3390/jof8070660</w:t>
        </w:r>
      </w:hyperlink>
      <w:r w:rsidRPr="00F80953">
        <w:t xml:space="preserve"> </w:t>
      </w:r>
    </w:p>
    <w:p w14:paraId="184FF585" w14:textId="77777777" w:rsidR="00C4273F" w:rsidRDefault="00DC7B6D" w:rsidP="00F80953">
      <w:pPr>
        <w:pStyle w:val="NormalWeb"/>
        <w:numPr>
          <w:ilvl w:val="0"/>
          <w:numId w:val="7"/>
        </w:numPr>
        <w:ind w:left="567" w:hanging="567"/>
        <w:jc w:val="both"/>
      </w:pPr>
      <w:r w:rsidRPr="00DC7B6D">
        <w:t xml:space="preserve">Ruiz-Lozano JM, </w:t>
      </w:r>
      <w:proofErr w:type="spellStart"/>
      <w:r w:rsidRPr="00DC7B6D">
        <w:t>Aroca</w:t>
      </w:r>
      <w:proofErr w:type="spellEnd"/>
      <w:r w:rsidRPr="00DC7B6D">
        <w:t xml:space="preserve"> R, </w:t>
      </w:r>
      <w:proofErr w:type="spellStart"/>
      <w:r w:rsidRPr="00DC7B6D">
        <w:t>Zamarreño</w:t>
      </w:r>
      <w:proofErr w:type="spellEnd"/>
      <w:r w:rsidRPr="00DC7B6D">
        <w:t xml:space="preserve"> ÁM, Molina S, Andreo-Jiménez B, Porcel R, et al. Regulation by arbuscular mycorrhizae of the integrated physiological response to salinity in plants. J Exp Bot. 2012;63(11):4033-4044. </w:t>
      </w:r>
      <w:hyperlink r:id="rId15" w:history="1">
        <w:r w:rsidRPr="00DC7B6D">
          <w:rPr>
            <w:rStyle w:val="Hyperlink"/>
          </w:rPr>
          <w:t>https://doi.org/10.1093/jxb/ers126</w:t>
        </w:r>
      </w:hyperlink>
      <w:r w:rsidRPr="00DC7B6D">
        <w:t xml:space="preserve"> </w:t>
      </w:r>
    </w:p>
    <w:p w14:paraId="7C212CE9" w14:textId="77777777" w:rsidR="00C4273F" w:rsidRDefault="00F80953" w:rsidP="00F80953">
      <w:pPr>
        <w:pStyle w:val="NormalWeb"/>
        <w:numPr>
          <w:ilvl w:val="0"/>
          <w:numId w:val="7"/>
        </w:numPr>
        <w:ind w:left="567" w:hanging="567"/>
        <w:jc w:val="both"/>
      </w:pPr>
      <w:r w:rsidRPr="00F80953">
        <w:t xml:space="preserve">Ajeesh R, Binu NK, Santhoshkumar AV, Gopal S. Native arbuscular mycorrhizal fungi </w:t>
      </w:r>
      <w:proofErr w:type="gramStart"/>
      <w:r w:rsidRPr="00F80953">
        <w:t>improves</w:t>
      </w:r>
      <w:proofErr w:type="gramEnd"/>
      <w:r w:rsidRPr="00F80953">
        <w:t xml:space="preserve"> growth and quality of exotic </w:t>
      </w:r>
      <w:r w:rsidRPr="00F80953">
        <w:rPr>
          <w:i/>
          <w:iCs/>
        </w:rPr>
        <w:t>Swietenia macrophylla</w:t>
      </w:r>
      <w:r w:rsidRPr="00F80953">
        <w:t xml:space="preserve"> King seedlings in nursery. Fungal </w:t>
      </w:r>
      <w:proofErr w:type="spellStart"/>
      <w:r w:rsidRPr="00F80953">
        <w:t>Genom</w:t>
      </w:r>
      <w:proofErr w:type="spellEnd"/>
      <w:r w:rsidRPr="00F80953">
        <w:t xml:space="preserve"> Biol</w:t>
      </w:r>
      <w:r w:rsidRPr="00F80953">
        <w:rPr>
          <w:i/>
          <w:iCs/>
        </w:rPr>
        <w:t>.</w:t>
      </w:r>
      <w:r w:rsidRPr="00F80953">
        <w:t xml:space="preserve"> 2024;13(4):1-7. </w:t>
      </w:r>
      <w:hyperlink r:id="rId16" w:history="1">
        <w:r w:rsidRPr="00F80953">
          <w:rPr>
            <w:rStyle w:val="Hyperlink"/>
          </w:rPr>
          <w:t>https://doi.org/10.35248/2165-8056.23.13.235</w:t>
        </w:r>
      </w:hyperlink>
    </w:p>
    <w:p w14:paraId="7073CF89" w14:textId="77777777" w:rsidR="008B1A1C" w:rsidRDefault="00F80953" w:rsidP="00F80953">
      <w:pPr>
        <w:pStyle w:val="NormalWeb"/>
        <w:numPr>
          <w:ilvl w:val="0"/>
          <w:numId w:val="7"/>
        </w:numPr>
        <w:ind w:left="567" w:hanging="567"/>
        <w:jc w:val="both"/>
      </w:pPr>
      <w:proofErr w:type="spellStart"/>
      <w:r w:rsidRPr="00F80953">
        <w:t>Brundrett</w:t>
      </w:r>
      <w:proofErr w:type="spellEnd"/>
      <w:r w:rsidRPr="00F80953">
        <w:t xml:space="preserve"> MC, </w:t>
      </w:r>
      <w:proofErr w:type="spellStart"/>
      <w:r w:rsidRPr="00F80953">
        <w:t>Tedersoo</w:t>
      </w:r>
      <w:proofErr w:type="spellEnd"/>
      <w:r w:rsidRPr="00F80953">
        <w:t xml:space="preserve"> L. Evolutionary history of mycorrhizal symbioses and global host plant diversity. New Phytol. 2018;220(4):1108-1115. </w:t>
      </w:r>
      <w:hyperlink r:id="rId17" w:history="1">
        <w:r w:rsidRPr="00F80953">
          <w:rPr>
            <w:rStyle w:val="Hyperlink"/>
          </w:rPr>
          <w:t>https://doi.org/10.1111/nph.14976</w:t>
        </w:r>
      </w:hyperlink>
      <w:r w:rsidRPr="00F80953">
        <w:t xml:space="preserve"> </w:t>
      </w:r>
    </w:p>
    <w:p w14:paraId="1F481630" w14:textId="77777777" w:rsidR="008B1A1C" w:rsidRDefault="00F80953" w:rsidP="00F80953">
      <w:pPr>
        <w:pStyle w:val="NormalWeb"/>
        <w:numPr>
          <w:ilvl w:val="0"/>
          <w:numId w:val="7"/>
        </w:numPr>
        <w:ind w:left="567" w:hanging="567"/>
        <w:jc w:val="both"/>
      </w:pPr>
      <w:r w:rsidRPr="00F80953">
        <w:t xml:space="preserve">Chandrasekaran M, </w:t>
      </w:r>
      <w:proofErr w:type="spellStart"/>
      <w:r w:rsidRPr="00F80953">
        <w:t>Boughattas</w:t>
      </w:r>
      <w:proofErr w:type="spellEnd"/>
      <w:r w:rsidRPr="00F80953">
        <w:t xml:space="preserve"> S, Hu S, Oh S, Sa T. A meta-analysis of arbuscular mycorrhizal effects on plants grown under salt stress. Mycorrhiza. 2014;24(8):611-625. </w:t>
      </w:r>
      <w:hyperlink r:id="rId18" w:history="1">
        <w:r w:rsidRPr="00F80953">
          <w:rPr>
            <w:rStyle w:val="Hyperlink"/>
          </w:rPr>
          <w:t>https://doi.org/10.1007/s00572-014-0582-7</w:t>
        </w:r>
      </w:hyperlink>
      <w:r w:rsidRPr="00F80953">
        <w:t xml:space="preserve"> </w:t>
      </w:r>
    </w:p>
    <w:p w14:paraId="640D4B76" w14:textId="77777777" w:rsidR="008B1A1C" w:rsidRDefault="00DC7B6D" w:rsidP="00DC7B6D">
      <w:pPr>
        <w:pStyle w:val="NormalWeb"/>
        <w:numPr>
          <w:ilvl w:val="0"/>
          <w:numId w:val="7"/>
        </w:numPr>
        <w:ind w:left="567" w:hanging="567"/>
        <w:jc w:val="both"/>
      </w:pPr>
      <w:r w:rsidRPr="00DC7B6D">
        <w:t xml:space="preserve">Rajan LJ, Santhoshkumar AV, Gopal S, </w:t>
      </w:r>
      <w:proofErr w:type="spellStart"/>
      <w:r w:rsidRPr="00DC7B6D">
        <w:t>Kunhamu</w:t>
      </w:r>
      <w:proofErr w:type="spellEnd"/>
      <w:r w:rsidRPr="00DC7B6D">
        <w:t xml:space="preserve"> TK. Arbuscular mycorrhizal fungi inoculation as a climate adaptation strategy for establishment of </w:t>
      </w:r>
      <w:r w:rsidRPr="00DC7B6D">
        <w:rPr>
          <w:i/>
          <w:iCs/>
        </w:rPr>
        <w:t>Swietenia macrophylla</w:t>
      </w:r>
      <w:r w:rsidRPr="00DC7B6D">
        <w:t xml:space="preserve"> King seedlings. Forests. 2020;11(5):488. </w:t>
      </w:r>
      <w:hyperlink r:id="rId19" w:history="1">
        <w:r w:rsidRPr="00DC7B6D">
          <w:rPr>
            <w:rStyle w:val="Hyperlink"/>
          </w:rPr>
          <w:t>https://doi.org/10.3390/f11050488</w:t>
        </w:r>
      </w:hyperlink>
      <w:r w:rsidRPr="00DC7B6D">
        <w:t xml:space="preserve"> </w:t>
      </w:r>
    </w:p>
    <w:p w14:paraId="209B8EA8" w14:textId="77777777" w:rsidR="008B1A1C" w:rsidRDefault="00DC7B6D" w:rsidP="00DC7B6D">
      <w:pPr>
        <w:pStyle w:val="NormalWeb"/>
        <w:numPr>
          <w:ilvl w:val="0"/>
          <w:numId w:val="7"/>
        </w:numPr>
        <w:ind w:left="567" w:hanging="567"/>
        <w:jc w:val="both"/>
      </w:pPr>
      <w:r w:rsidRPr="00DC7B6D">
        <w:t xml:space="preserve">Pandey D, Brown C. Teak: a global overview. </w:t>
      </w:r>
      <w:proofErr w:type="spellStart"/>
      <w:r w:rsidRPr="00DC7B6D">
        <w:t>Unasylva</w:t>
      </w:r>
      <w:proofErr w:type="spellEnd"/>
      <w:r w:rsidRPr="00DC7B6D">
        <w:t xml:space="preserve">. 2000;51(201):3-12. </w:t>
      </w:r>
    </w:p>
    <w:p w14:paraId="299C72F3" w14:textId="77777777" w:rsidR="00854676" w:rsidRDefault="00DC7B6D" w:rsidP="00DC7B6D">
      <w:pPr>
        <w:pStyle w:val="NormalWeb"/>
        <w:numPr>
          <w:ilvl w:val="0"/>
          <w:numId w:val="7"/>
        </w:numPr>
        <w:ind w:left="567" w:hanging="567"/>
        <w:jc w:val="both"/>
      </w:pPr>
      <w:r w:rsidRPr="00DC7B6D">
        <w:t xml:space="preserve">Sharma A, Kumar A, Chahal S, Verma K, Chauhan K, Kumar R, Mann A. Morpho-physiological studies of sandalwood-host interaction under individual and interactive water and salt stress. </w:t>
      </w:r>
      <w:proofErr w:type="spellStart"/>
      <w:r w:rsidRPr="00DC7B6D">
        <w:t>Biol</w:t>
      </w:r>
      <w:proofErr w:type="spellEnd"/>
      <w:r w:rsidRPr="00DC7B6D">
        <w:t xml:space="preserve"> </w:t>
      </w:r>
      <w:proofErr w:type="spellStart"/>
      <w:r w:rsidRPr="00DC7B6D">
        <w:t>Futur</w:t>
      </w:r>
      <w:proofErr w:type="spellEnd"/>
      <w:r w:rsidRPr="00DC7B6D">
        <w:t>. 2024 Dec;75(4):497-506.</w:t>
      </w:r>
    </w:p>
    <w:p w14:paraId="0503190D" w14:textId="77777777" w:rsidR="00854676" w:rsidRDefault="00DC7B6D" w:rsidP="00DC7B6D">
      <w:pPr>
        <w:pStyle w:val="NormalWeb"/>
        <w:numPr>
          <w:ilvl w:val="0"/>
          <w:numId w:val="7"/>
        </w:numPr>
        <w:ind w:left="567" w:hanging="567"/>
        <w:jc w:val="both"/>
      </w:pPr>
      <w:r w:rsidRPr="00DC7B6D">
        <w:t xml:space="preserve">Institute Of Wood Science and Technology. Wood is Good: Grow more, Use More. Indian Council of Forestry Research and Education; 2021. Available from: </w:t>
      </w:r>
      <w:hyperlink r:id="rId20" w:history="1">
        <w:r w:rsidRPr="00DC7B6D">
          <w:rPr>
            <w:rStyle w:val="Hyperlink"/>
          </w:rPr>
          <w:t>https://iwst.icfre.gov.in/docs/WoodisGood,GrowMore,UseMoreMagazine,Vol.II.IssueII.July-September2021.pdf</w:t>
        </w:r>
      </w:hyperlink>
      <w:r w:rsidRPr="00DC7B6D">
        <w:t xml:space="preserve"> </w:t>
      </w:r>
    </w:p>
    <w:p w14:paraId="060C4E95" w14:textId="77777777" w:rsidR="00854676" w:rsidRDefault="00DC7B6D" w:rsidP="00DC7B6D">
      <w:pPr>
        <w:pStyle w:val="NormalWeb"/>
        <w:numPr>
          <w:ilvl w:val="0"/>
          <w:numId w:val="7"/>
        </w:numPr>
        <w:ind w:left="567" w:hanging="567"/>
        <w:jc w:val="both"/>
      </w:pPr>
      <w:r w:rsidRPr="00DC7B6D">
        <w:t>Page T, Lee D, Jenkin B, Burridge T, Macdonell P, et al. Improvement and management of teak and sandalwood in Papua New Guinea and Australia. Canberra: Australian Centre for International Agricultural Research; 2021. 110p. Final Report: FR2021/023</w:t>
      </w:r>
      <w:r w:rsidRPr="00DC7B6D">
        <w:rPr>
          <w:b/>
          <w:bCs/>
        </w:rPr>
        <w:t xml:space="preserve"> </w:t>
      </w:r>
      <w:r w:rsidRPr="00DC7B6D">
        <w:t>Available from:</w:t>
      </w:r>
      <w:r w:rsidRPr="00DC7B6D">
        <w:rPr>
          <w:b/>
          <w:bCs/>
        </w:rPr>
        <w:t xml:space="preserve"> </w:t>
      </w:r>
      <w:hyperlink r:id="rId21" w:history="1">
        <w:r w:rsidRPr="00DC7B6D">
          <w:rPr>
            <w:rStyle w:val="Hyperlink"/>
          </w:rPr>
          <w:t>https://www.aciar.gov.au/publication/technical-publications/improvement-and-management-teak-and-sandalwood-papua-new-guinea-and-australia-final</w:t>
        </w:r>
      </w:hyperlink>
    </w:p>
    <w:p w14:paraId="4320FF4D" w14:textId="77777777" w:rsidR="00854676" w:rsidRDefault="00DC7B6D" w:rsidP="00DC7B6D">
      <w:pPr>
        <w:pStyle w:val="NormalWeb"/>
        <w:numPr>
          <w:ilvl w:val="0"/>
          <w:numId w:val="7"/>
        </w:numPr>
        <w:ind w:left="567" w:hanging="567"/>
        <w:jc w:val="both"/>
      </w:pPr>
      <w:r w:rsidRPr="00DC7B6D">
        <w:t xml:space="preserve">Ryan MH, Graham JH. Little evidence that farmers should consider abundance or diversity of arbuscular mycorrhizal fungi when managing crops. New Phytol. 2018;220(4):1092-1107. </w:t>
      </w:r>
      <w:hyperlink r:id="rId22" w:history="1">
        <w:r w:rsidRPr="00DC7B6D">
          <w:rPr>
            <w:rStyle w:val="Hyperlink"/>
          </w:rPr>
          <w:t>https://doi.org/10.1111/nph.15308</w:t>
        </w:r>
      </w:hyperlink>
      <w:r w:rsidRPr="00DC7B6D">
        <w:t xml:space="preserve"> </w:t>
      </w:r>
    </w:p>
    <w:p w14:paraId="447D658E" w14:textId="77777777" w:rsidR="00854676" w:rsidRDefault="00DC7B6D" w:rsidP="00DC7B6D">
      <w:pPr>
        <w:pStyle w:val="NormalWeb"/>
        <w:numPr>
          <w:ilvl w:val="0"/>
          <w:numId w:val="7"/>
        </w:numPr>
        <w:ind w:left="567" w:hanging="567"/>
        <w:jc w:val="both"/>
      </w:pPr>
      <w:r w:rsidRPr="00DC7B6D">
        <w:t>Walder F, Van der Heijden MGA. Regulation of resource exchange in the arbuscular mycorrhizal symbiosis. Nat Plants</w:t>
      </w:r>
      <w:r w:rsidRPr="00DC7B6D">
        <w:rPr>
          <w:i/>
          <w:iCs/>
        </w:rPr>
        <w:t>.</w:t>
      </w:r>
      <w:r w:rsidRPr="00DC7B6D">
        <w:t xml:space="preserve"> </w:t>
      </w:r>
      <w:proofErr w:type="gramStart"/>
      <w:r w:rsidRPr="00DC7B6D">
        <w:t>2015;1:15159</w:t>
      </w:r>
      <w:proofErr w:type="gramEnd"/>
      <w:r w:rsidRPr="00DC7B6D">
        <w:t xml:space="preserve">. </w:t>
      </w:r>
      <w:hyperlink r:id="rId23" w:history="1">
        <w:r w:rsidRPr="00DC7B6D">
          <w:rPr>
            <w:rStyle w:val="Hyperlink"/>
          </w:rPr>
          <w:t>https://doi.org/10.1038/nplants.2015.159</w:t>
        </w:r>
      </w:hyperlink>
      <w:r w:rsidRPr="00DC7B6D">
        <w:t xml:space="preserve"> </w:t>
      </w:r>
    </w:p>
    <w:p w14:paraId="2C4EE142" w14:textId="77777777" w:rsidR="00267EB2" w:rsidRDefault="00DC7B6D" w:rsidP="00DC7B6D">
      <w:pPr>
        <w:pStyle w:val="NormalWeb"/>
        <w:numPr>
          <w:ilvl w:val="0"/>
          <w:numId w:val="7"/>
        </w:numPr>
        <w:ind w:left="567" w:hanging="567"/>
        <w:jc w:val="both"/>
      </w:pPr>
      <w:proofErr w:type="spellStart"/>
      <w:r w:rsidRPr="00DC7B6D">
        <w:lastRenderedPageBreak/>
        <w:t>Berruti</w:t>
      </w:r>
      <w:proofErr w:type="spellEnd"/>
      <w:r w:rsidRPr="00DC7B6D">
        <w:t xml:space="preserve"> A, </w:t>
      </w:r>
      <w:proofErr w:type="spellStart"/>
      <w:r w:rsidRPr="00DC7B6D">
        <w:t>Lumini</w:t>
      </w:r>
      <w:proofErr w:type="spellEnd"/>
      <w:r w:rsidRPr="00DC7B6D">
        <w:t xml:space="preserve"> E, </w:t>
      </w:r>
      <w:proofErr w:type="spellStart"/>
      <w:r w:rsidRPr="00DC7B6D">
        <w:t>Balestrini</w:t>
      </w:r>
      <w:proofErr w:type="spellEnd"/>
      <w:r w:rsidRPr="00DC7B6D">
        <w:t xml:space="preserve"> R, </w:t>
      </w:r>
      <w:proofErr w:type="spellStart"/>
      <w:r w:rsidRPr="00DC7B6D">
        <w:t>Bianciotto</w:t>
      </w:r>
      <w:proofErr w:type="spellEnd"/>
      <w:r w:rsidRPr="00DC7B6D">
        <w:t xml:space="preserve"> V. Arbuscular mycorrhizal fungi as natural biofertilizers: let’s benefit from past successes. Front </w:t>
      </w:r>
      <w:proofErr w:type="spellStart"/>
      <w:r w:rsidRPr="00DC7B6D">
        <w:t>Microbiol</w:t>
      </w:r>
      <w:proofErr w:type="spellEnd"/>
      <w:r w:rsidRPr="00DC7B6D">
        <w:rPr>
          <w:i/>
          <w:iCs/>
        </w:rPr>
        <w:t>.</w:t>
      </w:r>
      <w:r w:rsidRPr="00DC7B6D">
        <w:t xml:space="preserve"> </w:t>
      </w:r>
      <w:proofErr w:type="gramStart"/>
      <w:r w:rsidRPr="00DC7B6D">
        <w:t>2015;6:1559</w:t>
      </w:r>
      <w:proofErr w:type="gramEnd"/>
      <w:r w:rsidRPr="00DC7B6D">
        <w:t xml:space="preserve">. </w:t>
      </w:r>
      <w:hyperlink r:id="rId24" w:history="1">
        <w:r w:rsidRPr="00DC7B6D">
          <w:rPr>
            <w:rStyle w:val="Hyperlink"/>
          </w:rPr>
          <w:t>https://doi.org/10.3389/fmicb.2015.01559</w:t>
        </w:r>
      </w:hyperlink>
      <w:r w:rsidRPr="00DC7B6D">
        <w:t xml:space="preserve"> </w:t>
      </w:r>
    </w:p>
    <w:p w14:paraId="25B1ED84" w14:textId="77777777" w:rsidR="00267EB2" w:rsidRDefault="00DC7B6D" w:rsidP="00DC7B6D">
      <w:pPr>
        <w:pStyle w:val="NormalWeb"/>
        <w:numPr>
          <w:ilvl w:val="0"/>
          <w:numId w:val="7"/>
        </w:numPr>
        <w:ind w:left="567" w:hanging="567"/>
        <w:jc w:val="both"/>
      </w:pPr>
      <w:r w:rsidRPr="00DC7B6D">
        <w:t xml:space="preserve">Kumar V, </w:t>
      </w:r>
      <w:proofErr w:type="spellStart"/>
      <w:r w:rsidRPr="00DC7B6D">
        <w:t>Ajeesh</w:t>
      </w:r>
      <w:proofErr w:type="spellEnd"/>
      <w:r w:rsidRPr="00DC7B6D">
        <w:t xml:space="preserve"> R, </w:t>
      </w:r>
      <w:proofErr w:type="spellStart"/>
      <w:r w:rsidRPr="00DC7B6D">
        <w:t>Jijeesh</w:t>
      </w:r>
      <w:proofErr w:type="spellEnd"/>
      <w:r w:rsidRPr="00DC7B6D">
        <w:t xml:space="preserve"> CM. Chemical seed pre-treatments for better germination and seedling growth of Swietenia macrophylla King. J Env Bio-Sci. 2015;29(2).</w:t>
      </w:r>
    </w:p>
    <w:p w14:paraId="049B4A19" w14:textId="77777777" w:rsidR="00267EB2" w:rsidRDefault="00DC7B6D" w:rsidP="00DC7B6D">
      <w:pPr>
        <w:pStyle w:val="NormalWeb"/>
        <w:numPr>
          <w:ilvl w:val="0"/>
          <w:numId w:val="7"/>
        </w:numPr>
        <w:ind w:left="567" w:hanging="567"/>
        <w:jc w:val="both"/>
      </w:pPr>
      <w:r w:rsidRPr="00DC7B6D">
        <w:t xml:space="preserve">Maguire JD. Speed of germination-aid in selection and evaluation for seedling emergence and </w:t>
      </w:r>
      <w:proofErr w:type="spellStart"/>
      <w:r w:rsidRPr="00DC7B6D">
        <w:t>vigor</w:t>
      </w:r>
      <w:proofErr w:type="spellEnd"/>
      <w:r w:rsidRPr="00DC7B6D">
        <w:t xml:space="preserve">.   Crop Sci. </w:t>
      </w:r>
      <w:proofErr w:type="gramStart"/>
      <w:r w:rsidRPr="00DC7B6D">
        <w:t>1962;2:176</w:t>
      </w:r>
      <w:proofErr w:type="gramEnd"/>
      <w:r w:rsidRPr="00DC7B6D">
        <w:t xml:space="preserve">-177 </w:t>
      </w:r>
      <w:hyperlink r:id="rId25" w:history="1">
        <w:r w:rsidRPr="00DC7B6D">
          <w:rPr>
            <w:rStyle w:val="Hyperlink"/>
          </w:rPr>
          <w:t>https://doi.org/10.2135/cropsci1962.0011183X000200020033x</w:t>
        </w:r>
      </w:hyperlink>
      <w:r w:rsidRPr="00DC7B6D">
        <w:t xml:space="preserve">  </w:t>
      </w:r>
    </w:p>
    <w:p w14:paraId="35C35302" w14:textId="77777777" w:rsidR="006F43B1" w:rsidRDefault="00DC7B6D" w:rsidP="006F43B1">
      <w:pPr>
        <w:pStyle w:val="NormalWeb"/>
        <w:numPr>
          <w:ilvl w:val="0"/>
          <w:numId w:val="7"/>
        </w:numPr>
        <w:ind w:left="567" w:hanging="567"/>
        <w:jc w:val="both"/>
      </w:pPr>
      <w:proofErr w:type="spellStart"/>
      <w:r w:rsidRPr="00DC7B6D">
        <w:t>Czabator</w:t>
      </w:r>
      <w:proofErr w:type="spellEnd"/>
      <w:r w:rsidRPr="00DC7B6D">
        <w:t xml:space="preserve">, F.J. Germination value: an </w:t>
      </w:r>
      <w:proofErr w:type="gramStart"/>
      <w:r w:rsidRPr="00DC7B6D">
        <w:t>index  combining</w:t>
      </w:r>
      <w:proofErr w:type="gramEnd"/>
      <w:r w:rsidRPr="00DC7B6D">
        <w:t xml:space="preserve"> speed and completeness of pine seed  germination. Forest Sci. 1962;8(4):386-396. </w:t>
      </w:r>
    </w:p>
    <w:p w14:paraId="55B52C2A" w14:textId="65D234E7" w:rsidR="006F43B1" w:rsidRDefault="006F43B1" w:rsidP="006F43B1">
      <w:pPr>
        <w:pStyle w:val="NormalWeb"/>
        <w:numPr>
          <w:ilvl w:val="0"/>
          <w:numId w:val="7"/>
        </w:numPr>
        <w:ind w:left="567" w:hanging="567"/>
        <w:jc w:val="both"/>
      </w:pPr>
      <w:r w:rsidRPr="006F43B1">
        <w:t xml:space="preserve">Shiran K, Santhoshkumar AV, Binu NK, Ashwath MN. Influence of AMF Inoculation on Germination Dynamics and Seedling Traits of Swietenia macrophylla. J Adv </w:t>
      </w:r>
      <w:proofErr w:type="spellStart"/>
      <w:proofErr w:type="gramStart"/>
      <w:r w:rsidRPr="006F43B1">
        <w:t>Biol</w:t>
      </w:r>
      <w:proofErr w:type="spellEnd"/>
      <w:r w:rsidRPr="006F43B1">
        <w:t xml:space="preserve">  </w:t>
      </w:r>
      <w:proofErr w:type="spellStart"/>
      <w:r w:rsidRPr="006F43B1">
        <w:t>Biotechnol</w:t>
      </w:r>
      <w:proofErr w:type="spellEnd"/>
      <w:proofErr w:type="gramEnd"/>
      <w:r w:rsidRPr="006F43B1">
        <w:t xml:space="preserve">. 2025;28(9):1846-55. https://doi.org/10.9734/jabb/2025/v28i93030 </w:t>
      </w:r>
    </w:p>
    <w:p w14:paraId="53A9A0C5" w14:textId="77777777" w:rsidR="00267EB2" w:rsidRDefault="00461702" w:rsidP="00461702">
      <w:pPr>
        <w:pStyle w:val="NormalWeb"/>
        <w:numPr>
          <w:ilvl w:val="0"/>
          <w:numId w:val="7"/>
        </w:numPr>
        <w:ind w:left="567" w:hanging="567"/>
        <w:jc w:val="both"/>
      </w:pPr>
      <w:proofErr w:type="spellStart"/>
      <w:r w:rsidRPr="00461702">
        <w:t>Maighal</w:t>
      </w:r>
      <w:proofErr w:type="spellEnd"/>
      <w:r w:rsidRPr="00461702">
        <w:t xml:space="preserve"> M, Salem M, Kohler J, </w:t>
      </w:r>
      <w:proofErr w:type="spellStart"/>
      <w:r w:rsidRPr="00461702">
        <w:t>Rillig</w:t>
      </w:r>
      <w:proofErr w:type="spellEnd"/>
      <w:r w:rsidRPr="00461702">
        <w:t xml:space="preserve"> MC. Arbuscular mycorrhizal fungi negatively affect soil seed bank viability. </w:t>
      </w:r>
      <w:proofErr w:type="spellStart"/>
      <w:r w:rsidRPr="00461702">
        <w:t>Ecol</w:t>
      </w:r>
      <w:proofErr w:type="spellEnd"/>
      <w:r w:rsidRPr="00461702">
        <w:t xml:space="preserve"> </w:t>
      </w:r>
      <w:proofErr w:type="spellStart"/>
      <w:r w:rsidRPr="00461702">
        <w:t>Evol</w:t>
      </w:r>
      <w:proofErr w:type="spellEnd"/>
      <w:r w:rsidRPr="00461702">
        <w:t xml:space="preserve">. 2016;6(21):7683-7689. </w:t>
      </w:r>
      <w:hyperlink r:id="rId26" w:history="1">
        <w:r w:rsidRPr="00461702">
          <w:rPr>
            <w:rStyle w:val="Hyperlink"/>
          </w:rPr>
          <w:t>https://doi.org/10.1002/ece3.2491</w:t>
        </w:r>
      </w:hyperlink>
      <w:r w:rsidRPr="00461702">
        <w:t xml:space="preserve"> </w:t>
      </w:r>
    </w:p>
    <w:p w14:paraId="225977DA" w14:textId="77777777" w:rsidR="0044791B" w:rsidRDefault="007E51AF" w:rsidP="00461702">
      <w:pPr>
        <w:pStyle w:val="NormalWeb"/>
        <w:numPr>
          <w:ilvl w:val="0"/>
          <w:numId w:val="7"/>
        </w:numPr>
        <w:ind w:left="567" w:hanging="567"/>
        <w:jc w:val="both"/>
      </w:pPr>
      <w:r w:rsidRPr="00D6250E">
        <w:t>Varga S. Effects of arbuscular mycorrhizal fungi and maternal plant sex on seed germination and early plant establishment. Am</w:t>
      </w:r>
      <w:r w:rsidR="00061F8E">
        <w:t xml:space="preserve"> J B</w:t>
      </w:r>
      <w:r w:rsidRPr="00D6250E">
        <w:t xml:space="preserve">ot. 2015;102(3):358-66. </w:t>
      </w:r>
      <w:hyperlink r:id="rId27" w:history="1">
        <w:r w:rsidRPr="00D6250E">
          <w:rPr>
            <w:rStyle w:val="Hyperlink"/>
          </w:rPr>
          <w:t>https://doi.org/10.3732/ajb.1400361</w:t>
        </w:r>
      </w:hyperlink>
      <w:r w:rsidRPr="00D6250E">
        <w:t xml:space="preserve"> </w:t>
      </w:r>
    </w:p>
    <w:p w14:paraId="6575540B" w14:textId="77777777" w:rsidR="0044791B" w:rsidRDefault="00461702" w:rsidP="00461702">
      <w:pPr>
        <w:pStyle w:val="NormalWeb"/>
        <w:numPr>
          <w:ilvl w:val="0"/>
          <w:numId w:val="7"/>
        </w:numPr>
        <w:ind w:left="567" w:hanging="567"/>
        <w:jc w:val="both"/>
      </w:pPr>
      <w:r w:rsidRPr="00461702">
        <w:t xml:space="preserve">Miura C, Furui Y, Yamamoto T, Kanno Y, Honjo M, Yamaguchi K, </w:t>
      </w:r>
      <w:proofErr w:type="spellStart"/>
      <w:r w:rsidRPr="00461702">
        <w:t>Suetsugu</w:t>
      </w:r>
      <w:proofErr w:type="spellEnd"/>
      <w:r w:rsidRPr="00461702">
        <w:t xml:space="preserve"> K, </w:t>
      </w:r>
      <w:proofErr w:type="spellStart"/>
      <w:r w:rsidRPr="00461702">
        <w:t>Yagame</w:t>
      </w:r>
      <w:proofErr w:type="spellEnd"/>
      <w:r w:rsidRPr="00461702">
        <w:t xml:space="preserve"> T, Seo M, Shigenobu S, Yamato M. Autoactivation of mycorrhizal symbiosis </w:t>
      </w:r>
      <w:proofErr w:type="spellStart"/>
      <w:r w:rsidRPr="00461702">
        <w:t>signaling</w:t>
      </w:r>
      <w:proofErr w:type="spellEnd"/>
      <w:r w:rsidRPr="00461702">
        <w:t xml:space="preserve"> through gibberellin deactivation in orchid seed germination. Plant Physiol. 2024;194(1):546-563. </w:t>
      </w:r>
      <w:hyperlink r:id="rId28" w:history="1">
        <w:r w:rsidRPr="00461702">
          <w:rPr>
            <w:rStyle w:val="Hyperlink"/>
          </w:rPr>
          <w:t>https://doi.org/10.1093/plphys/kiad517</w:t>
        </w:r>
      </w:hyperlink>
      <w:r w:rsidRPr="00461702">
        <w:t xml:space="preserve"> </w:t>
      </w:r>
    </w:p>
    <w:p w14:paraId="6B2B249E" w14:textId="77777777" w:rsidR="0044791B" w:rsidRDefault="00461702" w:rsidP="00461702">
      <w:pPr>
        <w:pStyle w:val="NormalWeb"/>
        <w:numPr>
          <w:ilvl w:val="0"/>
          <w:numId w:val="7"/>
        </w:numPr>
        <w:ind w:left="567" w:hanging="567"/>
        <w:jc w:val="both"/>
      </w:pPr>
      <w:r w:rsidRPr="00461702">
        <w:t xml:space="preserve">Van der Heijden MGA, Martin FM, </w:t>
      </w:r>
      <w:proofErr w:type="spellStart"/>
      <w:r w:rsidRPr="00461702">
        <w:t>Selosse</w:t>
      </w:r>
      <w:proofErr w:type="spellEnd"/>
      <w:r w:rsidRPr="00461702">
        <w:t xml:space="preserve"> MA, Sanders IR. Mycorrhizal ecology and evolution: the past, the present, and the future. New Phytol. 2015;205(4):1406-1423</w:t>
      </w:r>
      <w:proofErr w:type="gramStart"/>
      <w:r w:rsidRPr="00461702">
        <w:t>. .</w:t>
      </w:r>
      <w:proofErr w:type="gramEnd"/>
      <w:r w:rsidRPr="00461702">
        <w:t xml:space="preserve"> </w:t>
      </w:r>
      <w:hyperlink r:id="rId29" w:history="1">
        <w:r w:rsidRPr="00461702">
          <w:rPr>
            <w:rStyle w:val="Hyperlink"/>
          </w:rPr>
          <w:t>https://doi.org/10.1111/nph.13288</w:t>
        </w:r>
      </w:hyperlink>
      <w:r w:rsidRPr="00461702">
        <w:t xml:space="preserve"> </w:t>
      </w:r>
    </w:p>
    <w:p w14:paraId="422828E6" w14:textId="77777777" w:rsidR="0044791B" w:rsidRDefault="00461702" w:rsidP="00461702">
      <w:pPr>
        <w:pStyle w:val="NormalWeb"/>
        <w:numPr>
          <w:ilvl w:val="0"/>
          <w:numId w:val="7"/>
        </w:numPr>
        <w:ind w:left="567" w:hanging="567"/>
        <w:jc w:val="both"/>
      </w:pPr>
      <w:r w:rsidRPr="00461702">
        <w:t>Muthu-Kumar A, Sandhya GM, Karthikeyan A. Evaluation of bio-fertiliser (bio-inoculant) consortia and their effect on plant growth performance of sandalwood (</w:t>
      </w:r>
      <w:r w:rsidRPr="00461702">
        <w:rPr>
          <w:i/>
          <w:iCs/>
        </w:rPr>
        <w:t>Santalum album</w:t>
      </w:r>
      <w:r w:rsidRPr="00461702">
        <w:t>) seedlings. J Trop For Sci</w:t>
      </w:r>
      <w:r w:rsidRPr="00461702">
        <w:rPr>
          <w:i/>
          <w:iCs/>
        </w:rPr>
        <w:t>.</w:t>
      </w:r>
      <w:r w:rsidRPr="00461702">
        <w:t xml:space="preserve"> 2023;35(3):311-321.</w:t>
      </w:r>
    </w:p>
    <w:p w14:paraId="78A115D9" w14:textId="77777777" w:rsidR="0044791B" w:rsidRDefault="00461702" w:rsidP="00461702">
      <w:pPr>
        <w:pStyle w:val="NormalWeb"/>
        <w:numPr>
          <w:ilvl w:val="0"/>
          <w:numId w:val="7"/>
        </w:numPr>
        <w:ind w:left="567" w:hanging="567"/>
        <w:jc w:val="both"/>
      </w:pPr>
      <w:r w:rsidRPr="00461702">
        <w:t xml:space="preserve">Binu NK, Ashokan PK, </w:t>
      </w:r>
      <w:proofErr w:type="spellStart"/>
      <w:r w:rsidRPr="00461702">
        <w:t>Balasundaran</w:t>
      </w:r>
      <w:proofErr w:type="spellEnd"/>
      <w:r w:rsidRPr="00461702">
        <w:t xml:space="preserve"> M. Influence of different arbuscular mycorrhizal fungi and shade on growth of sandal (</w:t>
      </w:r>
      <w:r w:rsidRPr="00461702">
        <w:rPr>
          <w:i/>
          <w:iCs/>
        </w:rPr>
        <w:t>Santalum album</w:t>
      </w:r>
      <w:r w:rsidRPr="00461702">
        <w:t xml:space="preserve">) seedlings. J Trop For Sci. 2015;27(2):158-165. </w:t>
      </w:r>
    </w:p>
    <w:p w14:paraId="5C0F9387" w14:textId="61619BC1" w:rsidR="007E51AF" w:rsidRPr="00D6250E" w:rsidRDefault="007E51AF" w:rsidP="00461702">
      <w:pPr>
        <w:pStyle w:val="NormalWeb"/>
        <w:numPr>
          <w:ilvl w:val="0"/>
          <w:numId w:val="7"/>
        </w:numPr>
        <w:ind w:left="567" w:hanging="567"/>
        <w:jc w:val="both"/>
      </w:pPr>
      <w:r w:rsidRPr="00D6250E">
        <w:t xml:space="preserve">Yu Z, Liang K, Wang X, Huang G, Lin M, Zhou Z, et al. Alterations in arbuscular mycorrhizal community along a </w:t>
      </w:r>
      <w:proofErr w:type="spellStart"/>
      <w:r w:rsidRPr="00D6250E">
        <w:t>chronosequence</w:t>
      </w:r>
      <w:proofErr w:type="spellEnd"/>
      <w:r w:rsidRPr="00D6250E">
        <w:t xml:space="preserve"> of teak (</w:t>
      </w:r>
      <w:proofErr w:type="spellStart"/>
      <w:r w:rsidRPr="0044791B">
        <w:rPr>
          <w:i/>
          <w:iCs/>
        </w:rPr>
        <w:t>Tectona</w:t>
      </w:r>
      <w:proofErr w:type="spellEnd"/>
      <w:r w:rsidRPr="0044791B">
        <w:rPr>
          <w:i/>
          <w:iCs/>
        </w:rPr>
        <w:t xml:space="preserve"> grandis</w:t>
      </w:r>
      <w:r w:rsidRPr="00D6250E">
        <w:t xml:space="preserve">) plantations in tropical forests of China. Front </w:t>
      </w:r>
      <w:proofErr w:type="spellStart"/>
      <w:r w:rsidRPr="00D6250E">
        <w:t>Microbiol</w:t>
      </w:r>
      <w:proofErr w:type="spellEnd"/>
      <w:r w:rsidRPr="00D6250E">
        <w:t xml:space="preserve">. </w:t>
      </w:r>
      <w:proofErr w:type="gramStart"/>
      <w:r w:rsidRPr="00D6250E">
        <w:t>2021;12:737068</w:t>
      </w:r>
      <w:proofErr w:type="gramEnd"/>
      <w:r w:rsidRPr="00D6250E">
        <w:t xml:space="preserve">. </w:t>
      </w:r>
      <w:hyperlink r:id="rId30" w:history="1">
        <w:r w:rsidRPr="00D6250E">
          <w:rPr>
            <w:rStyle w:val="Hyperlink"/>
          </w:rPr>
          <w:t>https://doi.org/10.3389/fmicb.2021.737068</w:t>
        </w:r>
      </w:hyperlink>
      <w:r w:rsidRPr="00D6250E">
        <w:t xml:space="preserve"> </w:t>
      </w:r>
    </w:p>
    <w:p w14:paraId="2AAC0D42" w14:textId="77777777" w:rsidR="00290357" w:rsidRPr="00290357" w:rsidRDefault="00290357" w:rsidP="00290357">
      <w:pPr>
        <w:pStyle w:val="NormalWeb"/>
        <w:ind w:left="360"/>
        <w:jc w:val="both"/>
      </w:pPr>
    </w:p>
    <w:p w14:paraId="03B9F277" w14:textId="77777777" w:rsidR="005E4BEA" w:rsidRPr="005E4BEA" w:rsidRDefault="005E4BEA" w:rsidP="00290357">
      <w:pPr>
        <w:ind w:left="720"/>
        <w:jc w:val="both"/>
      </w:pPr>
    </w:p>
    <w:p w14:paraId="25E0168C" w14:textId="77777777" w:rsidR="00BE2B99" w:rsidRPr="00BE2B99" w:rsidRDefault="00BE2B99" w:rsidP="00BE2B99"/>
    <w:sectPr w:rsidR="00BE2B99" w:rsidRPr="00BE2B99" w:rsidSect="00FC0B2E">
      <w:headerReference w:type="even" r:id="rId31"/>
      <w:headerReference w:type="default" r:id="rId32"/>
      <w:footerReference w:type="even" r:id="rId33"/>
      <w:footerReference w:type="default" r:id="rId34"/>
      <w:headerReference w:type="first" r:id="rId35"/>
      <w:footerReference w:type="first" r:id="rId36"/>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4DDBB" w14:textId="77777777" w:rsidR="00B613B4" w:rsidRDefault="00B613B4" w:rsidP="00347F85">
      <w:pPr>
        <w:spacing w:after="0" w:line="240" w:lineRule="auto"/>
      </w:pPr>
      <w:r>
        <w:separator/>
      </w:r>
    </w:p>
  </w:endnote>
  <w:endnote w:type="continuationSeparator" w:id="0">
    <w:p w14:paraId="1A3329D1" w14:textId="77777777" w:rsidR="00B613B4" w:rsidRDefault="00B613B4" w:rsidP="0034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A214" w14:textId="77777777" w:rsidR="00347F85" w:rsidRDefault="00347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B8F6" w14:textId="77777777" w:rsidR="00347F85" w:rsidRDefault="00347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B6EF" w14:textId="77777777" w:rsidR="00347F85" w:rsidRDefault="0034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8078A" w14:textId="77777777" w:rsidR="00B613B4" w:rsidRDefault="00B613B4" w:rsidP="00347F85">
      <w:pPr>
        <w:spacing w:after="0" w:line="240" w:lineRule="auto"/>
      </w:pPr>
      <w:r>
        <w:separator/>
      </w:r>
    </w:p>
  </w:footnote>
  <w:footnote w:type="continuationSeparator" w:id="0">
    <w:p w14:paraId="788A9972" w14:textId="77777777" w:rsidR="00B613B4" w:rsidRDefault="00B613B4" w:rsidP="0034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4219" w14:textId="6ACD928C" w:rsidR="00347F85" w:rsidRDefault="00347F85">
    <w:pPr>
      <w:pStyle w:val="Header"/>
    </w:pPr>
    <w:r>
      <w:rPr>
        <w:noProof/>
      </w:rPr>
      <w:pict w14:anchorId="54D0D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41485"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99185" w14:textId="50170F4F" w:rsidR="00347F85" w:rsidRDefault="00347F85">
    <w:pPr>
      <w:pStyle w:val="Header"/>
    </w:pPr>
    <w:r>
      <w:rPr>
        <w:noProof/>
      </w:rPr>
      <w:pict w14:anchorId="3A1EF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41486"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3145" w14:textId="4A65C966" w:rsidR="00347F85" w:rsidRDefault="00347F85">
    <w:pPr>
      <w:pStyle w:val="Header"/>
    </w:pPr>
    <w:r>
      <w:rPr>
        <w:noProof/>
      </w:rPr>
      <w:pict w14:anchorId="04ABB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41484"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1"/>
      <w:numFmt w:val="decimal"/>
      <w:lvlText w:val="%1."/>
      <w:lvlJc w:val="left"/>
      <w:pPr>
        <w:tabs>
          <w:tab w:val="num" w:pos="0"/>
        </w:tabs>
        <w:ind w:left="720" w:hanging="360"/>
      </w:pPr>
      <w:rPr>
        <w:rFonts w:ascii="Times New Roman" w:hAnsi="Times New Roman" w:cs="Times New Roman"/>
        <w:b/>
        <w:bCs/>
        <w:i w:val="0"/>
        <w:iCs w:val="0"/>
        <w:sz w:val="22"/>
        <w:szCs w:val="22"/>
        <w:lang w:val="en-IN" w:eastAsia="en-IN"/>
      </w:rPr>
    </w:lvl>
  </w:abstractNum>
  <w:abstractNum w:abstractNumId="1" w15:restartNumberingAfterBreak="0">
    <w:nsid w:val="0D510AD3"/>
    <w:multiLevelType w:val="multilevel"/>
    <w:tmpl w:val="FE96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B3C18"/>
    <w:multiLevelType w:val="hybridMultilevel"/>
    <w:tmpl w:val="69427044"/>
    <w:lvl w:ilvl="0" w:tplc="25F8E3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AD2595"/>
    <w:multiLevelType w:val="multilevel"/>
    <w:tmpl w:val="22B2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E3249"/>
    <w:multiLevelType w:val="hybridMultilevel"/>
    <w:tmpl w:val="E4F4F66E"/>
    <w:lvl w:ilvl="0" w:tplc="25F8E3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B0527C"/>
    <w:multiLevelType w:val="hybridMultilevel"/>
    <w:tmpl w:val="3A206E78"/>
    <w:lvl w:ilvl="0" w:tplc="A846FCA6">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0A769B"/>
    <w:multiLevelType w:val="hybridMultilevel"/>
    <w:tmpl w:val="42CAD43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9114F7"/>
    <w:multiLevelType w:val="multilevel"/>
    <w:tmpl w:val="14B8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1"/>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zI1NjA2NDc3NTZR0lEKTi0uzszPAykwrwUA7bCbziwAAAA="/>
  </w:docVars>
  <w:rsids>
    <w:rsidRoot w:val="00BE2B99"/>
    <w:rsid w:val="00006704"/>
    <w:rsid w:val="00061F8E"/>
    <w:rsid w:val="000B2EB8"/>
    <w:rsid w:val="000C561F"/>
    <w:rsid w:val="000D090F"/>
    <w:rsid w:val="000E607B"/>
    <w:rsid w:val="000F64F6"/>
    <w:rsid w:val="000F668C"/>
    <w:rsid w:val="001121EA"/>
    <w:rsid w:val="00124B28"/>
    <w:rsid w:val="001338A4"/>
    <w:rsid w:val="00145AAA"/>
    <w:rsid w:val="00155562"/>
    <w:rsid w:val="001B445A"/>
    <w:rsid w:val="001D00AC"/>
    <w:rsid w:val="001F4E22"/>
    <w:rsid w:val="00202275"/>
    <w:rsid w:val="00214613"/>
    <w:rsid w:val="0022332A"/>
    <w:rsid w:val="002448F2"/>
    <w:rsid w:val="002522DB"/>
    <w:rsid w:val="00267EB2"/>
    <w:rsid w:val="0027781A"/>
    <w:rsid w:val="00290357"/>
    <w:rsid w:val="002979AC"/>
    <w:rsid w:val="002A1901"/>
    <w:rsid w:val="002B6DE8"/>
    <w:rsid w:val="002C6CC3"/>
    <w:rsid w:val="002D730D"/>
    <w:rsid w:val="002D774A"/>
    <w:rsid w:val="002D7E3E"/>
    <w:rsid w:val="002E3AE9"/>
    <w:rsid w:val="002E4805"/>
    <w:rsid w:val="002E76E6"/>
    <w:rsid w:val="002F76AF"/>
    <w:rsid w:val="00301DCD"/>
    <w:rsid w:val="00303FC8"/>
    <w:rsid w:val="00304C51"/>
    <w:rsid w:val="00322A2A"/>
    <w:rsid w:val="00333D9D"/>
    <w:rsid w:val="00347F85"/>
    <w:rsid w:val="00351DAB"/>
    <w:rsid w:val="00357B93"/>
    <w:rsid w:val="00360524"/>
    <w:rsid w:val="00362D26"/>
    <w:rsid w:val="0036674F"/>
    <w:rsid w:val="00384B3E"/>
    <w:rsid w:val="003B3B19"/>
    <w:rsid w:val="003C3626"/>
    <w:rsid w:val="003C59D5"/>
    <w:rsid w:val="003D65A6"/>
    <w:rsid w:val="003F6E96"/>
    <w:rsid w:val="004054FE"/>
    <w:rsid w:val="00405C27"/>
    <w:rsid w:val="00415CDB"/>
    <w:rsid w:val="004415C2"/>
    <w:rsid w:val="00446F70"/>
    <w:rsid w:val="0044791B"/>
    <w:rsid w:val="00447F22"/>
    <w:rsid w:val="00450656"/>
    <w:rsid w:val="00461702"/>
    <w:rsid w:val="00463C55"/>
    <w:rsid w:val="004676B2"/>
    <w:rsid w:val="00477A42"/>
    <w:rsid w:val="00491DE0"/>
    <w:rsid w:val="004A0EC5"/>
    <w:rsid w:val="004A6EE0"/>
    <w:rsid w:val="004B0500"/>
    <w:rsid w:val="004B0C9B"/>
    <w:rsid w:val="004C056A"/>
    <w:rsid w:val="004C39A9"/>
    <w:rsid w:val="004C596B"/>
    <w:rsid w:val="004D1473"/>
    <w:rsid w:val="004D2BDB"/>
    <w:rsid w:val="004F4A16"/>
    <w:rsid w:val="004F69FC"/>
    <w:rsid w:val="00502160"/>
    <w:rsid w:val="00504F51"/>
    <w:rsid w:val="00506EF9"/>
    <w:rsid w:val="0052656E"/>
    <w:rsid w:val="00536734"/>
    <w:rsid w:val="0053750C"/>
    <w:rsid w:val="0056789A"/>
    <w:rsid w:val="00585473"/>
    <w:rsid w:val="00591EAB"/>
    <w:rsid w:val="005E4BEA"/>
    <w:rsid w:val="005E7F09"/>
    <w:rsid w:val="00607926"/>
    <w:rsid w:val="0061578D"/>
    <w:rsid w:val="00621CE9"/>
    <w:rsid w:val="00641F72"/>
    <w:rsid w:val="006552EB"/>
    <w:rsid w:val="00670389"/>
    <w:rsid w:val="00680266"/>
    <w:rsid w:val="0069498B"/>
    <w:rsid w:val="006B04BE"/>
    <w:rsid w:val="006B22BF"/>
    <w:rsid w:val="006B28A9"/>
    <w:rsid w:val="006C5026"/>
    <w:rsid w:val="006F43B1"/>
    <w:rsid w:val="00704ECA"/>
    <w:rsid w:val="00712637"/>
    <w:rsid w:val="0071460C"/>
    <w:rsid w:val="00720497"/>
    <w:rsid w:val="007218EA"/>
    <w:rsid w:val="00724ACC"/>
    <w:rsid w:val="00734C3E"/>
    <w:rsid w:val="00743C31"/>
    <w:rsid w:val="00781E25"/>
    <w:rsid w:val="007B0216"/>
    <w:rsid w:val="007C68E4"/>
    <w:rsid w:val="007D6E4A"/>
    <w:rsid w:val="007E51AF"/>
    <w:rsid w:val="00802269"/>
    <w:rsid w:val="008033B7"/>
    <w:rsid w:val="008171D7"/>
    <w:rsid w:val="008512EB"/>
    <w:rsid w:val="00854676"/>
    <w:rsid w:val="00857225"/>
    <w:rsid w:val="00875912"/>
    <w:rsid w:val="008A2CB5"/>
    <w:rsid w:val="008B1A1C"/>
    <w:rsid w:val="008B64BB"/>
    <w:rsid w:val="008C3350"/>
    <w:rsid w:val="008E6B78"/>
    <w:rsid w:val="00902538"/>
    <w:rsid w:val="0091360C"/>
    <w:rsid w:val="00934C2D"/>
    <w:rsid w:val="00981AAD"/>
    <w:rsid w:val="009A21B4"/>
    <w:rsid w:val="009A787D"/>
    <w:rsid w:val="009C199C"/>
    <w:rsid w:val="009C2F78"/>
    <w:rsid w:val="009F0C2C"/>
    <w:rsid w:val="00A30381"/>
    <w:rsid w:val="00A40E96"/>
    <w:rsid w:val="00A509DD"/>
    <w:rsid w:val="00A532B8"/>
    <w:rsid w:val="00A644B1"/>
    <w:rsid w:val="00A647AE"/>
    <w:rsid w:val="00A72902"/>
    <w:rsid w:val="00A72F81"/>
    <w:rsid w:val="00AA0F9C"/>
    <w:rsid w:val="00AB0D73"/>
    <w:rsid w:val="00AC4D73"/>
    <w:rsid w:val="00AD15B8"/>
    <w:rsid w:val="00AF615D"/>
    <w:rsid w:val="00AF7873"/>
    <w:rsid w:val="00B0268F"/>
    <w:rsid w:val="00B41C9F"/>
    <w:rsid w:val="00B613B4"/>
    <w:rsid w:val="00B7186E"/>
    <w:rsid w:val="00B77467"/>
    <w:rsid w:val="00B84A62"/>
    <w:rsid w:val="00B970E9"/>
    <w:rsid w:val="00BB6F19"/>
    <w:rsid w:val="00BE2B99"/>
    <w:rsid w:val="00C10663"/>
    <w:rsid w:val="00C4273F"/>
    <w:rsid w:val="00C856CF"/>
    <w:rsid w:val="00CB5C16"/>
    <w:rsid w:val="00CC4259"/>
    <w:rsid w:val="00CD0794"/>
    <w:rsid w:val="00CD1FF3"/>
    <w:rsid w:val="00CF3043"/>
    <w:rsid w:val="00D60B24"/>
    <w:rsid w:val="00D6250E"/>
    <w:rsid w:val="00D722F9"/>
    <w:rsid w:val="00D728F1"/>
    <w:rsid w:val="00D77543"/>
    <w:rsid w:val="00D86979"/>
    <w:rsid w:val="00D93041"/>
    <w:rsid w:val="00D94249"/>
    <w:rsid w:val="00DA1AB1"/>
    <w:rsid w:val="00DA65EE"/>
    <w:rsid w:val="00DA6F31"/>
    <w:rsid w:val="00DB0E5C"/>
    <w:rsid w:val="00DB17CF"/>
    <w:rsid w:val="00DB5299"/>
    <w:rsid w:val="00DC52CA"/>
    <w:rsid w:val="00DC7B6D"/>
    <w:rsid w:val="00DF4C3B"/>
    <w:rsid w:val="00DF5B1D"/>
    <w:rsid w:val="00E00FE5"/>
    <w:rsid w:val="00E0232B"/>
    <w:rsid w:val="00E22027"/>
    <w:rsid w:val="00E2454F"/>
    <w:rsid w:val="00E47078"/>
    <w:rsid w:val="00E47E35"/>
    <w:rsid w:val="00E66349"/>
    <w:rsid w:val="00E7132A"/>
    <w:rsid w:val="00E80061"/>
    <w:rsid w:val="00EA2DCB"/>
    <w:rsid w:val="00EB2FD1"/>
    <w:rsid w:val="00F05C4A"/>
    <w:rsid w:val="00F27CFC"/>
    <w:rsid w:val="00F47A1E"/>
    <w:rsid w:val="00F47F47"/>
    <w:rsid w:val="00F52528"/>
    <w:rsid w:val="00F52F6D"/>
    <w:rsid w:val="00F72B78"/>
    <w:rsid w:val="00F80953"/>
    <w:rsid w:val="00F876AA"/>
    <w:rsid w:val="00FB445D"/>
    <w:rsid w:val="00FC0B2E"/>
    <w:rsid w:val="00FC2E51"/>
    <w:rsid w:val="00FC5B05"/>
    <w:rsid w:val="00FE0C62"/>
    <w:rsid w:val="00FE3A5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439E11"/>
  <w15:chartTrackingRefBased/>
  <w15:docId w15:val="{0353E60B-B434-43EE-AC6A-660ABB20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8A9"/>
  </w:style>
  <w:style w:type="paragraph" w:styleId="Heading1">
    <w:name w:val="heading 1"/>
    <w:basedOn w:val="Normal"/>
    <w:next w:val="Normal"/>
    <w:link w:val="Heading1Char"/>
    <w:uiPriority w:val="9"/>
    <w:qFormat/>
    <w:rsid w:val="00BE2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B9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B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2B9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2B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B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B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B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B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B9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B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2B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2B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B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B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B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B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B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B99"/>
    <w:pPr>
      <w:spacing w:before="160"/>
      <w:jc w:val="center"/>
    </w:pPr>
    <w:rPr>
      <w:i/>
      <w:iCs/>
      <w:color w:val="404040" w:themeColor="text1" w:themeTint="BF"/>
    </w:rPr>
  </w:style>
  <w:style w:type="character" w:customStyle="1" w:styleId="QuoteChar">
    <w:name w:val="Quote Char"/>
    <w:basedOn w:val="DefaultParagraphFont"/>
    <w:link w:val="Quote"/>
    <w:uiPriority w:val="29"/>
    <w:rsid w:val="00BE2B99"/>
    <w:rPr>
      <w:i/>
      <w:iCs/>
      <w:color w:val="404040" w:themeColor="text1" w:themeTint="BF"/>
    </w:rPr>
  </w:style>
  <w:style w:type="paragraph" w:styleId="ListParagraph">
    <w:name w:val="List Paragraph"/>
    <w:basedOn w:val="Normal"/>
    <w:uiPriority w:val="34"/>
    <w:qFormat/>
    <w:rsid w:val="00BE2B99"/>
    <w:pPr>
      <w:ind w:left="720"/>
      <w:contextualSpacing/>
    </w:pPr>
  </w:style>
  <w:style w:type="character" w:styleId="IntenseEmphasis">
    <w:name w:val="Intense Emphasis"/>
    <w:basedOn w:val="DefaultParagraphFont"/>
    <w:uiPriority w:val="21"/>
    <w:qFormat/>
    <w:rsid w:val="00BE2B99"/>
    <w:rPr>
      <w:i/>
      <w:iCs/>
      <w:color w:val="2F5496" w:themeColor="accent1" w:themeShade="BF"/>
    </w:rPr>
  </w:style>
  <w:style w:type="paragraph" w:styleId="IntenseQuote">
    <w:name w:val="Intense Quote"/>
    <w:basedOn w:val="Normal"/>
    <w:next w:val="Normal"/>
    <w:link w:val="IntenseQuoteChar"/>
    <w:uiPriority w:val="30"/>
    <w:qFormat/>
    <w:rsid w:val="00BE2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B99"/>
    <w:rPr>
      <w:i/>
      <w:iCs/>
      <w:color w:val="2F5496" w:themeColor="accent1" w:themeShade="BF"/>
    </w:rPr>
  </w:style>
  <w:style w:type="character" w:styleId="IntenseReference">
    <w:name w:val="Intense Reference"/>
    <w:basedOn w:val="DefaultParagraphFont"/>
    <w:uiPriority w:val="32"/>
    <w:qFormat/>
    <w:rsid w:val="00BE2B99"/>
    <w:rPr>
      <w:b/>
      <w:bCs/>
      <w:smallCaps/>
      <w:color w:val="2F5496" w:themeColor="accent1" w:themeShade="BF"/>
      <w:spacing w:val="5"/>
    </w:rPr>
  </w:style>
  <w:style w:type="table" w:styleId="TableGrid">
    <w:name w:val="Table Grid"/>
    <w:basedOn w:val="TableNormal"/>
    <w:uiPriority w:val="39"/>
    <w:rsid w:val="00DA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269"/>
    <w:pPr>
      <w:spacing w:after="0" w:line="240" w:lineRule="auto"/>
    </w:pPr>
  </w:style>
  <w:style w:type="character" w:styleId="CommentReference">
    <w:name w:val="annotation reference"/>
    <w:basedOn w:val="DefaultParagraphFont"/>
    <w:uiPriority w:val="99"/>
    <w:semiHidden/>
    <w:unhideWhenUsed/>
    <w:rsid w:val="00802269"/>
    <w:rPr>
      <w:sz w:val="16"/>
      <w:szCs w:val="16"/>
    </w:rPr>
  </w:style>
  <w:style w:type="paragraph" w:styleId="CommentText">
    <w:name w:val="annotation text"/>
    <w:basedOn w:val="Normal"/>
    <w:link w:val="CommentTextChar"/>
    <w:uiPriority w:val="99"/>
    <w:unhideWhenUsed/>
    <w:rsid w:val="00802269"/>
    <w:pPr>
      <w:spacing w:line="240" w:lineRule="auto"/>
    </w:pPr>
    <w:rPr>
      <w:sz w:val="20"/>
      <w:szCs w:val="20"/>
    </w:rPr>
  </w:style>
  <w:style w:type="character" w:customStyle="1" w:styleId="CommentTextChar">
    <w:name w:val="Comment Text Char"/>
    <w:basedOn w:val="DefaultParagraphFont"/>
    <w:link w:val="CommentText"/>
    <w:uiPriority w:val="99"/>
    <w:rsid w:val="00802269"/>
    <w:rPr>
      <w:sz w:val="20"/>
      <w:szCs w:val="20"/>
    </w:rPr>
  </w:style>
  <w:style w:type="paragraph" w:styleId="CommentSubject">
    <w:name w:val="annotation subject"/>
    <w:basedOn w:val="CommentText"/>
    <w:next w:val="CommentText"/>
    <w:link w:val="CommentSubjectChar"/>
    <w:uiPriority w:val="99"/>
    <w:semiHidden/>
    <w:unhideWhenUsed/>
    <w:rsid w:val="00802269"/>
    <w:rPr>
      <w:b/>
      <w:bCs/>
    </w:rPr>
  </w:style>
  <w:style w:type="character" w:customStyle="1" w:styleId="CommentSubjectChar">
    <w:name w:val="Comment Subject Char"/>
    <w:basedOn w:val="CommentTextChar"/>
    <w:link w:val="CommentSubject"/>
    <w:uiPriority w:val="99"/>
    <w:semiHidden/>
    <w:rsid w:val="00802269"/>
    <w:rPr>
      <w:b/>
      <w:bCs/>
      <w:sz w:val="20"/>
      <w:szCs w:val="20"/>
    </w:rPr>
  </w:style>
  <w:style w:type="character" w:styleId="Hyperlink">
    <w:name w:val="Hyperlink"/>
    <w:uiPriority w:val="99"/>
    <w:qFormat/>
    <w:rsid w:val="00DC52CA"/>
    <w:rPr>
      <w:color w:val="0000FF"/>
      <w:u w:val="single"/>
    </w:rPr>
  </w:style>
  <w:style w:type="character" w:styleId="Strong">
    <w:name w:val="Strong"/>
    <w:basedOn w:val="DefaultParagraphFont"/>
    <w:uiPriority w:val="22"/>
    <w:qFormat/>
    <w:rsid w:val="00D86979"/>
    <w:rPr>
      <w:b/>
      <w:bCs/>
    </w:rPr>
  </w:style>
  <w:style w:type="character" w:styleId="Emphasis">
    <w:name w:val="Emphasis"/>
    <w:basedOn w:val="DefaultParagraphFont"/>
    <w:uiPriority w:val="20"/>
    <w:qFormat/>
    <w:rsid w:val="00D86979"/>
    <w:rPr>
      <w:i/>
      <w:iCs/>
    </w:rPr>
  </w:style>
  <w:style w:type="paragraph" w:styleId="NormalWeb">
    <w:name w:val="Normal (Web)"/>
    <w:basedOn w:val="Normal"/>
    <w:uiPriority w:val="99"/>
    <w:unhideWhenUsed/>
    <w:rsid w:val="00E47078"/>
    <w:pPr>
      <w:spacing w:before="100" w:beforeAutospacing="1" w:after="100" w:afterAutospacing="1" w:line="240" w:lineRule="auto"/>
    </w:pPr>
    <w:rPr>
      <w:rFonts w:eastAsia="Times New Roman"/>
      <w:kern w:val="0"/>
      <w:lang w:eastAsia="en-IN"/>
      <w14:ligatures w14:val="none"/>
    </w:rPr>
  </w:style>
  <w:style w:type="character" w:customStyle="1" w:styleId="ms-1">
    <w:name w:val="ms-1"/>
    <w:basedOn w:val="DefaultParagraphFont"/>
    <w:rsid w:val="002C6CC3"/>
  </w:style>
  <w:style w:type="character" w:customStyle="1" w:styleId="max-w-15ch">
    <w:name w:val="max-w-[15ch]"/>
    <w:basedOn w:val="DefaultParagraphFont"/>
    <w:rsid w:val="002C6CC3"/>
  </w:style>
  <w:style w:type="character" w:customStyle="1" w:styleId="-me-1">
    <w:name w:val="-me-1"/>
    <w:basedOn w:val="DefaultParagraphFont"/>
    <w:rsid w:val="002C6CC3"/>
  </w:style>
  <w:style w:type="character" w:styleId="UnresolvedMention">
    <w:name w:val="Unresolved Mention"/>
    <w:basedOn w:val="DefaultParagraphFont"/>
    <w:uiPriority w:val="99"/>
    <w:semiHidden/>
    <w:unhideWhenUsed/>
    <w:rsid w:val="00290357"/>
    <w:rPr>
      <w:color w:val="605E5C"/>
      <w:shd w:val="clear" w:color="auto" w:fill="E1DFDD"/>
    </w:rPr>
  </w:style>
  <w:style w:type="paragraph" w:styleId="Header">
    <w:name w:val="header"/>
    <w:basedOn w:val="Normal"/>
    <w:link w:val="HeaderChar"/>
    <w:uiPriority w:val="99"/>
    <w:unhideWhenUsed/>
    <w:rsid w:val="00347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F85"/>
  </w:style>
  <w:style w:type="paragraph" w:styleId="Footer">
    <w:name w:val="footer"/>
    <w:basedOn w:val="Normal"/>
    <w:link w:val="FooterChar"/>
    <w:uiPriority w:val="99"/>
    <w:unhideWhenUsed/>
    <w:rsid w:val="0034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arplant-042110-103846" TargetMode="External"/><Relationship Id="rId18" Type="http://schemas.openxmlformats.org/officeDocument/2006/relationships/hyperlink" Target="https://doi.org/10.1007/s00572-014-0582-7" TargetMode="External"/><Relationship Id="rId26" Type="http://schemas.openxmlformats.org/officeDocument/2006/relationships/hyperlink" Target="https://doi.org/10.1002/ece3.2491" TargetMode="External"/><Relationship Id="rId21" Type="http://schemas.openxmlformats.org/officeDocument/2006/relationships/hyperlink" Target="https://www.aciar.gov.au/publication/technical-publications/improvement-and-management-teak-and-sandalwood-papua-new-guinea-and-australia-final"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B978-0-12-370526-6.X5001-6" TargetMode="External"/><Relationship Id="rId17" Type="http://schemas.openxmlformats.org/officeDocument/2006/relationships/hyperlink" Target="https://doi.org/10.1111/nph.14976" TargetMode="External"/><Relationship Id="rId25" Type="http://schemas.openxmlformats.org/officeDocument/2006/relationships/hyperlink" Target="https://doi.org/10.2135/cropsci1962.0011183X000200020033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5248/2165-8056.23.13.235" TargetMode="External"/><Relationship Id="rId20" Type="http://schemas.openxmlformats.org/officeDocument/2006/relationships/hyperlink" Target="https://iwst.icfre.gov.in/docs/WoodisGood,GrowMore,UseMoreMagazine,Vol.II.IssueII.July-September2021.pdf" TargetMode="External"/><Relationship Id="rId29" Type="http://schemas.openxmlformats.org/officeDocument/2006/relationships/hyperlink" Target="https://doi.org/10.1111/nph.132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3389/fmicb.2015.0155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jxb/ers126" TargetMode="External"/><Relationship Id="rId23" Type="http://schemas.openxmlformats.org/officeDocument/2006/relationships/hyperlink" Target="https://doi.org/10.1038/nplants.2015.159" TargetMode="External"/><Relationship Id="rId28" Type="http://schemas.openxmlformats.org/officeDocument/2006/relationships/hyperlink" Target="https://doi.org/10.1093/plphys/kiad517"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3390/f1105048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jof8070660" TargetMode="External"/><Relationship Id="rId22" Type="http://schemas.openxmlformats.org/officeDocument/2006/relationships/hyperlink" Target="https://doi.org/10.1111/nph.15308" TargetMode="External"/><Relationship Id="rId27" Type="http://schemas.openxmlformats.org/officeDocument/2006/relationships/hyperlink" Target="https://doi.org/10.3732/ajb.1400361" TargetMode="External"/><Relationship Id="rId30" Type="http://schemas.openxmlformats.org/officeDocument/2006/relationships/hyperlink" Target="https://doi.org/10.3389/fmicb.2021.737068"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4873</Words>
  <Characters>27780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Shiran K</dc:creator>
  <cp:keywords/>
  <dc:description/>
  <cp:lastModifiedBy>SDI PC 1170</cp:lastModifiedBy>
  <cp:revision>14</cp:revision>
  <dcterms:created xsi:type="dcterms:W3CDTF">2026-02-22T09:38:00Z</dcterms:created>
  <dcterms:modified xsi:type="dcterms:W3CDTF">2026-02-23T10:06:00Z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44d81b17-28d8-4839-b417-91e96ebfbb28</vt:lpwstr>
  </property>
</Properties>
</file>